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hd w:val="clear" w:color="auto" w:fill="10375C"/>
      </w:pPr>
      <w:r>
        <w:rPr>
          <w:rFonts w:ascii="Calibri" w:hAnsi="Calibri"/>
          <w:b/>
          <w:caps/>
          <w:color w:val="FFFFFF"/>
          <w:sz w:val="26"/>
        </w:rPr>
        <w:t xml:space="preserve"> EQUATOR RESOLUTION</w:t>
      </w:r>
    </w:p>
    <w:p>
      <w:pPr>
        <w:spacing w:before="0" w:after="880"/>
        <w:shd w:val="clear" w:color="auto" w:fill="0E7C7B"/>
      </w:pPr>
      <w:r>
        <w:rPr>
          <w:rFonts w:ascii="Calibri" w:hAnsi="Calibri"/>
          <w:color w:val="FFFFFF"/>
          <w:sz w:val="16"/>
        </w:rPr>
        <w:t xml:space="preserve"> An Infrabyx Group venture  ·  www.equatorresolution.com</w:t>
      </w:r>
    </w:p>
    <w:p>
      <w:pPr>
        <w:spacing w:after="40"/>
      </w:pPr>
      <w:r>
        <w:rPr>
          <w:rFonts w:ascii="Calibri" w:hAnsi="Calibri"/>
          <w:b/>
          <w:caps/>
          <w:color w:val="0E7C7B"/>
          <w:sz w:val="19"/>
        </w:rPr>
        <w:t>UNIVERSITY &amp; ACADEMIC PARTNERSHIP PROGRAMME</w:t>
      </w:r>
    </w:p>
    <w:p>
      <w:pPr>
        <w:spacing w:after="120" w:line="240" w:lineRule="auto"/>
      </w:pPr>
      <w:r>
        <w:rPr>
          <w:rFonts w:ascii="Calibri" w:hAnsi="Calibri"/>
          <w:b/>
          <w:color w:val="10375C"/>
          <w:sz w:val="54"/>
        </w:rPr>
        <w:t>Internship Programme SOP</w:t>
      </w:r>
    </w:p>
    <w:p>
      <w:pPr>
        <w:spacing w:after="280" w:line="276" w:lineRule="auto"/>
      </w:pPr>
      <w:r>
        <w:rPr>
          <w:rFonts w:ascii="Calibri" w:hAnsi="Calibri"/>
          <w:i/>
          <w:color w:val="3E6B8A"/>
          <w:sz w:val="25"/>
        </w:rPr>
        <w:t>Intake, selection, induction, supervision, assessment, conversion and the confidentiality regime that governs all of it</w:t>
      </w:r>
    </w:p>
    <w:p>
      <w:pPr>
        <w:spacing w:after="520"/>
        <w:pBdr>
          <w:bottom w:val="single" w:sz="18" w:space="1" w:color="0E7C7B"/>
        </w:pBdr>
      </w:pPr>
    </w:p>
    <w:tbl>
      <w:tblPr>
        <w:tblW w:type="auto" w:w="0"/>
        <w:jc w:val="left"/>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734"/>
        <w:gridCol w:w="4734"/>
      </w:tblGrid>
      <w:tr>
        <w:tc>
          <w:tcPr>
            <w:tcW w:type="dxa" w:w="2891"/>
            <w:shd w:val="clear" w:color="auto" w:fill="EAF1F4"/>
          </w:tcPr>
          <w:p>
            <w:pPr>
              <w:spacing w:after="60" w:before="60"/>
            </w:pPr>
            <w:r>
              <w:rPr>
                <w:rFonts w:ascii="Calibri" w:hAnsi="Calibri"/>
                <w:b/>
                <w:color w:val="10375C"/>
                <w:sz w:val="18"/>
              </w:rPr>
              <w:t>Document reference</w:t>
            </w:r>
          </w:p>
        </w:tc>
        <w:tc>
          <w:tcPr>
            <w:tcW w:type="dxa" w:w="6576"/>
          </w:tcPr>
          <w:p>
            <w:pPr>
              <w:spacing w:after="60" w:before="60"/>
            </w:pPr>
            <w:r>
              <w:rPr>
                <w:rFonts w:ascii="Calibri" w:hAnsi="Calibri"/>
                <w:color w:val="333333"/>
                <w:sz w:val="18"/>
              </w:rPr>
              <w:t>EQ-UAP-074</w:t>
            </w:r>
          </w:p>
        </w:tc>
      </w:tr>
      <w:tr>
        <w:tc>
          <w:tcPr>
            <w:tcW w:type="dxa" w:w="2891"/>
            <w:shd w:val="clear" w:color="auto" w:fill="EAF1F4"/>
          </w:tcPr>
          <w:p>
            <w:pPr>
              <w:spacing w:after="60" w:before="60"/>
            </w:pPr>
            <w:r>
              <w:rPr>
                <w:rFonts w:ascii="Calibri" w:hAnsi="Calibri"/>
                <w:b/>
                <w:color w:val="10375C"/>
                <w:sz w:val="18"/>
              </w:rPr>
              <w:t>Document family</w:t>
            </w:r>
          </w:p>
        </w:tc>
        <w:tc>
          <w:tcPr>
            <w:tcW w:type="dxa" w:w="6576"/>
          </w:tcPr>
          <w:p>
            <w:pPr>
              <w:spacing w:after="60" w:before="60"/>
            </w:pPr>
            <w:r>
              <w:rPr>
                <w:rFonts w:ascii="Calibri" w:hAnsi="Calibri"/>
                <w:color w:val="333333"/>
                <w:sz w:val="18"/>
              </w:rPr>
              <w:t>Operations</w:t>
            </w:r>
          </w:p>
        </w:tc>
      </w:tr>
      <w:tr>
        <w:tc>
          <w:tcPr>
            <w:tcW w:type="dxa" w:w="2891"/>
            <w:shd w:val="clear" w:color="auto" w:fill="EAF1F4"/>
          </w:tcPr>
          <w:p>
            <w:pPr>
              <w:spacing w:after="60" w:before="60"/>
            </w:pPr>
            <w:r>
              <w:rPr>
                <w:rFonts w:ascii="Calibri" w:hAnsi="Calibri"/>
                <w:b/>
                <w:color w:val="10375C"/>
                <w:sz w:val="18"/>
              </w:rPr>
              <w:t>Version</w:t>
            </w:r>
          </w:p>
        </w:tc>
        <w:tc>
          <w:tcPr>
            <w:tcW w:type="dxa" w:w="6576"/>
          </w:tcPr>
          <w:p>
            <w:pPr>
              <w:spacing w:after="60" w:before="60"/>
            </w:pPr>
            <w:r>
              <w:rPr>
                <w:rFonts w:ascii="Calibri" w:hAnsi="Calibri"/>
                <w:color w:val="333333"/>
                <w:sz w:val="18"/>
              </w:rPr>
              <w:t>v1.0   ·   Draft for legal sign-off</w:t>
            </w:r>
          </w:p>
        </w:tc>
      </w:tr>
      <w:tr>
        <w:tc>
          <w:tcPr>
            <w:tcW w:type="dxa" w:w="2891"/>
            <w:shd w:val="clear" w:color="auto" w:fill="EAF1F4"/>
          </w:tcPr>
          <w:p>
            <w:pPr>
              <w:spacing w:after="60" w:before="60"/>
            </w:pPr>
            <w:r>
              <w:rPr>
                <w:rFonts w:ascii="Calibri" w:hAnsi="Calibri"/>
                <w:b/>
                <w:color w:val="10375C"/>
                <w:sz w:val="18"/>
              </w:rPr>
              <w:t>Date of issue</w:t>
            </w:r>
          </w:p>
        </w:tc>
        <w:tc>
          <w:tcPr>
            <w:tcW w:type="dxa" w:w="6576"/>
          </w:tcPr>
          <w:p>
            <w:pPr>
              <w:spacing w:after="60" w:before="60"/>
            </w:pPr>
            <w:r>
              <w:rPr>
                <w:rFonts w:ascii="Calibri" w:hAnsi="Calibri"/>
                <w:color w:val="333333"/>
                <w:sz w:val="18"/>
              </w:rPr>
              <w:t>July 2026</w:t>
            </w:r>
          </w:p>
        </w:tc>
      </w:tr>
      <w:tr>
        <w:tc>
          <w:tcPr>
            <w:tcW w:type="dxa" w:w="2891"/>
            <w:shd w:val="clear" w:color="auto" w:fill="EAF1F4"/>
          </w:tcPr>
          <w:p>
            <w:pPr>
              <w:spacing w:after="60" w:before="60"/>
            </w:pPr>
            <w:r>
              <w:rPr>
                <w:rFonts w:ascii="Calibri" w:hAnsi="Calibri"/>
                <w:b/>
                <w:color w:val="10375C"/>
                <w:sz w:val="18"/>
              </w:rPr>
              <w:t>Law stated as at</w:t>
            </w:r>
          </w:p>
        </w:tc>
        <w:tc>
          <w:tcPr>
            <w:tcW w:type="dxa" w:w="6576"/>
          </w:tcPr>
          <w:p>
            <w:pPr>
              <w:spacing w:after="60" w:before="60"/>
            </w:pPr>
            <w:r>
              <w:rPr>
                <w:rFonts w:ascii="Calibri" w:hAnsi="Calibri"/>
                <w:color w:val="333333"/>
                <w:sz w:val="18"/>
              </w:rPr>
              <w:t>22 July 2026</w:t>
            </w:r>
          </w:p>
        </w:tc>
      </w:tr>
      <w:tr>
        <w:tc>
          <w:tcPr>
            <w:tcW w:type="dxa" w:w="2891"/>
            <w:shd w:val="clear" w:color="auto" w:fill="EAF1F4"/>
          </w:tcPr>
          <w:p>
            <w:pPr>
              <w:spacing w:after="60" w:before="60"/>
            </w:pPr>
            <w:r>
              <w:rPr>
                <w:rFonts w:ascii="Calibri" w:hAnsi="Calibri"/>
                <w:b/>
                <w:color w:val="10375C"/>
                <w:sz w:val="18"/>
              </w:rPr>
              <w:t>Owner</w:t>
            </w:r>
          </w:p>
        </w:tc>
        <w:tc>
          <w:tcPr>
            <w:tcW w:type="dxa" w:w="6576"/>
          </w:tcPr>
          <w:p>
            <w:pPr>
              <w:spacing w:after="60" w:before="60"/>
            </w:pPr>
            <w:r>
              <w:rPr>
                <w:rFonts w:ascii="Calibri" w:hAnsi="Calibri"/>
                <w:color w:val="333333"/>
                <w:sz w:val="18"/>
              </w:rPr>
              <w:t>Director — Academic Partnerships, Equator ADR Institute</w:t>
            </w:r>
          </w:p>
        </w:tc>
      </w:tr>
      <w:tr>
        <w:tc>
          <w:tcPr>
            <w:tcW w:type="dxa" w:w="2891"/>
            <w:shd w:val="clear" w:color="auto" w:fill="EAF1F4"/>
          </w:tcPr>
          <w:p>
            <w:pPr>
              <w:spacing w:after="60" w:before="60"/>
            </w:pPr>
            <w:r>
              <w:rPr>
                <w:rFonts w:ascii="Calibri" w:hAnsi="Calibri"/>
                <w:b/>
                <w:color w:val="10375C"/>
                <w:sz w:val="18"/>
              </w:rPr>
              <w:t>Approver</w:t>
            </w:r>
          </w:p>
        </w:tc>
        <w:tc>
          <w:tcPr>
            <w:tcW w:type="dxa" w:w="6576"/>
          </w:tcPr>
          <w:p>
            <w:pPr>
              <w:spacing w:after="60" w:before="60"/>
            </w:pPr>
            <w:r>
              <w:rPr>
                <w:rFonts w:ascii="Calibri" w:hAnsi="Calibri"/>
                <w:color w:val="333333"/>
                <w:sz w:val="18"/>
              </w:rPr>
              <w:t>Managing Director, Equator Resolution</w:t>
            </w:r>
          </w:p>
        </w:tc>
      </w:tr>
      <w:tr>
        <w:tc>
          <w:tcPr>
            <w:tcW w:type="dxa" w:w="2891"/>
            <w:shd w:val="clear" w:color="auto" w:fill="EAF1F4"/>
          </w:tcPr>
          <w:p>
            <w:pPr>
              <w:spacing w:after="60" w:before="60"/>
            </w:pPr>
            <w:r>
              <w:rPr>
                <w:rFonts w:ascii="Calibri" w:hAnsi="Calibri"/>
                <w:b/>
                <w:color w:val="10375C"/>
                <w:sz w:val="18"/>
              </w:rPr>
              <w:t>Classification</w:t>
            </w:r>
          </w:p>
        </w:tc>
        <w:tc>
          <w:tcPr>
            <w:tcW w:type="dxa" w:w="6576"/>
          </w:tcPr>
          <w:p>
            <w:pPr>
              <w:spacing w:after="60" w:before="60"/>
            </w:pPr>
            <w:r>
              <w:rPr>
                <w:rFonts w:ascii="Calibri" w:hAnsi="Calibri"/>
                <w:color w:val="333333"/>
                <w:sz w:val="18"/>
              </w:rPr>
              <w:t>Confidential — Internal</w:t>
            </w:r>
          </w:p>
        </w:tc>
      </w:tr>
    </w:tbl>
    <w:p>
      <w:pPr>
        <w:spacing w:before="600"/>
        <w:ind w:left="170"/>
        <w:pBdr>
          <w:left w:val="single" w:sz="18" w:space="6" w:color="8A5A00"/>
        </w:pBdr>
        <w:shd w:val="clear" w:color="auto" w:fill="FDF6EC"/>
      </w:pPr>
      <w:r>
        <w:rPr>
          <w:b/>
          <w:color w:val="8A5A00"/>
          <w:sz w:val="17"/>
        </w:rPr>
        <w:t xml:space="preserve">Not legal advice.  </w:t>
      </w:r>
      <w:r>
        <w:rPr>
          <w:color w:val="595959"/>
          <w:sz w:val="17"/>
        </w:rPr>
        <w:t>This document is a working draft prepared for Equator Resolution. Before it is used with any institution, student or party it must be reviewed by qualified counsel and, where personal data is involved, by the Data Protection Officer. Items marked [verify] must be cleared in the Master Legal Sign-off Register.</w:t>
      </w:r>
    </w:p>
    <w:p>
      <w:r>
        <w:br w:type="page"/>
      </w:r>
    </w:p>
    <w:p>
      <w:pPr>
        <w:spacing w:after="200"/>
        <w:pBdr>
          <w:bottom w:val="single" w:sz="10" w:space="4" w:color="0E7C7B"/>
        </w:pBdr>
      </w:pPr>
      <w:r>
        <w:rPr>
          <w:rFonts w:ascii="Calibri" w:hAnsi="Calibri"/>
          <w:b/>
          <w:color w:val="10375C"/>
          <w:sz w:val="31"/>
        </w:rPr>
        <w:t>Document control</w:t>
      </w:r>
    </w:p>
    <w:p>
      <w:pPr>
        <w:spacing w:before="240" w:after="80"/>
        <w:keepNext w:val="1"/>
      </w:pPr>
      <w:r>
        <w:rPr>
          <w:rFonts w:ascii="Calibri" w:hAnsi="Calibri"/>
          <w:b/>
          <w:color w:val="0E7C7B"/>
          <w:sz w:val="22"/>
        </w:rPr>
        <w:t>Version history</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964"/>
            <w:shd w:val="clear" w:color="auto" w:fill="10375C"/>
          </w:tcPr>
          <w:p>
            <w:pPr>
              <w:spacing w:after="40" w:before="40"/>
            </w:pPr>
            <w:r>
              <w:rPr>
                <w:rFonts w:ascii="Calibri" w:hAnsi="Calibri"/>
                <w:b/>
                <w:color w:val="FFFFFF"/>
                <w:sz w:val="17"/>
              </w:rPr>
              <w:t>Version</w:t>
            </w:r>
          </w:p>
        </w:tc>
        <w:tc>
          <w:tcPr>
            <w:tcW w:type="dxa" w:w="1304"/>
            <w:shd w:val="clear" w:color="auto" w:fill="10375C"/>
          </w:tcPr>
          <w:p>
            <w:pPr>
              <w:spacing w:after="40" w:before="40"/>
            </w:pPr>
            <w:r>
              <w:rPr>
                <w:rFonts w:ascii="Calibri" w:hAnsi="Calibri"/>
                <w:b/>
                <w:color w:val="FFFFFF"/>
                <w:sz w:val="17"/>
              </w:rPr>
              <w:t>Date</w:t>
            </w:r>
          </w:p>
        </w:tc>
        <w:tc>
          <w:tcPr>
            <w:tcW w:type="dxa" w:w="2041"/>
            <w:shd w:val="clear" w:color="auto" w:fill="10375C"/>
          </w:tcPr>
          <w:p>
            <w:pPr>
              <w:spacing w:after="40" w:before="40"/>
            </w:pPr>
            <w:r>
              <w:rPr>
                <w:rFonts w:ascii="Calibri" w:hAnsi="Calibri"/>
                <w:b/>
                <w:color w:val="FFFFFF"/>
                <w:sz w:val="17"/>
              </w:rPr>
              <w:t>Author</w:t>
            </w:r>
          </w:p>
        </w:tc>
        <w:tc>
          <w:tcPr>
            <w:tcW w:type="dxa" w:w="3742"/>
            <w:shd w:val="clear" w:color="auto" w:fill="10375C"/>
          </w:tcPr>
          <w:p>
            <w:pPr>
              <w:spacing w:after="40" w:before="40"/>
            </w:pPr>
            <w:r>
              <w:rPr>
                <w:rFonts w:ascii="Calibri" w:hAnsi="Calibri"/>
                <w:b/>
                <w:color w:val="FFFFFF"/>
                <w:sz w:val="17"/>
              </w:rPr>
              <w:t>Summary of change</w:t>
            </w:r>
          </w:p>
        </w:tc>
        <w:tc>
          <w:tcPr>
            <w:tcW w:type="dxa" w:w="1417"/>
            <w:shd w:val="clear" w:color="auto" w:fill="10375C"/>
          </w:tcPr>
          <w:p>
            <w:pPr>
              <w:spacing w:after="40" w:before="40"/>
            </w:pPr>
            <w:r>
              <w:rPr>
                <w:rFonts w:ascii="Calibri" w:hAnsi="Calibri"/>
                <w:b/>
                <w:color w:val="FFFFFF"/>
                <w:sz w:val="17"/>
              </w:rPr>
              <w:t>Status</w:t>
            </w:r>
          </w:p>
        </w:tc>
      </w:tr>
      <w:tr>
        <w:tc>
          <w:tcPr>
            <w:tcW w:type="dxa" w:w="964"/>
          </w:tcPr>
          <w:p>
            <w:pPr>
              <w:spacing w:after="40" w:before="40"/>
            </w:pPr>
            <w:r>
              <w:rPr>
                <w:rFonts w:ascii="Calibri" w:hAnsi="Calibri"/>
                <w:sz w:val="17"/>
              </w:rPr>
              <w:t>0.1</w:t>
            </w:r>
          </w:p>
        </w:tc>
        <w:tc>
          <w:tcPr>
            <w:tcW w:type="dxa" w:w="1304"/>
          </w:tcPr>
          <w:p>
            <w:pPr>
              <w:spacing w:after="40" w:before="40"/>
            </w:pPr>
            <w:r>
              <w:rPr>
                <w:rFonts w:ascii="Calibri" w:hAnsi="Calibri"/>
                <w:sz w:val="17"/>
              </w:rPr>
              <w:t>July 2026</w:t>
            </w:r>
          </w:p>
        </w:tc>
        <w:tc>
          <w:tcPr>
            <w:tcW w:type="dxa" w:w="2041"/>
          </w:tcPr>
          <w:p>
            <w:pPr>
              <w:spacing w:after="40" w:before="40"/>
            </w:pPr>
            <w:r>
              <w:rPr>
                <w:rFonts w:ascii="Calibri" w:hAnsi="Calibri"/>
                <w:sz w:val="17"/>
              </w:rPr>
              <w:t>Equator ADR Institute</w:t>
            </w:r>
          </w:p>
        </w:tc>
        <w:tc>
          <w:tcPr>
            <w:tcW w:type="dxa" w:w="3742"/>
          </w:tcPr>
          <w:p>
            <w:pPr>
              <w:spacing w:after="40" w:before="40"/>
            </w:pPr>
            <w:r>
              <w:rPr>
                <w:rFonts w:ascii="Calibri" w:hAnsi="Calibri"/>
                <w:sz w:val="17"/>
              </w:rPr>
              <w:t>Initial drafting</w:t>
            </w:r>
          </w:p>
        </w:tc>
        <w:tc>
          <w:tcPr>
            <w:tcW w:type="dxa" w:w="1417"/>
          </w:tcPr>
          <w:p>
            <w:pPr>
              <w:spacing w:after="40" w:before="40"/>
            </w:pPr>
            <w:r>
              <w:rPr>
                <w:rFonts w:ascii="Calibri" w:hAnsi="Calibri"/>
                <w:sz w:val="17"/>
              </w:rPr>
              <w:t>Superseded</w:t>
            </w:r>
          </w:p>
        </w:tc>
      </w:tr>
      <w:tr>
        <w:tc>
          <w:tcPr>
            <w:tcW w:type="dxa" w:w="964"/>
            <w:shd w:val="clear" w:color="auto" w:fill="EAF1F4"/>
          </w:tcPr>
          <w:p>
            <w:pPr>
              <w:spacing w:after="40" w:before="40"/>
            </w:pPr>
            <w:r>
              <w:rPr>
                <w:rFonts w:ascii="Calibri" w:hAnsi="Calibri"/>
                <w:sz w:val="17"/>
              </w:rPr>
              <w:t>1.0</w:t>
            </w:r>
          </w:p>
        </w:tc>
        <w:tc>
          <w:tcPr>
            <w:tcW w:type="dxa" w:w="1304"/>
            <w:shd w:val="clear" w:color="auto" w:fill="EAF1F4"/>
          </w:tcPr>
          <w:p>
            <w:pPr>
              <w:spacing w:after="40" w:before="40"/>
            </w:pPr>
            <w:r>
              <w:rPr>
                <w:rFonts w:ascii="Calibri" w:hAnsi="Calibri"/>
                <w:sz w:val="17"/>
              </w:rPr>
              <w:t>July 2026</w:t>
            </w:r>
          </w:p>
        </w:tc>
        <w:tc>
          <w:tcPr>
            <w:tcW w:type="dxa" w:w="2041"/>
            <w:shd w:val="clear" w:color="auto" w:fill="EAF1F4"/>
          </w:tcPr>
          <w:p>
            <w:pPr>
              <w:spacing w:after="40" w:before="40"/>
            </w:pPr>
            <w:r>
              <w:rPr>
                <w:rFonts w:ascii="Calibri" w:hAnsi="Calibri"/>
                <w:sz w:val="17"/>
              </w:rPr>
              <w:t>Equator ADR Institute</w:t>
            </w:r>
          </w:p>
        </w:tc>
        <w:tc>
          <w:tcPr>
            <w:tcW w:type="dxa" w:w="3742"/>
            <w:shd w:val="clear" w:color="auto" w:fill="EAF1F4"/>
          </w:tcPr>
          <w:p>
            <w:pPr>
              <w:spacing w:after="40" w:before="40"/>
            </w:pPr>
            <w:r>
              <w:rPr>
                <w:rFonts w:ascii="Calibri" w:hAnsi="Calibri"/>
                <w:sz w:val="17"/>
              </w:rPr>
              <w:t>First complete issue for legal review</w:t>
            </w:r>
          </w:p>
        </w:tc>
        <w:tc>
          <w:tcPr>
            <w:tcW w:type="dxa" w:w="1417"/>
            <w:shd w:val="clear" w:color="auto" w:fill="EAF1F4"/>
          </w:tcPr>
          <w:p>
            <w:pPr>
              <w:spacing w:after="40" w:before="40"/>
            </w:pPr>
            <w:r>
              <w:rPr>
                <w:rFonts w:ascii="Calibri" w:hAnsi="Calibri"/>
                <w:sz w:val="17"/>
              </w:rPr>
              <w:t>Draft for legal sign-off</w:t>
            </w:r>
          </w:p>
        </w:tc>
      </w:tr>
      <w:tr>
        <w:tc>
          <w:tcPr>
            <w:tcW w:type="dxa" w:w="964"/>
          </w:tcPr>
          <w:p>
            <w:pPr>
              <w:spacing w:after="40" w:before="40"/>
            </w:pPr>
            <w:r>
              <w:rPr>
                <w:rFonts w:ascii="Calibri" w:hAnsi="Calibri"/>
                <w:sz w:val="17"/>
              </w:rPr>
            </w:r>
          </w:p>
        </w:tc>
        <w:tc>
          <w:tcPr>
            <w:tcW w:type="dxa" w:w="1304"/>
          </w:tcPr>
          <w:p>
            <w:pPr>
              <w:spacing w:after="40" w:before="40"/>
            </w:pPr>
            <w:r>
              <w:rPr>
                <w:rFonts w:ascii="Calibri" w:hAnsi="Calibri"/>
                <w:sz w:val="17"/>
              </w:rPr>
            </w:r>
          </w:p>
        </w:tc>
        <w:tc>
          <w:tcPr>
            <w:tcW w:type="dxa" w:w="2041"/>
          </w:tcPr>
          <w:p>
            <w:pPr>
              <w:spacing w:after="40" w:before="40"/>
            </w:pPr>
            <w:r>
              <w:rPr>
                <w:rFonts w:ascii="Calibri" w:hAnsi="Calibri"/>
                <w:sz w:val="17"/>
              </w:rPr>
            </w:r>
          </w:p>
        </w:tc>
        <w:tc>
          <w:tcPr>
            <w:tcW w:type="dxa" w:w="3742"/>
          </w:tcPr>
          <w:p>
            <w:pPr>
              <w:spacing w:after="40" w:before="40"/>
            </w:pPr>
            <w:r>
              <w:rPr>
                <w:rFonts w:ascii="Calibri" w:hAnsi="Calibri"/>
                <w:sz w:val="17"/>
              </w:rPr>
            </w:r>
          </w:p>
        </w:tc>
        <w:tc>
          <w:tcPr>
            <w:tcW w:type="dxa" w:w="1417"/>
          </w:tcPr>
          <w:p>
            <w:pPr>
              <w:spacing w:after="40" w:before="40"/>
            </w:pPr>
            <w:r>
              <w:rPr>
                <w:rFonts w:ascii="Calibri" w:hAnsi="Calibri"/>
                <w:sz w:val="17"/>
              </w:rPr>
            </w:r>
          </w:p>
        </w:tc>
      </w:tr>
      <w:tr>
        <w:tc>
          <w:tcPr>
            <w:tcW w:type="dxa" w:w="964"/>
            <w:shd w:val="clear" w:color="auto" w:fill="EAF1F4"/>
          </w:tcPr>
          <w:p>
            <w:pPr>
              <w:spacing w:after="40" w:before="40"/>
            </w:pPr>
            <w:r>
              <w:rPr>
                <w:rFonts w:ascii="Calibri" w:hAnsi="Calibri"/>
                <w:sz w:val="17"/>
              </w:rPr>
            </w:r>
          </w:p>
        </w:tc>
        <w:tc>
          <w:tcPr>
            <w:tcW w:type="dxa" w:w="1304"/>
            <w:shd w:val="clear" w:color="auto" w:fill="EAF1F4"/>
          </w:tcPr>
          <w:p>
            <w:pPr>
              <w:spacing w:after="40" w:before="40"/>
            </w:pPr>
            <w:r>
              <w:rPr>
                <w:rFonts w:ascii="Calibri" w:hAnsi="Calibri"/>
                <w:sz w:val="17"/>
              </w:rPr>
            </w:r>
          </w:p>
        </w:tc>
        <w:tc>
          <w:tcPr>
            <w:tcW w:type="dxa" w:w="2041"/>
            <w:shd w:val="clear" w:color="auto" w:fill="EAF1F4"/>
          </w:tcPr>
          <w:p>
            <w:pPr>
              <w:spacing w:after="40" w:before="40"/>
            </w:pPr>
            <w:r>
              <w:rPr>
                <w:rFonts w:ascii="Calibri" w:hAnsi="Calibri"/>
                <w:sz w:val="17"/>
              </w:rPr>
            </w:r>
          </w:p>
        </w:tc>
        <w:tc>
          <w:tcPr>
            <w:tcW w:type="dxa" w:w="3742"/>
            <w:shd w:val="clear" w:color="auto" w:fill="EAF1F4"/>
          </w:tcPr>
          <w:p>
            <w:pPr>
              <w:spacing w:after="40" w:before="40"/>
            </w:pPr>
            <w:r>
              <w:rPr>
                <w:rFonts w:ascii="Calibri" w:hAnsi="Calibri"/>
                <w:sz w:val="17"/>
              </w:rPr>
            </w:r>
          </w:p>
        </w:tc>
        <w:tc>
          <w:tcPr>
            <w:tcW w:type="dxa" w:w="1417"/>
            <w:shd w:val="clear" w:color="auto" w:fill="EAF1F4"/>
          </w:tcPr>
          <w:p>
            <w:pPr>
              <w:spacing w:after="40" w:before="40"/>
            </w:pPr>
            <w:r>
              <w:rPr>
                <w:rFonts w:ascii="Calibri" w:hAnsi="Calibri"/>
                <w:sz w:val="17"/>
              </w:rPr>
            </w:r>
          </w:p>
        </w:tc>
      </w:tr>
    </w:tbl>
    <w:p>
      <w:pPr>
        <w:spacing w:before="240" w:after="80"/>
        <w:keepNext w:val="1"/>
      </w:pPr>
      <w:r>
        <w:rPr>
          <w:rFonts w:ascii="Calibri" w:hAnsi="Calibri"/>
          <w:b/>
          <w:color w:val="0E7C7B"/>
          <w:sz w:val="22"/>
        </w:rPr>
        <w:t>Review and approval</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098"/>
            <w:shd w:val="clear" w:color="auto" w:fill="10375C"/>
          </w:tcPr>
          <w:p>
            <w:pPr>
              <w:spacing w:after="40" w:before="40"/>
            </w:pPr>
            <w:r>
              <w:rPr>
                <w:rFonts w:ascii="Calibri" w:hAnsi="Calibri"/>
                <w:b/>
                <w:color w:val="FFFFFF"/>
                <w:sz w:val="17"/>
              </w:rPr>
              <w:t>Role</w:t>
            </w:r>
          </w:p>
        </w:tc>
        <w:tc>
          <w:tcPr>
            <w:tcW w:type="dxa" w:w="1928"/>
            <w:shd w:val="clear" w:color="auto" w:fill="10375C"/>
          </w:tcPr>
          <w:p>
            <w:pPr>
              <w:spacing w:after="40" w:before="40"/>
            </w:pPr>
            <w:r>
              <w:rPr>
                <w:rFonts w:ascii="Calibri" w:hAnsi="Calibri"/>
                <w:b/>
                <w:color w:val="FFFFFF"/>
                <w:sz w:val="17"/>
              </w:rPr>
              <w:t>Name</w:t>
            </w:r>
          </w:p>
        </w:tc>
        <w:tc>
          <w:tcPr>
            <w:tcW w:type="dxa" w:w="3628"/>
            <w:shd w:val="clear" w:color="auto" w:fill="10375C"/>
          </w:tcPr>
          <w:p>
            <w:pPr>
              <w:spacing w:after="40" w:before="40"/>
            </w:pPr>
            <w:r>
              <w:rPr>
                <w:rFonts w:ascii="Calibri" w:hAnsi="Calibri"/>
                <w:b/>
                <w:color w:val="FFFFFF"/>
                <w:sz w:val="17"/>
              </w:rPr>
              <w:t>Responsibility</w:t>
            </w:r>
          </w:p>
        </w:tc>
        <w:tc>
          <w:tcPr>
            <w:tcW w:type="dxa" w:w="1814"/>
            <w:shd w:val="clear" w:color="auto" w:fill="10375C"/>
          </w:tcPr>
          <w:p>
            <w:pPr>
              <w:spacing w:after="40" w:before="40"/>
            </w:pPr>
            <w:r>
              <w:rPr>
                <w:rFonts w:ascii="Calibri" w:hAnsi="Calibri"/>
                <w:b/>
                <w:color w:val="FFFFFF"/>
                <w:sz w:val="17"/>
              </w:rPr>
              <w:t>Signature / date</w:t>
            </w:r>
          </w:p>
        </w:tc>
      </w:tr>
      <w:tr>
        <w:tc>
          <w:tcPr>
            <w:tcW w:type="dxa" w:w="2098"/>
          </w:tcPr>
          <w:p>
            <w:pPr>
              <w:spacing w:after="40" w:before="40"/>
            </w:pPr>
            <w:r>
              <w:rPr>
                <w:rFonts w:ascii="Calibri" w:hAnsi="Calibri"/>
                <w:sz w:val="17"/>
              </w:rPr>
              <w:t>Preparer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Drafting and factual accuracy</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Reviewer — Legal</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Statutory compliance; clause risk</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Reviewer — Finance</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Pricing, tax and revenue treatment</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Data Protection Officer</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DPDP Act 2023 and Rules 2025 compliance</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Approver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Final approval for issue</w:t>
            </w:r>
          </w:p>
        </w:tc>
        <w:tc>
          <w:tcPr>
            <w:tcW w:type="dxa" w:w="1814"/>
          </w:tcPr>
          <w:p>
            <w:pPr>
              <w:spacing w:after="40" w:before="40"/>
            </w:pPr>
            <w:r>
              <w:rPr>
                <w:rFonts w:ascii="Calibri" w:hAnsi="Calibri"/>
                <w:sz w:val="17"/>
              </w:rPr>
            </w:r>
          </w:p>
        </w:tc>
      </w:tr>
    </w:tbl>
    <w:p>
      <w:pPr>
        <w:spacing w:before="240" w:after="80"/>
        <w:keepNext w:val="1"/>
      </w:pPr>
      <w:r>
        <w:rPr>
          <w:rFonts w:ascii="Calibri" w:hAnsi="Calibri"/>
          <w:b/>
          <w:color w:val="0E7C7B"/>
          <w:sz w:val="22"/>
        </w:rPr>
        <w:t>Distribution and related documents</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08"/>
            <w:shd w:val="clear" w:color="auto" w:fill="10375C"/>
          </w:tcPr>
          <w:p>
            <w:pPr>
              <w:spacing w:after="40" w:before="40"/>
            </w:pPr>
            <w:r>
              <w:rPr>
                <w:rFonts w:ascii="Calibri" w:hAnsi="Calibri"/>
                <w:b/>
                <w:color w:val="FFFFFF"/>
                <w:sz w:val="17"/>
              </w:rPr>
              <w:t>Item</w:t>
            </w:r>
          </w:p>
        </w:tc>
        <w:tc>
          <w:tcPr>
            <w:tcW w:type="dxa" w:w="6860"/>
            <w:shd w:val="clear" w:color="auto" w:fill="10375C"/>
          </w:tcPr>
          <w:p>
            <w:pPr>
              <w:spacing w:after="40" w:before="40"/>
            </w:pPr>
            <w:r>
              <w:rPr>
                <w:rFonts w:ascii="Calibri" w:hAnsi="Calibri"/>
                <w:b/>
                <w:color w:val="FFFFFF"/>
                <w:sz w:val="17"/>
              </w:rPr>
              <w:t>Detail</w:t>
            </w:r>
          </w:p>
        </w:tc>
      </w:tr>
      <w:tr>
        <w:tc>
          <w:tcPr>
            <w:tcW w:type="dxa" w:w="2608"/>
          </w:tcPr>
          <w:p>
            <w:pPr>
              <w:spacing w:after="40" w:before="40"/>
            </w:pPr>
            <w:r>
              <w:rPr>
                <w:rFonts w:ascii="Calibri" w:hAnsi="Calibri"/>
                <w:sz w:val="17"/>
              </w:rPr>
              <w:t>Primary distribution</w:t>
            </w:r>
          </w:p>
        </w:tc>
        <w:tc>
          <w:tcPr>
            <w:tcW w:type="dxa" w:w="6860"/>
          </w:tcPr>
          <w:p>
            <w:pPr>
              <w:spacing w:after="40" w:before="40"/>
            </w:pPr>
            <w:r>
              <w:rPr>
                <w:rFonts w:ascii="Calibri" w:hAnsi="Calibri"/>
                <w:sz w:val="17"/>
              </w:rPr>
              <w:t>Managing Director; Director — Academic Partnerships; Legal; Finance</w:t>
            </w:r>
          </w:p>
        </w:tc>
      </w:tr>
      <w:tr>
        <w:tc>
          <w:tcPr>
            <w:tcW w:type="dxa" w:w="2608"/>
            <w:shd w:val="clear" w:color="auto" w:fill="EAF1F4"/>
          </w:tcPr>
          <w:p>
            <w:pPr>
              <w:spacing w:after="40" w:before="40"/>
            </w:pPr>
            <w:r>
              <w:rPr>
                <w:rFonts w:ascii="Calibri" w:hAnsi="Calibri"/>
                <w:sz w:val="17"/>
              </w:rPr>
              <w:t>Counterparty distribution</w:t>
            </w:r>
          </w:p>
        </w:tc>
        <w:tc>
          <w:tcPr>
            <w:tcW w:type="dxa" w:w="6860"/>
            <w:shd w:val="clear" w:color="auto" w:fill="EAF1F4"/>
          </w:tcPr>
          <w:p>
            <w:pPr>
              <w:spacing w:after="40" w:before="40"/>
            </w:pPr>
            <w:r>
              <w:rPr>
                <w:rFonts w:ascii="Calibri" w:hAnsi="Calibri"/>
                <w:sz w:val="17"/>
              </w:rPr>
              <w:t>Not for external release without approval</w:t>
            </w:r>
          </w:p>
        </w:tc>
      </w:tr>
      <w:tr>
        <w:tc>
          <w:tcPr>
            <w:tcW w:type="dxa" w:w="2608"/>
          </w:tcPr>
          <w:p>
            <w:pPr>
              <w:spacing w:after="40" w:before="40"/>
            </w:pPr>
            <w:r>
              <w:rPr>
                <w:rFonts w:ascii="Calibri" w:hAnsi="Calibri"/>
                <w:sz w:val="17"/>
              </w:rPr>
              <w:t>Related documents</w:t>
            </w:r>
          </w:p>
        </w:tc>
        <w:tc>
          <w:tcPr>
            <w:tcW w:type="dxa" w:w="6860"/>
          </w:tcPr>
          <w:p>
            <w:pPr>
              <w:spacing w:after="40" w:before="40"/>
            </w:pPr>
            <w:r>
              <w:rPr>
                <w:rFonts w:ascii="Calibri" w:hAnsi="Calibri"/>
                <w:sz w:val="17"/>
              </w:rPr>
              <w:t>See 00 — READ ME, University Partnership Programme</w:t>
            </w:r>
          </w:p>
        </w:tc>
      </w:tr>
      <w:tr>
        <w:tc>
          <w:tcPr>
            <w:tcW w:type="dxa" w:w="2608"/>
            <w:shd w:val="clear" w:color="auto" w:fill="EAF1F4"/>
          </w:tcPr>
          <w:p>
            <w:pPr>
              <w:spacing w:after="40" w:before="40"/>
            </w:pPr>
            <w:r>
              <w:rPr>
                <w:rFonts w:ascii="Calibri" w:hAnsi="Calibri"/>
                <w:sz w:val="17"/>
              </w:rPr>
              <w:t>Retention</w:t>
            </w:r>
          </w:p>
        </w:tc>
        <w:tc>
          <w:tcPr>
            <w:tcW w:type="dxa" w:w="6860"/>
            <w:shd w:val="clear" w:color="auto" w:fill="EAF1F4"/>
          </w:tcPr>
          <w:p>
            <w:pPr>
              <w:spacing w:after="40" w:before="40"/>
            </w:pPr>
            <w:r>
              <w:rPr>
                <w:rFonts w:ascii="Calibri" w:hAnsi="Calibri"/>
                <w:sz w:val="17"/>
              </w:rPr>
              <w:t>7 years from expiry of the related MOU, unless a longer statutory period applies</w:t>
            </w:r>
          </w:p>
        </w:tc>
      </w:tr>
      <w:tr>
        <w:tc>
          <w:tcPr>
            <w:tcW w:type="dxa" w:w="2608"/>
          </w:tcPr>
          <w:p>
            <w:pPr>
              <w:spacing w:after="40" w:before="40"/>
            </w:pPr>
            <w:r>
              <w:rPr>
                <w:rFonts w:ascii="Calibri" w:hAnsi="Calibri"/>
                <w:sz w:val="17"/>
              </w:rPr>
              <w:t>Review cycle</w:t>
            </w:r>
          </w:p>
        </w:tc>
        <w:tc>
          <w:tcPr>
            <w:tcW w:type="dxa" w:w="6860"/>
          </w:tcPr>
          <w:p>
            <w:pPr>
              <w:spacing w:after="40" w:before="40"/>
            </w:pPr>
            <w:r>
              <w:rPr>
                <w:rFonts w:ascii="Calibri" w:hAnsi="Calibri"/>
                <w:sz w:val="17"/>
              </w:rPr>
              <w:t>Annual, or on any change of law affecting the subject matter</w:t>
            </w:r>
          </w:p>
        </w:tc>
      </w:tr>
    </w:tbl>
    <w:p>
      <w:r>
        <w:br w:type="page"/>
      </w:r>
    </w:p>
    <w:p>
      <w:pPr>
        <w:spacing w:after="160"/>
        <w:pBdr>
          <w:bottom w:val="single" w:sz="10" w:space="4" w:color="0E7C7B"/>
        </w:pBdr>
      </w:pPr>
      <w:r>
        <w:rPr>
          <w:rFonts w:ascii="Calibri" w:hAnsi="Calibri"/>
          <w:b/>
          <w:color w:val="10375C"/>
          <w:sz w:val="31"/>
        </w:rPr>
        <w:t>Contents</w:t>
      </w:r>
    </w:p>
    <w:p>
      <w:r>
        <w:rPr>
          <w:i/>
          <w:color w:val="595959"/>
          <w:sz w:val="16"/>
        </w:rPr>
        <w:t>This table of contents is a live field. Open in Word, select all (Ctrl+A) and press F9 to populate or refresh it.</w:t>
      </w:r>
    </w:p>
    <w:p>
      <w:r>
        <w:fldChar w:fldCharType="begin"/>
      </w:r>
      <w:r>
        <w:instrText xml:space="preserve"> TOC \o "1-3" \h \z \u </w:instrText>
      </w:r>
      <w:r>
        <w:fldChar w:fldCharType="separate"/>
      </w:r>
      <w:r>
        <w:t>…</w:t>
      </w:r>
      <w:r>
        <w:fldChar w:fldCharType="end"/>
      </w:r>
    </w:p>
    <w:p>
      <w:r>
        <w:br w:type="page"/>
      </w:r>
    </w:p>
    <w:p>
      <w:pPr>
        <w:pStyle w:val="Heading1"/>
        <w:pBdr>
          <w:bottom w:val="single" w:sz="8" w:space="4" w:color="C9D6DE"/>
        </w:pBdr>
      </w:pPr>
      <w:r>
        <w:t>1. Principles</w:t>
      </w:r>
    </w:p>
    <w:p>
      <w:pPr>
        <w:pStyle w:val="ListNumber"/>
      </w:pPr>
      <w:r>
        <w:rPr>
          <w:b/>
          <w:sz w:val="21"/>
        </w:rPr>
        <w:t>Supervision capacity, not demand, sets the number of interns.</w:t>
      </w:r>
      <w:r>
        <w:rPr>
          <w:sz w:val="21"/>
        </w:rPr>
        <w:t xml:space="preserve"> An intern without a supervisor is a liability, not a resource.</w:t>
      </w:r>
    </w:p>
    <w:p>
      <w:pPr>
        <w:pStyle w:val="ListNumber"/>
      </w:pPr>
      <w:r>
        <w:rPr>
          <w:b/>
          <w:sz w:val="21"/>
        </w:rPr>
        <w:t>Every intern does work of genuine educational value.</w:t>
      </w:r>
      <w:r>
        <w:rPr>
          <w:sz w:val="21"/>
        </w:rPr>
        <w:t xml:space="preserve"> Photocopying is not an internship, and an internship that is really unpaid labour is both wrong and a legal exposure.</w:t>
      </w:r>
    </w:p>
    <w:p>
      <w:pPr>
        <w:pStyle w:val="ListNumber"/>
      </w:pPr>
      <w:r>
        <w:rPr>
          <w:b/>
          <w:sz w:val="21"/>
        </w:rPr>
        <w:t>Confidentiality is absolute and is explained twice</w:t>
      </w:r>
      <w:r>
        <w:rPr>
          <w:sz w:val="21"/>
        </w:rPr>
        <w:t xml:space="preserve"> — at offer and at induction — and is signed for separately before any live exposure.</w:t>
      </w:r>
    </w:p>
    <w:p>
      <w:pPr>
        <w:pStyle w:val="ListNumber"/>
      </w:pPr>
      <w:r>
        <w:rPr>
          <w:b/>
          <w:sz w:val="21"/>
        </w:rPr>
        <w:t>Nobody is promised a job.</w:t>
      </w:r>
      <w:r>
        <w:rPr>
          <w:sz w:val="21"/>
        </w:rPr>
        <w:t xml:space="preserve"> Ever, by anyone, in any form.</w:t>
      </w:r>
    </w:p>
    <w:p>
      <w:pPr>
        <w:spacing w:before="80" w:after="160"/>
        <w:pBdr>
          <w:bottom w:val="single" w:sz="6" w:space="1" w:color="C9D6DE"/>
        </w:pBdr>
      </w:pPr>
    </w:p>
    <w:p>
      <w:pPr>
        <w:pStyle w:val="Heading1"/>
        <w:pBdr>
          <w:bottom w:val="single" w:sz="8" w:space="4" w:color="C9D6DE"/>
        </w:pBdr>
      </w:pPr>
      <w:r>
        <w:t>2. The ladder</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578"/>
        <w:gridCol w:w="1578"/>
        <w:gridCol w:w="1578"/>
        <w:gridCol w:w="1578"/>
        <w:gridCol w:w="1578"/>
        <w:gridCol w:w="1578"/>
      </w:tblGrid>
      <w:tr>
        <w:trPr>
          <w:tblHeader w:val="true"/>
        </w:trPr>
        <w:tc>
          <w:tcPr>
            <w:tcW w:type="dxa" w:w="850"/>
            <w:shd w:val="clear" w:color="auto" w:fill="10375C"/>
          </w:tcPr>
          <w:p>
            <w:pPr>
              <w:spacing w:after="50" w:before="50"/>
            </w:pPr>
            <w:r>
              <w:rPr>
                <w:b/>
                <w:color w:val="FFFFFF"/>
                <w:sz w:val="17"/>
              </w:rPr>
              <w:t>Level</w:t>
            </w:r>
          </w:p>
        </w:tc>
        <w:tc>
          <w:tcPr>
            <w:tcW w:type="dxa" w:w="1464"/>
            <w:shd w:val="clear" w:color="auto" w:fill="10375C"/>
          </w:tcPr>
          <w:p>
            <w:pPr>
              <w:spacing w:after="50" w:before="50"/>
            </w:pPr>
            <w:r>
              <w:rPr>
                <w:b/>
                <w:color w:val="FFFFFF"/>
                <w:sz w:val="17"/>
              </w:rPr>
              <w:t>Title</w:t>
            </w:r>
          </w:p>
        </w:tc>
        <w:tc>
          <w:tcPr>
            <w:tcW w:type="dxa" w:w="1075"/>
            <w:shd w:val="clear" w:color="auto" w:fill="10375C"/>
          </w:tcPr>
          <w:p>
            <w:pPr>
              <w:spacing w:after="50" w:before="50"/>
            </w:pPr>
            <w:r>
              <w:rPr>
                <w:b/>
                <w:color w:val="FFFFFF"/>
                <w:sz w:val="17"/>
              </w:rPr>
              <w:t>Duration</w:t>
            </w:r>
          </w:p>
        </w:tc>
        <w:tc>
          <w:tcPr>
            <w:tcW w:type="dxa" w:w="2826"/>
            <w:shd w:val="clear" w:color="auto" w:fill="10375C"/>
          </w:tcPr>
          <w:p>
            <w:pPr>
              <w:spacing w:after="50" w:before="50"/>
            </w:pPr>
            <w:r>
              <w:rPr>
                <w:b/>
                <w:color w:val="FFFFFF"/>
                <w:sz w:val="17"/>
              </w:rPr>
              <w:t>Eligibility</w:t>
            </w:r>
          </w:p>
        </w:tc>
        <w:tc>
          <w:tcPr>
            <w:tcW w:type="dxa" w:w="994"/>
            <w:shd w:val="clear" w:color="auto" w:fill="10375C"/>
          </w:tcPr>
          <w:p>
            <w:pPr>
              <w:spacing w:after="50" w:before="50"/>
            </w:pPr>
            <w:r>
              <w:rPr>
                <w:b/>
                <w:color w:val="FFFFFF"/>
                <w:sz w:val="17"/>
              </w:rPr>
              <w:t>Supervision ratio</w:t>
            </w:r>
          </w:p>
        </w:tc>
        <w:tc>
          <w:tcPr>
            <w:tcW w:type="dxa" w:w="2602"/>
            <w:shd w:val="clear" w:color="auto" w:fill="10375C"/>
          </w:tcPr>
          <w:p>
            <w:pPr>
              <w:spacing w:after="50" w:before="50"/>
            </w:pPr>
            <w:r>
              <w:rPr>
                <w:b/>
                <w:color w:val="FFFFFF"/>
                <w:sz w:val="17"/>
              </w:rPr>
              <w:t>Live exposure</w:t>
            </w:r>
          </w:p>
        </w:tc>
      </w:tr>
      <w:tr>
        <w:tc>
          <w:tcPr>
            <w:tcW w:type="dxa" w:w="850"/>
          </w:tcPr>
          <w:p>
            <w:pPr>
              <w:spacing w:after="50" w:before="50" w:line="252" w:lineRule="auto"/>
            </w:pPr>
            <w:r>
              <w:rPr>
                <w:sz w:val="17"/>
              </w:rPr>
              <w:t>I</w:t>
            </w:r>
          </w:p>
        </w:tc>
        <w:tc>
          <w:tcPr>
            <w:tcW w:type="dxa" w:w="1464"/>
          </w:tcPr>
          <w:p>
            <w:pPr>
              <w:spacing w:after="50" w:before="50" w:line="252" w:lineRule="auto"/>
            </w:pPr>
            <w:r>
              <w:rPr>
                <w:sz w:val="17"/>
              </w:rPr>
              <w:t>Observership</w:t>
            </w:r>
          </w:p>
        </w:tc>
        <w:tc>
          <w:tcPr>
            <w:tcW w:type="dxa" w:w="1075"/>
          </w:tcPr>
          <w:p>
            <w:pPr>
              <w:spacing w:after="50" w:before="50" w:line="252" w:lineRule="auto"/>
            </w:pPr>
            <w:r>
              <w:rPr>
                <w:sz w:val="17"/>
              </w:rPr>
              <w:t>2–4 weeks</w:t>
            </w:r>
          </w:p>
        </w:tc>
        <w:tc>
          <w:tcPr>
            <w:tcW w:type="dxa" w:w="2826"/>
          </w:tcPr>
          <w:p>
            <w:pPr>
              <w:spacing w:after="50" w:before="50" w:line="252" w:lineRule="auto"/>
            </w:pPr>
            <w:r>
              <w:rPr>
                <w:sz w:val="17"/>
              </w:rPr>
              <w:t>Any enrolled student</w:t>
            </w:r>
          </w:p>
        </w:tc>
        <w:tc>
          <w:tcPr>
            <w:tcW w:type="dxa" w:w="994"/>
          </w:tcPr>
          <w:p>
            <w:pPr>
              <w:spacing w:after="50" w:before="50" w:line="252" w:lineRule="auto"/>
            </w:pPr>
            <w:r>
              <w:rPr>
                <w:sz w:val="17"/>
              </w:rPr>
              <w:t>1:6</w:t>
            </w:r>
          </w:p>
        </w:tc>
        <w:tc>
          <w:tcPr>
            <w:tcW w:type="dxa" w:w="2602"/>
          </w:tcPr>
          <w:p>
            <w:pPr>
              <w:spacing w:after="50" w:before="50" w:line="252" w:lineRule="auto"/>
            </w:pPr>
            <w:r>
              <w:rPr>
                <w:sz w:val="17"/>
              </w:rPr>
              <w:t>None</w:t>
            </w:r>
          </w:p>
        </w:tc>
      </w:tr>
      <w:tr>
        <w:tc>
          <w:tcPr>
            <w:tcW w:type="dxa" w:w="850"/>
            <w:shd w:val="clear" w:color="auto" w:fill="EAF1F4"/>
          </w:tcPr>
          <w:p>
            <w:pPr>
              <w:spacing w:after="50" w:before="50" w:line="252" w:lineRule="auto"/>
            </w:pPr>
            <w:r>
              <w:rPr>
                <w:sz w:val="17"/>
              </w:rPr>
              <w:t>II</w:t>
            </w:r>
          </w:p>
        </w:tc>
        <w:tc>
          <w:tcPr>
            <w:tcW w:type="dxa" w:w="1464"/>
            <w:shd w:val="clear" w:color="auto" w:fill="EAF1F4"/>
          </w:tcPr>
          <w:p>
            <w:pPr>
              <w:spacing w:after="50" w:before="50" w:line="252" w:lineRule="auto"/>
            </w:pPr>
            <w:r>
              <w:rPr>
                <w:sz w:val="17"/>
              </w:rPr>
              <w:t>Case Support</w:t>
            </w:r>
          </w:p>
        </w:tc>
        <w:tc>
          <w:tcPr>
            <w:tcW w:type="dxa" w:w="1075"/>
            <w:shd w:val="clear" w:color="auto" w:fill="EAF1F4"/>
          </w:tcPr>
          <w:p>
            <w:pPr>
              <w:spacing w:after="50" w:before="50" w:line="252" w:lineRule="auto"/>
            </w:pPr>
            <w:r>
              <w:rPr>
                <w:sz w:val="17"/>
              </w:rPr>
              <w:t>4–8 weeks</w:t>
            </w:r>
          </w:p>
        </w:tc>
        <w:tc>
          <w:tcPr>
            <w:tcW w:type="dxa" w:w="2826"/>
            <w:shd w:val="clear" w:color="auto" w:fill="EAF1F4"/>
          </w:tcPr>
          <w:p>
            <w:pPr>
              <w:spacing w:after="50" w:before="50" w:line="252" w:lineRule="auto"/>
            </w:pPr>
            <w:r>
              <w:rPr>
                <w:sz w:val="17"/>
              </w:rPr>
              <w:t>Level I or 40-hour certificate</w:t>
            </w:r>
          </w:p>
        </w:tc>
        <w:tc>
          <w:tcPr>
            <w:tcW w:type="dxa" w:w="994"/>
            <w:shd w:val="clear" w:color="auto" w:fill="EAF1F4"/>
          </w:tcPr>
          <w:p>
            <w:pPr>
              <w:spacing w:after="50" w:before="50" w:line="252" w:lineRule="auto"/>
            </w:pPr>
            <w:r>
              <w:rPr>
                <w:sz w:val="17"/>
              </w:rPr>
              <w:t>1:4</w:t>
            </w:r>
          </w:p>
        </w:tc>
        <w:tc>
          <w:tcPr>
            <w:tcW w:type="dxa" w:w="2602"/>
            <w:shd w:val="clear" w:color="auto" w:fill="EAF1F4"/>
          </w:tcPr>
          <w:p>
            <w:pPr>
              <w:spacing w:after="50" w:before="50" w:line="252" w:lineRule="auto"/>
            </w:pPr>
            <w:r>
              <w:rPr>
                <w:sz w:val="17"/>
              </w:rPr>
              <w:t>Documents only, anonymised</w:t>
            </w:r>
          </w:p>
        </w:tc>
      </w:tr>
      <w:tr>
        <w:tc>
          <w:tcPr>
            <w:tcW w:type="dxa" w:w="850"/>
          </w:tcPr>
          <w:p>
            <w:pPr>
              <w:spacing w:after="50" w:before="50" w:line="252" w:lineRule="auto"/>
            </w:pPr>
            <w:r>
              <w:rPr>
                <w:sz w:val="17"/>
              </w:rPr>
              <w:t>III</w:t>
            </w:r>
          </w:p>
        </w:tc>
        <w:tc>
          <w:tcPr>
            <w:tcW w:type="dxa" w:w="1464"/>
          </w:tcPr>
          <w:p>
            <w:pPr>
              <w:spacing w:after="50" w:before="50" w:line="252" w:lineRule="auto"/>
            </w:pPr>
            <w:r>
              <w:rPr>
                <w:sz w:val="17"/>
              </w:rPr>
              <w:t>Advanced Placement</w:t>
            </w:r>
          </w:p>
        </w:tc>
        <w:tc>
          <w:tcPr>
            <w:tcW w:type="dxa" w:w="1075"/>
          </w:tcPr>
          <w:p>
            <w:pPr>
              <w:spacing w:after="50" w:before="50" w:line="252" w:lineRule="auto"/>
            </w:pPr>
            <w:r>
              <w:rPr>
                <w:sz w:val="17"/>
              </w:rPr>
              <w:t>8–12 weeks</w:t>
            </w:r>
          </w:p>
        </w:tc>
        <w:tc>
          <w:tcPr>
            <w:tcW w:type="dxa" w:w="2826"/>
          </w:tcPr>
          <w:p>
            <w:pPr>
              <w:spacing w:after="50" w:before="50" w:line="252" w:lineRule="auto"/>
            </w:pPr>
            <w:r>
              <w:rPr>
                <w:sz w:val="17"/>
              </w:rPr>
              <w:t>Level II and 40-hour certificate</w:t>
            </w:r>
          </w:p>
        </w:tc>
        <w:tc>
          <w:tcPr>
            <w:tcW w:type="dxa" w:w="994"/>
          </w:tcPr>
          <w:p>
            <w:pPr>
              <w:spacing w:after="50" w:before="50" w:line="252" w:lineRule="auto"/>
            </w:pPr>
            <w:r>
              <w:rPr>
                <w:sz w:val="17"/>
              </w:rPr>
              <w:t>1:3</w:t>
            </w:r>
          </w:p>
        </w:tc>
        <w:tc>
          <w:tcPr>
            <w:tcW w:type="dxa" w:w="2602"/>
          </w:tcPr>
          <w:p>
            <w:pPr>
              <w:spacing w:after="50" w:before="50" w:line="252" w:lineRule="auto"/>
            </w:pPr>
            <w:r>
              <w:rPr>
                <w:sz w:val="17"/>
              </w:rPr>
              <w:t>Session observation, with consent</w:t>
            </w:r>
          </w:p>
        </w:tc>
      </w:tr>
      <w:tr>
        <w:tc>
          <w:tcPr>
            <w:tcW w:type="dxa" w:w="850"/>
            <w:shd w:val="clear" w:color="auto" w:fill="EAF1F4"/>
          </w:tcPr>
          <w:p>
            <w:pPr>
              <w:spacing w:after="50" w:before="50" w:line="252" w:lineRule="auto"/>
            </w:pPr>
            <w:r>
              <w:rPr>
                <w:sz w:val="17"/>
              </w:rPr>
              <w:t>IV</w:t>
            </w:r>
          </w:p>
        </w:tc>
        <w:tc>
          <w:tcPr>
            <w:tcW w:type="dxa" w:w="1464"/>
            <w:shd w:val="clear" w:color="auto" w:fill="EAF1F4"/>
          </w:tcPr>
          <w:p>
            <w:pPr>
              <w:spacing w:after="50" w:before="50" w:line="252" w:lineRule="auto"/>
            </w:pPr>
            <w:r>
              <w:rPr>
                <w:sz w:val="17"/>
              </w:rPr>
              <w:t>Research</w:t>
            </w:r>
          </w:p>
        </w:tc>
        <w:tc>
          <w:tcPr>
            <w:tcW w:type="dxa" w:w="1075"/>
            <w:shd w:val="clear" w:color="auto" w:fill="EAF1F4"/>
          </w:tcPr>
          <w:p>
            <w:pPr>
              <w:spacing w:after="50" w:before="50" w:line="252" w:lineRule="auto"/>
            </w:pPr>
            <w:r>
              <w:rPr>
                <w:sz w:val="17"/>
              </w:rPr>
              <w:t>4–12 weeks</w:t>
            </w:r>
          </w:p>
        </w:tc>
        <w:tc>
          <w:tcPr>
            <w:tcW w:type="dxa" w:w="2826"/>
            <w:shd w:val="clear" w:color="auto" w:fill="EAF1F4"/>
          </w:tcPr>
          <w:p>
            <w:pPr>
              <w:spacing w:after="50" w:before="50" w:line="252" w:lineRule="auto"/>
            </w:pPr>
            <w:r>
              <w:rPr>
                <w:sz w:val="17"/>
              </w:rPr>
              <w:t>Faculty nomination</w:t>
            </w:r>
          </w:p>
        </w:tc>
        <w:tc>
          <w:tcPr>
            <w:tcW w:type="dxa" w:w="994"/>
            <w:shd w:val="clear" w:color="auto" w:fill="EAF1F4"/>
          </w:tcPr>
          <w:p>
            <w:pPr>
              <w:spacing w:after="50" w:before="50" w:line="252" w:lineRule="auto"/>
            </w:pPr>
            <w:r>
              <w:rPr>
                <w:sz w:val="17"/>
              </w:rPr>
              <w:t>1:4</w:t>
            </w:r>
          </w:p>
        </w:tc>
        <w:tc>
          <w:tcPr>
            <w:tcW w:type="dxa" w:w="2602"/>
            <w:shd w:val="clear" w:color="auto" w:fill="EAF1F4"/>
          </w:tcPr>
          <w:p>
            <w:pPr>
              <w:spacing w:after="50" w:before="50" w:line="252" w:lineRule="auto"/>
            </w:pPr>
            <w:r>
              <w:rPr>
                <w:sz w:val="17"/>
              </w:rPr>
              <w:t>Anonymised data only</w:t>
            </w:r>
          </w:p>
        </w:tc>
      </w:tr>
    </w:tbl>
    <w:p>
      <w:pPr>
        <w:spacing w:after="80" w:before="0"/>
      </w:pPr>
    </w:p>
    <w:p>
      <w:pPr>
        <w:spacing w:before="80" w:after="160"/>
        <w:pBdr>
          <w:bottom w:val="single" w:sz="6" w:space="1" w:color="C9D6DE"/>
        </w:pBdr>
      </w:pPr>
    </w:p>
    <w:p>
      <w:pPr>
        <w:pStyle w:val="Heading1"/>
        <w:pBdr>
          <w:bottom w:val="single" w:sz="8" w:space="4" w:color="C9D6DE"/>
        </w:pBdr>
      </w:pPr>
      <w:r>
        <w:t>3. Intake cycle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850"/>
            <w:shd w:val="clear" w:color="auto" w:fill="10375C"/>
          </w:tcPr>
          <w:p>
            <w:pPr>
              <w:spacing w:after="50" w:before="50"/>
            </w:pPr>
            <w:r>
              <w:rPr>
                <w:b/>
                <w:color w:val="FFFFFF"/>
                <w:sz w:val="17"/>
              </w:rPr>
              <w:t>Week</w:t>
            </w:r>
          </w:p>
        </w:tc>
        <w:tc>
          <w:tcPr>
            <w:tcW w:type="dxa" w:w="6583"/>
            <w:shd w:val="clear" w:color="auto" w:fill="10375C"/>
          </w:tcPr>
          <w:p>
            <w:pPr>
              <w:spacing w:after="50" w:before="50"/>
            </w:pPr>
            <w:r>
              <w:rPr>
                <w:b/>
                <w:color w:val="FFFFFF"/>
                <w:sz w:val="17"/>
              </w:rPr>
              <w:t>Step</w:t>
            </w:r>
          </w:p>
        </w:tc>
        <w:tc>
          <w:tcPr>
            <w:tcW w:type="dxa" w:w="2226"/>
            <w:shd w:val="clear" w:color="auto" w:fill="10375C"/>
          </w:tcPr>
          <w:p>
            <w:pPr>
              <w:spacing w:after="50" w:before="50"/>
            </w:pPr>
            <w:r>
              <w:rPr>
                <w:b/>
                <w:color w:val="FFFFFF"/>
                <w:sz w:val="17"/>
              </w:rPr>
              <w:t>Owner</w:t>
            </w:r>
          </w:p>
        </w:tc>
      </w:tr>
      <w:tr>
        <w:tc>
          <w:tcPr>
            <w:tcW w:type="dxa" w:w="850"/>
          </w:tcPr>
          <w:p>
            <w:pPr>
              <w:spacing w:after="50" w:before="50" w:line="252" w:lineRule="auto"/>
            </w:pPr>
            <w:r>
              <w:rPr>
                <w:sz w:val="17"/>
              </w:rPr>
              <w:t>−8</w:t>
            </w:r>
          </w:p>
        </w:tc>
        <w:tc>
          <w:tcPr>
            <w:tcW w:type="dxa" w:w="6583"/>
          </w:tcPr>
          <w:p>
            <w:pPr>
              <w:spacing w:after="50" w:before="50" w:line="252" w:lineRule="auto"/>
            </w:pPr>
            <w:r>
              <w:rPr>
                <w:sz w:val="17"/>
              </w:rPr>
              <w:t>Cohort size fixed against supervision capacity; levels and dates set</w:t>
            </w:r>
          </w:p>
        </w:tc>
        <w:tc>
          <w:tcPr>
            <w:tcW w:type="dxa" w:w="2226"/>
          </w:tcPr>
          <w:p>
            <w:pPr>
              <w:spacing w:after="50" w:before="50" w:line="252" w:lineRule="auto"/>
            </w:pPr>
            <w:r>
              <w:rPr>
                <w:sz w:val="17"/>
              </w:rPr>
              <w:t>Coordinator</w:t>
            </w:r>
          </w:p>
        </w:tc>
      </w:tr>
      <w:tr>
        <w:tc>
          <w:tcPr>
            <w:tcW w:type="dxa" w:w="850"/>
            <w:shd w:val="clear" w:color="auto" w:fill="EAF1F4"/>
          </w:tcPr>
          <w:p>
            <w:pPr>
              <w:spacing w:after="50" w:before="50" w:line="252" w:lineRule="auto"/>
            </w:pPr>
            <w:r>
              <w:rPr>
                <w:sz w:val="17"/>
              </w:rPr>
              <w:t>−7</w:t>
            </w:r>
          </w:p>
        </w:tc>
        <w:tc>
          <w:tcPr>
            <w:tcW w:type="dxa" w:w="6583"/>
            <w:shd w:val="clear" w:color="auto" w:fill="EAF1F4"/>
          </w:tcPr>
          <w:p>
            <w:pPr>
              <w:spacing w:after="50" w:before="50" w:line="252" w:lineRule="auto"/>
            </w:pPr>
            <w:r>
              <w:rPr>
                <w:sz w:val="17"/>
              </w:rPr>
              <w:t>Positions published to partner institutions; Schedule A allocations honoured</w:t>
            </w:r>
          </w:p>
        </w:tc>
        <w:tc>
          <w:tcPr>
            <w:tcW w:type="dxa" w:w="2226"/>
            <w:shd w:val="clear" w:color="auto" w:fill="EAF1F4"/>
          </w:tcPr>
          <w:p>
            <w:pPr>
              <w:spacing w:after="50" w:before="50" w:line="252" w:lineRule="auto"/>
            </w:pPr>
            <w:r>
              <w:rPr>
                <w:sz w:val="17"/>
              </w:rPr>
              <w:t>Coordinator</w:t>
            </w:r>
          </w:p>
        </w:tc>
      </w:tr>
      <w:tr>
        <w:tc>
          <w:tcPr>
            <w:tcW w:type="dxa" w:w="850"/>
          </w:tcPr>
          <w:p>
            <w:pPr>
              <w:spacing w:after="50" w:before="50" w:line="252" w:lineRule="auto"/>
            </w:pPr>
            <w:r>
              <w:rPr>
                <w:sz w:val="17"/>
              </w:rPr>
              <w:t>−6</w:t>
            </w:r>
          </w:p>
        </w:tc>
        <w:tc>
          <w:tcPr>
            <w:tcW w:type="dxa" w:w="6583"/>
          </w:tcPr>
          <w:p>
            <w:pPr>
              <w:spacing w:after="50" w:before="50" w:line="252" w:lineRule="auto"/>
            </w:pPr>
            <w:r>
              <w:rPr>
                <w:sz w:val="17"/>
              </w:rPr>
              <w:t>Applications open — CV, transcript, 300-word statement, institution endorsement where credit is sought</w:t>
            </w:r>
          </w:p>
        </w:tc>
        <w:tc>
          <w:tcPr>
            <w:tcW w:type="dxa" w:w="2226"/>
          </w:tcPr>
          <w:p>
            <w:pPr>
              <w:spacing w:after="50" w:before="50" w:line="252" w:lineRule="auto"/>
            </w:pPr>
            <w:r>
              <w:rPr>
                <w:sz w:val="17"/>
              </w:rPr>
              <w:t>Coordinator</w:t>
            </w:r>
          </w:p>
        </w:tc>
      </w:tr>
      <w:tr>
        <w:tc>
          <w:tcPr>
            <w:tcW w:type="dxa" w:w="850"/>
            <w:shd w:val="clear" w:color="auto" w:fill="EAF1F4"/>
          </w:tcPr>
          <w:p>
            <w:pPr>
              <w:spacing w:after="50" w:before="50" w:line="252" w:lineRule="auto"/>
            </w:pPr>
            <w:r>
              <w:rPr>
                <w:sz w:val="17"/>
              </w:rPr>
              <w:t>−4</w:t>
            </w:r>
          </w:p>
        </w:tc>
        <w:tc>
          <w:tcPr>
            <w:tcW w:type="dxa" w:w="6583"/>
            <w:shd w:val="clear" w:color="auto" w:fill="EAF1F4"/>
          </w:tcPr>
          <w:p>
            <w:pPr>
              <w:spacing w:after="50" w:before="50" w:line="252" w:lineRule="auto"/>
            </w:pPr>
            <w:r>
              <w:rPr>
                <w:sz w:val="17"/>
              </w:rPr>
              <w:t>Applications close; eligibility screened</w:t>
            </w:r>
          </w:p>
        </w:tc>
        <w:tc>
          <w:tcPr>
            <w:tcW w:type="dxa" w:w="2226"/>
            <w:shd w:val="clear" w:color="auto" w:fill="EAF1F4"/>
          </w:tcPr>
          <w:p>
            <w:pPr>
              <w:spacing w:after="50" w:before="50" w:line="252" w:lineRule="auto"/>
            </w:pPr>
            <w:r>
              <w:rPr>
                <w:sz w:val="17"/>
              </w:rPr>
              <w:t>Coordinator</w:t>
            </w:r>
          </w:p>
        </w:tc>
      </w:tr>
      <w:tr>
        <w:tc>
          <w:tcPr>
            <w:tcW w:type="dxa" w:w="850"/>
          </w:tcPr>
          <w:p>
            <w:pPr>
              <w:spacing w:after="50" w:before="50" w:line="252" w:lineRule="auto"/>
            </w:pPr>
            <w:r>
              <w:rPr>
                <w:sz w:val="17"/>
              </w:rPr>
              <w:t>−3</w:t>
            </w:r>
          </w:p>
        </w:tc>
        <w:tc>
          <w:tcPr>
            <w:tcW w:type="dxa" w:w="6583"/>
          </w:tcPr>
          <w:p>
            <w:pPr>
              <w:spacing w:after="50" w:before="50" w:line="252" w:lineRule="auto"/>
            </w:pPr>
            <w:r>
              <w:rPr>
                <w:sz w:val="17"/>
              </w:rPr>
              <w:t>Shortlisting against the published criteria; two-person review</w:t>
            </w:r>
          </w:p>
        </w:tc>
        <w:tc>
          <w:tcPr>
            <w:tcW w:type="dxa" w:w="2226"/>
          </w:tcPr>
          <w:p>
            <w:pPr>
              <w:spacing w:after="50" w:before="50" w:line="252" w:lineRule="auto"/>
            </w:pPr>
            <w:r>
              <w:rPr>
                <w:sz w:val="17"/>
              </w:rPr>
              <w:t>Coordinator + Operations</w:t>
            </w:r>
          </w:p>
        </w:tc>
      </w:tr>
      <w:tr>
        <w:tc>
          <w:tcPr>
            <w:tcW w:type="dxa" w:w="850"/>
            <w:shd w:val="clear" w:color="auto" w:fill="EAF1F4"/>
          </w:tcPr>
          <w:p>
            <w:pPr>
              <w:spacing w:after="50" w:before="50" w:line="252" w:lineRule="auto"/>
            </w:pPr>
            <w:r>
              <w:rPr>
                <w:sz w:val="17"/>
              </w:rPr>
              <w:t>−2</w:t>
            </w:r>
          </w:p>
        </w:tc>
        <w:tc>
          <w:tcPr>
            <w:tcW w:type="dxa" w:w="6583"/>
            <w:shd w:val="clear" w:color="auto" w:fill="EAF1F4"/>
          </w:tcPr>
          <w:p>
            <w:pPr>
              <w:spacing w:after="50" w:before="50" w:line="252" w:lineRule="auto"/>
            </w:pPr>
            <w:r>
              <w:rPr>
                <w:sz w:val="17"/>
              </w:rPr>
              <w:t>Interviews, 20 minutes, structured, scored</w:t>
            </w:r>
          </w:p>
        </w:tc>
        <w:tc>
          <w:tcPr>
            <w:tcW w:type="dxa" w:w="2226"/>
            <w:shd w:val="clear" w:color="auto" w:fill="EAF1F4"/>
          </w:tcPr>
          <w:p>
            <w:pPr>
              <w:spacing w:after="50" w:before="50" w:line="252" w:lineRule="auto"/>
            </w:pPr>
            <w:r>
              <w:rPr>
                <w:sz w:val="17"/>
              </w:rPr>
              <w:t>Panel of two</w:t>
            </w:r>
          </w:p>
        </w:tc>
      </w:tr>
      <w:tr>
        <w:tc>
          <w:tcPr>
            <w:tcW w:type="dxa" w:w="850"/>
          </w:tcPr>
          <w:p>
            <w:pPr>
              <w:spacing w:after="50" w:before="50" w:line="252" w:lineRule="auto"/>
            </w:pPr>
            <w:r>
              <w:rPr>
                <w:sz w:val="17"/>
              </w:rPr>
              <w:t>−1</w:t>
            </w:r>
          </w:p>
        </w:tc>
        <w:tc>
          <w:tcPr>
            <w:tcW w:type="dxa" w:w="6583"/>
          </w:tcPr>
          <w:p>
            <w:pPr>
              <w:spacing w:after="50" w:before="50" w:line="252" w:lineRule="auto"/>
            </w:pPr>
            <w:r>
              <w:rPr>
                <w:sz w:val="17"/>
              </w:rPr>
              <w:t>Offers issued (L-13); agreements and undertakings executed; guardian consent where under eighteen</w:t>
            </w:r>
          </w:p>
        </w:tc>
        <w:tc>
          <w:tcPr>
            <w:tcW w:type="dxa" w:w="2226"/>
          </w:tcPr>
          <w:p>
            <w:pPr>
              <w:spacing w:after="50" w:before="50" w:line="252" w:lineRule="auto"/>
            </w:pPr>
            <w:r>
              <w:rPr>
                <w:sz w:val="17"/>
              </w:rPr>
              <w:t>Coordinator</w:t>
            </w:r>
          </w:p>
        </w:tc>
      </w:tr>
      <w:tr>
        <w:tc>
          <w:tcPr>
            <w:tcW w:type="dxa" w:w="850"/>
            <w:shd w:val="clear" w:color="auto" w:fill="EAF1F4"/>
          </w:tcPr>
          <w:p>
            <w:pPr>
              <w:spacing w:after="50" w:before="50" w:line="252" w:lineRule="auto"/>
            </w:pPr>
            <w:r>
              <w:rPr>
                <w:sz w:val="17"/>
              </w:rPr>
              <w:t>0</w:t>
            </w:r>
          </w:p>
        </w:tc>
        <w:tc>
          <w:tcPr>
            <w:tcW w:type="dxa" w:w="6583"/>
            <w:shd w:val="clear" w:color="auto" w:fill="EAF1F4"/>
          </w:tcPr>
          <w:p>
            <w:pPr>
              <w:spacing w:after="50" w:before="50" w:line="252" w:lineRule="auto"/>
            </w:pPr>
            <w:r>
              <w:rPr>
                <w:sz w:val="17"/>
              </w:rPr>
              <w:t>Induction</w:t>
            </w:r>
          </w:p>
        </w:tc>
        <w:tc>
          <w:tcPr>
            <w:tcW w:type="dxa" w:w="2226"/>
            <w:shd w:val="clear" w:color="auto" w:fill="EAF1F4"/>
          </w:tcPr>
          <w:p>
            <w:pPr>
              <w:spacing w:after="50" w:before="50" w:line="252" w:lineRule="auto"/>
            </w:pPr>
            <w:r>
              <w:rPr>
                <w:sz w:val="17"/>
              </w:rPr>
              <w:t>Coordinator</w:t>
            </w:r>
          </w:p>
        </w:tc>
      </w:tr>
    </w:tbl>
    <w:p>
      <w:pPr>
        <w:spacing w:after="80" w:before="0"/>
      </w:pPr>
    </w:p>
    <w:p>
      <w:pPr>
        <w:pStyle w:val="Heading2"/>
      </w:pPr>
      <w:r>
        <w:t>3.1 Selection criteria</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6462"/>
            <w:shd w:val="clear" w:color="auto" w:fill="10375C"/>
          </w:tcPr>
          <w:p>
            <w:pPr>
              <w:spacing w:after="50" w:before="50"/>
            </w:pPr>
            <w:r>
              <w:rPr>
                <w:b/>
                <w:color w:val="FFFFFF"/>
                <w:sz w:val="17"/>
              </w:rPr>
              <w:t>Criterion</w:t>
            </w:r>
          </w:p>
        </w:tc>
        <w:tc>
          <w:tcPr>
            <w:tcW w:type="dxa" w:w="850"/>
            <w:shd w:val="clear" w:color="auto" w:fill="10375C"/>
          </w:tcPr>
          <w:p>
            <w:pPr>
              <w:spacing w:after="50" w:before="50"/>
            </w:pPr>
            <w:r>
              <w:rPr>
                <w:b/>
                <w:color w:val="FFFFFF"/>
                <w:sz w:val="17"/>
              </w:rPr>
              <w:t>Weight</w:t>
            </w:r>
          </w:p>
        </w:tc>
        <w:tc>
          <w:tcPr>
            <w:tcW w:type="dxa" w:w="2261"/>
            <w:shd w:val="clear" w:color="auto" w:fill="10375C"/>
          </w:tcPr>
          <w:p>
            <w:pPr>
              <w:spacing w:after="50" w:before="50"/>
            </w:pPr>
            <w:r>
              <w:rPr>
                <w:b/>
                <w:color w:val="FFFFFF"/>
                <w:sz w:val="17"/>
              </w:rPr>
              <w:t>Evidence</w:t>
            </w:r>
          </w:p>
        </w:tc>
      </w:tr>
      <w:tr>
        <w:tc>
          <w:tcPr>
            <w:tcW w:type="dxa" w:w="6462"/>
          </w:tcPr>
          <w:p>
            <w:pPr>
              <w:spacing w:after="50" w:before="50" w:line="252" w:lineRule="auto"/>
            </w:pPr>
            <w:r>
              <w:rPr>
                <w:sz w:val="17"/>
              </w:rPr>
              <w:t>Motivation and understanding of what the work involves</w:t>
            </w:r>
          </w:p>
        </w:tc>
        <w:tc>
          <w:tcPr>
            <w:tcW w:type="dxa" w:w="850"/>
          </w:tcPr>
          <w:p>
            <w:pPr>
              <w:spacing w:after="50" w:before="50" w:line="252" w:lineRule="auto"/>
            </w:pPr>
            <w:r>
              <w:rPr>
                <w:sz w:val="17"/>
              </w:rPr>
              <w:t>25%</w:t>
            </w:r>
          </w:p>
        </w:tc>
        <w:tc>
          <w:tcPr>
            <w:tcW w:type="dxa" w:w="2261"/>
          </w:tcPr>
          <w:p>
            <w:pPr>
              <w:spacing w:after="50" w:before="50" w:line="252" w:lineRule="auto"/>
            </w:pPr>
            <w:r>
              <w:rPr>
                <w:sz w:val="17"/>
              </w:rPr>
              <w:t>Statement and interview</w:t>
            </w:r>
          </w:p>
        </w:tc>
      </w:tr>
      <w:tr>
        <w:tc>
          <w:tcPr>
            <w:tcW w:type="dxa" w:w="6462"/>
            <w:shd w:val="clear" w:color="auto" w:fill="EAF1F4"/>
          </w:tcPr>
          <w:p>
            <w:pPr>
              <w:spacing w:after="50" w:before="50" w:line="252" w:lineRule="auto"/>
            </w:pPr>
            <w:r>
              <w:rPr>
                <w:sz w:val="17"/>
              </w:rPr>
              <w:t>Academic record</w:t>
            </w:r>
          </w:p>
        </w:tc>
        <w:tc>
          <w:tcPr>
            <w:tcW w:type="dxa" w:w="850"/>
            <w:shd w:val="clear" w:color="auto" w:fill="EAF1F4"/>
          </w:tcPr>
          <w:p>
            <w:pPr>
              <w:spacing w:after="50" w:before="50" w:line="252" w:lineRule="auto"/>
            </w:pPr>
            <w:r>
              <w:rPr>
                <w:sz w:val="17"/>
              </w:rPr>
              <w:t>15%</w:t>
            </w:r>
          </w:p>
        </w:tc>
        <w:tc>
          <w:tcPr>
            <w:tcW w:type="dxa" w:w="2261"/>
            <w:shd w:val="clear" w:color="auto" w:fill="EAF1F4"/>
          </w:tcPr>
          <w:p>
            <w:pPr>
              <w:spacing w:after="50" w:before="50" w:line="252" w:lineRule="auto"/>
            </w:pPr>
            <w:r>
              <w:rPr>
                <w:sz w:val="17"/>
              </w:rPr>
              <w:t>Transcript</w:t>
            </w:r>
          </w:p>
        </w:tc>
      </w:tr>
      <w:tr>
        <w:tc>
          <w:tcPr>
            <w:tcW w:type="dxa" w:w="6462"/>
          </w:tcPr>
          <w:p>
            <w:pPr>
              <w:spacing w:after="50" w:before="50" w:line="252" w:lineRule="auto"/>
            </w:pPr>
            <w:r>
              <w:rPr>
                <w:sz w:val="17"/>
              </w:rPr>
              <w:t>Relevant training or competition experience</w:t>
            </w:r>
          </w:p>
        </w:tc>
        <w:tc>
          <w:tcPr>
            <w:tcW w:type="dxa" w:w="850"/>
          </w:tcPr>
          <w:p>
            <w:pPr>
              <w:spacing w:after="50" w:before="50" w:line="252" w:lineRule="auto"/>
            </w:pPr>
            <w:r>
              <w:rPr>
                <w:sz w:val="17"/>
              </w:rPr>
              <w:t>15%</w:t>
            </w:r>
          </w:p>
        </w:tc>
        <w:tc>
          <w:tcPr>
            <w:tcW w:type="dxa" w:w="2261"/>
          </w:tcPr>
          <w:p>
            <w:pPr>
              <w:spacing w:after="50" w:before="50" w:line="252" w:lineRule="auto"/>
            </w:pPr>
            <w:r>
              <w:rPr>
                <w:sz w:val="17"/>
              </w:rPr>
              <w:t>CV</w:t>
            </w:r>
          </w:p>
        </w:tc>
      </w:tr>
      <w:tr>
        <w:tc>
          <w:tcPr>
            <w:tcW w:type="dxa" w:w="6462"/>
            <w:shd w:val="clear" w:color="auto" w:fill="EAF1F4"/>
          </w:tcPr>
          <w:p>
            <w:pPr>
              <w:spacing w:after="50" w:before="50" w:line="252" w:lineRule="auto"/>
            </w:pPr>
            <w:r>
              <w:rPr>
                <w:sz w:val="17"/>
              </w:rPr>
              <w:t>Communication in the interview</w:t>
            </w:r>
          </w:p>
        </w:tc>
        <w:tc>
          <w:tcPr>
            <w:tcW w:type="dxa" w:w="850"/>
            <w:shd w:val="clear" w:color="auto" w:fill="EAF1F4"/>
          </w:tcPr>
          <w:p>
            <w:pPr>
              <w:spacing w:after="50" w:before="50" w:line="252" w:lineRule="auto"/>
            </w:pPr>
            <w:r>
              <w:rPr>
                <w:sz w:val="17"/>
              </w:rPr>
              <w:t>20%</w:t>
            </w:r>
          </w:p>
        </w:tc>
        <w:tc>
          <w:tcPr>
            <w:tcW w:type="dxa" w:w="2261"/>
            <w:shd w:val="clear" w:color="auto" w:fill="EAF1F4"/>
          </w:tcPr>
          <w:p>
            <w:pPr>
              <w:spacing w:after="50" w:before="50" w:line="252" w:lineRule="auto"/>
            </w:pPr>
            <w:r>
              <w:rPr>
                <w:sz w:val="17"/>
              </w:rPr>
              <w:t>Interview</w:t>
            </w:r>
          </w:p>
        </w:tc>
      </w:tr>
      <w:tr>
        <w:tc>
          <w:tcPr>
            <w:tcW w:type="dxa" w:w="6462"/>
          </w:tcPr>
          <w:p>
            <w:pPr>
              <w:spacing w:after="50" w:before="50" w:line="252" w:lineRule="auto"/>
            </w:pPr>
            <w:r>
              <w:rPr>
                <w:sz w:val="17"/>
              </w:rPr>
              <w:t>Judgement — response to a short ethical scenario</w:t>
            </w:r>
          </w:p>
        </w:tc>
        <w:tc>
          <w:tcPr>
            <w:tcW w:type="dxa" w:w="850"/>
          </w:tcPr>
          <w:p>
            <w:pPr>
              <w:spacing w:after="50" w:before="50" w:line="252" w:lineRule="auto"/>
            </w:pPr>
            <w:r>
              <w:rPr>
                <w:sz w:val="17"/>
              </w:rPr>
              <w:t>25%</w:t>
            </w:r>
          </w:p>
        </w:tc>
        <w:tc>
          <w:tcPr>
            <w:tcW w:type="dxa" w:w="2261"/>
          </w:tcPr>
          <w:p>
            <w:pPr>
              <w:spacing w:after="50" w:before="50" w:line="252" w:lineRule="auto"/>
            </w:pPr>
            <w:r>
              <w:rPr>
                <w:sz w:val="17"/>
              </w:rPr>
              <w:t>Interview</w:t>
            </w:r>
          </w:p>
        </w:tc>
      </w:tr>
    </w:tbl>
    <w:p>
      <w:pPr>
        <w:spacing w:after="80" w:before="0"/>
      </w:pPr>
    </w:p>
    <w:p>
      <w:r>
        <w:t>The ethical scenario is deliberately weighted highest. Academic record predicts less about performance in this work than judgement does.</w:t>
      </w:r>
    </w:p>
    <w:p>
      <w:pPr>
        <w:spacing w:before="80" w:after="160"/>
        <w:pBdr>
          <w:bottom w:val="single" w:sz="6" w:space="1" w:color="C9D6DE"/>
        </w:pBdr>
      </w:pPr>
    </w:p>
    <w:p>
      <w:pPr>
        <w:pStyle w:val="Heading1"/>
        <w:pBdr>
          <w:bottom w:val="single" w:sz="8" w:space="4" w:color="C9D6DE"/>
        </w:pBdr>
      </w:pPr>
      <w:r>
        <w:t>4. Induction — day one, three hours, no exceptions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8104"/>
            <w:shd w:val="clear" w:color="auto" w:fill="10375C"/>
          </w:tcPr>
          <w:p>
            <w:pPr>
              <w:spacing w:after="50" w:before="50"/>
            </w:pPr>
            <w:r>
              <w:rPr>
                <w:b/>
                <w:color w:val="FFFFFF"/>
                <w:sz w:val="17"/>
              </w:rPr>
              <w:t>Item</w:t>
            </w:r>
          </w:p>
        </w:tc>
        <w:tc>
          <w:tcPr>
            <w:tcW w:type="dxa" w:w="1364"/>
            <w:shd w:val="clear" w:color="auto" w:fill="10375C"/>
          </w:tcPr>
          <w:p>
            <w:pPr>
              <w:spacing w:after="50" w:before="50"/>
            </w:pPr>
            <w:r>
              <w:rPr>
                <w:b/>
                <w:color w:val="FFFFFF"/>
                <w:sz w:val="17"/>
              </w:rPr>
              <w:t>Duration</w:t>
            </w:r>
          </w:p>
        </w:tc>
      </w:tr>
      <w:tr>
        <w:tc>
          <w:tcPr>
            <w:tcW w:type="dxa" w:w="8104"/>
          </w:tcPr>
          <w:p>
            <w:pPr>
              <w:spacing w:after="50" w:before="50" w:line="252" w:lineRule="auto"/>
            </w:pPr>
            <w:r>
              <w:rPr>
                <w:sz w:val="17"/>
              </w:rPr>
              <w:t>Who Equator is; the five verticals; what happens here</w:t>
            </w:r>
          </w:p>
        </w:tc>
        <w:tc>
          <w:tcPr>
            <w:tcW w:type="dxa" w:w="1364"/>
          </w:tcPr>
          <w:p>
            <w:pPr>
              <w:spacing w:after="50" w:before="50" w:line="252" w:lineRule="auto"/>
            </w:pPr>
            <w:r>
              <w:rPr>
                <w:sz w:val="17"/>
              </w:rPr>
              <w:t>20 min</w:t>
            </w:r>
          </w:p>
        </w:tc>
      </w:tr>
      <w:tr>
        <w:tc>
          <w:tcPr>
            <w:tcW w:type="dxa" w:w="8104"/>
            <w:shd w:val="clear" w:color="auto" w:fill="EAF1F4"/>
          </w:tcPr>
          <w:p>
            <w:pPr>
              <w:spacing w:after="50" w:before="50" w:line="252" w:lineRule="auto"/>
            </w:pPr>
            <w:r>
              <w:rPr>
                <w:sz w:val="17"/>
              </w:rPr>
              <w:t>The learning agreement — outcomes, assessment, expectations</w:t>
            </w:r>
          </w:p>
        </w:tc>
        <w:tc>
          <w:tcPr>
            <w:tcW w:type="dxa" w:w="1364"/>
            <w:shd w:val="clear" w:color="auto" w:fill="EAF1F4"/>
          </w:tcPr>
          <w:p>
            <w:pPr>
              <w:spacing w:after="50" w:before="50" w:line="252" w:lineRule="auto"/>
            </w:pPr>
            <w:r>
              <w:rPr>
                <w:sz w:val="17"/>
              </w:rPr>
              <w:t>20 min</w:t>
            </w:r>
          </w:p>
        </w:tc>
      </w:tr>
      <w:tr>
        <w:tc>
          <w:tcPr>
            <w:tcW w:type="dxa" w:w="8104"/>
          </w:tcPr>
          <w:p>
            <w:pPr>
              <w:spacing w:after="50" w:before="50" w:line="252" w:lineRule="auto"/>
            </w:pPr>
            <w:r>
              <w:rPr>
                <w:b/>
                <w:sz w:val="17"/>
              </w:rPr>
              <w:t>Confidentiality.</w:t>
            </w:r>
            <w:r>
              <w:rPr>
                <w:sz w:val="17"/>
              </w:rPr>
              <w:t xml:space="preserve"> The Mediation Act, 2023; the statutory prohibition on recording; inadmissibility; what may never be discussed, posted, written about or used academically; the permanence of the obligation</w:t>
            </w:r>
          </w:p>
        </w:tc>
        <w:tc>
          <w:tcPr>
            <w:tcW w:type="dxa" w:w="1364"/>
          </w:tcPr>
          <w:p>
            <w:pPr>
              <w:spacing w:after="50" w:before="50" w:line="252" w:lineRule="auto"/>
            </w:pPr>
            <w:r>
              <w:rPr>
                <w:b/>
                <w:sz w:val="17"/>
              </w:rPr>
              <w:t>45 min</w:t>
            </w:r>
          </w:p>
        </w:tc>
      </w:tr>
      <w:tr>
        <w:tc>
          <w:tcPr>
            <w:tcW w:type="dxa" w:w="8104"/>
            <w:shd w:val="clear" w:color="auto" w:fill="EAF1F4"/>
          </w:tcPr>
          <w:p>
            <w:pPr>
              <w:spacing w:after="50" w:before="50" w:line="252" w:lineRule="auto"/>
            </w:pPr>
            <w:r>
              <w:rPr>
                <w:sz w:val="17"/>
              </w:rPr>
              <w:t>Signing of the confidentiality undertaking (F-04), witnessed</w:t>
            </w:r>
          </w:p>
        </w:tc>
        <w:tc>
          <w:tcPr>
            <w:tcW w:type="dxa" w:w="1364"/>
            <w:shd w:val="clear" w:color="auto" w:fill="EAF1F4"/>
          </w:tcPr>
          <w:p>
            <w:pPr>
              <w:spacing w:after="50" w:before="50" w:line="252" w:lineRule="auto"/>
            </w:pPr>
            <w:r>
              <w:rPr>
                <w:sz w:val="17"/>
              </w:rPr>
              <w:t>15 min</w:t>
            </w:r>
          </w:p>
        </w:tc>
      </w:tr>
      <w:tr>
        <w:tc>
          <w:tcPr>
            <w:tcW w:type="dxa" w:w="8104"/>
          </w:tcPr>
          <w:p>
            <w:pPr>
              <w:spacing w:after="50" w:before="50" w:line="252" w:lineRule="auto"/>
            </w:pPr>
            <w:r>
              <w:rPr>
                <w:sz w:val="17"/>
              </w:rPr>
              <w:t>Data protection — how to handle personal data, what not to copy, what not to email</w:t>
            </w:r>
          </w:p>
        </w:tc>
        <w:tc>
          <w:tcPr>
            <w:tcW w:type="dxa" w:w="1364"/>
          </w:tcPr>
          <w:p>
            <w:pPr>
              <w:spacing w:after="50" w:before="50" w:line="252" w:lineRule="auto"/>
            </w:pPr>
            <w:r>
              <w:rPr>
                <w:sz w:val="17"/>
              </w:rPr>
              <w:t>20 min</w:t>
            </w:r>
          </w:p>
        </w:tc>
      </w:tr>
      <w:tr>
        <w:tc>
          <w:tcPr>
            <w:tcW w:type="dxa" w:w="8104"/>
            <w:shd w:val="clear" w:color="auto" w:fill="EAF1F4"/>
          </w:tcPr>
          <w:p>
            <w:pPr>
              <w:spacing w:after="50" w:before="50" w:line="252" w:lineRule="auto"/>
            </w:pPr>
            <w:r>
              <w:rPr>
                <w:sz w:val="17"/>
              </w:rPr>
              <w:t>Conduct, dress, punctuality, escalation, and how to raise a concern</w:t>
            </w:r>
          </w:p>
        </w:tc>
        <w:tc>
          <w:tcPr>
            <w:tcW w:type="dxa" w:w="1364"/>
            <w:shd w:val="clear" w:color="auto" w:fill="EAF1F4"/>
          </w:tcPr>
          <w:p>
            <w:pPr>
              <w:spacing w:after="50" w:before="50" w:line="252" w:lineRule="auto"/>
            </w:pPr>
            <w:r>
              <w:rPr>
                <w:sz w:val="17"/>
              </w:rPr>
              <w:t>20 min</w:t>
            </w:r>
          </w:p>
        </w:tc>
      </w:tr>
      <w:tr>
        <w:tc>
          <w:tcPr>
            <w:tcW w:type="dxa" w:w="8104"/>
          </w:tcPr>
          <w:p>
            <w:pPr>
              <w:spacing w:after="50" w:before="50" w:line="252" w:lineRule="auto"/>
            </w:pPr>
            <w:r>
              <w:rPr>
                <w:sz w:val="17"/>
              </w:rPr>
              <w:t>Safeguarding and the grievance route; how to complain about a supervisor</w:t>
            </w:r>
          </w:p>
        </w:tc>
        <w:tc>
          <w:tcPr>
            <w:tcW w:type="dxa" w:w="1364"/>
          </w:tcPr>
          <w:p>
            <w:pPr>
              <w:spacing w:after="50" w:before="50" w:line="252" w:lineRule="auto"/>
            </w:pPr>
            <w:r>
              <w:rPr>
                <w:sz w:val="17"/>
              </w:rPr>
              <w:t>15 min</w:t>
            </w:r>
          </w:p>
        </w:tc>
      </w:tr>
      <w:tr>
        <w:tc>
          <w:tcPr>
            <w:tcW w:type="dxa" w:w="8104"/>
            <w:shd w:val="clear" w:color="auto" w:fill="EAF1F4"/>
          </w:tcPr>
          <w:p>
            <w:pPr>
              <w:spacing w:after="50" w:before="50" w:line="252" w:lineRule="auto"/>
            </w:pPr>
            <w:r>
              <w:rPr>
                <w:sz w:val="17"/>
              </w:rPr>
              <w:t>Systems, access, security</w:t>
            </w:r>
          </w:p>
        </w:tc>
        <w:tc>
          <w:tcPr>
            <w:tcW w:type="dxa" w:w="1364"/>
            <w:shd w:val="clear" w:color="auto" w:fill="EAF1F4"/>
          </w:tcPr>
          <w:p>
            <w:pPr>
              <w:spacing w:after="50" w:before="50" w:line="252" w:lineRule="auto"/>
            </w:pPr>
            <w:r>
              <w:rPr>
                <w:sz w:val="17"/>
              </w:rPr>
              <w:t>15 min</w:t>
            </w:r>
          </w:p>
        </w:tc>
      </w:tr>
      <w:tr>
        <w:tc>
          <w:tcPr>
            <w:tcW w:type="dxa" w:w="8104"/>
          </w:tcPr>
          <w:p>
            <w:pPr>
              <w:spacing w:after="50" w:before="50" w:line="252" w:lineRule="auto"/>
            </w:pPr>
            <w:r>
              <w:rPr>
                <w:sz w:val="17"/>
              </w:rPr>
              <w:t>Meet the supervisor; first week plan</w:t>
            </w:r>
          </w:p>
        </w:tc>
        <w:tc>
          <w:tcPr>
            <w:tcW w:type="dxa" w:w="1364"/>
          </w:tcPr>
          <w:p>
            <w:pPr>
              <w:spacing w:after="50" w:before="50" w:line="252" w:lineRule="auto"/>
            </w:pPr>
            <w:r>
              <w:rPr>
                <w:sz w:val="17"/>
              </w:rPr>
              <w:t>20 min</w:t>
            </w:r>
          </w:p>
        </w:tc>
      </w:tr>
    </w:tbl>
    <w:p>
      <w:pPr>
        <w:spacing w:after="80" w:before="0"/>
      </w:pPr>
    </w:p>
    <w:p>
      <w:r>
        <w:rPr>
          <w:b/>
        </w:rPr>
        <w:t>The confidentiality session is 45 minutes and is delivered by a senior person, not by an administrator.</w:t>
      </w:r>
      <w:r>
        <w:t xml:space="preserve"> It is the single most important thing that happens in the internship.</w:t>
      </w:r>
    </w:p>
    <w:p>
      <w:pPr>
        <w:spacing w:before="80" w:after="160"/>
        <w:pBdr>
          <w:bottom w:val="single" w:sz="6" w:space="1" w:color="C9D6DE"/>
        </w:pBdr>
      </w:pPr>
    </w:p>
    <w:p>
      <w:pPr>
        <w:pStyle w:val="Heading1"/>
        <w:pBdr>
          <w:bottom w:val="single" w:sz="8" w:space="4" w:color="C9D6DE"/>
        </w:pBdr>
      </w:pPr>
      <w:r>
        <w:t>5. Supervision</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375"/>
            <w:shd w:val="clear" w:color="auto" w:fill="10375C"/>
          </w:tcPr>
          <w:p>
            <w:pPr>
              <w:spacing w:after="50" w:before="50"/>
            </w:pPr>
            <w:r>
              <w:rPr>
                <w:b/>
                <w:color w:val="FFFFFF"/>
                <w:sz w:val="17"/>
              </w:rPr>
              <w:t>Requirement</w:t>
            </w:r>
          </w:p>
        </w:tc>
        <w:tc>
          <w:tcPr>
            <w:tcW w:type="dxa" w:w="7093"/>
            <w:shd w:val="clear" w:color="auto" w:fill="10375C"/>
          </w:tcPr>
          <w:p>
            <w:pPr>
              <w:spacing w:after="50" w:before="50"/>
            </w:pPr>
            <w:r>
              <w:rPr>
                <w:b/>
                <w:color w:val="FFFFFF"/>
                <w:sz w:val="17"/>
              </w:rPr>
              <w:t>Standard</w:t>
            </w:r>
          </w:p>
        </w:tc>
      </w:tr>
      <w:tr>
        <w:tc>
          <w:tcPr>
            <w:tcW w:type="dxa" w:w="2375"/>
          </w:tcPr>
          <w:p>
            <w:pPr>
              <w:spacing w:after="50" w:before="50" w:line="252" w:lineRule="auto"/>
            </w:pPr>
            <w:r>
              <w:rPr>
                <w:sz w:val="17"/>
              </w:rPr>
              <w:t>Named supervisor</w:t>
            </w:r>
          </w:p>
        </w:tc>
        <w:tc>
          <w:tcPr>
            <w:tcW w:type="dxa" w:w="7093"/>
          </w:tcPr>
          <w:p>
            <w:pPr>
              <w:spacing w:after="50" w:before="50" w:line="252" w:lineRule="auto"/>
            </w:pPr>
            <w:r>
              <w:rPr>
                <w:sz w:val="17"/>
              </w:rPr>
              <w:t>Assigned before day one</w:t>
            </w:r>
          </w:p>
        </w:tc>
      </w:tr>
      <w:tr>
        <w:tc>
          <w:tcPr>
            <w:tcW w:type="dxa" w:w="2375"/>
            <w:shd w:val="clear" w:color="auto" w:fill="EAF1F4"/>
          </w:tcPr>
          <w:p>
            <w:pPr>
              <w:spacing w:after="50" w:before="50" w:line="252" w:lineRule="auto"/>
            </w:pPr>
            <w:r>
              <w:rPr>
                <w:sz w:val="17"/>
              </w:rPr>
              <w:t>Weekly one-to-one</w:t>
            </w:r>
          </w:p>
        </w:tc>
        <w:tc>
          <w:tcPr>
            <w:tcW w:type="dxa" w:w="7093"/>
            <w:shd w:val="clear" w:color="auto" w:fill="EAF1F4"/>
          </w:tcPr>
          <w:p>
            <w:pPr>
              <w:spacing w:after="50" w:before="50" w:line="252" w:lineRule="auto"/>
            </w:pPr>
            <w:r>
              <w:rPr>
                <w:sz w:val="17"/>
              </w:rPr>
              <w:t>Minimum 30 minutes, recorded on the supervision log</w:t>
            </w:r>
          </w:p>
        </w:tc>
      </w:tr>
      <w:tr>
        <w:tc>
          <w:tcPr>
            <w:tcW w:type="dxa" w:w="2375"/>
          </w:tcPr>
          <w:p>
            <w:pPr>
              <w:spacing w:after="50" w:before="50" w:line="252" w:lineRule="auto"/>
            </w:pPr>
            <w:r>
              <w:rPr>
                <w:sz w:val="17"/>
              </w:rPr>
              <w:t>Work allocation</w:t>
            </w:r>
          </w:p>
        </w:tc>
        <w:tc>
          <w:tcPr>
            <w:tcW w:type="dxa" w:w="7093"/>
          </w:tcPr>
          <w:p>
            <w:pPr>
              <w:spacing w:after="50" w:before="50" w:line="252" w:lineRule="auto"/>
            </w:pPr>
            <w:r>
              <w:rPr>
                <w:sz w:val="17"/>
              </w:rPr>
              <w:t>Against the learning outcomes, not against whatever needs doing</w:t>
            </w:r>
          </w:p>
        </w:tc>
      </w:tr>
      <w:tr>
        <w:tc>
          <w:tcPr>
            <w:tcW w:type="dxa" w:w="2375"/>
            <w:shd w:val="clear" w:color="auto" w:fill="EAF1F4"/>
          </w:tcPr>
          <w:p>
            <w:pPr>
              <w:spacing w:after="50" w:before="50" w:line="252" w:lineRule="auto"/>
            </w:pPr>
            <w:r>
              <w:rPr>
                <w:sz w:val="17"/>
              </w:rPr>
              <w:t>Midpoint review</w:t>
            </w:r>
          </w:p>
        </w:tc>
        <w:tc>
          <w:tcPr>
            <w:tcW w:type="dxa" w:w="7093"/>
            <w:shd w:val="clear" w:color="auto" w:fill="EAF1F4"/>
          </w:tcPr>
          <w:p>
            <w:pPr>
              <w:spacing w:after="50" w:before="50" w:line="252" w:lineRule="auto"/>
            </w:pPr>
            <w:r>
              <w:rPr>
                <w:sz w:val="17"/>
              </w:rPr>
              <w:t>Written, shared with the intern</w:t>
            </w:r>
          </w:p>
        </w:tc>
      </w:tr>
      <w:tr>
        <w:tc>
          <w:tcPr>
            <w:tcW w:type="dxa" w:w="2375"/>
          </w:tcPr>
          <w:p>
            <w:pPr>
              <w:spacing w:after="50" w:before="50" w:line="252" w:lineRule="auto"/>
            </w:pPr>
            <w:r>
              <w:rPr>
                <w:sz w:val="17"/>
              </w:rPr>
              <w:t>Escalation</w:t>
            </w:r>
          </w:p>
        </w:tc>
        <w:tc>
          <w:tcPr>
            <w:tcW w:type="dxa" w:w="7093"/>
          </w:tcPr>
          <w:p>
            <w:pPr>
              <w:spacing w:after="50" w:before="50" w:line="252" w:lineRule="auto"/>
            </w:pPr>
            <w:r>
              <w:rPr>
                <w:sz w:val="17"/>
              </w:rPr>
              <w:t>Any concern about conduct, confidentiality or welfare goes to the Coordinator the same day</w:t>
            </w:r>
          </w:p>
        </w:tc>
      </w:tr>
      <w:tr>
        <w:tc>
          <w:tcPr>
            <w:tcW w:type="dxa" w:w="2375"/>
            <w:shd w:val="clear" w:color="auto" w:fill="EAF1F4"/>
          </w:tcPr>
          <w:p>
            <w:pPr>
              <w:spacing w:after="50" w:before="50" w:line="252" w:lineRule="auto"/>
            </w:pPr>
            <w:r>
              <w:rPr>
                <w:sz w:val="17"/>
              </w:rPr>
              <w:t>Supervisor load</w:t>
            </w:r>
          </w:p>
        </w:tc>
        <w:tc>
          <w:tcPr>
            <w:tcW w:type="dxa" w:w="7093"/>
            <w:shd w:val="clear" w:color="auto" w:fill="EAF1F4"/>
          </w:tcPr>
          <w:p>
            <w:pPr>
              <w:spacing w:after="50" w:before="50" w:line="252" w:lineRule="auto"/>
            </w:pPr>
            <w:r>
              <w:rPr>
                <w:sz w:val="17"/>
              </w:rPr>
              <w:t>Per the ratios in section 2. A supervisor at capacity does not take another intern, whatever the pressure</w:t>
            </w:r>
          </w:p>
        </w:tc>
      </w:tr>
    </w:tbl>
    <w:p>
      <w:pPr>
        <w:spacing w:after="80" w:before="0"/>
      </w:pPr>
    </w:p>
    <w:p>
      <w:pPr>
        <w:pStyle w:val="Heading2"/>
      </w:pPr>
      <w:r>
        <w:t>5.1 What an intern may and may not do</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4042"/>
            <w:shd w:val="clear" w:color="auto" w:fill="10375C"/>
          </w:tcPr>
          <w:p>
            <w:pPr>
              <w:spacing w:after="50" w:before="50"/>
            </w:pPr>
            <w:r>
              <w:rPr>
                <w:b/>
                <w:color w:val="FFFFFF"/>
                <w:sz w:val="17"/>
              </w:rPr>
              <w:t>May</w:t>
            </w:r>
          </w:p>
        </w:tc>
        <w:tc>
          <w:tcPr>
            <w:tcW w:type="dxa" w:w="5426"/>
            <w:shd w:val="clear" w:color="auto" w:fill="10375C"/>
          </w:tcPr>
          <w:p>
            <w:pPr>
              <w:spacing w:after="50" w:before="50"/>
            </w:pPr>
            <w:r>
              <w:rPr>
                <w:b/>
                <w:color w:val="FFFFFF"/>
                <w:sz w:val="17"/>
              </w:rPr>
              <w:t>May not</w:t>
            </w:r>
          </w:p>
        </w:tc>
      </w:tr>
      <w:tr>
        <w:tc>
          <w:tcPr>
            <w:tcW w:type="dxa" w:w="4042"/>
          </w:tcPr>
          <w:p>
            <w:pPr>
              <w:spacing w:after="50" w:before="50" w:line="252" w:lineRule="auto"/>
            </w:pPr>
            <w:r>
              <w:rPr>
                <w:sz w:val="17"/>
              </w:rPr>
              <w:t>Research and draft memoranda</w:t>
            </w:r>
          </w:p>
        </w:tc>
        <w:tc>
          <w:tcPr>
            <w:tcW w:type="dxa" w:w="5426"/>
          </w:tcPr>
          <w:p>
            <w:pPr>
              <w:spacing w:after="50" w:before="50" w:line="252" w:lineRule="auto"/>
            </w:pPr>
            <w:r>
              <w:rPr>
                <w:sz w:val="17"/>
              </w:rPr>
              <w:t>Give legal advice to any person</w:t>
            </w:r>
          </w:p>
        </w:tc>
      </w:tr>
      <w:tr>
        <w:tc>
          <w:tcPr>
            <w:tcW w:type="dxa" w:w="4042"/>
            <w:shd w:val="clear" w:color="auto" w:fill="EAF1F4"/>
          </w:tcPr>
          <w:p>
            <w:pPr>
              <w:spacing w:after="50" w:before="50" w:line="252" w:lineRule="auto"/>
            </w:pPr>
            <w:r>
              <w:rPr>
                <w:sz w:val="17"/>
              </w:rPr>
              <w:t>Prepare case summaries under supervision</w:t>
            </w:r>
          </w:p>
        </w:tc>
        <w:tc>
          <w:tcPr>
            <w:tcW w:type="dxa" w:w="5426"/>
            <w:shd w:val="clear" w:color="auto" w:fill="EAF1F4"/>
          </w:tcPr>
          <w:p>
            <w:pPr>
              <w:spacing w:after="50" w:before="50" w:line="252" w:lineRule="auto"/>
            </w:pPr>
            <w:r>
              <w:rPr>
                <w:sz w:val="17"/>
              </w:rPr>
              <w:t>Communicate with a party except under direction</w:t>
            </w:r>
          </w:p>
        </w:tc>
      </w:tr>
      <w:tr>
        <w:tc>
          <w:tcPr>
            <w:tcW w:type="dxa" w:w="4042"/>
          </w:tcPr>
          <w:p>
            <w:pPr>
              <w:spacing w:after="50" w:before="50" w:line="252" w:lineRule="auto"/>
            </w:pPr>
            <w:r>
              <w:rPr>
                <w:sz w:val="17"/>
              </w:rPr>
              <w:t>Take notes in a session, with consent</w:t>
            </w:r>
          </w:p>
        </w:tc>
        <w:tc>
          <w:tcPr>
            <w:tcW w:type="dxa" w:w="5426"/>
          </w:tcPr>
          <w:p>
            <w:pPr>
              <w:spacing w:after="50" w:before="50" w:line="252" w:lineRule="auto"/>
            </w:pPr>
            <w:r>
              <w:rPr>
                <w:sz w:val="17"/>
              </w:rPr>
              <w:t>Record, photograph or screenshot anything</w:t>
            </w:r>
          </w:p>
        </w:tc>
      </w:tr>
      <w:tr>
        <w:tc>
          <w:tcPr>
            <w:tcW w:type="dxa" w:w="4042"/>
            <w:shd w:val="clear" w:color="auto" w:fill="EAF1F4"/>
          </w:tcPr>
          <w:p>
            <w:pPr>
              <w:spacing w:after="50" w:before="50" w:line="252" w:lineRule="auto"/>
            </w:pPr>
            <w:r>
              <w:rPr>
                <w:sz w:val="17"/>
              </w:rPr>
              <w:t>Draft process documents</w:t>
            </w:r>
          </w:p>
        </w:tc>
        <w:tc>
          <w:tcPr>
            <w:tcW w:type="dxa" w:w="5426"/>
            <w:shd w:val="clear" w:color="auto" w:fill="EAF1F4"/>
          </w:tcPr>
          <w:p>
            <w:pPr>
              <w:spacing w:after="50" w:before="50" w:line="252" w:lineRule="auto"/>
            </w:pPr>
            <w:r>
              <w:rPr>
                <w:sz w:val="17"/>
              </w:rPr>
              <w:t>Sign anything on Equator's behalf</w:t>
            </w:r>
          </w:p>
        </w:tc>
      </w:tr>
      <w:tr>
        <w:tc>
          <w:tcPr>
            <w:tcW w:type="dxa" w:w="4042"/>
          </w:tcPr>
          <w:p>
            <w:pPr>
              <w:spacing w:after="50" w:before="50" w:line="252" w:lineRule="auto"/>
            </w:pPr>
            <w:r>
              <w:rPr>
                <w:sz w:val="17"/>
              </w:rPr>
              <w:t>Attend as an observer with consent</w:t>
            </w:r>
          </w:p>
        </w:tc>
        <w:tc>
          <w:tcPr>
            <w:tcW w:type="dxa" w:w="5426"/>
          </w:tcPr>
          <w:p>
            <w:pPr>
              <w:spacing w:after="50" w:before="50" w:line="252" w:lineRule="auto"/>
            </w:pPr>
            <w:r>
              <w:rPr>
                <w:sz w:val="17"/>
              </w:rPr>
              <w:t>Hold themselves out as a mediator or officer</w:t>
            </w:r>
          </w:p>
        </w:tc>
      </w:tr>
      <w:tr>
        <w:tc>
          <w:tcPr>
            <w:tcW w:type="dxa" w:w="4042"/>
            <w:shd w:val="clear" w:color="auto" w:fill="EAF1F4"/>
          </w:tcPr>
          <w:p>
            <w:pPr>
              <w:spacing w:after="50" w:before="50" w:line="252" w:lineRule="auto"/>
            </w:pPr>
            <w:r>
              <w:rPr>
                <w:sz w:val="17"/>
              </w:rPr>
              <w:t>Assist with scheduling and file management</w:t>
            </w:r>
          </w:p>
        </w:tc>
        <w:tc>
          <w:tcPr>
            <w:tcW w:type="dxa" w:w="5426"/>
            <w:shd w:val="clear" w:color="auto" w:fill="EAF1F4"/>
          </w:tcPr>
          <w:p>
            <w:pPr>
              <w:spacing w:after="50" w:before="50" w:line="252" w:lineRule="auto"/>
            </w:pPr>
            <w:r>
              <w:rPr>
                <w:sz w:val="17"/>
              </w:rPr>
              <w:t>Remove any document or copy from the premises</w:t>
            </w:r>
          </w:p>
        </w:tc>
      </w:tr>
      <w:tr>
        <w:tc>
          <w:tcPr>
            <w:tcW w:type="dxa" w:w="4042"/>
          </w:tcPr>
          <w:p>
            <w:pPr>
              <w:spacing w:after="50" w:before="50" w:line="252" w:lineRule="auto"/>
            </w:pPr>
            <w:r>
              <w:rPr>
                <w:sz w:val="17"/>
              </w:rPr>
              <w:t>Contribute to anonymised research</w:t>
            </w:r>
          </w:p>
        </w:tc>
        <w:tc>
          <w:tcPr>
            <w:tcW w:type="dxa" w:w="5426"/>
          </w:tcPr>
          <w:p>
            <w:pPr>
              <w:spacing w:after="50" w:before="50" w:line="252" w:lineRule="auto"/>
            </w:pPr>
            <w:r>
              <w:rPr>
                <w:sz w:val="17"/>
              </w:rPr>
              <w:t>Discuss a matter with anyone outside the supervision structure</w:t>
            </w:r>
          </w:p>
        </w:tc>
      </w:tr>
    </w:tbl>
    <w:p>
      <w:pPr>
        <w:spacing w:after="80" w:before="0"/>
      </w:pPr>
    </w:p>
    <w:p>
      <w:pPr>
        <w:spacing w:before="80" w:after="160"/>
        <w:pBdr>
          <w:bottom w:val="single" w:sz="6" w:space="1" w:color="C9D6DE"/>
        </w:pBdr>
      </w:pPr>
    </w:p>
    <w:p>
      <w:pPr>
        <w:pStyle w:val="Heading1"/>
        <w:pBdr>
          <w:bottom w:val="single" w:sz="8" w:space="4" w:color="C9D6DE"/>
        </w:pBdr>
      </w:pPr>
      <w:r>
        <w:t>6. Live exposure protocol</w:t>
      </w:r>
    </w:p>
    <w:p>
      <w:r>
        <w:rPr>
          <w:b/>
        </w:rPr>
        <w:t>No intern attends any live proceeding except under this protocol. There is no discretion.</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861"/>
            <w:shd w:val="clear" w:color="auto" w:fill="10375C"/>
          </w:tcPr>
          <w:p>
            <w:pPr>
              <w:spacing w:after="50" w:before="50"/>
            </w:pPr>
            <w:r>
              <w:rPr>
                <w:b/>
                <w:color w:val="FFFFFF"/>
                <w:sz w:val="17"/>
              </w:rPr>
              <w:t>Step</w:t>
            </w:r>
          </w:p>
        </w:tc>
        <w:tc>
          <w:tcPr>
            <w:tcW w:type="dxa" w:w="8607"/>
            <w:shd w:val="clear" w:color="auto" w:fill="10375C"/>
          </w:tcPr>
          <w:p>
            <w:pPr>
              <w:spacing w:after="50" w:before="50"/>
            </w:pPr>
            <w:r>
              <w:rPr>
                <w:b/>
                <w:color w:val="FFFFFF"/>
                <w:sz w:val="17"/>
              </w:rPr>
              <w:t>Requirement</w:t>
            </w:r>
          </w:p>
        </w:tc>
      </w:tr>
      <w:tr>
        <w:tc>
          <w:tcPr>
            <w:tcW w:type="dxa" w:w="861"/>
          </w:tcPr>
          <w:p>
            <w:pPr>
              <w:spacing w:after="50" w:before="50" w:line="252" w:lineRule="auto"/>
            </w:pPr>
            <w:r>
              <w:rPr>
                <w:sz w:val="17"/>
              </w:rPr>
              <w:t>1</w:t>
            </w:r>
          </w:p>
        </w:tc>
        <w:tc>
          <w:tcPr>
            <w:tcW w:type="dxa" w:w="8607"/>
          </w:tcPr>
          <w:p>
            <w:pPr>
              <w:spacing w:after="50" w:before="50" w:line="252" w:lineRule="auto"/>
            </w:pPr>
            <w:r>
              <w:rPr>
                <w:sz w:val="17"/>
              </w:rPr>
              <w:t>Programme Director authorises the exposure</w:t>
            </w:r>
          </w:p>
        </w:tc>
      </w:tr>
      <w:tr>
        <w:tc>
          <w:tcPr>
            <w:tcW w:type="dxa" w:w="861"/>
            <w:shd w:val="clear" w:color="auto" w:fill="EAF1F4"/>
          </w:tcPr>
          <w:p>
            <w:pPr>
              <w:spacing w:after="50" w:before="50" w:line="252" w:lineRule="auto"/>
            </w:pPr>
            <w:r>
              <w:rPr>
                <w:sz w:val="17"/>
              </w:rPr>
              <w:t>2</w:t>
            </w:r>
          </w:p>
        </w:tc>
        <w:tc>
          <w:tcPr>
            <w:tcW w:type="dxa" w:w="8607"/>
            <w:shd w:val="clear" w:color="auto" w:fill="EAF1F4"/>
          </w:tcPr>
          <w:p>
            <w:pPr>
              <w:spacing w:after="50" w:before="50" w:line="252" w:lineRule="auto"/>
            </w:pPr>
            <w:r>
              <w:rPr>
                <w:sz w:val="17"/>
              </w:rPr>
              <w:t xml:space="preserve">The neutral or case manager — </w:t>
            </w:r>
            <w:r>
              <w:rPr>
                <w:b/>
                <w:sz w:val="17"/>
              </w:rPr>
              <w:t>never the intern</w:t>
            </w:r>
            <w:r>
              <w:rPr>
                <w:sz w:val="17"/>
              </w:rPr>
              <w:t xml:space="preserve"> — seeks consent from every party, using F-05</w:t>
            </w:r>
          </w:p>
        </w:tc>
      </w:tr>
      <w:tr>
        <w:tc>
          <w:tcPr>
            <w:tcW w:type="dxa" w:w="861"/>
          </w:tcPr>
          <w:p>
            <w:pPr>
              <w:spacing w:after="50" w:before="50" w:line="252" w:lineRule="auto"/>
            </w:pPr>
            <w:r>
              <w:rPr>
                <w:sz w:val="17"/>
              </w:rPr>
              <w:t>3</w:t>
            </w:r>
          </w:p>
        </w:tc>
        <w:tc>
          <w:tcPr>
            <w:tcW w:type="dxa" w:w="8607"/>
          </w:tcPr>
          <w:p>
            <w:pPr>
              <w:spacing w:after="50" w:before="50" w:line="252" w:lineRule="auto"/>
            </w:pPr>
            <w:r>
              <w:rPr>
                <w:sz w:val="17"/>
              </w:rPr>
              <w:t xml:space="preserve">Consent obtained from </w:t>
            </w:r>
            <w:r>
              <w:rPr>
                <w:b/>
                <w:sz w:val="17"/>
              </w:rPr>
              <w:t>every</w:t>
            </w:r>
            <w:r>
              <w:rPr>
                <w:sz w:val="17"/>
              </w:rPr>
              <w:t xml:space="preserve"> party in writing. One refusal ends it</w:t>
            </w:r>
          </w:p>
        </w:tc>
      </w:tr>
      <w:tr>
        <w:tc>
          <w:tcPr>
            <w:tcW w:type="dxa" w:w="861"/>
            <w:shd w:val="clear" w:color="auto" w:fill="EAF1F4"/>
          </w:tcPr>
          <w:p>
            <w:pPr>
              <w:spacing w:after="50" w:before="50" w:line="252" w:lineRule="auto"/>
            </w:pPr>
            <w:r>
              <w:rPr>
                <w:sz w:val="17"/>
              </w:rPr>
              <w:t>4</w:t>
            </w:r>
          </w:p>
        </w:tc>
        <w:tc>
          <w:tcPr>
            <w:tcW w:type="dxa" w:w="8607"/>
            <w:shd w:val="clear" w:color="auto" w:fill="EAF1F4"/>
          </w:tcPr>
          <w:p>
            <w:pPr>
              <w:spacing w:after="50" w:before="50" w:line="252" w:lineRule="auto"/>
            </w:pPr>
            <w:r>
              <w:rPr>
                <w:sz w:val="17"/>
              </w:rPr>
              <w:t>Intern signs the specific undertaking (F-04) for that session, countersigned by the supervisor</w:t>
            </w:r>
          </w:p>
        </w:tc>
      </w:tr>
      <w:tr>
        <w:tc>
          <w:tcPr>
            <w:tcW w:type="dxa" w:w="861"/>
          </w:tcPr>
          <w:p>
            <w:pPr>
              <w:spacing w:after="50" w:before="50" w:line="252" w:lineRule="auto"/>
            </w:pPr>
            <w:r>
              <w:rPr>
                <w:sz w:val="17"/>
              </w:rPr>
              <w:t>5</w:t>
            </w:r>
          </w:p>
        </w:tc>
        <w:tc>
          <w:tcPr>
            <w:tcW w:type="dxa" w:w="8607"/>
          </w:tcPr>
          <w:p>
            <w:pPr>
              <w:spacing w:after="50" w:before="50" w:line="252" w:lineRule="auto"/>
            </w:pPr>
            <w:r>
              <w:rPr>
                <w:sz w:val="17"/>
              </w:rPr>
              <w:t>Intern is introduced by name at the start; the parties are reminded they may ask the intern to leave at any moment, without reason</w:t>
            </w:r>
          </w:p>
        </w:tc>
      </w:tr>
      <w:tr>
        <w:tc>
          <w:tcPr>
            <w:tcW w:type="dxa" w:w="861"/>
            <w:shd w:val="clear" w:color="auto" w:fill="EAF1F4"/>
          </w:tcPr>
          <w:p>
            <w:pPr>
              <w:spacing w:after="50" w:before="50" w:line="252" w:lineRule="auto"/>
            </w:pPr>
            <w:r>
              <w:rPr>
                <w:sz w:val="17"/>
              </w:rPr>
              <w:t>6</w:t>
            </w:r>
          </w:p>
        </w:tc>
        <w:tc>
          <w:tcPr>
            <w:tcW w:type="dxa" w:w="8607"/>
            <w:shd w:val="clear" w:color="auto" w:fill="EAF1F4"/>
          </w:tcPr>
          <w:p>
            <w:pPr>
              <w:spacing w:after="50" w:before="50" w:line="252" w:lineRule="auto"/>
            </w:pPr>
            <w:r>
              <w:rPr>
                <w:sz w:val="17"/>
              </w:rPr>
              <w:t>Intern withdraws for any caucus unless separately consented to</w:t>
            </w:r>
          </w:p>
        </w:tc>
      </w:tr>
      <w:tr>
        <w:tc>
          <w:tcPr>
            <w:tcW w:type="dxa" w:w="861"/>
          </w:tcPr>
          <w:p>
            <w:pPr>
              <w:spacing w:after="50" w:before="50" w:line="252" w:lineRule="auto"/>
            </w:pPr>
            <w:r>
              <w:rPr>
                <w:sz w:val="17"/>
              </w:rPr>
              <w:t>7</w:t>
            </w:r>
          </w:p>
        </w:tc>
        <w:tc>
          <w:tcPr>
            <w:tcW w:type="dxa" w:w="8607"/>
          </w:tcPr>
          <w:p>
            <w:pPr>
              <w:spacing w:after="50" w:before="50" w:line="252" w:lineRule="auto"/>
            </w:pPr>
            <w:r>
              <w:rPr>
                <w:b/>
                <w:sz w:val="17"/>
              </w:rPr>
              <w:t>No device in the room.</w:t>
            </w:r>
            <w:r>
              <w:rPr>
                <w:sz w:val="17"/>
              </w:rPr>
              <w:t xml:space="preserve"> Notes on paper only</w:t>
            </w:r>
          </w:p>
        </w:tc>
      </w:tr>
      <w:tr>
        <w:tc>
          <w:tcPr>
            <w:tcW w:type="dxa" w:w="861"/>
            <w:shd w:val="clear" w:color="auto" w:fill="EAF1F4"/>
          </w:tcPr>
          <w:p>
            <w:pPr>
              <w:spacing w:after="50" w:before="50" w:line="252" w:lineRule="auto"/>
            </w:pPr>
            <w:r>
              <w:rPr>
                <w:sz w:val="17"/>
              </w:rPr>
              <w:t>8</w:t>
            </w:r>
          </w:p>
        </w:tc>
        <w:tc>
          <w:tcPr>
            <w:tcW w:type="dxa" w:w="8607"/>
            <w:shd w:val="clear" w:color="auto" w:fill="EAF1F4"/>
          </w:tcPr>
          <w:p>
            <w:pPr>
              <w:spacing w:after="50" w:before="50" w:line="252" w:lineRule="auto"/>
            </w:pPr>
            <w:r>
              <w:rPr>
                <w:sz w:val="17"/>
              </w:rPr>
              <w:t>Notes surrendered to the supervisor at the end and destroyed</w:t>
            </w:r>
          </w:p>
        </w:tc>
      </w:tr>
      <w:tr>
        <w:tc>
          <w:tcPr>
            <w:tcW w:type="dxa" w:w="861"/>
          </w:tcPr>
          <w:p>
            <w:pPr>
              <w:spacing w:after="50" w:before="50" w:line="252" w:lineRule="auto"/>
            </w:pPr>
            <w:r>
              <w:rPr>
                <w:sz w:val="17"/>
              </w:rPr>
              <w:t>9</w:t>
            </w:r>
          </w:p>
        </w:tc>
        <w:tc>
          <w:tcPr>
            <w:tcW w:type="dxa" w:w="8607"/>
          </w:tcPr>
          <w:p>
            <w:pPr>
              <w:spacing w:after="50" w:before="50" w:line="252" w:lineRule="auto"/>
            </w:pPr>
            <w:r>
              <w:rPr>
                <w:sz w:val="17"/>
              </w:rPr>
              <w:t>Debrief with the supervisor, focused on process and skill, never on the substance of the dispute</w:t>
            </w:r>
          </w:p>
        </w:tc>
      </w:tr>
    </w:tbl>
    <w:p>
      <w:pPr>
        <w:spacing w:after="80" w:before="0"/>
      </w:pPr>
    </w:p>
    <w:p>
      <w:pPr>
        <w:spacing w:before="80" w:after="160"/>
        <w:pBdr>
          <w:bottom w:val="single" w:sz="6" w:space="1" w:color="C9D6DE"/>
        </w:pBdr>
      </w:pPr>
    </w:p>
    <w:p>
      <w:pPr>
        <w:pStyle w:val="Heading1"/>
        <w:pBdr>
          <w:bottom w:val="single" w:sz="8" w:space="4" w:color="C9D6DE"/>
        </w:pBdr>
      </w:pPr>
      <w:r>
        <w:t>7. Assessment and completion</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8510"/>
            <w:shd w:val="clear" w:color="auto" w:fill="10375C"/>
          </w:tcPr>
          <w:p>
            <w:pPr>
              <w:spacing w:after="50" w:before="50"/>
            </w:pPr>
            <w:r>
              <w:rPr>
                <w:b/>
                <w:color w:val="FFFFFF"/>
                <w:sz w:val="17"/>
              </w:rPr>
              <w:t>Component</w:t>
            </w:r>
          </w:p>
        </w:tc>
        <w:tc>
          <w:tcPr>
            <w:tcW w:type="dxa" w:w="958"/>
            <w:shd w:val="clear" w:color="auto" w:fill="10375C"/>
          </w:tcPr>
          <w:p>
            <w:pPr>
              <w:spacing w:after="50" w:before="50"/>
            </w:pPr>
            <w:r>
              <w:rPr>
                <w:b/>
                <w:color w:val="FFFFFF"/>
                <w:sz w:val="17"/>
              </w:rPr>
              <w:t>Weight</w:t>
            </w:r>
          </w:p>
        </w:tc>
      </w:tr>
      <w:tr>
        <w:tc>
          <w:tcPr>
            <w:tcW w:type="dxa" w:w="8510"/>
          </w:tcPr>
          <w:p>
            <w:pPr>
              <w:spacing w:after="50" w:before="50" w:line="252" w:lineRule="auto"/>
            </w:pPr>
            <w:r>
              <w:rPr>
                <w:sz w:val="17"/>
              </w:rPr>
              <w:t>Continuous supervisor assessment</w:t>
            </w:r>
          </w:p>
        </w:tc>
        <w:tc>
          <w:tcPr>
            <w:tcW w:type="dxa" w:w="958"/>
          </w:tcPr>
          <w:p>
            <w:pPr>
              <w:spacing w:after="50" w:before="50" w:line="252" w:lineRule="auto"/>
            </w:pPr>
            <w:r>
              <w:rPr>
                <w:sz w:val="17"/>
              </w:rPr>
              <w:t>50%</w:t>
            </w:r>
          </w:p>
        </w:tc>
      </w:tr>
      <w:tr>
        <w:tc>
          <w:tcPr>
            <w:tcW w:type="dxa" w:w="8510"/>
            <w:shd w:val="clear" w:color="auto" w:fill="EAF1F4"/>
          </w:tcPr>
          <w:p>
            <w:pPr>
              <w:spacing w:after="50" w:before="50" w:line="252" w:lineRule="auto"/>
            </w:pPr>
            <w:r>
              <w:rPr>
                <w:sz w:val="17"/>
              </w:rPr>
              <w:t>Written output — case note, research memorandum or reflective report</w:t>
            </w:r>
          </w:p>
        </w:tc>
        <w:tc>
          <w:tcPr>
            <w:tcW w:type="dxa" w:w="958"/>
            <w:shd w:val="clear" w:color="auto" w:fill="EAF1F4"/>
          </w:tcPr>
          <w:p>
            <w:pPr>
              <w:spacing w:after="50" w:before="50" w:line="252" w:lineRule="auto"/>
            </w:pPr>
            <w:r>
              <w:rPr>
                <w:sz w:val="17"/>
              </w:rPr>
              <w:t>30%</w:t>
            </w:r>
          </w:p>
        </w:tc>
      </w:tr>
      <w:tr>
        <w:tc>
          <w:tcPr>
            <w:tcW w:type="dxa" w:w="8510"/>
          </w:tcPr>
          <w:p>
            <w:pPr>
              <w:spacing w:after="50" w:before="50" w:line="252" w:lineRule="auto"/>
            </w:pPr>
            <w:r>
              <w:rPr>
                <w:sz w:val="17"/>
              </w:rPr>
              <w:t>Exit viva</w:t>
            </w:r>
          </w:p>
        </w:tc>
        <w:tc>
          <w:tcPr>
            <w:tcW w:type="dxa" w:w="958"/>
          </w:tcPr>
          <w:p>
            <w:pPr>
              <w:spacing w:after="50" w:before="50" w:line="252" w:lineRule="auto"/>
            </w:pPr>
            <w:r>
              <w:rPr>
                <w:sz w:val="17"/>
              </w:rPr>
              <w:t>20%</w:t>
            </w:r>
          </w:p>
        </w:tc>
      </w:tr>
    </w:tbl>
    <w:p>
      <w:pPr>
        <w:spacing w:after="80" w:before="0"/>
      </w:pPr>
    </w:p>
    <w:p>
      <w:r>
        <w:t xml:space="preserve">Grades: Outstanding · Good · Satisfactory · Not completed. Attendance of at least </w:t>
      </w:r>
      <w:r>
        <w:rPr>
          <w:b/>
        </w:rPr>
        <w:t>[●]%</w:t>
      </w:r>
      <w:r>
        <w:t xml:space="preserve"> is a condition of the certificate.</w:t>
      </w:r>
    </w:p>
    <w:p>
      <w:r>
        <w:t>On completion: certificate (L-14) within seven days; written evaluation to the institution where credit is sought; exit interview; and, where appropriate, an invitation to the alumni network.</w:t>
      </w:r>
    </w:p>
    <w:p>
      <w:pPr>
        <w:spacing w:before="80" w:after="160"/>
        <w:pBdr>
          <w:bottom w:val="single" w:sz="6" w:space="1" w:color="C9D6DE"/>
        </w:pBdr>
      </w:pPr>
    </w:p>
    <w:p>
      <w:pPr>
        <w:pStyle w:val="Heading1"/>
        <w:pBdr>
          <w:bottom w:val="single" w:sz="8" w:space="4" w:color="C9D6DE"/>
        </w:pBdr>
      </w:pPr>
      <w:r>
        <w:t>8. Conversion to employment</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9468"/>
      </w:tblGrid>
      <w:tr>
        <w:trPr>
          <w:tblHeader w:val="true"/>
        </w:trPr>
        <w:tc>
          <w:tcPr>
            <w:tcW w:type="dxa" w:w="9468"/>
            <w:shd w:val="clear" w:color="auto" w:fill="10375C"/>
          </w:tcPr>
          <w:p>
            <w:pPr>
              <w:spacing w:after="50" w:before="50"/>
            </w:pPr>
            <w:r>
              <w:rPr>
                <w:b/>
                <w:color w:val="FFFFFF"/>
                <w:sz w:val="17"/>
              </w:rPr>
              <w:t>Rule</w:t>
            </w:r>
          </w:p>
        </w:tc>
      </w:tr>
      <w:tr>
        <w:tc>
          <w:tcPr>
            <w:tcW w:type="dxa" w:w="9468"/>
          </w:tcPr>
          <w:p>
            <w:pPr>
              <w:spacing w:after="50" w:before="50" w:line="252" w:lineRule="auto"/>
            </w:pPr>
            <w:r>
              <w:rPr>
                <w:sz w:val="17"/>
              </w:rPr>
              <w:t>No promise of employment at any stage</w:t>
            </w:r>
          </w:p>
        </w:tc>
      </w:tr>
      <w:tr>
        <w:tc>
          <w:tcPr>
            <w:tcW w:type="dxa" w:w="9468"/>
            <w:shd w:val="clear" w:color="auto" w:fill="EAF1F4"/>
          </w:tcPr>
          <w:p>
            <w:pPr>
              <w:spacing w:after="50" w:before="50" w:line="252" w:lineRule="auto"/>
            </w:pPr>
            <w:r>
              <w:rPr>
                <w:sz w:val="17"/>
              </w:rPr>
              <w:t>Conversion is by open application to a published role, with the internship record as evidence</w:t>
            </w:r>
          </w:p>
        </w:tc>
      </w:tr>
      <w:tr>
        <w:tc>
          <w:tcPr>
            <w:tcW w:type="dxa" w:w="9468"/>
          </w:tcPr>
          <w:p>
            <w:pPr>
              <w:spacing w:after="50" w:before="50" w:line="252" w:lineRule="auto"/>
            </w:pPr>
            <w:r>
              <w:rPr>
                <w:sz w:val="17"/>
              </w:rPr>
              <w:t>The internship record — supervisor assessments, output, viva — forms part of the assessment</w:t>
            </w:r>
          </w:p>
        </w:tc>
      </w:tr>
      <w:tr>
        <w:tc>
          <w:tcPr>
            <w:tcW w:type="dxa" w:w="9468"/>
            <w:shd w:val="clear" w:color="auto" w:fill="EAF1F4"/>
          </w:tcPr>
          <w:p>
            <w:pPr>
              <w:spacing w:after="50" w:before="50" w:line="252" w:lineRule="auto"/>
            </w:pPr>
            <w:r>
              <w:rPr>
                <w:sz w:val="17"/>
              </w:rPr>
              <w:t>Conversion rate is tracked and reported on the scorecard, because it is the principal pipeline measure</w:t>
            </w:r>
          </w:p>
        </w:tc>
      </w:tr>
      <w:tr>
        <w:tc>
          <w:tcPr>
            <w:tcW w:type="dxa" w:w="9468"/>
          </w:tcPr>
          <w:p>
            <w:pPr>
              <w:spacing w:after="50" w:before="50" w:line="252" w:lineRule="auto"/>
            </w:pPr>
            <w:r>
              <w:rPr>
                <w:sz w:val="17"/>
              </w:rPr>
              <w:t>Where a role exists and a former intern is suitable, the Coordinator tells them the role is open. That is not a promise, and it should be stated as such</w:t>
            </w:r>
          </w:p>
        </w:tc>
      </w:tr>
    </w:tbl>
    <w:p>
      <w:pPr>
        <w:spacing w:after="80" w:before="0"/>
      </w:pPr>
    </w:p>
    <w:p>
      <w:pPr>
        <w:spacing w:before="80" w:after="160"/>
        <w:pBdr>
          <w:bottom w:val="single" w:sz="6" w:space="1" w:color="C9D6DE"/>
        </w:pBdr>
      </w:pPr>
    </w:p>
    <w:p>
      <w:pPr>
        <w:pStyle w:val="Heading1"/>
        <w:pBdr>
          <w:bottom w:val="single" w:sz="8" w:space="4" w:color="C9D6DE"/>
        </w:pBdr>
      </w:pPr>
      <w:r>
        <w:t>9. Discipline and termination</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3808"/>
            <w:shd w:val="clear" w:color="auto" w:fill="10375C"/>
          </w:tcPr>
          <w:p>
            <w:pPr>
              <w:spacing w:after="50" w:before="50"/>
            </w:pPr>
            <w:r>
              <w:rPr>
                <w:b/>
                <w:color w:val="FFFFFF"/>
                <w:sz w:val="17"/>
              </w:rPr>
              <w:t>Conduct</w:t>
            </w:r>
          </w:p>
        </w:tc>
        <w:tc>
          <w:tcPr>
            <w:tcW w:type="dxa" w:w="5660"/>
            <w:shd w:val="clear" w:color="auto" w:fill="10375C"/>
          </w:tcPr>
          <w:p>
            <w:pPr>
              <w:spacing w:after="50" w:before="50"/>
            </w:pPr>
            <w:r>
              <w:rPr>
                <w:b/>
                <w:color w:val="FFFFFF"/>
                <w:sz w:val="17"/>
              </w:rPr>
              <w:t>Action</w:t>
            </w:r>
          </w:p>
        </w:tc>
      </w:tr>
      <w:tr>
        <w:tc>
          <w:tcPr>
            <w:tcW w:type="dxa" w:w="3808"/>
          </w:tcPr>
          <w:p>
            <w:pPr>
              <w:spacing w:after="50" w:before="50" w:line="252" w:lineRule="auto"/>
            </w:pPr>
            <w:r>
              <w:rPr>
                <w:b/>
                <w:sz w:val="17"/>
              </w:rPr>
              <w:t>Breach of confidentiality</w:t>
            </w:r>
          </w:p>
        </w:tc>
        <w:tc>
          <w:tcPr>
            <w:tcW w:type="dxa" w:w="5660"/>
          </w:tcPr>
          <w:p>
            <w:pPr>
              <w:spacing w:after="50" w:before="50" w:line="252" w:lineRule="auto"/>
            </w:pPr>
            <w:r>
              <w:rPr>
                <w:sz w:val="17"/>
              </w:rPr>
              <w:t>Immediate termination; institution informed; certificate withheld; matter reported to the Programme Director and to Legal</w:t>
            </w:r>
          </w:p>
        </w:tc>
      </w:tr>
      <w:tr>
        <w:tc>
          <w:tcPr>
            <w:tcW w:type="dxa" w:w="3808"/>
            <w:shd w:val="clear" w:color="auto" w:fill="EAF1F4"/>
          </w:tcPr>
          <w:p>
            <w:pPr>
              <w:spacing w:after="50" w:before="50" w:line="252" w:lineRule="auto"/>
            </w:pPr>
            <w:r>
              <w:rPr>
                <w:sz w:val="17"/>
              </w:rPr>
              <w:t>Dishonesty, including falsified attendance</w:t>
            </w:r>
          </w:p>
        </w:tc>
        <w:tc>
          <w:tcPr>
            <w:tcW w:type="dxa" w:w="5660"/>
            <w:shd w:val="clear" w:color="auto" w:fill="EAF1F4"/>
          </w:tcPr>
          <w:p>
            <w:pPr>
              <w:spacing w:after="50" w:before="50" w:line="252" w:lineRule="auto"/>
            </w:pPr>
            <w:r>
              <w:rPr>
                <w:sz w:val="17"/>
              </w:rPr>
              <w:t>Immediate termination; institution informed</w:t>
            </w:r>
          </w:p>
        </w:tc>
      </w:tr>
      <w:tr>
        <w:tc>
          <w:tcPr>
            <w:tcW w:type="dxa" w:w="3808"/>
          </w:tcPr>
          <w:p>
            <w:pPr>
              <w:spacing w:after="50" w:before="50" w:line="252" w:lineRule="auto"/>
            </w:pPr>
            <w:r>
              <w:rPr>
                <w:sz w:val="17"/>
              </w:rPr>
              <w:t>Conduct endangering any person</w:t>
            </w:r>
          </w:p>
        </w:tc>
        <w:tc>
          <w:tcPr>
            <w:tcW w:type="dxa" w:w="5660"/>
          </w:tcPr>
          <w:p>
            <w:pPr>
              <w:spacing w:after="50" w:before="50" w:line="252" w:lineRule="auto"/>
            </w:pPr>
            <w:r>
              <w:rPr>
                <w:sz w:val="17"/>
              </w:rPr>
              <w:t>Immediate termination; safeguarding protocol</w:t>
            </w:r>
          </w:p>
        </w:tc>
      </w:tr>
      <w:tr>
        <w:tc>
          <w:tcPr>
            <w:tcW w:type="dxa" w:w="3808"/>
            <w:shd w:val="clear" w:color="auto" w:fill="EAF1F4"/>
          </w:tcPr>
          <w:p>
            <w:pPr>
              <w:spacing w:after="50" w:before="50" w:line="252" w:lineRule="auto"/>
            </w:pPr>
            <w:r>
              <w:rPr>
                <w:sz w:val="17"/>
              </w:rPr>
              <w:t>Persistent unexplained absence</w:t>
            </w:r>
          </w:p>
        </w:tc>
        <w:tc>
          <w:tcPr>
            <w:tcW w:type="dxa" w:w="5660"/>
            <w:shd w:val="clear" w:color="auto" w:fill="EAF1F4"/>
          </w:tcPr>
          <w:p>
            <w:pPr>
              <w:spacing w:after="50" w:before="50" w:line="252" w:lineRule="auto"/>
            </w:pPr>
            <w:r>
              <w:rPr>
                <w:sz w:val="17"/>
              </w:rPr>
              <w:t>Written warning, then termination</w:t>
            </w:r>
          </w:p>
        </w:tc>
      </w:tr>
      <w:tr>
        <w:tc>
          <w:tcPr>
            <w:tcW w:type="dxa" w:w="3808"/>
          </w:tcPr>
          <w:p>
            <w:pPr>
              <w:spacing w:after="50" w:before="50" w:line="252" w:lineRule="auto"/>
            </w:pPr>
            <w:r>
              <w:rPr>
                <w:sz w:val="17"/>
              </w:rPr>
              <w:t>Poor performance</w:t>
            </w:r>
          </w:p>
        </w:tc>
        <w:tc>
          <w:tcPr>
            <w:tcW w:type="dxa" w:w="5660"/>
          </w:tcPr>
          <w:p>
            <w:pPr>
              <w:spacing w:after="50" w:before="50" w:line="252" w:lineRule="auto"/>
            </w:pPr>
            <w:r>
              <w:rPr>
                <w:sz w:val="17"/>
              </w:rPr>
              <w:t>Supervision, additional support, revised plan; termination only if unresolved</w:t>
            </w:r>
          </w:p>
        </w:tc>
      </w:tr>
    </w:tbl>
    <w:p>
      <w:pPr>
        <w:spacing w:after="80" w:before="0"/>
      </w:pPr>
    </w:p>
    <w:p>
      <w:r>
        <w:t>Termination is authorised by the Programme Director, is confirmed in writing with reasons, and is notified to the institution.</w:t>
      </w:r>
    </w:p>
    <w:p>
      <w:pPr>
        <w:spacing w:before="80" w:after="160"/>
        <w:pBdr>
          <w:bottom w:val="single" w:sz="6" w:space="1" w:color="C9D6DE"/>
        </w:pBdr>
      </w:pPr>
    </w:p>
    <w:p>
      <w:pPr>
        <w:pStyle w:val="Heading1"/>
        <w:pBdr>
          <w:bottom w:val="single" w:sz="8" w:space="4" w:color="C9D6DE"/>
        </w:pBdr>
      </w:pPr>
      <w:r>
        <w:t>10. Records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5859"/>
            <w:shd w:val="clear" w:color="auto" w:fill="10375C"/>
          </w:tcPr>
          <w:p>
            <w:pPr>
              <w:spacing w:after="50" w:before="50"/>
            </w:pPr>
            <w:r>
              <w:rPr>
                <w:b/>
                <w:color w:val="FFFFFF"/>
                <w:sz w:val="17"/>
              </w:rPr>
              <w:t>Record</w:t>
            </w:r>
          </w:p>
        </w:tc>
        <w:tc>
          <w:tcPr>
            <w:tcW w:type="dxa" w:w="3608"/>
            <w:shd w:val="clear" w:color="auto" w:fill="10375C"/>
          </w:tcPr>
          <w:p>
            <w:pPr>
              <w:spacing w:after="50" w:before="50"/>
            </w:pPr>
            <w:r>
              <w:rPr>
                <w:b/>
                <w:color w:val="FFFFFF"/>
                <w:sz w:val="17"/>
              </w:rPr>
              <w:t>Retention</w:t>
            </w:r>
          </w:p>
        </w:tc>
      </w:tr>
      <w:tr>
        <w:tc>
          <w:tcPr>
            <w:tcW w:type="dxa" w:w="5859"/>
          </w:tcPr>
          <w:p>
            <w:pPr>
              <w:spacing w:after="50" w:before="50" w:line="252" w:lineRule="auto"/>
            </w:pPr>
            <w:r>
              <w:rPr>
                <w:sz w:val="17"/>
              </w:rPr>
              <w:t>Application, CV, interview scores</w:t>
            </w:r>
          </w:p>
        </w:tc>
        <w:tc>
          <w:tcPr>
            <w:tcW w:type="dxa" w:w="3608"/>
          </w:tcPr>
          <w:p>
            <w:pPr>
              <w:spacing w:after="50" w:before="50" w:line="252" w:lineRule="auto"/>
            </w:pPr>
            <w:r>
              <w:rPr>
                <w:sz w:val="17"/>
              </w:rPr>
              <w:t>2 years for unsuccessful applicants</w:t>
            </w:r>
          </w:p>
        </w:tc>
      </w:tr>
      <w:tr>
        <w:tc>
          <w:tcPr>
            <w:tcW w:type="dxa" w:w="5859"/>
            <w:shd w:val="clear" w:color="auto" w:fill="EAF1F4"/>
          </w:tcPr>
          <w:p>
            <w:pPr>
              <w:spacing w:after="50" w:before="50" w:line="252" w:lineRule="auto"/>
            </w:pPr>
            <w:r>
              <w:rPr>
                <w:sz w:val="17"/>
              </w:rPr>
              <w:t>Internship agreement and undertakings</w:t>
            </w:r>
          </w:p>
        </w:tc>
        <w:tc>
          <w:tcPr>
            <w:tcW w:type="dxa" w:w="3608"/>
            <w:shd w:val="clear" w:color="auto" w:fill="EAF1F4"/>
          </w:tcPr>
          <w:p>
            <w:pPr>
              <w:spacing w:after="50" w:before="50" w:line="252" w:lineRule="auto"/>
            </w:pPr>
            <w:r>
              <w:rPr>
                <w:sz w:val="17"/>
              </w:rPr>
              <w:t>7 years</w:t>
            </w:r>
          </w:p>
        </w:tc>
      </w:tr>
      <w:tr>
        <w:tc>
          <w:tcPr>
            <w:tcW w:type="dxa" w:w="5859"/>
          </w:tcPr>
          <w:p>
            <w:pPr>
              <w:spacing w:after="50" w:before="50" w:line="252" w:lineRule="auto"/>
            </w:pPr>
            <w:r>
              <w:rPr>
                <w:sz w:val="17"/>
              </w:rPr>
              <w:t>Guardian consent</w:t>
            </w:r>
          </w:p>
        </w:tc>
        <w:tc>
          <w:tcPr>
            <w:tcW w:type="dxa" w:w="3608"/>
          </w:tcPr>
          <w:p>
            <w:pPr>
              <w:spacing w:after="50" w:before="50" w:line="252" w:lineRule="auto"/>
            </w:pPr>
            <w:r>
              <w:rPr>
                <w:sz w:val="17"/>
              </w:rPr>
              <w:t>Until 3 years after majority</w:t>
            </w:r>
          </w:p>
        </w:tc>
      </w:tr>
      <w:tr>
        <w:tc>
          <w:tcPr>
            <w:tcW w:type="dxa" w:w="5859"/>
            <w:shd w:val="clear" w:color="auto" w:fill="EAF1F4"/>
          </w:tcPr>
          <w:p>
            <w:pPr>
              <w:spacing w:after="50" w:before="50" w:line="252" w:lineRule="auto"/>
            </w:pPr>
            <w:r>
              <w:rPr>
                <w:sz w:val="17"/>
              </w:rPr>
              <w:t>Supervision logs and assessments</w:t>
            </w:r>
          </w:p>
        </w:tc>
        <w:tc>
          <w:tcPr>
            <w:tcW w:type="dxa" w:w="3608"/>
            <w:shd w:val="clear" w:color="auto" w:fill="EAF1F4"/>
          </w:tcPr>
          <w:p>
            <w:pPr>
              <w:spacing w:after="50" w:before="50" w:line="252" w:lineRule="auto"/>
            </w:pPr>
            <w:r>
              <w:rPr>
                <w:sz w:val="17"/>
              </w:rPr>
              <w:t>7 years</w:t>
            </w:r>
          </w:p>
        </w:tc>
      </w:tr>
      <w:tr>
        <w:tc>
          <w:tcPr>
            <w:tcW w:type="dxa" w:w="5859"/>
          </w:tcPr>
          <w:p>
            <w:pPr>
              <w:spacing w:after="50" w:before="50" w:line="252" w:lineRule="auto"/>
            </w:pPr>
            <w:r>
              <w:rPr>
                <w:sz w:val="17"/>
              </w:rPr>
              <w:t>Live exposure authorisations and party consents</w:t>
            </w:r>
          </w:p>
        </w:tc>
        <w:tc>
          <w:tcPr>
            <w:tcW w:type="dxa" w:w="3608"/>
          </w:tcPr>
          <w:p>
            <w:pPr>
              <w:spacing w:after="50" w:before="50" w:line="252" w:lineRule="auto"/>
            </w:pPr>
            <w:r>
              <w:rPr>
                <w:sz w:val="17"/>
              </w:rPr>
              <w:t>With the case file</w:t>
            </w:r>
          </w:p>
        </w:tc>
      </w:tr>
      <w:tr>
        <w:tc>
          <w:tcPr>
            <w:tcW w:type="dxa" w:w="5859"/>
            <w:shd w:val="clear" w:color="auto" w:fill="EAF1F4"/>
          </w:tcPr>
          <w:p>
            <w:pPr>
              <w:spacing w:after="50" w:before="50" w:line="252" w:lineRule="auto"/>
            </w:pPr>
            <w:r>
              <w:rPr>
                <w:sz w:val="17"/>
              </w:rPr>
              <w:t>Completion certificates and evaluations</w:t>
            </w:r>
          </w:p>
        </w:tc>
        <w:tc>
          <w:tcPr>
            <w:tcW w:type="dxa" w:w="3608"/>
            <w:shd w:val="clear" w:color="auto" w:fill="EAF1F4"/>
          </w:tcPr>
          <w:p>
            <w:pPr>
              <w:spacing w:after="50" w:before="50" w:line="252" w:lineRule="auto"/>
            </w:pPr>
            <w:r>
              <w:rPr>
                <w:sz w:val="17"/>
              </w:rPr>
              <w:t>7 years</w:t>
            </w:r>
          </w:p>
        </w:tc>
      </w:tr>
      <w:tr>
        <w:tc>
          <w:tcPr>
            <w:tcW w:type="dxa" w:w="5859"/>
          </w:tcPr>
          <w:p>
            <w:pPr>
              <w:spacing w:after="50" w:before="50" w:line="252" w:lineRule="auto"/>
            </w:pPr>
            <w:r>
              <w:rPr>
                <w:sz w:val="17"/>
              </w:rPr>
              <w:t>Stipend and payment records</w:t>
            </w:r>
          </w:p>
        </w:tc>
        <w:tc>
          <w:tcPr>
            <w:tcW w:type="dxa" w:w="3608"/>
          </w:tcPr>
          <w:p>
            <w:pPr>
              <w:spacing w:after="50" w:before="50" w:line="252" w:lineRule="auto"/>
            </w:pPr>
            <w:r>
              <w:rPr>
                <w:sz w:val="17"/>
              </w:rPr>
              <w:t>As required by law</w:t>
            </w:r>
          </w:p>
        </w:tc>
      </w:tr>
    </w:tbl>
    <w:p>
      <w:pPr>
        <w:spacing w:after="80" w:before="0"/>
      </w:pPr>
    </w:p>
    <w:sectPr w:rsidR="00FC693F" w:rsidRPr="0006063C" w:rsidSect="00034616">
      <w:headerReference w:type="default" r:id="rId9"/>
      <w:footerReference w:type="default" r:id="rId10"/>
      <w:pgSz w:w="11906" w:h="16838"/>
      <w:pgMar w:top="1134" w:right="1134" w:bottom="1020" w:left="130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34" w:val="center"/>
        <w:tab w:pos="9468" w:val="right"/>
      </w:tabs>
      <w:pBdr>
        <w:top w:val="single" w:sz="6" w:space="3" w:color="C9D6DE"/>
      </w:pBdr>
    </w:pPr>
    <w:r/>
    <w:r>
      <w:rPr>
        <w:color w:val="595959"/>
        <w:sz w:val="15"/>
      </w:rPr>
      <w:t>EQ-UAP-074  ·  v1.0</w:t>
    </w:r>
    <w:r>
      <w:tab/>
    </w:r>
    <w:r>
      <w:rPr>
        <w:b/>
        <w:color w:val="595959"/>
        <w:sz w:val="15"/>
      </w:rPr>
      <w:t>EQUATOR RESOLUTION</w:t>
    </w:r>
    <w:r>
      <w:tab/>
    </w:r>
    <w:r>
      <w:rPr>
        <w:color w:val="595959"/>
        <w:sz w:val="15"/>
      </w:rPr>
      <w:t xml:space="preserve">Page </w:t>
    </w:r>
    <w:r>
      <w:fldChar w:fldCharType="begin"/>
    </w:r>
    <w:r>
      <w:instrText xml:space="preserve"> PAGE </w:instrText>
    </w:r>
    <w:r>
      <w:fldChar w:fldCharType="separate"/>
    </w:r>
    <w:r>
      <w:rPr>
        <w:color w:val="595959"/>
        <w:sz w:val="15"/>
      </w:rPr>
      <w:t>…</w:t>
    </w:r>
    <w:r>
      <w:fldChar w:fldCharType="end"/>
    </w:r>
    <w:r>
      <w:rPr>
        <w:color w:val="595959"/>
        <w:sz w:val="15"/>
      </w:rPr>
      <w:t xml:space="preserve"> of </w:t>
    </w:r>
    <w:r>
      <w:fldChar w:fldCharType="begin"/>
    </w:r>
    <w:r>
      <w:instrText xml:space="preserve"> NUMPAGES </w:instrText>
    </w:r>
    <w:r>
      <w:fldChar w:fldCharType="separate"/>
    </w:r>
    <w:r>
      <w:rPr>
        <w:color w:val="595959"/>
        <w:sz w:val="15"/>
      </w:rP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68" w:val="right"/>
      </w:tabs>
      <w:pBdr>
        <w:bottom w:val="single" w:sz="6" w:space="3" w:color="C9D6DE"/>
      </w:pBdr>
    </w:pPr>
    <w:r/>
    <w:r>
      <w:rPr>
        <w:rFonts w:ascii="Calibri" w:hAnsi="Calibri"/>
        <w:b/>
        <w:color w:val="10375C"/>
        <w:sz w:val="16"/>
      </w:rPr>
      <w:t>Internship Programme SOP</w:t>
    </w:r>
    <w:r>
      <w:rPr>
        <w:rFonts w:ascii="Calibri" w:hAnsi="Calibri"/>
        <w:color w:val="595959"/>
        <w:sz w:val="16"/>
      </w:rPr>
      <w:tab/>
      <w:t>Confidential —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Rule="auto" w:line="271"/>
    </w:pPr>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lineRule="auto" w:line="240"/>
      <w:outlineLvl w:val="0"/>
    </w:pPr>
    <w:rPr>
      <w:rFonts w:asciiTheme="majorHAnsi" w:eastAsiaTheme="majorEastAsia" w:hAnsiTheme="majorHAnsi" w:cstheme="majorBidi" w:ascii="Calibri" w:hAnsi="Calibri" w:eastAsia="Calibri"/>
      <w:b/>
      <w:bCs/>
      <w:i w:val="0"/>
      <w:caps w:val="0"/>
      <w:color w:val="10375C"/>
      <w:sz w:val="31"/>
      <w:szCs w:val="28"/>
    </w:rPr>
  </w:style>
  <w:style w:type="paragraph" w:styleId="Heading2">
    <w:name w:val="heading 2"/>
    <w:basedOn w:val="Normal"/>
    <w:next w:val="Normal"/>
    <w:link w:val="Heading2Char"/>
    <w:uiPriority w:val="9"/>
    <w:unhideWhenUsed/>
    <w:qFormat/>
    <w:rsid w:val="00FC693F"/>
    <w:pPr>
      <w:keepNext/>
      <w:keepLines/>
      <w:spacing w:before="320" w:after="100" w:lineRule="auto" w:line="240"/>
      <w:outlineLvl w:val="1"/>
    </w:pPr>
    <w:rPr>
      <w:rFonts w:asciiTheme="majorHAnsi" w:eastAsiaTheme="majorEastAsia" w:hAnsiTheme="majorHAnsi" w:cstheme="majorBidi" w:ascii="Calibri" w:hAnsi="Calibri" w:eastAsia="Calibri"/>
      <w:b/>
      <w:bCs/>
      <w:i w:val="0"/>
      <w:caps w:val="0"/>
      <w:color w:val="0E7C7B"/>
      <w:sz w:val="25"/>
      <w:szCs w:val="26"/>
    </w:rPr>
  </w:style>
  <w:style w:type="paragraph" w:styleId="Heading3">
    <w:name w:val="heading 3"/>
    <w:basedOn w:val="Normal"/>
    <w:next w:val="Normal"/>
    <w:link w:val="Heading3Char"/>
    <w:uiPriority w:val="9"/>
    <w:unhideWhenUsed/>
    <w:qFormat/>
    <w:rsid w:val="00FC693F"/>
    <w:pPr>
      <w:keepNext/>
      <w:keepLines/>
      <w:spacing w:before="260" w:after="80" w:lineRule="auto" w:line="240"/>
      <w:outlineLvl w:val="2"/>
    </w:pPr>
    <w:rPr>
      <w:rFonts w:asciiTheme="majorHAnsi" w:eastAsiaTheme="majorEastAsia" w:hAnsiTheme="majorHAnsi" w:cstheme="majorBidi" w:ascii="Calibri" w:hAnsi="Calibri" w:eastAsia="Calibri"/>
      <w:b/>
      <w:bCs/>
      <w:i w:val="0"/>
      <w:caps w:val="0"/>
      <w:color w:val="10375C"/>
      <w:sz w:val="22"/>
    </w:rPr>
  </w:style>
  <w:style w:type="paragraph" w:styleId="Heading4">
    <w:name w:val="heading 4"/>
    <w:basedOn w:val="Normal"/>
    <w:next w:val="Normal"/>
    <w:link w:val="Heading4Char"/>
    <w:uiPriority w:val="9"/>
    <w:semiHidden/>
    <w:unhideWhenUsed/>
    <w:qFormat/>
    <w:rsid w:val="00FC693F"/>
    <w:pPr>
      <w:keepNext/>
      <w:keepLines/>
      <w:spacing w:before="220" w:after="60" w:lineRule="auto" w:line="240"/>
      <w:outlineLvl w:val="3"/>
    </w:pPr>
    <w:rPr>
      <w:rFonts w:asciiTheme="majorHAnsi" w:eastAsiaTheme="majorEastAsia" w:hAnsiTheme="majorHAnsi" w:cstheme="majorBidi" w:ascii="Calibri" w:hAnsi="Calibri" w:eastAsia="Calibri"/>
      <w:b/>
      <w:bCs/>
      <w:i/>
      <w:iCs/>
      <w:caps w:val="0"/>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color w:val="262626"/>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color w:val="262626"/>
      <w:sz w:val="21"/>
    </w:rPr>
  </w:style>
  <w:style w:type="paragraph" w:styleId="ListNumber2">
    <w:name w:val="List Number 2"/>
    <w:basedOn w:val="Normal"/>
    <w:uiPriority w:val="99"/>
    <w:unhideWhenUsed/>
    <w:rsid w:val="0029639D"/>
    <w:pPr>
      <w:numPr>
        <w:numId w:val="6"/>
      </w:numPr>
      <w:spacing w:after="40"/>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D992D677-3530-457A-824F-286D6A1637B8}"/>
</file>

<file path=customXml/itemProps3.xml><?xml version="1.0" encoding="utf-8"?>
<ds:datastoreItem xmlns:ds="http://schemas.openxmlformats.org/officeDocument/2006/customXml" ds:itemID="{FE4F176A-344D-42E2-815C-4CE2DD113E61}"/>
</file>

<file path=customXml/itemProps4.xml><?xml version="1.0" encoding="utf-8"?>
<ds:datastoreItem xmlns:ds="http://schemas.openxmlformats.org/officeDocument/2006/customXml" ds:itemID="{1359B2E3-4D7B-46D2-8336-8099B271F2F1}"/>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