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Campus Mediation Cell — Establishment &amp; Operating Manual</w:t>
      </w:r>
    </w:p>
    <w:p>
      <w:pPr>
        <w:spacing w:after="280" w:line="276" w:lineRule="auto"/>
      </w:pPr>
      <w:r>
        <w:rPr>
          <w:rFonts w:ascii="Calibri" w:hAnsi="Calibri"/>
          <w:i/>
          <w:color w:val="3E6B8A"/>
          <w:sz w:val="25"/>
        </w:rPr>
        <w:t>Constitution, selection, training, case boundaries, supervision and escalation for a student peer-mediation service</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EQ-UAP-077</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Operations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and partner institution</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What a Campus Mediation Cell is, and what it is not</w:t>
      </w:r>
    </w:p>
    <w:p>
      <w:r>
        <w:t xml:space="preserve">A Campus Mediation Cell is a body of trained student mediators who help fellow students resolve </w:t>
      </w:r>
      <w:r>
        <w:rPr>
          <w:b/>
        </w:rPr>
        <w:t>low-level interpersonal disputes</w:t>
      </w:r>
      <w:r>
        <w:t xml:space="preserve"> under professional supervision.</w:t>
      </w:r>
    </w:p>
    <w:p>
      <w:r>
        <w:rPr>
          <w:b/>
        </w:rPr>
        <w:t>It is not</w:t>
      </w:r>
      <w:r>
        <w:t xml:space="preserve"> a disciplinary body, an investigative body, a grievance committee, a counselling service, or a substitute for any statutory mechanism. The boundaries in section 4 are the most important part of this manual, and they are not adjustable by the Cell.</w:t>
      </w:r>
    </w:p>
    <w:p>
      <w:pPr>
        <w:pStyle w:val="Heading2"/>
      </w:pPr>
      <w:r>
        <w:t>1.1 Why Equator establishes cells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410"/>
            <w:shd w:val="clear" w:color="auto" w:fill="10375C"/>
          </w:tcPr>
          <w:p>
            <w:pPr>
              <w:spacing w:after="50" w:before="50"/>
            </w:pPr>
            <w:r>
              <w:rPr>
                <w:b/>
                <w:color w:val="FFFFFF"/>
                <w:sz w:val="17"/>
              </w:rPr>
              <w:t>Reason</w:t>
            </w:r>
          </w:p>
        </w:tc>
        <w:tc>
          <w:tcPr>
            <w:tcW w:type="dxa" w:w="7058"/>
            <w:shd w:val="clear" w:color="auto" w:fill="10375C"/>
          </w:tcPr>
          <w:p>
            <w:pPr>
              <w:spacing w:after="50" w:before="50"/>
            </w:pPr>
            <w:r>
              <w:rPr>
                <w:b/>
                <w:color w:val="FFFFFF"/>
                <w:sz w:val="17"/>
              </w:rPr>
              <w:t>Effect</w:t>
            </w:r>
          </w:p>
        </w:tc>
      </w:tr>
      <w:tr>
        <w:tc>
          <w:tcPr>
            <w:tcW w:type="dxa" w:w="2410"/>
          </w:tcPr>
          <w:p>
            <w:pPr>
              <w:spacing w:after="50" w:before="50" w:line="252" w:lineRule="auto"/>
            </w:pPr>
            <w:r>
              <w:rPr>
                <w:sz w:val="17"/>
              </w:rPr>
              <w:t>Permanent presence</w:t>
            </w:r>
          </w:p>
        </w:tc>
        <w:tc>
          <w:tcPr>
            <w:tcW w:type="dxa" w:w="7058"/>
          </w:tcPr>
          <w:p>
            <w:pPr>
              <w:spacing w:after="50" w:before="50" w:line="252" w:lineRule="auto"/>
            </w:pPr>
            <w:r>
              <w:rPr>
                <w:sz w:val="17"/>
              </w:rPr>
              <w:t>A structure on campus that continues between programmes</w:t>
            </w:r>
          </w:p>
        </w:tc>
      </w:tr>
      <w:tr>
        <w:tc>
          <w:tcPr>
            <w:tcW w:type="dxa" w:w="2410"/>
            <w:shd w:val="clear" w:color="auto" w:fill="EAF1F4"/>
          </w:tcPr>
          <w:p>
            <w:pPr>
              <w:spacing w:after="50" w:before="50" w:line="252" w:lineRule="auto"/>
            </w:pPr>
            <w:r>
              <w:rPr>
                <w:sz w:val="17"/>
              </w:rPr>
              <w:t>Best pipeline</w:t>
            </w:r>
          </w:p>
        </w:tc>
        <w:tc>
          <w:tcPr>
            <w:tcW w:type="dxa" w:w="7058"/>
            <w:shd w:val="clear" w:color="auto" w:fill="EAF1F4"/>
          </w:tcPr>
          <w:p>
            <w:pPr>
              <w:spacing w:after="50" w:before="50" w:line="252" w:lineRule="auto"/>
            </w:pPr>
            <w:r>
              <w:rPr>
                <w:sz w:val="17"/>
              </w:rPr>
              <w:t>Cell members are the strongest internship candidates because they have actually done it</w:t>
            </w:r>
          </w:p>
        </w:tc>
      </w:tr>
      <w:tr>
        <w:tc>
          <w:tcPr>
            <w:tcW w:type="dxa" w:w="2410"/>
          </w:tcPr>
          <w:p>
            <w:pPr>
              <w:spacing w:after="50" w:before="50" w:line="252" w:lineRule="auto"/>
            </w:pPr>
            <w:r>
              <w:rPr>
                <w:sz w:val="17"/>
              </w:rPr>
              <w:t>Visible activity</w:t>
            </w:r>
          </w:p>
        </w:tc>
        <w:tc>
          <w:tcPr>
            <w:tcW w:type="dxa" w:w="7058"/>
          </w:tcPr>
          <w:p>
            <w:pPr>
              <w:spacing w:after="50" w:before="50" w:line="252" w:lineRule="auto"/>
            </w:pPr>
            <w:r>
              <w:rPr>
                <w:sz w:val="17"/>
              </w:rPr>
              <w:t>Keeps a partnership alive with almost no cost</w:t>
            </w:r>
          </w:p>
        </w:tc>
      </w:tr>
      <w:tr>
        <w:tc>
          <w:tcPr>
            <w:tcW w:type="dxa" w:w="2410"/>
            <w:shd w:val="clear" w:color="auto" w:fill="EAF1F4"/>
          </w:tcPr>
          <w:p>
            <w:pPr>
              <w:spacing w:after="50" w:before="50" w:line="252" w:lineRule="auto"/>
            </w:pPr>
            <w:r>
              <w:rPr>
                <w:sz w:val="17"/>
              </w:rPr>
              <w:t>Credibility</w:t>
            </w:r>
          </w:p>
        </w:tc>
        <w:tc>
          <w:tcPr>
            <w:tcW w:type="dxa" w:w="7058"/>
            <w:shd w:val="clear" w:color="auto" w:fill="EAF1F4"/>
          </w:tcPr>
          <w:p>
            <w:pPr>
              <w:spacing w:after="50" w:before="50" w:line="252" w:lineRule="auto"/>
            </w:pPr>
            <w:r>
              <w:rPr>
                <w:sz w:val="17"/>
              </w:rPr>
              <w:t>A working service, not a training brochure</w:t>
            </w:r>
          </w:p>
        </w:tc>
      </w:tr>
      <w:tr>
        <w:tc>
          <w:tcPr>
            <w:tcW w:type="dxa" w:w="2410"/>
          </w:tcPr>
          <w:p>
            <w:pPr>
              <w:spacing w:after="50" w:before="50" w:line="252" w:lineRule="auto"/>
            </w:pPr>
            <w:r>
              <w:rPr>
                <w:sz w:val="17"/>
              </w:rPr>
              <w:t>Institutional value</w:t>
            </w:r>
          </w:p>
        </w:tc>
        <w:tc>
          <w:tcPr>
            <w:tcW w:type="dxa" w:w="7058"/>
          </w:tcPr>
          <w:p>
            <w:pPr>
              <w:spacing w:after="50" w:before="50" w:line="252" w:lineRule="auto"/>
            </w:pPr>
            <w:r>
              <w:rPr>
                <w:sz w:val="17"/>
              </w:rPr>
              <w:t>Reduces the load on the formal grievance machinery</w:t>
            </w:r>
          </w:p>
        </w:tc>
      </w:tr>
    </w:tbl>
    <w:p>
      <w:pPr>
        <w:spacing w:after="80" w:before="0"/>
      </w:pPr>
    </w:p>
    <w:p>
      <w:pPr>
        <w:spacing w:before="80" w:after="160"/>
        <w:pBdr>
          <w:bottom w:val="single" w:sz="6" w:space="1" w:color="C9D6DE"/>
        </w:pBdr>
      </w:pPr>
    </w:p>
    <w:p>
      <w:pPr>
        <w:pStyle w:val="Heading1"/>
        <w:pBdr>
          <w:bottom w:val="single" w:sz="8" w:space="4" w:color="C9D6DE"/>
        </w:pBdr>
      </w:pPr>
      <w:r>
        <w:t>2. Constitution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110"/>
            <w:shd w:val="clear" w:color="auto" w:fill="10375C"/>
          </w:tcPr>
          <w:p>
            <w:pPr>
              <w:spacing w:after="50" w:before="50"/>
            </w:pPr>
            <w:r>
              <w:rPr>
                <w:b/>
                <w:color w:val="FFFFFF"/>
                <w:sz w:val="17"/>
              </w:rPr>
              <w:t>Element</w:t>
            </w:r>
          </w:p>
        </w:tc>
        <w:tc>
          <w:tcPr>
            <w:tcW w:type="dxa" w:w="7358"/>
            <w:shd w:val="clear" w:color="auto" w:fill="10375C"/>
          </w:tcPr>
          <w:p>
            <w:pPr>
              <w:spacing w:after="50" w:before="50"/>
            </w:pPr>
            <w:r>
              <w:rPr>
                <w:b/>
                <w:color w:val="FFFFFF"/>
                <w:sz w:val="17"/>
              </w:rPr>
              <w:t>Standard</w:t>
            </w:r>
          </w:p>
        </w:tc>
      </w:tr>
      <w:tr>
        <w:tc>
          <w:tcPr>
            <w:tcW w:type="dxa" w:w="2110"/>
          </w:tcPr>
          <w:p>
            <w:pPr>
              <w:spacing w:after="50" w:before="50" w:line="252" w:lineRule="auto"/>
            </w:pPr>
            <w:r>
              <w:rPr>
                <w:sz w:val="17"/>
              </w:rPr>
              <w:t>Status</w:t>
            </w:r>
          </w:p>
        </w:tc>
        <w:tc>
          <w:tcPr>
            <w:tcW w:type="dxa" w:w="7358"/>
          </w:tcPr>
          <w:p>
            <w:pPr>
              <w:spacing w:after="50" w:before="50" w:line="252" w:lineRule="auto"/>
            </w:pPr>
            <w:r>
              <w:rPr>
                <w:sz w:val="17"/>
              </w:rPr>
              <w:t>A recognised student body under the institution's regulations, with a faculty convenor</w:t>
            </w:r>
          </w:p>
        </w:tc>
      </w:tr>
      <w:tr>
        <w:tc>
          <w:tcPr>
            <w:tcW w:type="dxa" w:w="2110"/>
            <w:shd w:val="clear" w:color="auto" w:fill="EAF1F4"/>
          </w:tcPr>
          <w:p>
            <w:pPr>
              <w:spacing w:after="50" w:before="50" w:line="252" w:lineRule="auto"/>
            </w:pPr>
            <w:r>
              <w:rPr>
                <w:sz w:val="17"/>
              </w:rPr>
              <w:t>Faculty Convenor</w:t>
            </w:r>
          </w:p>
        </w:tc>
        <w:tc>
          <w:tcPr>
            <w:tcW w:type="dxa" w:w="7358"/>
            <w:shd w:val="clear" w:color="auto" w:fill="EAF1F4"/>
          </w:tcPr>
          <w:p>
            <w:pPr>
              <w:spacing w:after="50" w:before="50" w:line="252" w:lineRule="auto"/>
            </w:pPr>
            <w:r>
              <w:rPr>
                <w:sz w:val="17"/>
              </w:rPr>
              <w:t>Appointed by the institution; the accountable person</w:t>
            </w:r>
          </w:p>
        </w:tc>
      </w:tr>
      <w:tr>
        <w:tc>
          <w:tcPr>
            <w:tcW w:type="dxa" w:w="2110"/>
          </w:tcPr>
          <w:p>
            <w:pPr>
              <w:spacing w:after="50" w:before="50" w:line="252" w:lineRule="auto"/>
            </w:pPr>
            <w:r>
              <w:rPr>
                <w:sz w:val="17"/>
              </w:rPr>
              <w:t>Equator Supervisor</w:t>
            </w:r>
          </w:p>
        </w:tc>
        <w:tc>
          <w:tcPr>
            <w:tcW w:type="dxa" w:w="7358"/>
          </w:tcPr>
          <w:p>
            <w:pPr>
              <w:spacing w:after="50" w:before="50" w:line="252" w:lineRule="auto"/>
            </w:pPr>
            <w:r>
              <w:rPr>
                <w:sz w:val="17"/>
              </w:rPr>
              <w:t>A neutral appointed by Equator; monthly supervision for the first year, included in the A-CELL engagement</w:t>
            </w:r>
          </w:p>
        </w:tc>
      </w:tr>
      <w:tr>
        <w:tc>
          <w:tcPr>
            <w:tcW w:type="dxa" w:w="2110"/>
            <w:shd w:val="clear" w:color="auto" w:fill="EAF1F4"/>
          </w:tcPr>
          <w:p>
            <w:pPr>
              <w:spacing w:after="50" w:before="50" w:line="252" w:lineRule="auto"/>
            </w:pPr>
            <w:r>
              <w:rPr>
                <w:sz w:val="17"/>
              </w:rPr>
              <w:t>Student Coordinator</w:t>
            </w:r>
          </w:p>
        </w:tc>
        <w:tc>
          <w:tcPr>
            <w:tcW w:type="dxa" w:w="7358"/>
            <w:shd w:val="clear" w:color="auto" w:fill="EAF1F4"/>
          </w:tcPr>
          <w:p>
            <w:pPr>
              <w:spacing w:after="50" w:before="50" w:line="252" w:lineRule="auto"/>
            </w:pPr>
            <w:r>
              <w:rPr>
                <w:sz w:val="17"/>
              </w:rPr>
              <w:t>Elected annually from trained members</w:t>
            </w:r>
          </w:p>
        </w:tc>
      </w:tr>
      <w:tr>
        <w:tc>
          <w:tcPr>
            <w:tcW w:type="dxa" w:w="2110"/>
          </w:tcPr>
          <w:p>
            <w:pPr>
              <w:spacing w:after="50" w:before="50" w:line="252" w:lineRule="auto"/>
            </w:pPr>
            <w:r>
              <w:rPr>
                <w:sz w:val="17"/>
              </w:rPr>
              <w:t>Membership</w:t>
            </w:r>
          </w:p>
        </w:tc>
        <w:tc>
          <w:tcPr>
            <w:tcW w:type="dxa" w:w="7358"/>
          </w:tcPr>
          <w:p>
            <w:pPr>
              <w:spacing w:after="50" w:before="50" w:line="252" w:lineRule="auto"/>
            </w:pPr>
            <w:r>
              <w:rPr>
                <w:sz w:val="17"/>
              </w:rPr>
              <w:t>12 to 20 trained student mediators</w:t>
            </w:r>
          </w:p>
        </w:tc>
      </w:tr>
      <w:tr>
        <w:tc>
          <w:tcPr>
            <w:tcW w:type="dxa" w:w="2110"/>
            <w:shd w:val="clear" w:color="auto" w:fill="EAF1F4"/>
          </w:tcPr>
          <w:p>
            <w:pPr>
              <w:spacing w:after="50" w:before="50" w:line="252" w:lineRule="auto"/>
            </w:pPr>
            <w:r>
              <w:rPr>
                <w:sz w:val="17"/>
              </w:rPr>
              <w:t>Term</w:t>
            </w:r>
          </w:p>
        </w:tc>
        <w:tc>
          <w:tcPr>
            <w:tcW w:type="dxa" w:w="7358"/>
            <w:shd w:val="clear" w:color="auto" w:fill="EAF1F4"/>
          </w:tcPr>
          <w:p>
            <w:pPr>
              <w:spacing w:after="50" w:before="50" w:line="252" w:lineRule="auto"/>
            </w:pPr>
            <w:r>
              <w:rPr>
                <w:sz w:val="17"/>
              </w:rPr>
              <w:t>One academic year, renewable</w:t>
            </w:r>
          </w:p>
        </w:tc>
      </w:tr>
      <w:tr>
        <w:tc>
          <w:tcPr>
            <w:tcW w:type="dxa" w:w="2110"/>
          </w:tcPr>
          <w:p>
            <w:pPr>
              <w:spacing w:after="50" w:before="50" w:line="252" w:lineRule="auto"/>
            </w:pPr>
            <w:r>
              <w:rPr>
                <w:sz w:val="17"/>
              </w:rPr>
              <w:t>Meetings</w:t>
            </w:r>
          </w:p>
        </w:tc>
        <w:tc>
          <w:tcPr>
            <w:tcW w:type="dxa" w:w="7358"/>
          </w:tcPr>
          <w:p>
            <w:pPr>
              <w:spacing w:after="50" w:before="50" w:line="252" w:lineRule="auto"/>
            </w:pPr>
            <w:r>
              <w:rPr>
                <w:sz w:val="17"/>
              </w:rPr>
              <w:t>Fortnightly; case review monthly with the Equator Supervisor</w:t>
            </w:r>
          </w:p>
        </w:tc>
      </w:tr>
      <w:tr>
        <w:tc>
          <w:tcPr>
            <w:tcW w:type="dxa" w:w="2110"/>
            <w:shd w:val="clear" w:color="auto" w:fill="EAF1F4"/>
          </w:tcPr>
          <w:p>
            <w:pPr>
              <w:spacing w:after="50" w:before="50" w:line="252" w:lineRule="auto"/>
            </w:pPr>
            <w:r>
              <w:rPr>
                <w:sz w:val="17"/>
              </w:rPr>
              <w:t>Records</w:t>
            </w:r>
          </w:p>
        </w:tc>
        <w:tc>
          <w:tcPr>
            <w:tcW w:type="dxa" w:w="7358"/>
            <w:shd w:val="clear" w:color="auto" w:fill="EAF1F4"/>
          </w:tcPr>
          <w:p>
            <w:pPr>
              <w:spacing w:after="50" w:before="50" w:line="252" w:lineRule="auto"/>
            </w:pPr>
            <w:r>
              <w:rPr>
                <w:sz w:val="17"/>
              </w:rPr>
              <w:t xml:space="preserve">Case log maintained by the Coordinator; </w:t>
            </w:r>
            <w:r>
              <w:rPr>
                <w:b/>
                <w:sz w:val="17"/>
              </w:rPr>
              <w:t>anonymised</w:t>
            </w:r>
            <w:r>
              <w:rPr>
                <w:sz w:val="17"/>
              </w:rPr>
              <w:t>; reviewed monthly</w:t>
            </w:r>
          </w:p>
        </w:tc>
      </w:tr>
    </w:tbl>
    <w:p>
      <w:pPr>
        <w:spacing w:after="80" w:before="0"/>
      </w:pPr>
    </w:p>
    <w:p>
      <w:pPr>
        <w:spacing w:before="80" w:after="160"/>
        <w:pBdr>
          <w:bottom w:val="single" w:sz="6" w:space="1" w:color="C9D6DE"/>
        </w:pBdr>
      </w:pPr>
    </w:p>
    <w:p>
      <w:pPr>
        <w:pStyle w:val="Heading1"/>
        <w:pBdr>
          <w:bottom w:val="single" w:sz="8" w:space="4" w:color="C9D6DE"/>
        </w:pBdr>
      </w:pPr>
      <w:r>
        <w:t>3. Selection and training</w:t>
      </w:r>
    </w:p>
    <w:p>
      <w:pPr>
        <w:pStyle w:val="Heading2"/>
      </w:pPr>
      <w:r>
        <w:t>3.1 Selection</w:t>
      </w:r>
    </w:p>
    <w:p>
      <w:r>
        <w:t>Open application, followed by a written statement and a structured interview including a role play. Selection is by the Faculty Convenor and the Equator Supervisor jointly.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496"/>
            <w:shd w:val="clear" w:color="auto" w:fill="10375C"/>
          </w:tcPr>
          <w:p>
            <w:pPr>
              <w:spacing w:after="50" w:before="50"/>
            </w:pPr>
            <w:r>
              <w:rPr>
                <w:b/>
                <w:color w:val="FFFFFF"/>
                <w:sz w:val="17"/>
              </w:rPr>
              <w:t>Criterion</w:t>
            </w:r>
          </w:p>
        </w:tc>
        <w:tc>
          <w:tcPr>
            <w:tcW w:type="dxa" w:w="972"/>
            <w:shd w:val="clear" w:color="auto" w:fill="10375C"/>
          </w:tcPr>
          <w:p>
            <w:pPr>
              <w:spacing w:after="50" w:before="50"/>
            </w:pPr>
            <w:r>
              <w:rPr>
                <w:b/>
                <w:color w:val="FFFFFF"/>
                <w:sz w:val="17"/>
              </w:rPr>
              <w:t>Weight</w:t>
            </w:r>
          </w:p>
        </w:tc>
      </w:tr>
      <w:tr>
        <w:tc>
          <w:tcPr>
            <w:tcW w:type="dxa" w:w="8496"/>
          </w:tcPr>
          <w:p>
            <w:pPr>
              <w:spacing w:after="50" w:before="50" w:line="252" w:lineRule="auto"/>
            </w:pPr>
            <w:r>
              <w:rPr>
                <w:sz w:val="17"/>
              </w:rPr>
              <w:t>Judgement and discretion, assessed on a scenario</w:t>
            </w:r>
          </w:p>
        </w:tc>
        <w:tc>
          <w:tcPr>
            <w:tcW w:type="dxa" w:w="972"/>
          </w:tcPr>
          <w:p>
            <w:pPr>
              <w:spacing w:after="50" w:before="50" w:line="252" w:lineRule="auto"/>
            </w:pPr>
            <w:r>
              <w:rPr>
                <w:sz w:val="17"/>
              </w:rPr>
              <w:t>30%</w:t>
            </w:r>
          </w:p>
        </w:tc>
      </w:tr>
      <w:tr>
        <w:tc>
          <w:tcPr>
            <w:tcW w:type="dxa" w:w="8496"/>
            <w:shd w:val="clear" w:color="auto" w:fill="EAF1F4"/>
          </w:tcPr>
          <w:p>
            <w:pPr>
              <w:spacing w:after="50" w:before="50" w:line="252" w:lineRule="auto"/>
            </w:pPr>
            <w:r>
              <w:rPr>
                <w:sz w:val="17"/>
              </w:rPr>
              <w:t>Capacity to listen, assessed in the role play</w:t>
            </w:r>
          </w:p>
        </w:tc>
        <w:tc>
          <w:tcPr>
            <w:tcW w:type="dxa" w:w="972"/>
            <w:shd w:val="clear" w:color="auto" w:fill="EAF1F4"/>
          </w:tcPr>
          <w:p>
            <w:pPr>
              <w:spacing w:after="50" w:before="50" w:line="252" w:lineRule="auto"/>
            </w:pPr>
            <w:r>
              <w:rPr>
                <w:sz w:val="17"/>
              </w:rPr>
              <w:t>25%</w:t>
            </w:r>
          </w:p>
        </w:tc>
      </w:tr>
      <w:tr>
        <w:tc>
          <w:tcPr>
            <w:tcW w:type="dxa" w:w="8496"/>
          </w:tcPr>
          <w:p>
            <w:pPr>
              <w:spacing w:after="50" w:before="50" w:line="252" w:lineRule="auto"/>
            </w:pPr>
            <w:r>
              <w:rPr>
                <w:sz w:val="17"/>
              </w:rPr>
              <w:t>Impartiality and freedom from strong campus affiliations</w:t>
            </w:r>
          </w:p>
        </w:tc>
        <w:tc>
          <w:tcPr>
            <w:tcW w:type="dxa" w:w="972"/>
          </w:tcPr>
          <w:p>
            <w:pPr>
              <w:spacing w:after="50" w:before="50" w:line="252" w:lineRule="auto"/>
            </w:pPr>
            <w:r>
              <w:rPr>
                <w:sz w:val="17"/>
              </w:rPr>
              <w:t>20%</w:t>
            </w:r>
          </w:p>
        </w:tc>
      </w:tr>
      <w:tr>
        <w:tc>
          <w:tcPr>
            <w:tcW w:type="dxa" w:w="8496"/>
            <w:shd w:val="clear" w:color="auto" w:fill="EAF1F4"/>
          </w:tcPr>
          <w:p>
            <w:pPr>
              <w:spacing w:after="50" w:before="50" w:line="252" w:lineRule="auto"/>
            </w:pPr>
            <w:r>
              <w:rPr>
                <w:sz w:val="17"/>
              </w:rPr>
              <w:t>Reliability and commitment</w:t>
            </w:r>
          </w:p>
        </w:tc>
        <w:tc>
          <w:tcPr>
            <w:tcW w:type="dxa" w:w="972"/>
            <w:shd w:val="clear" w:color="auto" w:fill="EAF1F4"/>
          </w:tcPr>
          <w:p>
            <w:pPr>
              <w:spacing w:after="50" w:before="50" w:line="252" w:lineRule="auto"/>
            </w:pPr>
            <w:r>
              <w:rPr>
                <w:sz w:val="17"/>
              </w:rPr>
              <w:t>15%</w:t>
            </w:r>
          </w:p>
        </w:tc>
      </w:tr>
      <w:tr>
        <w:tc>
          <w:tcPr>
            <w:tcW w:type="dxa" w:w="8496"/>
          </w:tcPr>
          <w:p>
            <w:pPr>
              <w:spacing w:after="50" w:before="50" w:line="252" w:lineRule="auto"/>
            </w:pPr>
            <w:r>
              <w:rPr>
                <w:sz w:val="17"/>
              </w:rPr>
              <w:t>Communication</w:t>
            </w:r>
          </w:p>
        </w:tc>
        <w:tc>
          <w:tcPr>
            <w:tcW w:type="dxa" w:w="972"/>
          </w:tcPr>
          <w:p>
            <w:pPr>
              <w:spacing w:after="50" w:before="50" w:line="252" w:lineRule="auto"/>
            </w:pPr>
            <w:r>
              <w:rPr>
                <w:sz w:val="17"/>
              </w:rPr>
              <w:t>10%</w:t>
            </w:r>
          </w:p>
        </w:tc>
      </w:tr>
    </w:tbl>
    <w:p>
      <w:pPr>
        <w:spacing w:after="80" w:before="0"/>
      </w:pPr>
    </w:p>
    <w:p>
      <w:r>
        <w:rPr>
          <w:b/>
        </w:rPr>
        <w:t>Deliberately excluded:</w:t>
      </w:r>
      <w:r>
        <w:t xml:space="preserve"> office in student government, prominence in campus politics, or any role in the disciplinary process. A mediator who is a political figure on campus cannot be perceived as neutral.</w:t>
      </w:r>
    </w:p>
    <w:p>
      <w:pPr>
        <w:pStyle w:val="Heading2"/>
      </w:pPr>
      <w:r>
        <w:t>3.2 Training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977"/>
            <w:shd w:val="clear" w:color="auto" w:fill="10375C"/>
          </w:tcPr>
          <w:p>
            <w:pPr>
              <w:spacing w:after="50" w:before="50"/>
            </w:pPr>
            <w:r>
              <w:rPr>
                <w:b/>
                <w:color w:val="FFFFFF"/>
                <w:sz w:val="17"/>
              </w:rPr>
              <w:t>Component</w:t>
            </w:r>
          </w:p>
        </w:tc>
        <w:tc>
          <w:tcPr>
            <w:tcW w:type="dxa" w:w="4490"/>
            <w:shd w:val="clear" w:color="auto" w:fill="10375C"/>
          </w:tcPr>
          <w:p>
            <w:pPr>
              <w:spacing w:after="50" w:before="50"/>
            </w:pPr>
            <w:r>
              <w:rPr>
                <w:b/>
                <w:color w:val="FFFFFF"/>
                <w:sz w:val="17"/>
              </w:rPr>
              <w:t>Duration</w:t>
            </w:r>
          </w:p>
        </w:tc>
      </w:tr>
      <w:tr>
        <w:tc>
          <w:tcPr>
            <w:tcW w:type="dxa" w:w="4977"/>
          </w:tcPr>
          <w:p>
            <w:pPr>
              <w:spacing w:after="50" w:before="50" w:line="252" w:lineRule="auto"/>
            </w:pPr>
            <w:r>
              <w:rPr>
                <w:sz w:val="17"/>
              </w:rPr>
              <w:t>Foundation training, delivered by Equator</w:t>
            </w:r>
          </w:p>
        </w:tc>
        <w:tc>
          <w:tcPr>
            <w:tcW w:type="dxa" w:w="4490"/>
          </w:tcPr>
          <w:p>
            <w:pPr>
              <w:spacing w:after="50" w:before="50" w:line="252" w:lineRule="auto"/>
            </w:pPr>
            <w:r>
              <w:rPr>
                <w:sz w:val="17"/>
              </w:rPr>
              <w:t>2 days</w:t>
            </w:r>
          </w:p>
        </w:tc>
      </w:tr>
      <w:tr>
        <w:tc>
          <w:tcPr>
            <w:tcW w:type="dxa" w:w="4977"/>
            <w:shd w:val="clear" w:color="auto" w:fill="EAF1F4"/>
          </w:tcPr>
          <w:p>
            <w:pPr>
              <w:spacing w:after="50" w:before="50" w:line="252" w:lineRule="auto"/>
            </w:pPr>
            <w:r>
              <w:rPr>
                <w:sz w:val="17"/>
              </w:rPr>
              <w:t>Confidentiality, boundaries and escalation</w:t>
            </w:r>
          </w:p>
        </w:tc>
        <w:tc>
          <w:tcPr>
            <w:tcW w:type="dxa" w:w="4490"/>
            <w:shd w:val="clear" w:color="auto" w:fill="EAF1F4"/>
          </w:tcPr>
          <w:p>
            <w:pPr>
              <w:spacing w:after="50" w:before="50" w:line="252" w:lineRule="auto"/>
            </w:pPr>
            <w:r>
              <w:rPr>
                <w:sz w:val="17"/>
              </w:rPr>
              <w:t>3 hours, within the 2 days, delivered separately and signed for</w:t>
            </w:r>
          </w:p>
        </w:tc>
      </w:tr>
      <w:tr>
        <w:tc>
          <w:tcPr>
            <w:tcW w:type="dxa" w:w="4977"/>
          </w:tcPr>
          <w:p>
            <w:pPr>
              <w:spacing w:after="50" w:before="50" w:line="252" w:lineRule="auto"/>
            </w:pPr>
            <w:r>
              <w:rPr>
                <w:sz w:val="17"/>
              </w:rPr>
              <w:t>Supervised co-mediation, before acting alone</w:t>
            </w:r>
          </w:p>
        </w:tc>
        <w:tc>
          <w:tcPr>
            <w:tcW w:type="dxa" w:w="4490"/>
          </w:tcPr>
          <w:p>
            <w:pPr>
              <w:spacing w:after="50" w:before="50" w:line="252" w:lineRule="auto"/>
            </w:pPr>
            <w:r>
              <w:rPr>
                <w:sz w:val="17"/>
              </w:rPr>
              <w:t>2 cases</w:t>
            </w:r>
          </w:p>
        </w:tc>
      </w:tr>
      <w:tr>
        <w:tc>
          <w:tcPr>
            <w:tcW w:type="dxa" w:w="4977"/>
            <w:shd w:val="clear" w:color="auto" w:fill="EAF1F4"/>
          </w:tcPr>
          <w:p>
            <w:pPr>
              <w:spacing w:after="50" w:before="50" w:line="252" w:lineRule="auto"/>
            </w:pPr>
            <w:r>
              <w:rPr>
                <w:sz w:val="17"/>
              </w:rPr>
              <w:t>Monthly supervision</w:t>
            </w:r>
          </w:p>
        </w:tc>
        <w:tc>
          <w:tcPr>
            <w:tcW w:type="dxa" w:w="4490"/>
            <w:shd w:val="clear" w:color="auto" w:fill="EAF1F4"/>
          </w:tcPr>
          <w:p>
            <w:pPr>
              <w:spacing w:after="50" w:before="50" w:line="252" w:lineRule="auto"/>
            </w:pPr>
            <w:r>
              <w:rPr>
                <w:sz w:val="17"/>
              </w:rPr>
              <w:t>Ongoing</w:t>
            </w:r>
          </w:p>
        </w:tc>
      </w:tr>
      <w:tr>
        <w:tc>
          <w:tcPr>
            <w:tcW w:type="dxa" w:w="4977"/>
          </w:tcPr>
          <w:p>
            <w:pPr>
              <w:spacing w:after="50" w:before="50" w:line="252" w:lineRule="auto"/>
            </w:pPr>
            <w:r>
              <w:rPr>
                <w:sz w:val="17"/>
              </w:rPr>
              <w:t>Refresher</w:t>
            </w:r>
          </w:p>
        </w:tc>
        <w:tc>
          <w:tcPr>
            <w:tcW w:type="dxa" w:w="4490"/>
          </w:tcPr>
          <w:p>
            <w:pPr>
              <w:spacing w:after="50" w:before="50" w:line="252" w:lineRule="auto"/>
            </w:pPr>
            <w:r>
              <w:rPr>
                <w:sz w:val="17"/>
              </w:rPr>
              <w:t>Annually</w:t>
            </w:r>
          </w:p>
        </w:tc>
      </w:tr>
    </w:tbl>
    <w:p>
      <w:pPr>
        <w:spacing w:after="80" w:before="0"/>
      </w:pPr>
    </w:p>
    <w:p>
      <w:r>
        <w:rPr>
          <w:b/>
        </w:rPr>
        <w:t>No member mediates alone before completing the foundation training and two supervised co-mediations.</w:t>
      </w:r>
    </w:p>
    <w:p>
      <w:pPr>
        <w:spacing w:before="80" w:after="160"/>
        <w:pBdr>
          <w:bottom w:val="single" w:sz="6" w:space="1" w:color="C9D6DE"/>
        </w:pBdr>
      </w:pPr>
    </w:p>
    <w:p>
      <w:pPr>
        <w:pStyle w:val="Heading1"/>
        <w:pBdr>
          <w:bottom w:val="single" w:sz="8" w:space="4" w:color="C9D6DE"/>
        </w:pBdr>
      </w:pPr>
      <w:r>
        <w:t>4. Case boundaries — the heart of this manual</w:t>
      </w:r>
    </w:p>
    <w:p>
      <w:pPr>
        <w:pStyle w:val="Heading2"/>
      </w:pPr>
      <w:r>
        <w:t>4.1 Within scope</w:t>
      </w:r>
    </w:p>
    <w:p>
      <w:r>
        <w:t>Roommate and hostel disputes · disagreements within a student society or club · group project and workload disputes · disputes over shared resources · minor interpersonal conflict between peers · noise, space and shared-facility disputes · disputes over event organisation.</w:t>
      </w:r>
    </w:p>
    <w:p>
      <w:pPr>
        <w:pStyle w:val="Heading2"/>
      </w:pPr>
      <w:r>
        <w:t xml:space="preserve">4.2 </w:t>
      </w:r>
      <w:r>
        <w:rPr>
          <w:b/>
        </w:rPr>
        <w:t>Absolutely out of scope — refer immediately, do not attempt to mediate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734"/>
            <w:shd w:val="clear" w:color="auto" w:fill="10375C"/>
          </w:tcPr>
          <w:p>
            <w:pPr>
              <w:spacing w:after="50" w:before="50"/>
            </w:pPr>
            <w:r>
              <w:rPr>
                <w:b/>
                <w:color w:val="FFFFFF"/>
                <w:sz w:val="17"/>
              </w:rPr>
              <w:t>Matter</w:t>
            </w:r>
          </w:p>
        </w:tc>
        <w:tc>
          <w:tcPr>
            <w:tcW w:type="dxa" w:w="4734"/>
            <w:shd w:val="clear" w:color="auto" w:fill="10375C"/>
          </w:tcPr>
          <w:p>
            <w:pPr>
              <w:spacing w:after="50" w:before="50"/>
            </w:pPr>
            <w:r>
              <w:rPr>
                <w:b/>
                <w:color w:val="FFFFFF"/>
                <w:sz w:val="17"/>
              </w:rPr>
              <w:t>Refer to</w:t>
            </w:r>
          </w:p>
        </w:tc>
      </w:tr>
      <w:tr>
        <w:tc>
          <w:tcPr>
            <w:tcW w:type="dxa" w:w="4734"/>
          </w:tcPr>
          <w:p>
            <w:pPr>
              <w:spacing w:after="50" w:before="50" w:line="252" w:lineRule="auto"/>
            </w:pPr>
            <w:r>
              <w:rPr>
                <w:b/>
                <w:sz w:val="17"/>
              </w:rPr>
              <w:t>Sexual harassment or any sexual misconduct</w:t>
            </w:r>
          </w:p>
        </w:tc>
        <w:tc>
          <w:tcPr>
            <w:tcW w:type="dxa" w:w="4734"/>
          </w:tcPr>
          <w:p>
            <w:pPr>
              <w:spacing w:after="50" w:before="50" w:line="252" w:lineRule="auto"/>
            </w:pPr>
            <w:r>
              <w:rPr>
                <w:sz w:val="17"/>
              </w:rPr>
              <w:t>Internal Committee under the POSH Act, through the Faculty Convenor, immediately</w:t>
            </w:r>
          </w:p>
        </w:tc>
      </w:tr>
      <w:tr>
        <w:tc>
          <w:tcPr>
            <w:tcW w:type="dxa" w:w="4734"/>
            <w:shd w:val="clear" w:color="auto" w:fill="EAF1F4"/>
          </w:tcPr>
          <w:p>
            <w:pPr>
              <w:spacing w:after="50" w:before="50" w:line="252" w:lineRule="auto"/>
            </w:pPr>
            <w:r>
              <w:rPr>
                <w:b/>
                <w:sz w:val="17"/>
              </w:rPr>
              <w:t>Ragging</w:t>
            </w:r>
          </w:p>
        </w:tc>
        <w:tc>
          <w:tcPr>
            <w:tcW w:type="dxa" w:w="4734"/>
            <w:shd w:val="clear" w:color="auto" w:fill="EAF1F4"/>
          </w:tcPr>
          <w:p>
            <w:pPr>
              <w:spacing w:after="50" w:before="50" w:line="252" w:lineRule="auto"/>
            </w:pPr>
            <w:r>
              <w:rPr>
                <w:sz w:val="17"/>
              </w:rPr>
              <w:t>The institution's anti-ragging committee, immediately; statutory obligation</w:t>
            </w:r>
          </w:p>
        </w:tc>
      </w:tr>
      <w:tr>
        <w:tc>
          <w:tcPr>
            <w:tcW w:type="dxa" w:w="4734"/>
          </w:tcPr>
          <w:p>
            <w:pPr>
              <w:spacing w:after="50" w:before="50" w:line="252" w:lineRule="auto"/>
            </w:pPr>
            <w:r>
              <w:rPr>
                <w:b/>
                <w:sz w:val="17"/>
              </w:rPr>
              <w:t>Caste, religious, gender or disability discrimination</w:t>
            </w:r>
          </w:p>
        </w:tc>
        <w:tc>
          <w:tcPr>
            <w:tcW w:type="dxa" w:w="4734"/>
          </w:tcPr>
          <w:p>
            <w:pPr>
              <w:spacing w:after="50" w:before="50" w:line="252" w:lineRule="auto"/>
            </w:pPr>
            <w:r>
              <w:rPr>
                <w:sz w:val="17"/>
              </w:rPr>
              <w:t>The institution's statutory committee, immediately</w:t>
            </w:r>
          </w:p>
        </w:tc>
      </w:tr>
      <w:tr>
        <w:tc>
          <w:tcPr>
            <w:tcW w:type="dxa" w:w="4734"/>
            <w:shd w:val="clear" w:color="auto" w:fill="EAF1F4"/>
          </w:tcPr>
          <w:p>
            <w:pPr>
              <w:spacing w:after="50" w:before="50" w:line="252" w:lineRule="auto"/>
            </w:pPr>
            <w:r>
              <w:rPr>
                <w:b/>
                <w:sz w:val="17"/>
              </w:rPr>
              <w:t>Any criminal allegation, or any allegation of violence or threat</w:t>
            </w:r>
          </w:p>
        </w:tc>
        <w:tc>
          <w:tcPr>
            <w:tcW w:type="dxa" w:w="4734"/>
            <w:shd w:val="clear" w:color="auto" w:fill="EAF1F4"/>
          </w:tcPr>
          <w:p>
            <w:pPr>
              <w:spacing w:after="50" w:before="50" w:line="252" w:lineRule="auto"/>
            </w:pPr>
            <w:r>
              <w:rPr>
                <w:sz w:val="17"/>
              </w:rPr>
              <w:t>Faculty Convenor immediately; institution's protocol</w:t>
            </w:r>
          </w:p>
        </w:tc>
      </w:tr>
      <w:tr>
        <w:tc>
          <w:tcPr>
            <w:tcW w:type="dxa" w:w="4734"/>
          </w:tcPr>
          <w:p>
            <w:pPr>
              <w:spacing w:after="50" w:before="50" w:line="252" w:lineRule="auto"/>
            </w:pPr>
            <w:r>
              <w:rPr>
                <w:b/>
                <w:sz w:val="17"/>
              </w:rPr>
              <w:t>Any matter involving a student and a member of staff</w:t>
            </w:r>
          </w:p>
        </w:tc>
        <w:tc>
          <w:tcPr>
            <w:tcW w:type="dxa" w:w="4734"/>
          </w:tcPr>
          <w:p>
            <w:pPr>
              <w:spacing w:after="50" w:before="50" w:line="252" w:lineRule="auto"/>
            </w:pPr>
            <w:r>
              <w:rPr>
                <w:sz w:val="17"/>
              </w:rPr>
              <w:t>Faculty Convenor; the power imbalance makes peer mediation inappropriate</w:t>
            </w:r>
          </w:p>
        </w:tc>
      </w:tr>
      <w:tr>
        <w:tc>
          <w:tcPr>
            <w:tcW w:type="dxa" w:w="4734"/>
            <w:shd w:val="clear" w:color="auto" w:fill="EAF1F4"/>
          </w:tcPr>
          <w:p>
            <w:pPr>
              <w:spacing w:after="50" w:before="50" w:line="252" w:lineRule="auto"/>
            </w:pPr>
            <w:r>
              <w:rPr>
                <w:b/>
                <w:sz w:val="17"/>
              </w:rPr>
              <w:t>Academic misconduct, plagiarism, examination matters</w:t>
            </w:r>
          </w:p>
        </w:tc>
        <w:tc>
          <w:tcPr>
            <w:tcW w:type="dxa" w:w="4734"/>
            <w:shd w:val="clear" w:color="auto" w:fill="EAF1F4"/>
          </w:tcPr>
          <w:p>
            <w:pPr>
              <w:spacing w:after="50" w:before="50" w:line="252" w:lineRule="auto"/>
            </w:pPr>
            <w:r>
              <w:rPr>
                <w:sz w:val="17"/>
              </w:rPr>
              <w:t>The institution's academic process</w:t>
            </w:r>
          </w:p>
        </w:tc>
      </w:tr>
      <w:tr>
        <w:tc>
          <w:tcPr>
            <w:tcW w:type="dxa" w:w="4734"/>
          </w:tcPr>
          <w:p>
            <w:pPr>
              <w:spacing w:after="50" w:before="50" w:line="252" w:lineRule="auto"/>
            </w:pPr>
            <w:r>
              <w:rPr>
                <w:b/>
                <w:sz w:val="17"/>
              </w:rPr>
              <w:t>Mental health concern, self-harm, or any concern for safety</w:t>
            </w:r>
          </w:p>
        </w:tc>
        <w:tc>
          <w:tcPr>
            <w:tcW w:type="dxa" w:w="4734"/>
          </w:tcPr>
          <w:p>
            <w:pPr>
              <w:spacing w:after="50" w:before="50" w:line="252" w:lineRule="auto"/>
            </w:pPr>
            <w:r>
              <w:rPr>
                <w:sz w:val="17"/>
              </w:rPr>
              <w:t>Faculty Convenor and the institution's counselling service, immediately</w:t>
            </w:r>
          </w:p>
        </w:tc>
      </w:tr>
      <w:tr>
        <w:tc>
          <w:tcPr>
            <w:tcW w:type="dxa" w:w="4734"/>
            <w:shd w:val="clear" w:color="auto" w:fill="EAF1F4"/>
          </w:tcPr>
          <w:p>
            <w:pPr>
              <w:spacing w:after="50" w:before="50" w:line="252" w:lineRule="auto"/>
            </w:pPr>
            <w:r>
              <w:rPr>
                <w:b/>
                <w:sz w:val="17"/>
              </w:rPr>
              <w:t>Anything involving money above ₹[●], or any contractual claim</w:t>
            </w:r>
          </w:p>
        </w:tc>
        <w:tc>
          <w:tcPr>
            <w:tcW w:type="dxa" w:w="4734"/>
            <w:shd w:val="clear" w:color="auto" w:fill="EAF1F4"/>
          </w:tcPr>
          <w:p>
            <w:pPr>
              <w:spacing w:after="50" w:before="50" w:line="252" w:lineRule="auto"/>
            </w:pPr>
            <w:r>
              <w:rPr>
                <w:sz w:val="17"/>
              </w:rPr>
              <w:t>Faculty Convenor</w:t>
            </w:r>
          </w:p>
        </w:tc>
      </w:tr>
      <w:tr>
        <w:tc>
          <w:tcPr>
            <w:tcW w:type="dxa" w:w="4734"/>
          </w:tcPr>
          <w:p>
            <w:pPr>
              <w:spacing w:after="50" w:before="50" w:line="252" w:lineRule="auto"/>
            </w:pPr>
            <w:r>
              <w:rPr>
                <w:b/>
                <w:sz w:val="17"/>
              </w:rPr>
              <w:t>Any matter already before a formal committee or authority</w:t>
            </w:r>
          </w:p>
        </w:tc>
        <w:tc>
          <w:tcPr>
            <w:tcW w:type="dxa" w:w="4734"/>
          </w:tcPr>
          <w:p>
            <w:pPr>
              <w:spacing w:after="50" w:before="50" w:line="252" w:lineRule="auto"/>
            </w:pPr>
            <w:r>
              <w:rPr>
                <w:sz w:val="17"/>
              </w:rPr>
              <w:t>Do not touch it</w:t>
            </w:r>
          </w:p>
        </w:tc>
      </w:tr>
      <w:tr>
        <w:tc>
          <w:tcPr>
            <w:tcW w:type="dxa" w:w="4734"/>
            <w:shd w:val="clear" w:color="auto" w:fill="EAF1F4"/>
          </w:tcPr>
          <w:p>
            <w:pPr>
              <w:spacing w:after="50" w:before="50" w:line="252" w:lineRule="auto"/>
            </w:pPr>
            <w:r>
              <w:rPr>
                <w:b/>
                <w:sz w:val="17"/>
              </w:rPr>
              <w:t>Any matter where a member of the Cell is connected to a party</w:t>
            </w:r>
          </w:p>
        </w:tc>
        <w:tc>
          <w:tcPr>
            <w:tcW w:type="dxa" w:w="4734"/>
            <w:shd w:val="clear" w:color="auto" w:fill="EAF1F4"/>
          </w:tcPr>
          <w:p>
            <w:pPr>
              <w:spacing w:after="50" w:before="50" w:line="252" w:lineRule="auto"/>
            </w:pPr>
            <w:r>
              <w:rPr>
                <w:sz w:val="17"/>
              </w:rPr>
              <w:t>Reallocate, or refer</w:t>
            </w:r>
          </w:p>
        </w:tc>
      </w:tr>
    </w:tbl>
    <w:p>
      <w:pPr>
        <w:spacing w:after="80" w:before="0"/>
      </w:pPr>
    </w:p>
    <w:p>
      <w:r>
        <w:rPr>
          <w:b/>
        </w:rPr>
        <w:t>The rule stated to every member at training and repeated at every supervision:</w:t>
      </w:r>
      <w:r>
        <w:t xml:space="preserve"> </w:t>
      </w:r>
      <w:r>
        <w:rPr>
          <w:i/>
        </w:rPr>
        <w:t>if you are not certain it is in scope, it is not in scope. Refer it. Nobody has ever been criticised for referring a case. Serious harm has been caused by mediating one that should have been referred.</w:t>
      </w:r>
    </w:p>
    <w:p>
      <w:pPr>
        <w:spacing w:before="80" w:after="160"/>
        <w:pBdr>
          <w:bottom w:val="single" w:sz="6" w:space="1" w:color="C9D6DE"/>
        </w:pBdr>
      </w:pPr>
    </w:p>
    <w:p>
      <w:pPr>
        <w:pStyle w:val="Heading1"/>
        <w:pBdr>
          <w:bottom w:val="single" w:sz="8" w:space="4" w:color="C9D6DE"/>
        </w:pBdr>
      </w:pPr>
      <w:r>
        <w:t>5. Process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119"/>
            <w:shd w:val="clear" w:color="auto" w:fill="10375C"/>
          </w:tcPr>
          <w:p>
            <w:pPr>
              <w:spacing w:after="50" w:before="50"/>
            </w:pPr>
            <w:r>
              <w:rPr>
                <w:b/>
                <w:color w:val="FFFFFF"/>
                <w:sz w:val="17"/>
              </w:rPr>
              <w:t>Step</w:t>
            </w:r>
          </w:p>
        </w:tc>
        <w:tc>
          <w:tcPr>
            <w:tcW w:type="dxa" w:w="7349"/>
            <w:shd w:val="clear" w:color="auto" w:fill="10375C"/>
          </w:tcPr>
          <w:p>
            <w:pPr>
              <w:spacing w:after="50" w:before="50"/>
            </w:pPr>
            <w:r>
              <w:rPr>
                <w:b/>
                <w:color w:val="FFFFFF"/>
                <w:sz w:val="17"/>
              </w:rPr>
              <w:t>Detail</w:t>
            </w:r>
          </w:p>
        </w:tc>
      </w:tr>
      <w:tr>
        <w:tc>
          <w:tcPr>
            <w:tcW w:type="dxa" w:w="2119"/>
          </w:tcPr>
          <w:p>
            <w:pPr>
              <w:spacing w:after="50" w:before="50" w:line="252" w:lineRule="auto"/>
            </w:pPr>
            <w:r>
              <w:rPr>
                <w:sz w:val="17"/>
              </w:rPr>
              <w:t>1. Referral</w:t>
            </w:r>
          </w:p>
        </w:tc>
        <w:tc>
          <w:tcPr>
            <w:tcW w:type="dxa" w:w="7349"/>
          </w:tcPr>
          <w:p>
            <w:pPr>
              <w:spacing w:after="50" w:before="50" w:line="252" w:lineRule="auto"/>
            </w:pPr>
            <w:r>
              <w:rPr>
                <w:sz w:val="17"/>
              </w:rPr>
              <w:t>Self-referral, or by a warden, faculty member or the Convenor. A form is completed</w:t>
            </w:r>
          </w:p>
        </w:tc>
      </w:tr>
      <w:tr>
        <w:tc>
          <w:tcPr>
            <w:tcW w:type="dxa" w:w="2119"/>
            <w:shd w:val="clear" w:color="auto" w:fill="EAF1F4"/>
          </w:tcPr>
          <w:p>
            <w:pPr>
              <w:spacing w:after="50" w:before="50" w:line="252" w:lineRule="auto"/>
            </w:pPr>
            <w:r>
              <w:rPr>
                <w:sz w:val="17"/>
              </w:rPr>
              <w:t>2. Screening</w:t>
            </w:r>
          </w:p>
        </w:tc>
        <w:tc>
          <w:tcPr>
            <w:tcW w:type="dxa" w:w="7349"/>
            <w:shd w:val="clear" w:color="auto" w:fill="EAF1F4"/>
          </w:tcPr>
          <w:p>
            <w:pPr>
              <w:spacing w:after="50" w:before="50" w:line="252" w:lineRule="auto"/>
            </w:pPr>
            <w:r>
              <w:rPr>
                <w:sz w:val="17"/>
              </w:rPr>
              <w:t xml:space="preserve">The Coordinator screens against section 4. </w:t>
            </w:r>
            <w:r>
              <w:rPr>
                <w:b/>
                <w:sz w:val="17"/>
              </w:rPr>
              <w:t>Any doubt means refer</w:t>
            </w:r>
          </w:p>
        </w:tc>
      </w:tr>
      <w:tr>
        <w:tc>
          <w:tcPr>
            <w:tcW w:type="dxa" w:w="2119"/>
          </w:tcPr>
          <w:p>
            <w:pPr>
              <w:spacing w:after="50" w:before="50" w:line="252" w:lineRule="auto"/>
            </w:pPr>
            <w:r>
              <w:rPr>
                <w:sz w:val="17"/>
              </w:rPr>
              <w:t>3. Allocation</w:t>
            </w:r>
          </w:p>
        </w:tc>
        <w:tc>
          <w:tcPr>
            <w:tcW w:type="dxa" w:w="7349"/>
          </w:tcPr>
          <w:p>
            <w:pPr>
              <w:spacing w:after="50" w:before="50" w:line="252" w:lineRule="auto"/>
            </w:pPr>
            <w:r>
              <w:rPr>
                <w:sz w:val="17"/>
              </w:rPr>
              <w:t>Two mediators allocated; conflicts checked; either may decline without reason</w:t>
            </w:r>
          </w:p>
        </w:tc>
      </w:tr>
      <w:tr>
        <w:tc>
          <w:tcPr>
            <w:tcW w:type="dxa" w:w="2119"/>
            <w:shd w:val="clear" w:color="auto" w:fill="EAF1F4"/>
          </w:tcPr>
          <w:p>
            <w:pPr>
              <w:spacing w:after="50" w:before="50" w:line="252" w:lineRule="auto"/>
            </w:pPr>
            <w:r>
              <w:rPr>
                <w:sz w:val="17"/>
              </w:rPr>
              <w:t>4. Consent</w:t>
            </w:r>
          </w:p>
        </w:tc>
        <w:tc>
          <w:tcPr>
            <w:tcW w:type="dxa" w:w="7349"/>
            <w:shd w:val="clear" w:color="auto" w:fill="EAF1F4"/>
          </w:tcPr>
          <w:p>
            <w:pPr>
              <w:spacing w:after="50" w:before="50" w:line="252" w:lineRule="auto"/>
            </w:pPr>
            <w:r>
              <w:rPr>
                <w:sz w:val="17"/>
              </w:rPr>
              <w:t>Both parties consent in writing. Participation is voluntary and either may withdraw at any time</w:t>
            </w:r>
          </w:p>
        </w:tc>
      </w:tr>
      <w:tr>
        <w:tc>
          <w:tcPr>
            <w:tcW w:type="dxa" w:w="2119"/>
          </w:tcPr>
          <w:p>
            <w:pPr>
              <w:spacing w:after="50" w:before="50" w:line="252" w:lineRule="auto"/>
            </w:pPr>
            <w:r>
              <w:rPr>
                <w:sz w:val="17"/>
              </w:rPr>
              <w:t>5. Confidentiality</w:t>
            </w:r>
          </w:p>
        </w:tc>
        <w:tc>
          <w:tcPr>
            <w:tcW w:type="dxa" w:w="7349"/>
          </w:tcPr>
          <w:p>
            <w:pPr>
              <w:spacing w:after="50" w:before="50" w:line="252" w:lineRule="auto"/>
            </w:pPr>
            <w:r>
              <w:rPr>
                <w:sz w:val="17"/>
              </w:rPr>
              <w:t>Explained and signed by all present</w:t>
            </w:r>
          </w:p>
        </w:tc>
      </w:tr>
      <w:tr>
        <w:tc>
          <w:tcPr>
            <w:tcW w:type="dxa" w:w="2119"/>
            <w:shd w:val="clear" w:color="auto" w:fill="EAF1F4"/>
          </w:tcPr>
          <w:p>
            <w:pPr>
              <w:spacing w:after="50" w:before="50" w:line="252" w:lineRule="auto"/>
            </w:pPr>
            <w:r>
              <w:rPr>
                <w:sz w:val="17"/>
              </w:rPr>
              <w:t>6. Session</w:t>
            </w:r>
          </w:p>
        </w:tc>
        <w:tc>
          <w:tcPr>
            <w:tcW w:type="dxa" w:w="7349"/>
            <w:shd w:val="clear" w:color="auto" w:fill="EAF1F4"/>
          </w:tcPr>
          <w:p>
            <w:pPr>
              <w:spacing w:after="50" w:before="50" w:line="252" w:lineRule="auto"/>
            </w:pPr>
            <w:r>
              <w:rPr>
                <w:sz w:val="17"/>
              </w:rPr>
              <w:t>Held in a private, neutral room during working hours, never in a hostel room or after hours. Duration up to 90 minutes</w:t>
            </w:r>
          </w:p>
        </w:tc>
      </w:tr>
      <w:tr>
        <w:tc>
          <w:tcPr>
            <w:tcW w:type="dxa" w:w="2119"/>
          </w:tcPr>
          <w:p>
            <w:pPr>
              <w:spacing w:after="50" w:before="50" w:line="252" w:lineRule="auto"/>
            </w:pPr>
            <w:r>
              <w:rPr>
                <w:sz w:val="17"/>
              </w:rPr>
              <w:t>7. Outcome</w:t>
            </w:r>
          </w:p>
        </w:tc>
        <w:tc>
          <w:tcPr>
            <w:tcW w:type="dxa" w:w="7349"/>
          </w:tcPr>
          <w:p>
            <w:pPr>
              <w:spacing w:after="50" w:before="50" w:line="252" w:lineRule="auto"/>
            </w:pPr>
            <w:r>
              <w:rPr>
                <w:sz w:val="17"/>
              </w:rPr>
              <w:t xml:space="preserve">If agreed, recorded in writing in simple terms and signed. </w:t>
            </w:r>
            <w:r>
              <w:rPr>
                <w:b/>
                <w:sz w:val="17"/>
              </w:rPr>
              <w:t>The agreement is not enforceable and says so</w:t>
            </w:r>
          </w:p>
        </w:tc>
      </w:tr>
      <w:tr>
        <w:tc>
          <w:tcPr>
            <w:tcW w:type="dxa" w:w="2119"/>
            <w:shd w:val="clear" w:color="auto" w:fill="EAF1F4"/>
          </w:tcPr>
          <w:p>
            <w:pPr>
              <w:spacing w:after="50" w:before="50" w:line="252" w:lineRule="auto"/>
            </w:pPr>
            <w:r>
              <w:rPr>
                <w:sz w:val="17"/>
              </w:rPr>
              <w:t>8. Log</w:t>
            </w:r>
          </w:p>
        </w:tc>
        <w:tc>
          <w:tcPr>
            <w:tcW w:type="dxa" w:w="7349"/>
            <w:shd w:val="clear" w:color="auto" w:fill="EAF1F4"/>
          </w:tcPr>
          <w:p>
            <w:pPr>
              <w:spacing w:after="50" w:before="50" w:line="252" w:lineRule="auto"/>
            </w:pPr>
            <w:r>
              <w:rPr>
                <w:sz w:val="17"/>
              </w:rPr>
              <w:t>Anonymised entry in the case log</w:t>
            </w:r>
          </w:p>
        </w:tc>
      </w:tr>
      <w:tr>
        <w:tc>
          <w:tcPr>
            <w:tcW w:type="dxa" w:w="2119"/>
          </w:tcPr>
          <w:p>
            <w:pPr>
              <w:spacing w:after="50" w:before="50" w:line="252" w:lineRule="auto"/>
            </w:pPr>
            <w:r>
              <w:rPr>
                <w:sz w:val="17"/>
              </w:rPr>
              <w:t>9. Follow-up</w:t>
            </w:r>
          </w:p>
        </w:tc>
        <w:tc>
          <w:tcPr>
            <w:tcW w:type="dxa" w:w="7349"/>
          </w:tcPr>
          <w:p>
            <w:pPr>
              <w:spacing w:after="50" w:before="50" w:line="252" w:lineRule="auto"/>
            </w:pPr>
            <w:r>
              <w:rPr>
                <w:sz w:val="17"/>
              </w:rPr>
              <w:t>After two weeks, by the Coordinator</w:t>
            </w:r>
          </w:p>
        </w:tc>
      </w:tr>
      <w:tr>
        <w:tc>
          <w:tcPr>
            <w:tcW w:type="dxa" w:w="2119"/>
            <w:shd w:val="clear" w:color="auto" w:fill="EAF1F4"/>
          </w:tcPr>
          <w:p>
            <w:pPr>
              <w:spacing w:after="50" w:before="50" w:line="252" w:lineRule="auto"/>
            </w:pPr>
            <w:r>
              <w:rPr>
                <w:sz w:val="17"/>
              </w:rPr>
              <w:t>10. Supervision</w:t>
            </w:r>
          </w:p>
        </w:tc>
        <w:tc>
          <w:tcPr>
            <w:tcW w:type="dxa" w:w="7349"/>
            <w:shd w:val="clear" w:color="auto" w:fill="EAF1F4"/>
          </w:tcPr>
          <w:p>
            <w:pPr>
              <w:spacing w:after="50" w:before="50" w:line="252" w:lineRule="auto"/>
            </w:pPr>
            <w:r>
              <w:rPr>
                <w:sz w:val="17"/>
              </w:rPr>
              <w:t>Every case discussed at the monthly supervision, anonymised</w:t>
            </w:r>
          </w:p>
        </w:tc>
      </w:tr>
    </w:tbl>
    <w:p>
      <w:pPr>
        <w:spacing w:after="80" w:before="0"/>
      </w:pPr>
    </w:p>
    <w:p>
      <w:pPr>
        <w:spacing w:before="80" w:after="160"/>
        <w:pBdr>
          <w:bottom w:val="single" w:sz="6" w:space="1" w:color="C9D6DE"/>
        </w:pBdr>
      </w:pPr>
    </w:p>
    <w:p>
      <w:pPr>
        <w:pStyle w:val="Heading1"/>
        <w:pBdr>
          <w:bottom w:val="single" w:sz="8" w:space="4" w:color="C9D6DE"/>
        </w:pBdr>
      </w:pPr>
      <w:r>
        <w:t>6. Confidentiality and its limits</w:t>
      </w:r>
    </w:p>
    <w:p>
      <w:r>
        <w:rPr>
          <w:b/>
        </w:rPr>
        <w:t>What is said in a Cell mediation is confidential</w:t>
      </w:r>
      <w:r>
        <w:t>, and members undertake this permanently.</w:t>
      </w:r>
    </w:p>
    <w:p>
      <w:r>
        <w:rPr>
          <w:b/>
        </w:rPr>
        <w:t>The limits are stated to the parties at the outset, before anything is said:</w:t>
      </w:r>
    </w:p>
    <w:p>
      <w:pPr>
        <w:pStyle w:val="ListNumber"/>
      </w:pPr>
      <w:r>
        <w:rPr>
          <w:sz w:val="21"/>
        </w:rPr>
        <w:t xml:space="preserve">Where a member learns of a risk of harm to any person, they </w:t>
      </w:r>
      <w:r>
        <w:rPr>
          <w:b/>
          <w:sz w:val="21"/>
        </w:rPr>
        <w:t>must</w:t>
      </w:r>
      <w:r>
        <w:rPr>
          <w:sz w:val="21"/>
        </w:rPr>
        <w:t xml:space="preserve"> tell the Faculty Convenor.</w:t>
      </w:r>
    </w:p>
    <w:p>
      <w:pPr>
        <w:pStyle w:val="ListNumber"/>
      </w:pPr>
      <w:r>
        <w:rPr>
          <w:sz w:val="21"/>
        </w:rPr>
        <w:t xml:space="preserve">Where a member learns of a matter falling within section 4.2, they </w:t>
      </w:r>
      <w:r>
        <w:rPr>
          <w:b/>
          <w:sz w:val="21"/>
        </w:rPr>
        <w:t>must</w:t>
      </w:r>
      <w:r>
        <w:rPr>
          <w:sz w:val="21"/>
        </w:rPr>
        <w:t xml:space="preserve"> refer it.</w:t>
      </w:r>
    </w:p>
    <w:p>
      <w:pPr>
        <w:pStyle w:val="ListNumber"/>
      </w:pPr>
      <w:r>
        <w:rPr>
          <w:sz w:val="21"/>
        </w:rPr>
        <w:t>Anonymised case facts are discussed in supervision.</w:t>
      </w:r>
    </w:p>
    <w:p>
      <w:pPr>
        <w:pStyle w:val="ListNumber"/>
      </w:pPr>
      <w:r>
        <w:rPr>
          <w:sz w:val="21"/>
        </w:rPr>
        <w:t>Nothing said in a Cell mediation is protected by the Mediation Act, 2023, and members must not suggest otherwise.</w:t>
      </w:r>
    </w:p>
    <w:p>
      <w:r>
        <w:t>Members do not keep personal notes. All notes are destroyed at the end of the session; only the anonymised log entry survives.</w:t>
      </w:r>
    </w:p>
    <w:p>
      <w:pPr>
        <w:spacing w:before="80" w:after="160"/>
        <w:pBdr>
          <w:bottom w:val="single" w:sz="6" w:space="1" w:color="C9D6DE"/>
        </w:pBdr>
      </w:pPr>
    </w:p>
    <w:p>
      <w:pPr>
        <w:pStyle w:val="Heading1"/>
        <w:pBdr>
          <w:bottom w:val="single" w:sz="8" w:space="4" w:color="C9D6DE"/>
        </w:pBdr>
      </w:pPr>
      <w:r>
        <w:t>7. Supervision and support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784"/>
            <w:shd w:val="clear" w:color="auto" w:fill="10375C"/>
          </w:tcPr>
          <w:p>
            <w:pPr>
              <w:spacing w:after="50" w:before="50"/>
            </w:pPr>
            <w:r>
              <w:rPr>
                <w:b/>
                <w:color w:val="FFFFFF"/>
                <w:sz w:val="17"/>
              </w:rPr>
              <w:t>Element</w:t>
            </w:r>
          </w:p>
        </w:tc>
        <w:tc>
          <w:tcPr>
            <w:tcW w:type="dxa" w:w="5683"/>
            <w:shd w:val="clear" w:color="auto" w:fill="10375C"/>
          </w:tcPr>
          <w:p>
            <w:pPr>
              <w:spacing w:after="50" w:before="50"/>
            </w:pPr>
            <w:r>
              <w:rPr>
                <w:b/>
                <w:color w:val="FFFFFF"/>
                <w:sz w:val="17"/>
              </w:rPr>
              <w:t>Detail</w:t>
            </w:r>
          </w:p>
        </w:tc>
      </w:tr>
      <w:tr>
        <w:tc>
          <w:tcPr>
            <w:tcW w:type="dxa" w:w="3784"/>
          </w:tcPr>
          <w:p>
            <w:pPr>
              <w:spacing w:after="50" w:before="50" w:line="252" w:lineRule="auto"/>
            </w:pPr>
            <w:r>
              <w:rPr>
                <w:sz w:val="17"/>
              </w:rPr>
              <w:t>Monthly supervision with the Equator Supervisor</w:t>
            </w:r>
          </w:p>
        </w:tc>
        <w:tc>
          <w:tcPr>
            <w:tcW w:type="dxa" w:w="5683"/>
          </w:tcPr>
          <w:p>
            <w:pPr>
              <w:spacing w:after="50" w:before="50" w:line="252" w:lineRule="auto"/>
            </w:pPr>
            <w:r>
              <w:rPr>
                <w:sz w:val="17"/>
              </w:rPr>
              <w:t>Anonymised case review; skills development; boundary reinforcement</w:t>
            </w:r>
          </w:p>
        </w:tc>
      </w:tr>
      <w:tr>
        <w:tc>
          <w:tcPr>
            <w:tcW w:type="dxa" w:w="3784"/>
            <w:shd w:val="clear" w:color="auto" w:fill="EAF1F4"/>
          </w:tcPr>
          <w:p>
            <w:pPr>
              <w:spacing w:after="50" w:before="50" w:line="252" w:lineRule="auto"/>
            </w:pPr>
            <w:r>
              <w:rPr>
                <w:sz w:val="17"/>
              </w:rPr>
              <w:t>Immediate access</w:t>
            </w:r>
          </w:p>
        </w:tc>
        <w:tc>
          <w:tcPr>
            <w:tcW w:type="dxa" w:w="5683"/>
            <w:shd w:val="clear" w:color="auto" w:fill="EAF1F4"/>
          </w:tcPr>
          <w:p>
            <w:pPr>
              <w:spacing w:after="50" w:before="50" w:line="252" w:lineRule="auto"/>
            </w:pPr>
            <w:r>
              <w:rPr>
                <w:sz w:val="17"/>
              </w:rPr>
              <w:t>Every member has the Convenor's and the Supervisor's contact for anything urgent</w:t>
            </w:r>
          </w:p>
        </w:tc>
      </w:tr>
      <w:tr>
        <w:tc>
          <w:tcPr>
            <w:tcW w:type="dxa" w:w="3784"/>
          </w:tcPr>
          <w:p>
            <w:pPr>
              <w:spacing w:after="50" w:before="50" w:line="252" w:lineRule="auto"/>
            </w:pPr>
            <w:r>
              <w:rPr>
                <w:sz w:val="17"/>
              </w:rPr>
              <w:t>Debrief after a difficult case</w:t>
            </w:r>
          </w:p>
        </w:tc>
        <w:tc>
          <w:tcPr>
            <w:tcW w:type="dxa" w:w="5683"/>
          </w:tcPr>
          <w:p>
            <w:pPr>
              <w:spacing w:after="50" w:before="50" w:line="252" w:lineRule="auto"/>
            </w:pPr>
            <w:r>
              <w:rPr>
                <w:sz w:val="17"/>
              </w:rPr>
              <w:t>Offered as a matter of course, not on request</w:t>
            </w:r>
          </w:p>
        </w:tc>
      </w:tr>
      <w:tr>
        <w:tc>
          <w:tcPr>
            <w:tcW w:type="dxa" w:w="3784"/>
            <w:shd w:val="clear" w:color="auto" w:fill="EAF1F4"/>
          </w:tcPr>
          <w:p>
            <w:pPr>
              <w:spacing w:after="50" w:before="50" w:line="252" w:lineRule="auto"/>
            </w:pPr>
            <w:r>
              <w:rPr>
                <w:b/>
                <w:sz w:val="17"/>
              </w:rPr>
              <w:t>Support for the mediator</w:t>
            </w:r>
          </w:p>
        </w:tc>
        <w:tc>
          <w:tcPr>
            <w:tcW w:type="dxa" w:w="5683"/>
            <w:shd w:val="clear" w:color="auto" w:fill="EAF1F4"/>
          </w:tcPr>
          <w:p>
            <w:pPr>
              <w:spacing w:after="50" w:before="50" w:line="252" w:lineRule="auto"/>
            </w:pPr>
            <w:r>
              <w:rPr>
                <w:sz w:val="17"/>
              </w:rPr>
              <w:t>Mediating a peer's distress is difficult. Members are told at training that they may withdraw from any case, at any point, without explanation</w:t>
            </w:r>
          </w:p>
        </w:tc>
      </w:tr>
      <w:tr>
        <w:tc>
          <w:tcPr>
            <w:tcW w:type="dxa" w:w="3784"/>
          </w:tcPr>
          <w:p>
            <w:pPr>
              <w:spacing w:after="50" w:before="50" w:line="252" w:lineRule="auto"/>
            </w:pPr>
            <w:r>
              <w:rPr>
                <w:sz w:val="17"/>
              </w:rPr>
              <w:t>Annual review</w:t>
            </w:r>
          </w:p>
        </w:tc>
        <w:tc>
          <w:tcPr>
            <w:tcW w:type="dxa" w:w="5683"/>
          </w:tcPr>
          <w:p>
            <w:pPr>
              <w:spacing w:after="50" w:before="50" w:line="252" w:lineRule="auto"/>
            </w:pPr>
            <w:r>
              <w:rPr>
                <w:sz w:val="17"/>
              </w:rPr>
              <w:t>Of the Cell, its caseload, its boundaries and its supervision</w:t>
            </w:r>
          </w:p>
        </w:tc>
      </w:tr>
    </w:tbl>
    <w:p>
      <w:pPr>
        <w:spacing w:after="80" w:before="0"/>
      </w:pPr>
    </w:p>
    <w:p>
      <w:pPr>
        <w:spacing w:before="80" w:after="160"/>
        <w:pBdr>
          <w:bottom w:val="single" w:sz="6" w:space="1" w:color="C9D6DE"/>
        </w:pBdr>
      </w:pPr>
    </w:p>
    <w:p>
      <w:pPr>
        <w:pStyle w:val="Heading1"/>
        <w:pBdr>
          <w:bottom w:val="single" w:sz="8" w:space="4" w:color="C9D6DE"/>
        </w:pBdr>
      </w:pPr>
      <w:r>
        <w:t>8. Records and data</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279"/>
            <w:shd w:val="clear" w:color="auto" w:fill="10375C"/>
          </w:tcPr>
          <w:p>
            <w:pPr>
              <w:spacing w:after="50" w:before="50"/>
            </w:pPr>
            <w:r>
              <w:rPr>
                <w:b/>
                <w:color w:val="FFFFFF"/>
                <w:sz w:val="17"/>
              </w:rPr>
              <w:t>Record</w:t>
            </w:r>
          </w:p>
        </w:tc>
        <w:tc>
          <w:tcPr>
            <w:tcW w:type="dxa" w:w="6186"/>
            <w:shd w:val="clear" w:color="auto" w:fill="10375C"/>
          </w:tcPr>
          <w:p>
            <w:pPr>
              <w:spacing w:after="50" w:before="50"/>
            </w:pPr>
            <w:r>
              <w:rPr>
                <w:b/>
                <w:color w:val="FFFFFF"/>
                <w:sz w:val="17"/>
              </w:rPr>
              <w:t>Content</w:t>
            </w:r>
          </w:p>
        </w:tc>
        <w:tc>
          <w:tcPr>
            <w:tcW w:type="dxa" w:w="1002"/>
            <w:shd w:val="clear" w:color="auto" w:fill="10375C"/>
          </w:tcPr>
          <w:p>
            <w:pPr>
              <w:spacing w:after="50" w:before="50"/>
            </w:pPr>
            <w:r>
              <w:rPr>
                <w:b/>
                <w:color w:val="FFFFFF"/>
                <w:sz w:val="17"/>
              </w:rPr>
              <w:t>Retention</w:t>
            </w:r>
          </w:p>
        </w:tc>
      </w:tr>
      <w:tr>
        <w:tc>
          <w:tcPr>
            <w:tcW w:type="dxa" w:w="2279"/>
          </w:tcPr>
          <w:p>
            <w:pPr>
              <w:spacing w:after="50" w:before="50" w:line="252" w:lineRule="auto"/>
            </w:pPr>
            <w:r>
              <w:rPr>
                <w:sz w:val="17"/>
              </w:rPr>
              <w:t>Case log</w:t>
            </w:r>
          </w:p>
        </w:tc>
        <w:tc>
          <w:tcPr>
            <w:tcW w:type="dxa" w:w="6186"/>
          </w:tcPr>
          <w:p>
            <w:pPr>
              <w:spacing w:after="50" w:before="50" w:line="252" w:lineRule="auto"/>
            </w:pPr>
            <w:r>
              <w:rPr>
                <w:sz w:val="17"/>
              </w:rPr>
              <w:t>Anonymised: reference, date, category, mediators, outcome, follow-up</w:t>
            </w:r>
          </w:p>
        </w:tc>
        <w:tc>
          <w:tcPr>
            <w:tcW w:type="dxa" w:w="1002"/>
          </w:tcPr>
          <w:p>
            <w:pPr>
              <w:spacing w:after="50" w:before="50" w:line="252" w:lineRule="auto"/>
            </w:pPr>
            <w:r>
              <w:rPr>
                <w:sz w:val="17"/>
              </w:rPr>
              <w:t>3 years</w:t>
            </w:r>
          </w:p>
        </w:tc>
      </w:tr>
      <w:tr>
        <w:tc>
          <w:tcPr>
            <w:tcW w:type="dxa" w:w="2279"/>
            <w:shd w:val="clear" w:color="auto" w:fill="EAF1F4"/>
          </w:tcPr>
          <w:p>
            <w:pPr>
              <w:spacing w:after="50" w:before="50" w:line="252" w:lineRule="auto"/>
            </w:pPr>
            <w:r>
              <w:rPr>
                <w:sz w:val="17"/>
              </w:rPr>
              <w:t>Consent forms</w:t>
            </w:r>
          </w:p>
        </w:tc>
        <w:tc>
          <w:tcPr>
            <w:tcW w:type="dxa" w:w="6186"/>
            <w:shd w:val="clear" w:color="auto" w:fill="EAF1F4"/>
          </w:tcPr>
          <w:p>
            <w:pPr>
              <w:spacing w:after="50" w:before="50" w:line="252" w:lineRule="auto"/>
            </w:pPr>
            <w:r>
              <w:rPr>
                <w:sz w:val="17"/>
              </w:rPr>
              <w:t>Names</w:t>
            </w:r>
          </w:p>
        </w:tc>
        <w:tc>
          <w:tcPr>
            <w:tcW w:type="dxa" w:w="1002"/>
            <w:shd w:val="clear" w:color="auto" w:fill="EAF1F4"/>
          </w:tcPr>
          <w:p>
            <w:pPr>
              <w:spacing w:after="50" w:before="50" w:line="252" w:lineRule="auto"/>
            </w:pPr>
            <w:r>
              <w:rPr>
                <w:sz w:val="17"/>
              </w:rPr>
              <w:t>1 year</w:t>
            </w:r>
          </w:p>
        </w:tc>
      </w:tr>
      <w:tr>
        <w:tc>
          <w:tcPr>
            <w:tcW w:type="dxa" w:w="2279"/>
          </w:tcPr>
          <w:p>
            <w:pPr>
              <w:spacing w:after="50" w:before="50" w:line="252" w:lineRule="auto"/>
            </w:pPr>
            <w:r>
              <w:rPr>
                <w:sz w:val="17"/>
              </w:rPr>
              <w:t>Written agreements</w:t>
            </w:r>
          </w:p>
        </w:tc>
        <w:tc>
          <w:tcPr>
            <w:tcW w:type="dxa" w:w="6186"/>
          </w:tcPr>
          <w:p>
            <w:pPr>
              <w:spacing w:after="50" w:before="50" w:line="252" w:lineRule="auto"/>
            </w:pPr>
            <w:r>
              <w:rPr>
                <w:sz w:val="17"/>
              </w:rPr>
              <w:t>Held by the parties; the Cell retains none</w:t>
            </w:r>
          </w:p>
        </w:tc>
        <w:tc>
          <w:tcPr>
            <w:tcW w:type="dxa" w:w="1002"/>
          </w:tcPr>
          <w:p>
            <w:pPr>
              <w:spacing w:after="50" w:before="50" w:line="252" w:lineRule="auto"/>
            </w:pPr>
            <w:r>
              <w:rPr>
                <w:sz w:val="17"/>
              </w:rPr>
              <w:t>—</w:t>
            </w:r>
          </w:p>
        </w:tc>
      </w:tr>
      <w:tr>
        <w:tc>
          <w:tcPr>
            <w:tcW w:type="dxa" w:w="2279"/>
            <w:shd w:val="clear" w:color="auto" w:fill="EAF1F4"/>
          </w:tcPr>
          <w:p>
            <w:pPr>
              <w:spacing w:after="50" w:before="50" w:line="252" w:lineRule="auto"/>
            </w:pPr>
            <w:r>
              <w:rPr>
                <w:sz w:val="17"/>
              </w:rPr>
              <w:t>Session notes</w:t>
            </w:r>
          </w:p>
        </w:tc>
        <w:tc>
          <w:tcPr>
            <w:tcW w:type="dxa" w:w="6186"/>
            <w:shd w:val="clear" w:color="auto" w:fill="EAF1F4"/>
          </w:tcPr>
          <w:p>
            <w:pPr>
              <w:spacing w:after="50" w:before="50" w:line="252" w:lineRule="auto"/>
            </w:pPr>
            <w:r>
              <w:rPr>
                <w:b/>
                <w:sz w:val="17"/>
              </w:rPr>
              <w:t>Destroyed at the end of the session</w:t>
            </w:r>
          </w:p>
        </w:tc>
        <w:tc>
          <w:tcPr>
            <w:tcW w:type="dxa" w:w="1002"/>
            <w:shd w:val="clear" w:color="auto" w:fill="EAF1F4"/>
          </w:tcPr>
          <w:p>
            <w:pPr>
              <w:spacing w:after="50" w:before="50" w:line="252" w:lineRule="auto"/>
            </w:pPr>
            <w:r>
              <w:rPr>
                <w:sz w:val="17"/>
              </w:rPr>
              <w:t>—</w:t>
            </w:r>
          </w:p>
        </w:tc>
      </w:tr>
      <w:tr>
        <w:tc>
          <w:tcPr>
            <w:tcW w:type="dxa" w:w="2279"/>
          </w:tcPr>
          <w:p>
            <w:pPr>
              <w:spacing w:after="50" w:before="50" w:line="252" w:lineRule="auto"/>
            </w:pPr>
            <w:r>
              <w:rPr>
                <w:sz w:val="17"/>
              </w:rPr>
              <w:t>Supervision records</w:t>
            </w:r>
          </w:p>
        </w:tc>
        <w:tc>
          <w:tcPr>
            <w:tcW w:type="dxa" w:w="6186"/>
          </w:tcPr>
          <w:p>
            <w:pPr>
              <w:spacing w:after="50" w:before="50" w:line="252" w:lineRule="auto"/>
            </w:pPr>
            <w:r>
              <w:rPr>
                <w:sz w:val="17"/>
              </w:rPr>
              <w:t>Anonymised</w:t>
            </w:r>
          </w:p>
        </w:tc>
        <w:tc>
          <w:tcPr>
            <w:tcW w:type="dxa" w:w="1002"/>
          </w:tcPr>
          <w:p>
            <w:pPr>
              <w:spacing w:after="50" w:before="50" w:line="252" w:lineRule="auto"/>
            </w:pPr>
            <w:r>
              <w:rPr>
                <w:sz w:val="17"/>
              </w:rPr>
              <w:t>3 years</w:t>
            </w:r>
          </w:p>
        </w:tc>
      </w:tr>
      <w:tr>
        <w:tc>
          <w:tcPr>
            <w:tcW w:type="dxa" w:w="2279"/>
            <w:shd w:val="clear" w:color="auto" w:fill="EAF1F4"/>
          </w:tcPr>
          <w:p>
            <w:pPr>
              <w:spacing w:after="50" w:before="50" w:line="252" w:lineRule="auto"/>
            </w:pPr>
            <w:r>
              <w:rPr>
                <w:sz w:val="17"/>
              </w:rPr>
              <w:t>Referrals out</w:t>
            </w:r>
          </w:p>
        </w:tc>
        <w:tc>
          <w:tcPr>
            <w:tcW w:type="dxa" w:w="6186"/>
            <w:shd w:val="clear" w:color="auto" w:fill="EAF1F4"/>
          </w:tcPr>
          <w:p>
            <w:pPr>
              <w:spacing w:after="50" w:before="50" w:line="252" w:lineRule="auto"/>
            </w:pPr>
            <w:r>
              <w:rPr>
                <w:sz w:val="17"/>
              </w:rPr>
              <w:t>Reference, date, referred to whom</w:t>
            </w:r>
          </w:p>
        </w:tc>
        <w:tc>
          <w:tcPr>
            <w:tcW w:type="dxa" w:w="1002"/>
            <w:shd w:val="clear" w:color="auto" w:fill="EAF1F4"/>
          </w:tcPr>
          <w:p>
            <w:pPr>
              <w:spacing w:after="50" w:before="50" w:line="252" w:lineRule="auto"/>
            </w:pPr>
            <w:r>
              <w:rPr>
                <w:sz w:val="17"/>
              </w:rPr>
              <w:t>3 years</w:t>
            </w:r>
          </w:p>
        </w:tc>
      </w:tr>
    </w:tbl>
    <w:p>
      <w:pPr>
        <w:spacing w:after="80" w:before="0"/>
      </w:pPr>
    </w:p>
    <w:p>
      <w:r>
        <w:t>No personal data beyond the consent form leaves the Cell, and the log is anonymised at the point of entry, not later.</w:t>
      </w:r>
    </w:p>
    <w:p>
      <w:pPr>
        <w:spacing w:before="80" w:after="160"/>
        <w:pBdr>
          <w:bottom w:val="single" w:sz="6" w:space="1" w:color="C9D6DE"/>
        </w:pBdr>
      </w:pPr>
    </w:p>
    <w:p>
      <w:pPr>
        <w:pStyle w:val="Heading1"/>
        <w:pBdr>
          <w:bottom w:val="single" w:sz="8" w:space="4" w:color="C9D6DE"/>
        </w:pBdr>
      </w:pPr>
      <w:r>
        <w:t>9. Establishment checklist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t>
            </w:r>
          </w:p>
        </w:tc>
        <w:tc>
          <w:tcPr>
            <w:tcW w:type="dxa" w:w="7890"/>
            <w:shd w:val="clear" w:color="auto" w:fill="10375C"/>
          </w:tcPr>
          <w:p>
            <w:pPr>
              <w:spacing w:after="50" w:before="50"/>
            </w:pPr>
            <w:r>
              <w:rPr>
                <w:b/>
                <w:color w:val="FFFFFF"/>
                <w:sz w:val="17"/>
              </w:rPr>
              <w:t>Item</w:t>
            </w:r>
          </w:p>
        </w:tc>
        <w:tc>
          <w:tcPr>
            <w:tcW w:type="dxa" w:w="850"/>
            <w:shd w:val="clear" w:color="auto" w:fill="10375C"/>
          </w:tcPr>
          <w:p>
            <w:pPr>
              <w:spacing w:after="50" w:before="50"/>
            </w:pPr>
            <w:r>
              <w:rPr>
                <w:b/>
                <w:color w:val="FFFFFF"/>
                <w:sz w:val="17"/>
              </w:rPr>
              <w:t>☐</w:t>
            </w:r>
          </w:p>
        </w:tc>
      </w:tr>
      <w:tr>
        <w:tc>
          <w:tcPr>
            <w:tcW w:type="dxa" w:w="850"/>
          </w:tcPr>
          <w:p>
            <w:pPr>
              <w:spacing w:after="50" w:before="50" w:line="252" w:lineRule="auto"/>
            </w:pPr>
            <w:r>
              <w:rPr>
                <w:sz w:val="17"/>
              </w:rPr>
              <w:t>1</w:t>
            </w:r>
          </w:p>
        </w:tc>
        <w:tc>
          <w:tcPr>
            <w:tcW w:type="dxa" w:w="7890"/>
          </w:tcPr>
          <w:p>
            <w:pPr>
              <w:spacing w:after="50" w:before="50" w:line="252" w:lineRule="auto"/>
            </w:pPr>
            <w:r>
              <w:rPr>
                <w:sz w:val="17"/>
              </w:rPr>
              <w:t>Institutional recognition obtained; Faculty Convenor appointed</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2</w:t>
            </w:r>
          </w:p>
        </w:tc>
        <w:tc>
          <w:tcPr>
            <w:tcW w:type="dxa" w:w="7890"/>
            <w:shd w:val="clear" w:color="auto" w:fill="EAF1F4"/>
          </w:tcPr>
          <w:p>
            <w:pPr>
              <w:spacing w:after="50" w:before="50" w:line="252" w:lineRule="auto"/>
            </w:pPr>
            <w:r>
              <w:rPr>
                <w:sz w:val="17"/>
              </w:rPr>
              <w:t>Terms of reference adopted, including section 4 verbatim</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3</w:t>
            </w:r>
          </w:p>
        </w:tc>
        <w:tc>
          <w:tcPr>
            <w:tcW w:type="dxa" w:w="7890"/>
          </w:tcPr>
          <w:p>
            <w:pPr>
              <w:spacing w:after="50" w:before="50" w:line="252" w:lineRule="auto"/>
            </w:pPr>
            <w:r>
              <w:rPr>
                <w:sz w:val="17"/>
              </w:rPr>
              <w:t>Equator Supervisor appointed</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4</w:t>
            </w:r>
          </w:p>
        </w:tc>
        <w:tc>
          <w:tcPr>
            <w:tcW w:type="dxa" w:w="7890"/>
            <w:shd w:val="clear" w:color="auto" w:fill="EAF1F4"/>
          </w:tcPr>
          <w:p>
            <w:pPr>
              <w:spacing w:after="50" w:before="50" w:line="252" w:lineRule="auto"/>
            </w:pPr>
            <w:r>
              <w:rPr>
                <w:sz w:val="17"/>
              </w:rPr>
              <w:t>Selection completed; 12–20 members</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5</w:t>
            </w:r>
          </w:p>
        </w:tc>
        <w:tc>
          <w:tcPr>
            <w:tcW w:type="dxa" w:w="7890"/>
          </w:tcPr>
          <w:p>
            <w:pPr>
              <w:spacing w:after="50" w:before="50" w:line="252" w:lineRule="auto"/>
            </w:pPr>
            <w:r>
              <w:rPr>
                <w:sz w:val="17"/>
              </w:rPr>
              <w:t>Foundation training delivered; boundary session signed for</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6</w:t>
            </w:r>
          </w:p>
        </w:tc>
        <w:tc>
          <w:tcPr>
            <w:tcW w:type="dxa" w:w="7890"/>
            <w:shd w:val="clear" w:color="auto" w:fill="EAF1F4"/>
          </w:tcPr>
          <w:p>
            <w:pPr>
              <w:spacing w:after="50" w:before="50" w:line="252" w:lineRule="auto"/>
            </w:pPr>
            <w:r>
              <w:rPr>
                <w:sz w:val="17"/>
              </w:rPr>
              <w:t>Supervised co-mediations completed</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7</w:t>
            </w:r>
          </w:p>
        </w:tc>
        <w:tc>
          <w:tcPr>
            <w:tcW w:type="dxa" w:w="7890"/>
          </w:tcPr>
          <w:p>
            <w:pPr>
              <w:spacing w:after="50" w:before="50" w:line="252" w:lineRule="auto"/>
            </w:pPr>
            <w:r>
              <w:rPr>
                <w:sz w:val="17"/>
              </w:rPr>
              <w:t>Room identified — private, neutral, bookable</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8</w:t>
            </w:r>
          </w:p>
        </w:tc>
        <w:tc>
          <w:tcPr>
            <w:tcW w:type="dxa" w:w="7890"/>
            <w:shd w:val="clear" w:color="auto" w:fill="EAF1F4"/>
          </w:tcPr>
          <w:p>
            <w:pPr>
              <w:spacing w:after="50" w:before="50" w:line="252" w:lineRule="auto"/>
            </w:pPr>
            <w:r>
              <w:rPr>
                <w:sz w:val="17"/>
              </w:rPr>
              <w:t>Referral form, consent form and case log in place</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9</w:t>
            </w:r>
          </w:p>
        </w:tc>
        <w:tc>
          <w:tcPr>
            <w:tcW w:type="dxa" w:w="7890"/>
          </w:tcPr>
          <w:p>
            <w:pPr>
              <w:spacing w:after="50" w:before="50" w:line="252" w:lineRule="auto"/>
            </w:pPr>
            <w:r>
              <w:rPr>
                <w:sz w:val="17"/>
              </w:rPr>
              <w:t>Escalation contacts posted, including the Internal Committee and the counselling service</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10</w:t>
            </w:r>
          </w:p>
        </w:tc>
        <w:tc>
          <w:tcPr>
            <w:tcW w:type="dxa" w:w="7890"/>
            <w:shd w:val="clear" w:color="auto" w:fill="EAF1F4"/>
          </w:tcPr>
          <w:p>
            <w:pPr>
              <w:spacing w:after="50" w:before="50" w:line="252" w:lineRule="auto"/>
            </w:pPr>
            <w:r>
              <w:rPr>
                <w:sz w:val="17"/>
              </w:rPr>
              <w:t>Launch communicated to the student body, with the boundaries stated publicly</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11</w:t>
            </w:r>
          </w:p>
        </w:tc>
        <w:tc>
          <w:tcPr>
            <w:tcW w:type="dxa" w:w="7890"/>
          </w:tcPr>
          <w:p>
            <w:pPr>
              <w:spacing w:after="50" w:before="50" w:line="252" w:lineRule="auto"/>
            </w:pPr>
            <w:r>
              <w:rPr>
                <w:sz w:val="17"/>
              </w:rPr>
              <w:t>Monthly supervision diarised for twelve months</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12</w:t>
            </w:r>
          </w:p>
        </w:tc>
        <w:tc>
          <w:tcPr>
            <w:tcW w:type="dxa" w:w="7890"/>
            <w:shd w:val="clear" w:color="auto" w:fill="EAF1F4"/>
          </w:tcPr>
          <w:p>
            <w:pPr>
              <w:spacing w:after="50" w:before="50" w:line="252" w:lineRule="auto"/>
            </w:pPr>
            <w:r>
              <w:rPr>
                <w:sz w:val="17"/>
              </w:rPr>
              <w:t>Annual review diarised</w:t>
            </w:r>
          </w:p>
        </w:tc>
        <w:tc>
          <w:tcPr>
            <w:tcW w:type="dxa" w:w="850"/>
            <w:shd w:val="clear" w:color="auto" w:fill="EAF1F4"/>
          </w:tcPr>
          <w:p>
            <w:pPr>
              <w:spacing w:after="50" w:before="50" w:line="252" w:lineRule="auto"/>
            </w:pPr>
            <w:r>
              <w:rPr>
                <w:sz w:val="17"/>
              </w:rPr>
              <w:t>☐</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EQ-UAP-077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Campus Mediation Cell — Establishment &amp; Operating Manual</w:t>
    </w:r>
    <w:r>
      <w:rPr>
        <w:rFonts w:ascii="Calibri" w:hAnsi="Calibri"/>
        <w:color w:val="595959"/>
        <w:sz w:val="16"/>
      </w:rPr>
      <w:tab/>
      <w:t>Confidential — Internal and partner institution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8880503-5E68-4339-BE7E-6D3D92A147D8}"/>
</file>

<file path=customXml/itemProps3.xml><?xml version="1.0" encoding="utf-8"?>
<ds:datastoreItem xmlns:ds="http://schemas.openxmlformats.org/officeDocument/2006/customXml" ds:itemID="{3E1FAEF0-D31E-4D87-BC16-54A2CAFEC7A0}"/>
</file>

<file path=customXml/itemProps4.xml><?xml version="1.0" encoding="utf-8"?>
<ds:datastoreItem xmlns:ds="http://schemas.openxmlformats.org/officeDocument/2006/customXml" ds:itemID="{4B5FE63F-546B-4B56-A23B-A55B95BF9BC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