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Live Clinic &amp; Supervised Practice SOP</w:t>
      </w:r>
    </w:p>
    <w:p>
      <w:pPr>
        <w:spacing w:after="280" w:line="276" w:lineRule="auto"/>
      </w:pPr>
      <w:r>
        <w:rPr>
          <w:rFonts w:ascii="Calibri" w:hAnsi="Calibri"/>
          <w:i/>
          <w:color w:val="3E6B8A"/>
          <w:sz w:val="25"/>
        </w:rPr>
        <w:t>How students are exposed to real matters lawfully, and how supervised practice hours are accumulated and verified</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EQ-UAP-078</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Operations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The governing constraint</w:t>
      </w:r>
    </w:p>
    <w:p>
      <w:r>
        <w:t xml:space="preserve">Everything in this SOP is subject to one fact: </w:t>
      </w:r>
      <w:r>
        <w:rPr>
          <w:b/>
        </w:rPr>
        <w:t>mediation proceedings are confidential by statute.</w:t>
      </w:r>
      <w:r>
        <w:t xml:space="preserve"> The Mediation Act, 2023 obliges the mediator, the mediation service provider and the parties to keep confidential the statements, proposals, documents and communications of the mediation; </w:t>
      </w:r>
      <w:r>
        <w:rPr>
          <w:b/>
        </w:rPr>
        <w:t>recording is prohibited</w:t>
      </w:r>
      <w:r>
        <w:t>; and information from mediation is not admissible in later proceedings.</w:t>
      </w:r>
    </w:p>
    <w:p>
      <w:r>
        <w:t>This is not a policy Equator has adopted. It is the law, and it cannot be waived by Equator, by a university, or by a student's enthusiasm. Every provision below follows from it.</w:t>
      </w:r>
    </w:p>
    <w:p>
      <w:pPr>
        <w:spacing w:before="80" w:after="160"/>
        <w:pBdr>
          <w:bottom w:val="single" w:sz="6" w:space="1" w:color="C9D6DE"/>
        </w:pBdr>
      </w:pPr>
    </w:p>
    <w:p>
      <w:pPr>
        <w:pStyle w:val="Heading1"/>
        <w:pBdr>
          <w:bottom w:val="single" w:sz="8" w:space="4" w:color="C9D6DE"/>
        </w:pBdr>
      </w:pPr>
      <w:r>
        <w:t>2. What live exposure is permitted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3576"/>
            <w:shd w:val="clear" w:color="auto" w:fill="10375C"/>
          </w:tcPr>
          <w:p>
            <w:pPr>
              <w:spacing w:after="50" w:before="50"/>
            </w:pPr>
            <w:r>
              <w:rPr>
                <w:b/>
                <w:color w:val="FFFFFF"/>
                <w:sz w:val="17"/>
              </w:rPr>
              <w:t>Activity</w:t>
            </w:r>
          </w:p>
        </w:tc>
        <w:tc>
          <w:tcPr>
            <w:tcW w:type="dxa" w:w="2485"/>
            <w:shd w:val="clear" w:color="auto" w:fill="10375C"/>
          </w:tcPr>
          <w:p>
            <w:pPr>
              <w:spacing w:after="50" w:before="50"/>
            </w:pPr>
            <w:r>
              <w:rPr>
                <w:b/>
                <w:color w:val="FFFFFF"/>
                <w:sz w:val="17"/>
              </w:rPr>
              <w:t>Permitted</w:t>
            </w:r>
          </w:p>
        </w:tc>
        <w:tc>
          <w:tcPr>
            <w:tcW w:type="dxa" w:w="3407"/>
            <w:shd w:val="clear" w:color="auto" w:fill="10375C"/>
          </w:tcPr>
          <w:p>
            <w:pPr>
              <w:spacing w:after="50" w:before="50"/>
            </w:pPr>
            <w:r>
              <w:rPr>
                <w:b/>
                <w:color w:val="FFFFFF"/>
                <w:sz w:val="17"/>
              </w:rPr>
              <w:t>Conditions</w:t>
            </w:r>
          </w:p>
        </w:tc>
      </w:tr>
      <w:tr>
        <w:tc>
          <w:tcPr>
            <w:tcW w:type="dxa" w:w="3576"/>
          </w:tcPr>
          <w:p>
            <w:pPr>
              <w:spacing w:after="50" w:before="50" w:line="252" w:lineRule="auto"/>
            </w:pPr>
            <w:r>
              <w:rPr>
                <w:sz w:val="17"/>
              </w:rPr>
              <w:t>Observation of a live mediation</w:t>
            </w:r>
          </w:p>
        </w:tc>
        <w:tc>
          <w:tcPr>
            <w:tcW w:type="dxa" w:w="2485"/>
          </w:tcPr>
          <w:p>
            <w:pPr>
              <w:spacing w:after="50" w:before="50" w:line="252" w:lineRule="auto"/>
            </w:pPr>
            <w:r>
              <w:rPr>
                <w:sz w:val="17"/>
              </w:rPr>
              <w:t>Yes</w:t>
            </w:r>
          </w:p>
        </w:tc>
        <w:tc>
          <w:tcPr>
            <w:tcW w:type="dxa" w:w="3407"/>
          </w:tcPr>
          <w:p>
            <w:pPr>
              <w:spacing w:after="50" w:before="50" w:line="252" w:lineRule="auto"/>
            </w:pPr>
            <w:r>
              <w:rPr>
                <w:sz w:val="17"/>
              </w:rPr>
              <w:t>Consent of every party; specific undertaking; supervision; no recording</w:t>
            </w:r>
          </w:p>
        </w:tc>
      </w:tr>
      <w:tr>
        <w:tc>
          <w:tcPr>
            <w:tcW w:type="dxa" w:w="3576"/>
            <w:shd w:val="clear" w:color="auto" w:fill="EAF1F4"/>
          </w:tcPr>
          <w:p>
            <w:pPr>
              <w:spacing w:after="50" w:before="50" w:line="252" w:lineRule="auto"/>
            </w:pPr>
            <w:r>
              <w:rPr>
                <w:sz w:val="17"/>
              </w:rPr>
              <w:t>Note-taking in a live session</w:t>
            </w:r>
          </w:p>
        </w:tc>
        <w:tc>
          <w:tcPr>
            <w:tcW w:type="dxa" w:w="2485"/>
            <w:shd w:val="clear" w:color="auto" w:fill="EAF1F4"/>
          </w:tcPr>
          <w:p>
            <w:pPr>
              <w:spacing w:after="50" w:before="50" w:line="252" w:lineRule="auto"/>
            </w:pPr>
            <w:r>
              <w:rPr>
                <w:sz w:val="17"/>
              </w:rPr>
              <w:t>Yes, at Level II and above</w:t>
            </w:r>
          </w:p>
        </w:tc>
        <w:tc>
          <w:tcPr>
            <w:tcW w:type="dxa" w:w="3407"/>
            <w:shd w:val="clear" w:color="auto" w:fill="EAF1F4"/>
          </w:tcPr>
          <w:p>
            <w:pPr>
              <w:spacing w:after="50" w:before="50" w:line="252" w:lineRule="auto"/>
            </w:pPr>
            <w:r>
              <w:rPr>
                <w:sz w:val="17"/>
              </w:rPr>
              <w:t>Notes surrendered and destroyed</w:t>
            </w:r>
          </w:p>
        </w:tc>
      </w:tr>
      <w:tr>
        <w:tc>
          <w:tcPr>
            <w:tcW w:type="dxa" w:w="3576"/>
          </w:tcPr>
          <w:p>
            <w:pPr>
              <w:spacing w:after="50" w:before="50" w:line="252" w:lineRule="auto"/>
            </w:pPr>
            <w:r>
              <w:rPr>
                <w:sz w:val="17"/>
              </w:rPr>
              <w:t>Co-mediation by a trained student</w:t>
            </w:r>
          </w:p>
        </w:tc>
        <w:tc>
          <w:tcPr>
            <w:tcW w:type="dxa" w:w="2485"/>
          </w:tcPr>
          <w:p>
            <w:pPr>
              <w:spacing w:after="50" w:before="50" w:line="252" w:lineRule="auto"/>
            </w:pPr>
            <w:r>
              <w:rPr>
                <w:b/>
                <w:sz w:val="17"/>
              </w:rPr>
              <w:t>No</w:t>
            </w:r>
          </w:p>
        </w:tc>
        <w:tc>
          <w:tcPr>
            <w:tcW w:type="dxa" w:w="3407"/>
          </w:tcPr>
          <w:p>
            <w:pPr>
              <w:spacing w:after="50" w:before="50" w:line="252" w:lineRule="auto"/>
            </w:pPr>
            <w:r>
              <w:rPr>
                <w:sz w:val="17"/>
              </w:rPr>
              <w:t>Students do not mediate live matters administered by Equator</w:t>
            </w:r>
          </w:p>
        </w:tc>
      </w:tr>
      <w:tr>
        <w:tc>
          <w:tcPr>
            <w:tcW w:type="dxa" w:w="3576"/>
            <w:shd w:val="clear" w:color="auto" w:fill="EAF1F4"/>
          </w:tcPr>
          <w:p>
            <w:pPr>
              <w:spacing w:after="50" w:before="50" w:line="252" w:lineRule="auto"/>
            </w:pPr>
            <w:r>
              <w:rPr>
                <w:sz w:val="17"/>
              </w:rPr>
              <w:t>Supervised community mediation of low-value matters at a clinic</w:t>
            </w:r>
          </w:p>
        </w:tc>
        <w:tc>
          <w:tcPr>
            <w:tcW w:type="dxa" w:w="2485"/>
            <w:shd w:val="clear" w:color="auto" w:fill="EAF1F4"/>
          </w:tcPr>
          <w:p>
            <w:pPr>
              <w:spacing w:after="50" w:before="50" w:line="252" w:lineRule="auto"/>
            </w:pPr>
            <w:r>
              <w:rPr>
                <w:sz w:val="17"/>
              </w:rPr>
              <w:t>Yes, at Level III</w:t>
            </w:r>
          </w:p>
        </w:tc>
        <w:tc>
          <w:tcPr>
            <w:tcW w:type="dxa" w:w="3407"/>
            <w:shd w:val="clear" w:color="auto" w:fill="EAF1F4"/>
          </w:tcPr>
          <w:p>
            <w:pPr>
              <w:spacing w:after="50" w:before="50" w:line="252" w:lineRule="auto"/>
            </w:pPr>
            <w:r>
              <w:rPr>
                <w:sz w:val="17"/>
              </w:rPr>
              <w:t>Only under the clinic protocol at section 5</w:t>
            </w:r>
          </w:p>
        </w:tc>
      </w:tr>
      <w:tr>
        <w:tc>
          <w:tcPr>
            <w:tcW w:type="dxa" w:w="3576"/>
          </w:tcPr>
          <w:p>
            <w:pPr>
              <w:spacing w:after="50" w:before="50" w:line="252" w:lineRule="auto"/>
            </w:pPr>
            <w:r>
              <w:rPr>
                <w:sz w:val="17"/>
              </w:rPr>
              <w:t>Access to case documents</w:t>
            </w:r>
          </w:p>
        </w:tc>
        <w:tc>
          <w:tcPr>
            <w:tcW w:type="dxa" w:w="2485"/>
          </w:tcPr>
          <w:p>
            <w:pPr>
              <w:spacing w:after="50" w:before="50" w:line="252" w:lineRule="auto"/>
            </w:pPr>
            <w:r>
              <w:rPr>
                <w:sz w:val="17"/>
              </w:rPr>
              <w:t>Anonymised only</w:t>
            </w:r>
          </w:p>
        </w:tc>
        <w:tc>
          <w:tcPr>
            <w:tcW w:type="dxa" w:w="3407"/>
          </w:tcPr>
          <w:p>
            <w:pPr>
              <w:spacing w:after="50" w:before="50" w:line="252" w:lineRule="auto"/>
            </w:pPr>
            <w:r>
              <w:rPr>
                <w:sz w:val="17"/>
              </w:rPr>
              <w:t>Level II and above</w:t>
            </w:r>
          </w:p>
        </w:tc>
      </w:tr>
      <w:tr>
        <w:tc>
          <w:tcPr>
            <w:tcW w:type="dxa" w:w="3576"/>
            <w:shd w:val="clear" w:color="auto" w:fill="EAF1F4"/>
          </w:tcPr>
          <w:p>
            <w:pPr>
              <w:spacing w:after="50" w:before="50" w:line="252" w:lineRule="auto"/>
            </w:pPr>
            <w:r>
              <w:rPr>
                <w:sz w:val="17"/>
              </w:rPr>
              <w:t>Attendance at a caucus</w:t>
            </w:r>
          </w:p>
        </w:tc>
        <w:tc>
          <w:tcPr>
            <w:tcW w:type="dxa" w:w="2485"/>
            <w:shd w:val="clear" w:color="auto" w:fill="EAF1F4"/>
          </w:tcPr>
          <w:p>
            <w:pPr>
              <w:spacing w:after="50" w:before="50" w:line="252" w:lineRule="auto"/>
            </w:pPr>
            <w:r>
              <w:rPr>
                <w:sz w:val="17"/>
              </w:rPr>
              <w:t>Only with separate consent of the party concerned</w:t>
            </w:r>
          </w:p>
        </w:tc>
        <w:tc>
          <w:tcPr>
            <w:tcW w:type="dxa" w:w="3407"/>
            <w:shd w:val="clear" w:color="auto" w:fill="EAF1F4"/>
          </w:tcPr>
          <w:p>
            <w:pPr>
              <w:spacing w:after="50" w:before="50" w:line="252" w:lineRule="auto"/>
            </w:pPr>
            <w:r>
              <w:rPr>
                <w:sz w:val="17"/>
              </w:rPr>
              <w:t>—</w:t>
            </w:r>
          </w:p>
        </w:tc>
      </w:tr>
      <w:tr>
        <w:tc>
          <w:tcPr>
            <w:tcW w:type="dxa" w:w="3576"/>
          </w:tcPr>
          <w:p>
            <w:pPr>
              <w:spacing w:after="50" w:before="50" w:line="252" w:lineRule="auto"/>
            </w:pPr>
            <w:r>
              <w:rPr>
                <w:sz w:val="17"/>
              </w:rPr>
              <w:t>Discussion of a matter outside supervision</w:t>
            </w:r>
          </w:p>
        </w:tc>
        <w:tc>
          <w:tcPr>
            <w:tcW w:type="dxa" w:w="2485"/>
          </w:tcPr>
          <w:p>
            <w:pPr>
              <w:spacing w:after="50" w:before="50" w:line="252" w:lineRule="auto"/>
            </w:pPr>
            <w:r>
              <w:rPr>
                <w:b/>
                <w:sz w:val="17"/>
              </w:rPr>
              <w:t>Never</w:t>
            </w:r>
          </w:p>
        </w:tc>
        <w:tc>
          <w:tcPr>
            <w:tcW w:type="dxa" w:w="3407"/>
          </w:tcPr>
          <w:p>
            <w:pPr>
              <w:spacing w:after="50" w:before="50" w:line="252" w:lineRule="auto"/>
            </w:pPr>
            <w:r>
              <w:rPr>
                <w:sz w:val="17"/>
              </w:rPr>
              <w:t>—</w:t>
            </w:r>
          </w:p>
        </w:tc>
      </w:tr>
      <w:tr>
        <w:tc>
          <w:tcPr>
            <w:tcW w:type="dxa" w:w="3576"/>
            <w:shd w:val="clear" w:color="auto" w:fill="EAF1F4"/>
          </w:tcPr>
          <w:p>
            <w:pPr>
              <w:spacing w:after="50" w:before="50" w:line="252" w:lineRule="auto"/>
            </w:pPr>
            <w:r>
              <w:rPr>
                <w:sz w:val="17"/>
              </w:rPr>
              <w:t>Use of a matter in academic work</w:t>
            </w:r>
          </w:p>
        </w:tc>
        <w:tc>
          <w:tcPr>
            <w:tcW w:type="dxa" w:w="2485"/>
            <w:shd w:val="clear" w:color="auto" w:fill="EAF1F4"/>
          </w:tcPr>
          <w:p>
            <w:pPr>
              <w:spacing w:after="50" w:before="50" w:line="252" w:lineRule="auto"/>
            </w:pPr>
            <w:r>
              <w:rPr>
                <w:sz w:val="17"/>
              </w:rPr>
              <w:t>Only fully anonymised and with written approval</w:t>
            </w:r>
          </w:p>
        </w:tc>
        <w:tc>
          <w:tcPr>
            <w:tcW w:type="dxa" w:w="3407"/>
            <w:shd w:val="clear" w:color="auto" w:fill="EAF1F4"/>
          </w:tcPr>
          <w:p>
            <w:pPr>
              <w:spacing w:after="50" w:before="50" w:line="252" w:lineRule="auto"/>
            </w:pPr>
            <w:r>
              <w:rPr>
                <w:sz w:val="17"/>
              </w:rPr>
              <w:t>—</w:t>
            </w:r>
          </w:p>
        </w:tc>
      </w:tr>
    </w:tbl>
    <w:p>
      <w:pPr>
        <w:spacing w:after="80" w:before="0"/>
      </w:pPr>
    </w:p>
    <w:p>
      <w:pPr>
        <w:spacing w:before="80" w:after="160"/>
        <w:pBdr>
          <w:bottom w:val="single" w:sz="6" w:space="1" w:color="C9D6DE"/>
        </w:pBdr>
      </w:pPr>
    </w:p>
    <w:p>
      <w:pPr>
        <w:pStyle w:val="Heading1"/>
        <w:pBdr>
          <w:bottom w:val="single" w:sz="8" w:space="4" w:color="C9D6DE"/>
        </w:pBdr>
      </w:pPr>
      <w:r>
        <w:t>3. Authorisation</w:t>
      </w:r>
    </w:p>
    <w:p>
      <w:r>
        <w:t>No exposure occurs without every step below. There is no abbreviated route.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7750"/>
            <w:shd w:val="clear" w:color="auto" w:fill="10375C"/>
          </w:tcPr>
          <w:p>
            <w:pPr>
              <w:spacing w:after="50" w:before="50"/>
            </w:pPr>
            <w:r>
              <w:rPr>
                <w:b/>
                <w:color w:val="FFFFFF"/>
                <w:sz w:val="17"/>
              </w:rPr>
              <w:t>Step</w:t>
            </w:r>
          </w:p>
        </w:tc>
        <w:tc>
          <w:tcPr>
            <w:tcW w:type="dxa" w:w="1718"/>
            <w:shd w:val="clear" w:color="auto" w:fill="10375C"/>
          </w:tcPr>
          <w:p>
            <w:pPr>
              <w:spacing w:after="50" w:before="50"/>
            </w:pPr>
            <w:r>
              <w:rPr>
                <w:b/>
                <w:color w:val="FFFFFF"/>
                <w:sz w:val="17"/>
              </w:rPr>
              <w:t>Owner</w:t>
            </w:r>
          </w:p>
        </w:tc>
      </w:tr>
      <w:tr>
        <w:tc>
          <w:tcPr>
            <w:tcW w:type="dxa" w:w="7750"/>
          </w:tcPr>
          <w:p>
            <w:pPr>
              <w:spacing w:after="50" w:before="50" w:line="252" w:lineRule="auto"/>
            </w:pPr>
            <w:r>
              <w:rPr>
                <w:sz w:val="17"/>
              </w:rPr>
              <w:t>1. Programme Director authorises the exposure in writing</w:t>
            </w:r>
          </w:p>
        </w:tc>
        <w:tc>
          <w:tcPr>
            <w:tcW w:type="dxa" w:w="1718"/>
          </w:tcPr>
          <w:p>
            <w:pPr>
              <w:spacing w:after="50" w:before="50" w:line="252" w:lineRule="auto"/>
            </w:pPr>
            <w:r>
              <w:rPr>
                <w:sz w:val="17"/>
              </w:rPr>
              <w:t>Director</w:t>
            </w:r>
          </w:p>
        </w:tc>
      </w:tr>
      <w:tr>
        <w:tc>
          <w:tcPr>
            <w:tcW w:type="dxa" w:w="7750"/>
            <w:shd w:val="clear" w:color="auto" w:fill="EAF1F4"/>
          </w:tcPr>
          <w:p>
            <w:pPr>
              <w:spacing w:after="50" w:before="50" w:line="252" w:lineRule="auto"/>
            </w:pPr>
            <w:r>
              <w:rPr>
                <w:sz w:val="17"/>
              </w:rPr>
              <w:t xml:space="preserve">2. The neutral or case manager identifies a suitable matter — </w:t>
            </w:r>
            <w:r>
              <w:rPr>
                <w:b/>
                <w:sz w:val="17"/>
              </w:rPr>
              <w:t>not a sensitive, high-value or emotionally acute matter</w:t>
            </w:r>
          </w:p>
        </w:tc>
        <w:tc>
          <w:tcPr>
            <w:tcW w:type="dxa" w:w="1718"/>
            <w:shd w:val="clear" w:color="auto" w:fill="EAF1F4"/>
          </w:tcPr>
          <w:p>
            <w:pPr>
              <w:spacing w:after="50" w:before="50" w:line="252" w:lineRule="auto"/>
            </w:pPr>
            <w:r>
              <w:rPr>
                <w:sz w:val="17"/>
              </w:rPr>
              <w:t>Case manager</w:t>
            </w:r>
          </w:p>
        </w:tc>
      </w:tr>
      <w:tr>
        <w:tc>
          <w:tcPr>
            <w:tcW w:type="dxa" w:w="7750"/>
          </w:tcPr>
          <w:p>
            <w:pPr>
              <w:spacing w:after="50" w:before="50" w:line="252" w:lineRule="auto"/>
            </w:pPr>
            <w:r>
              <w:rPr>
                <w:sz w:val="17"/>
              </w:rPr>
              <w:t xml:space="preserve">3. </w:t>
            </w:r>
            <w:r>
              <w:rPr>
                <w:b/>
                <w:sz w:val="17"/>
              </w:rPr>
              <w:t>The neutral or case manager, never the student, seeks consent</w:t>
            </w:r>
            <w:r>
              <w:rPr>
                <w:sz w:val="17"/>
              </w:rPr>
              <w:t xml:space="preserve"> using F-05</w:t>
            </w:r>
          </w:p>
        </w:tc>
        <w:tc>
          <w:tcPr>
            <w:tcW w:type="dxa" w:w="1718"/>
          </w:tcPr>
          <w:p>
            <w:pPr>
              <w:spacing w:after="50" w:before="50" w:line="252" w:lineRule="auto"/>
            </w:pPr>
            <w:r>
              <w:rPr>
                <w:sz w:val="17"/>
              </w:rPr>
              <w:t>Neutral</w:t>
            </w:r>
          </w:p>
        </w:tc>
      </w:tr>
      <w:tr>
        <w:tc>
          <w:tcPr>
            <w:tcW w:type="dxa" w:w="7750"/>
            <w:shd w:val="clear" w:color="auto" w:fill="EAF1F4"/>
          </w:tcPr>
          <w:p>
            <w:pPr>
              <w:spacing w:after="50" w:before="50" w:line="252" w:lineRule="auto"/>
            </w:pPr>
            <w:r>
              <w:rPr>
                <w:sz w:val="17"/>
              </w:rPr>
              <w:t xml:space="preserve">4. Written consent obtained from </w:t>
            </w:r>
            <w:r>
              <w:rPr>
                <w:b/>
                <w:sz w:val="17"/>
              </w:rPr>
              <w:t>every</w:t>
            </w:r>
            <w:r>
              <w:rPr>
                <w:sz w:val="17"/>
              </w:rPr>
              <w:t xml:space="preserve"> party. One refusal ends it, and no reason is asked</w:t>
            </w:r>
          </w:p>
        </w:tc>
        <w:tc>
          <w:tcPr>
            <w:tcW w:type="dxa" w:w="1718"/>
            <w:shd w:val="clear" w:color="auto" w:fill="EAF1F4"/>
          </w:tcPr>
          <w:p>
            <w:pPr>
              <w:spacing w:after="50" w:before="50" w:line="252" w:lineRule="auto"/>
            </w:pPr>
            <w:r>
              <w:rPr>
                <w:sz w:val="17"/>
              </w:rPr>
              <w:t>Neutral</w:t>
            </w:r>
          </w:p>
        </w:tc>
      </w:tr>
      <w:tr>
        <w:tc>
          <w:tcPr>
            <w:tcW w:type="dxa" w:w="7750"/>
          </w:tcPr>
          <w:p>
            <w:pPr>
              <w:spacing w:after="50" w:before="50" w:line="252" w:lineRule="auto"/>
            </w:pPr>
            <w:r>
              <w:rPr>
                <w:sz w:val="17"/>
              </w:rPr>
              <w:t>5. Student signs the specific undertaking (F-04), countersigned by the supervisor</w:t>
            </w:r>
          </w:p>
        </w:tc>
        <w:tc>
          <w:tcPr>
            <w:tcW w:type="dxa" w:w="1718"/>
          </w:tcPr>
          <w:p>
            <w:pPr>
              <w:spacing w:after="50" w:before="50" w:line="252" w:lineRule="auto"/>
            </w:pPr>
            <w:r>
              <w:rPr>
                <w:sz w:val="17"/>
              </w:rPr>
              <w:t>Supervisor</w:t>
            </w:r>
          </w:p>
        </w:tc>
      </w:tr>
      <w:tr>
        <w:tc>
          <w:tcPr>
            <w:tcW w:type="dxa" w:w="7750"/>
            <w:shd w:val="clear" w:color="auto" w:fill="EAF1F4"/>
          </w:tcPr>
          <w:p>
            <w:pPr>
              <w:spacing w:after="50" w:before="50" w:line="252" w:lineRule="auto"/>
            </w:pPr>
            <w:r>
              <w:rPr>
                <w:sz w:val="17"/>
              </w:rPr>
              <w:t>6. Student briefed on conduct, positioning and withdrawal</w:t>
            </w:r>
          </w:p>
        </w:tc>
        <w:tc>
          <w:tcPr>
            <w:tcW w:type="dxa" w:w="1718"/>
            <w:shd w:val="clear" w:color="auto" w:fill="EAF1F4"/>
          </w:tcPr>
          <w:p>
            <w:pPr>
              <w:spacing w:after="50" w:before="50" w:line="252" w:lineRule="auto"/>
            </w:pPr>
            <w:r>
              <w:rPr>
                <w:sz w:val="17"/>
              </w:rPr>
              <w:t>Supervisor</w:t>
            </w:r>
          </w:p>
        </w:tc>
      </w:tr>
      <w:tr>
        <w:tc>
          <w:tcPr>
            <w:tcW w:type="dxa" w:w="7750"/>
          </w:tcPr>
          <w:p>
            <w:pPr>
              <w:spacing w:after="50" w:before="50" w:line="252" w:lineRule="auto"/>
            </w:pPr>
            <w:r>
              <w:rPr>
                <w:sz w:val="17"/>
              </w:rPr>
              <w:t>7. Exposure conducted per section 4</w:t>
            </w:r>
          </w:p>
        </w:tc>
        <w:tc>
          <w:tcPr>
            <w:tcW w:type="dxa" w:w="1718"/>
          </w:tcPr>
          <w:p>
            <w:pPr>
              <w:spacing w:after="50" w:before="50" w:line="252" w:lineRule="auto"/>
            </w:pPr>
            <w:r>
              <w:rPr>
                <w:sz w:val="17"/>
              </w:rPr>
              <w:t>Supervisor</w:t>
            </w:r>
          </w:p>
        </w:tc>
      </w:tr>
      <w:tr>
        <w:tc>
          <w:tcPr>
            <w:tcW w:type="dxa" w:w="7750"/>
            <w:shd w:val="clear" w:color="auto" w:fill="EAF1F4"/>
          </w:tcPr>
          <w:p>
            <w:pPr>
              <w:spacing w:after="50" w:before="50" w:line="252" w:lineRule="auto"/>
            </w:pPr>
            <w:r>
              <w:rPr>
                <w:sz w:val="17"/>
              </w:rPr>
              <w:t>8. Notes surrendered and destroyed; debrief conducted</w:t>
            </w:r>
          </w:p>
        </w:tc>
        <w:tc>
          <w:tcPr>
            <w:tcW w:type="dxa" w:w="1718"/>
            <w:shd w:val="clear" w:color="auto" w:fill="EAF1F4"/>
          </w:tcPr>
          <w:p>
            <w:pPr>
              <w:spacing w:after="50" w:before="50" w:line="252" w:lineRule="auto"/>
            </w:pPr>
            <w:r>
              <w:rPr>
                <w:sz w:val="17"/>
              </w:rPr>
              <w:t>Supervisor</w:t>
            </w:r>
          </w:p>
        </w:tc>
      </w:tr>
      <w:tr>
        <w:tc>
          <w:tcPr>
            <w:tcW w:type="dxa" w:w="7750"/>
          </w:tcPr>
          <w:p>
            <w:pPr>
              <w:spacing w:after="50" w:before="50" w:line="252" w:lineRule="auto"/>
            </w:pPr>
            <w:r>
              <w:rPr>
                <w:sz w:val="17"/>
              </w:rPr>
              <w:t>9. Authorisation, consents and undertaking filed with the case file</w:t>
            </w:r>
          </w:p>
        </w:tc>
        <w:tc>
          <w:tcPr>
            <w:tcW w:type="dxa" w:w="1718"/>
          </w:tcPr>
          <w:p>
            <w:pPr>
              <w:spacing w:after="50" w:before="50" w:line="252" w:lineRule="auto"/>
            </w:pPr>
            <w:r>
              <w:rPr>
                <w:sz w:val="17"/>
              </w:rPr>
              <w:t>Case manager</w:t>
            </w:r>
          </w:p>
        </w:tc>
      </w:tr>
    </w:tbl>
    <w:p>
      <w:pPr>
        <w:spacing w:after="80" w:before="0"/>
      </w:pPr>
    </w:p>
    <w:p>
      <w:pPr>
        <w:pStyle w:val="Heading2"/>
      </w:pPr>
      <w:r>
        <w:t>3.1 Matters never used for exposure</w:t>
      </w:r>
    </w:p>
    <w:p>
      <w:r>
        <w:t>Family and matrimonial matters involving children or allegations of violence · any matter with a safeguarding dimension · any matter involving a party who appears vulnerable · any matter where a party is unrepresented and may feel unable to refuse · any matter involving a partner institution · any matter under active regulatory or criminal investigation · any matter where a party has asked for privacy for any reason.</w:t>
      </w:r>
    </w:p>
    <w:p>
      <w:pPr>
        <w:spacing w:before="80" w:after="160"/>
        <w:pBdr>
          <w:bottom w:val="single" w:sz="6" w:space="1" w:color="C9D6DE"/>
        </w:pBdr>
      </w:pPr>
    </w:p>
    <w:p>
      <w:pPr>
        <w:pStyle w:val="Heading1"/>
        <w:pBdr>
          <w:bottom w:val="single" w:sz="8" w:space="4" w:color="C9D6DE"/>
        </w:pBdr>
      </w:pPr>
      <w:r>
        <w:t>4. Conduct in the room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Rule</w:t>
            </w:r>
          </w:p>
        </w:tc>
      </w:tr>
      <w:tr>
        <w:tc>
          <w:tcPr>
            <w:tcW w:type="dxa" w:w="9468"/>
          </w:tcPr>
          <w:p>
            <w:pPr>
              <w:spacing w:after="50" w:before="50" w:line="252" w:lineRule="auto"/>
            </w:pPr>
            <w:r>
              <w:rPr>
                <w:sz w:val="17"/>
              </w:rPr>
              <w:t>The student is introduced by name and role at the start</w:t>
            </w:r>
          </w:p>
        </w:tc>
      </w:tr>
      <w:tr>
        <w:tc>
          <w:tcPr>
            <w:tcW w:type="dxa" w:w="9468"/>
            <w:shd w:val="clear" w:color="auto" w:fill="EAF1F4"/>
          </w:tcPr>
          <w:p>
            <w:pPr>
              <w:spacing w:after="50" w:before="50" w:line="252" w:lineRule="auto"/>
            </w:pPr>
            <w:r>
              <w:rPr>
                <w:sz w:val="17"/>
              </w:rPr>
              <w:t>The parties are told, in the student's presence, that they may ask the student to leave at any moment, without giving a reason, including mid-session</w:t>
            </w:r>
          </w:p>
        </w:tc>
      </w:tr>
      <w:tr>
        <w:tc>
          <w:tcPr>
            <w:tcW w:type="dxa" w:w="9468"/>
          </w:tcPr>
          <w:p>
            <w:pPr>
              <w:spacing w:after="50" w:before="50" w:line="252" w:lineRule="auto"/>
            </w:pPr>
            <w:r>
              <w:rPr>
                <w:sz w:val="17"/>
              </w:rPr>
              <w:t>The student sits apart, does not speak, and does not react visibly</w:t>
            </w:r>
          </w:p>
        </w:tc>
      </w:tr>
      <w:tr>
        <w:tc>
          <w:tcPr>
            <w:tcW w:type="dxa" w:w="9468"/>
            <w:shd w:val="clear" w:color="auto" w:fill="EAF1F4"/>
          </w:tcPr>
          <w:p>
            <w:pPr>
              <w:spacing w:after="50" w:before="50" w:line="252" w:lineRule="auto"/>
            </w:pPr>
            <w:r>
              <w:rPr>
                <w:b/>
                <w:sz w:val="17"/>
              </w:rPr>
              <w:t>No device in the room.</w:t>
            </w:r>
            <w:r>
              <w:rPr>
                <w:sz w:val="17"/>
              </w:rPr>
              <w:t xml:space="preserve"> Notes on paper only</w:t>
            </w:r>
          </w:p>
        </w:tc>
      </w:tr>
      <w:tr>
        <w:tc>
          <w:tcPr>
            <w:tcW w:type="dxa" w:w="9468"/>
          </w:tcPr>
          <w:p>
            <w:pPr>
              <w:spacing w:after="50" w:before="50" w:line="252" w:lineRule="auto"/>
            </w:pPr>
            <w:r>
              <w:rPr>
                <w:sz w:val="17"/>
              </w:rPr>
              <w:t>The student withdraws for any caucus unless separately consented to</w:t>
            </w:r>
          </w:p>
        </w:tc>
      </w:tr>
      <w:tr>
        <w:tc>
          <w:tcPr>
            <w:tcW w:type="dxa" w:w="9468"/>
            <w:shd w:val="clear" w:color="auto" w:fill="EAF1F4"/>
          </w:tcPr>
          <w:p>
            <w:pPr>
              <w:spacing w:after="50" w:before="50" w:line="252" w:lineRule="auto"/>
            </w:pPr>
            <w:r>
              <w:rPr>
                <w:sz w:val="17"/>
              </w:rPr>
              <w:t>The student leaves the room if any party appears uncomfortable, without waiting to be asked</w:t>
            </w:r>
          </w:p>
        </w:tc>
      </w:tr>
      <w:tr>
        <w:tc>
          <w:tcPr>
            <w:tcW w:type="dxa" w:w="9468"/>
          </w:tcPr>
          <w:p>
            <w:pPr>
              <w:spacing w:after="50" w:before="50" w:line="252" w:lineRule="auto"/>
            </w:pPr>
            <w:r>
              <w:rPr>
                <w:sz w:val="17"/>
              </w:rPr>
              <w:t>Notes are surrendered to the supervisor at the end and destroyed in the student's presence</w:t>
            </w:r>
          </w:p>
        </w:tc>
      </w:tr>
      <w:tr>
        <w:tc>
          <w:tcPr>
            <w:tcW w:type="dxa" w:w="9468"/>
            <w:shd w:val="clear" w:color="auto" w:fill="EAF1F4"/>
          </w:tcPr>
          <w:p>
            <w:pPr>
              <w:spacing w:after="50" w:before="50" w:line="252" w:lineRule="auto"/>
            </w:pPr>
            <w:r>
              <w:rPr>
                <w:sz w:val="17"/>
              </w:rPr>
              <w:t xml:space="preserve">The debrief covers process and skill only — </w:t>
            </w:r>
            <w:r>
              <w:rPr>
                <w:b/>
                <w:sz w:val="17"/>
              </w:rPr>
              <w:t>never the substance of the dispute, the parties, or the outcome</w:t>
            </w:r>
          </w:p>
        </w:tc>
      </w:tr>
    </w:tbl>
    <w:p>
      <w:pPr>
        <w:spacing w:after="80" w:before="0"/>
      </w:pPr>
    </w:p>
    <w:p>
      <w:pPr>
        <w:spacing w:before="80" w:after="160"/>
        <w:pBdr>
          <w:bottom w:val="single" w:sz="6" w:space="1" w:color="C9D6DE"/>
        </w:pBdr>
      </w:pPr>
    </w:p>
    <w:p>
      <w:pPr>
        <w:pStyle w:val="Heading1"/>
        <w:pBdr>
          <w:bottom w:val="single" w:sz="8" w:space="4" w:color="C9D6DE"/>
        </w:pBdr>
      </w:pPr>
      <w:r>
        <w:t>5. The community clinic protocol</w:t>
      </w:r>
    </w:p>
    <w:p>
      <w:r>
        <w:t>Where a clinic is established with a District Legal Services Authority or equivalent, and students conduct low-value community matters: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Requirement</w:t>
            </w:r>
          </w:p>
        </w:tc>
      </w:tr>
      <w:tr>
        <w:tc>
          <w:tcPr>
            <w:tcW w:type="dxa" w:w="9468"/>
          </w:tcPr>
          <w:p>
            <w:pPr>
              <w:spacing w:after="50" w:before="50" w:line="252" w:lineRule="auto"/>
            </w:pPr>
            <w:r>
              <w:rPr>
                <w:sz w:val="17"/>
              </w:rPr>
              <w:t>Conducted under the auspices of the authority, not by Equator independently</w:t>
            </w:r>
          </w:p>
        </w:tc>
      </w:tr>
      <w:tr>
        <w:tc>
          <w:tcPr>
            <w:tcW w:type="dxa" w:w="9468"/>
            <w:shd w:val="clear" w:color="auto" w:fill="EAF1F4"/>
          </w:tcPr>
          <w:p>
            <w:pPr>
              <w:spacing w:after="50" w:before="50" w:line="252" w:lineRule="auto"/>
            </w:pPr>
            <w:r>
              <w:rPr>
                <w:sz w:val="17"/>
              </w:rPr>
              <w:t>Matter types limited to those agreed in writing with the authority</w:t>
            </w:r>
          </w:p>
        </w:tc>
      </w:tr>
      <w:tr>
        <w:tc>
          <w:tcPr>
            <w:tcW w:type="dxa" w:w="9468"/>
          </w:tcPr>
          <w:p>
            <w:pPr>
              <w:spacing w:after="50" w:before="50" w:line="252" w:lineRule="auto"/>
            </w:pPr>
            <w:r>
              <w:rPr>
                <w:sz w:val="17"/>
              </w:rPr>
              <w:t>Value limit of ₹[●]</w:t>
            </w:r>
          </w:p>
        </w:tc>
      </w:tr>
      <w:tr>
        <w:tc>
          <w:tcPr>
            <w:tcW w:type="dxa" w:w="9468"/>
            <w:shd w:val="clear" w:color="auto" w:fill="EAF1F4"/>
          </w:tcPr>
          <w:p>
            <w:pPr>
              <w:spacing w:after="50" w:before="50" w:line="252" w:lineRule="auto"/>
            </w:pPr>
            <w:r>
              <w:rPr>
                <w:b/>
                <w:sz w:val="17"/>
              </w:rPr>
              <w:t>No matter within the exclusions at section 3.1</w:t>
            </w:r>
          </w:p>
        </w:tc>
      </w:tr>
      <w:tr>
        <w:tc>
          <w:tcPr>
            <w:tcW w:type="dxa" w:w="9468"/>
          </w:tcPr>
          <w:p>
            <w:pPr>
              <w:spacing w:after="50" w:before="50" w:line="252" w:lineRule="auto"/>
            </w:pPr>
            <w:r>
              <w:rPr>
                <w:sz w:val="17"/>
              </w:rPr>
              <w:t>Every session co-mediated with a qualified neutral present in the room at all times</w:t>
            </w:r>
          </w:p>
        </w:tc>
      </w:tr>
      <w:tr>
        <w:tc>
          <w:tcPr>
            <w:tcW w:type="dxa" w:w="9468"/>
            <w:shd w:val="clear" w:color="auto" w:fill="EAF1F4"/>
          </w:tcPr>
          <w:p>
            <w:pPr>
              <w:spacing w:after="50" w:before="50" w:line="252" w:lineRule="auto"/>
            </w:pPr>
            <w:r>
              <w:rPr>
                <w:sz w:val="17"/>
              </w:rPr>
              <w:t>The neutral, not the student, opens the session and explains the process</w:t>
            </w:r>
          </w:p>
        </w:tc>
      </w:tr>
      <w:tr>
        <w:tc>
          <w:tcPr>
            <w:tcW w:type="dxa" w:w="9468"/>
          </w:tcPr>
          <w:p>
            <w:pPr>
              <w:spacing w:after="50" w:before="50" w:line="252" w:lineRule="auto"/>
            </w:pPr>
            <w:r>
              <w:rPr>
                <w:sz w:val="17"/>
              </w:rPr>
              <w:t>Parties told expressly that a student is participating, and consent obtained</w:t>
            </w:r>
          </w:p>
        </w:tc>
      </w:tr>
      <w:tr>
        <w:tc>
          <w:tcPr>
            <w:tcW w:type="dxa" w:w="9468"/>
            <w:shd w:val="clear" w:color="auto" w:fill="EAF1F4"/>
          </w:tcPr>
          <w:p>
            <w:pPr>
              <w:spacing w:after="50" w:before="50" w:line="252" w:lineRule="auto"/>
            </w:pPr>
            <w:r>
              <w:rPr>
                <w:sz w:val="17"/>
              </w:rPr>
              <w:t>No legal advice given by anyone</w:t>
            </w:r>
          </w:p>
        </w:tc>
      </w:tr>
      <w:tr>
        <w:tc>
          <w:tcPr>
            <w:tcW w:type="dxa" w:w="9468"/>
          </w:tcPr>
          <w:p>
            <w:pPr>
              <w:spacing w:after="50" w:before="50" w:line="252" w:lineRule="auto"/>
            </w:pPr>
            <w:r>
              <w:rPr>
                <w:sz w:val="17"/>
              </w:rPr>
              <w:t>Any agreement drafted by the neutral, not by the student</w:t>
            </w:r>
          </w:p>
        </w:tc>
      </w:tr>
      <w:tr>
        <w:tc>
          <w:tcPr>
            <w:tcW w:type="dxa" w:w="9468"/>
            <w:shd w:val="clear" w:color="auto" w:fill="EAF1F4"/>
          </w:tcPr>
          <w:p>
            <w:pPr>
              <w:spacing w:after="50" w:before="50" w:line="252" w:lineRule="auto"/>
            </w:pPr>
            <w:r>
              <w:rPr>
                <w:sz w:val="17"/>
              </w:rPr>
              <w:t>Signposting to the authority for anything outside scope</w:t>
            </w:r>
          </w:p>
        </w:tc>
      </w:tr>
      <w:tr>
        <w:tc>
          <w:tcPr>
            <w:tcW w:type="dxa" w:w="9468"/>
          </w:tcPr>
          <w:p>
            <w:pPr>
              <w:spacing w:after="50" w:before="50" w:line="252" w:lineRule="auto"/>
            </w:pPr>
            <w:r>
              <w:rPr>
                <w:sz w:val="17"/>
              </w:rPr>
              <w:t>Anonymised log; a report to the authority monthly</w:t>
            </w:r>
          </w:p>
        </w:tc>
      </w:tr>
    </w:tbl>
    <w:p>
      <w:pPr>
        <w:spacing w:after="80" w:before="0"/>
      </w:pPr>
    </w:p>
    <w:p>
      <w:pPr>
        <w:spacing w:before="80" w:after="160"/>
        <w:pBdr>
          <w:bottom w:val="single" w:sz="6" w:space="1" w:color="C9D6DE"/>
        </w:pBdr>
      </w:pPr>
    </w:p>
    <w:p>
      <w:pPr>
        <w:pStyle w:val="Heading1"/>
        <w:pBdr>
          <w:bottom w:val="single" w:sz="8" w:space="4" w:color="C9D6DE"/>
        </w:pBdr>
      </w:pPr>
      <w:r>
        <w:t>6. Supervised practice hours</w:t>
      </w:r>
    </w:p>
    <w:p>
      <w:r>
        <w:t>Supervised practice is the bridge between the basic and advanced programmes. It must be genuine and it must be verifiable.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914"/>
            <w:shd w:val="clear" w:color="auto" w:fill="10375C"/>
          </w:tcPr>
          <w:p>
            <w:pPr>
              <w:spacing w:after="50" w:before="50"/>
            </w:pPr>
            <w:r>
              <w:rPr>
                <w:b/>
                <w:color w:val="FFFFFF"/>
                <w:sz w:val="17"/>
              </w:rPr>
              <w:t>Element</w:t>
            </w:r>
          </w:p>
        </w:tc>
        <w:tc>
          <w:tcPr>
            <w:tcW w:type="dxa" w:w="6554"/>
            <w:shd w:val="clear" w:color="auto" w:fill="10375C"/>
          </w:tcPr>
          <w:p>
            <w:pPr>
              <w:spacing w:after="50" w:before="50"/>
            </w:pPr>
            <w:r>
              <w:rPr>
                <w:b/>
                <w:color w:val="FFFFFF"/>
                <w:sz w:val="17"/>
              </w:rPr>
              <w:t>Standard</w:t>
            </w:r>
          </w:p>
        </w:tc>
      </w:tr>
      <w:tr>
        <w:tc>
          <w:tcPr>
            <w:tcW w:type="dxa" w:w="2914"/>
          </w:tcPr>
          <w:p>
            <w:pPr>
              <w:spacing w:after="50" w:before="50" w:line="252" w:lineRule="auto"/>
            </w:pPr>
            <w:r>
              <w:rPr>
                <w:sz w:val="17"/>
              </w:rPr>
              <w:t>What counts</w:t>
            </w:r>
          </w:p>
        </w:tc>
        <w:tc>
          <w:tcPr>
            <w:tcW w:type="dxa" w:w="6554"/>
          </w:tcPr>
          <w:p>
            <w:pPr>
              <w:spacing w:after="50" w:before="50" w:line="252" w:lineRule="auto"/>
            </w:pPr>
            <w:r>
              <w:rPr>
                <w:sz w:val="17"/>
              </w:rPr>
              <w:t>Co-mediation under a qualified neutral; supervised community clinic mediation; observation, at a reduced rate</w:t>
            </w:r>
          </w:p>
        </w:tc>
      </w:tr>
      <w:tr>
        <w:tc>
          <w:tcPr>
            <w:tcW w:type="dxa" w:w="2914"/>
            <w:shd w:val="clear" w:color="auto" w:fill="EAF1F4"/>
          </w:tcPr>
          <w:p>
            <w:pPr>
              <w:spacing w:after="50" w:before="50" w:line="252" w:lineRule="auto"/>
            </w:pPr>
            <w:r>
              <w:rPr>
                <w:sz w:val="17"/>
              </w:rPr>
              <w:t>What does not count</w:t>
            </w:r>
          </w:p>
        </w:tc>
        <w:tc>
          <w:tcPr>
            <w:tcW w:type="dxa" w:w="6554"/>
            <w:shd w:val="clear" w:color="auto" w:fill="EAF1F4"/>
          </w:tcPr>
          <w:p>
            <w:pPr>
              <w:spacing w:after="50" w:before="50" w:line="252" w:lineRule="auto"/>
            </w:pPr>
            <w:r>
              <w:rPr>
                <w:sz w:val="17"/>
              </w:rPr>
              <w:t>Simulation, competition, coaching, role play, or anything in a training room</w:t>
            </w:r>
          </w:p>
        </w:tc>
      </w:tr>
      <w:tr>
        <w:tc>
          <w:tcPr>
            <w:tcW w:type="dxa" w:w="2914"/>
          </w:tcPr>
          <w:p>
            <w:pPr>
              <w:spacing w:after="50" w:before="50" w:line="252" w:lineRule="auto"/>
            </w:pPr>
            <w:r>
              <w:rPr>
                <w:sz w:val="17"/>
              </w:rPr>
              <w:t>Rate</w:t>
            </w:r>
          </w:p>
        </w:tc>
        <w:tc>
          <w:tcPr>
            <w:tcW w:type="dxa" w:w="6554"/>
          </w:tcPr>
          <w:p>
            <w:pPr>
              <w:spacing w:after="50" w:before="50" w:line="252" w:lineRule="auto"/>
            </w:pPr>
            <w:r>
              <w:rPr>
                <w:sz w:val="17"/>
              </w:rPr>
              <w:t>Co-mediation 1.0; supervised clinic mediation 1.0; observation 0.5, capped at [●]% of the total requirement</w:t>
            </w:r>
          </w:p>
        </w:tc>
      </w:tr>
      <w:tr>
        <w:tc>
          <w:tcPr>
            <w:tcW w:type="dxa" w:w="2914"/>
            <w:shd w:val="clear" w:color="auto" w:fill="EAF1F4"/>
          </w:tcPr>
          <w:p>
            <w:pPr>
              <w:spacing w:after="50" w:before="50" w:line="252" w:lineRule="auto"/>
            </w:pPr>
            <w:r>
              <w:rPr>
                <w:sz w:val="17"/>
              </w:rPr>
              <w:t>Requirement for the advanced programme</w:t>
            </w:r>
          </w:p>
        </w:tc>
        <w:tc>
          <w:tcPr>
            <w:tcW w:type="dxa" w:w="6554"/>
            <w:shd w:val="clear" w:color="auto" w:fill="EAF1F4"/>
          </w:tcPr>
          <w:p>
            <w:pPr>
              <w:spacing w:after="50" w:before="50" w:line="252" w:lineRule="auto"/>
            </w:pPr>
            <w:r>
              <w:rPr>
                <w:b/>
                <w:sz w:val="17"/>
              </w:rPr>
              <w:t>[●] mediations, of which at least [●] as co-mediator</w:t>
            </w:r>
            <w:r>
              <w:rPr>
                <w:sz w:val="17"/>
              </w:rPr>
              <w:t xml:space="preserve"> </w:t>
            </w:r>
            <w:r>
              <w:rPr>
                <w:b/>
                <w:sz w:val="17"/>
              </w:rPr>
              <w:t>[verify]</w:t>
            </w:r>
          </w:p>
        </w:tc>
      </w:tr>
      <w:tr>
        <w:tc>
          <w:tcPr>
            <w:tcW w:type="dxa" w:w="2914"/>
          </w:tcPr>
          <w:p>
            <w:pPr>
              <w:spacing w:after="50" w:before="50" w:line="252" w:lineRule="auto"/>
            </w:pPr>
            <w:r>
              <w:rPr>
                <w:sz w:val="17"/>
              </w:rPr>
              <w:t>Log</w:t>
            </w:r>
          </w:p>
        </w:tc>
        <w:tc>
          <w:tcPr>
            <w:tcW w:type="dxa" w:w="6554"/>
          </w:tcPr>
          <w:p>
            <w:pPr>
              <w:spacing w:after="50" w:before="50" w:line="252" w:lineRule="auto"/>
            </w:pPr>
            <w:r>
              <w:rPr>
                <w:sz w:val="17"/>
              </w:rPr>
              <w:t>Maintained by the candidate; entry countersigned by the supervising neutral within seven days</w:t>
            </w:r>
          </w:p>
        </w:tc>
      </w:tr>
      <w:tr>
        <w:tc>
          <w:tcPr>
            <w:tcW w:type="dxa" w:w="2914"/>
            <w:shd w:val="clear" w:color="auto" w:fill="EAF1F4"/>
          </w:tcPr>
          <w:p>
            <w:pPr>
              <w:spacing w:after="50" w:before="50" w:line="252" w:lineRule="auto"/>
            </w:pPr>
            <w:r>
              <w:rPr>
                <w:sz w:val="17"/>
              </w:rPr>
              <w:t>Verification</w:t>
            </w:r>
          </w:p>
        </w:tc>
        <w:tc>
          <w:tcPr>
            <w:tcW w:type="dxa" w:w="6554"/>
            <w:shd w:val="clear" w:color="auto" w:fill="EAF1F4"/>
          </w:tcPr>
          <w:p>
            <w:pPr>
              <w:spacing w:after="50" w:before="50" w:line="252" w:lineRule="auto"/>
            </w:pPr>
            <w:r>
              <w:rPr>
                <w:sz w:val="17"/>
              </w:rPr>
              <w:t>Random audit of 20% of logs by the Head of Curriculum before admission to the advanced programme</w:t>
            </w:r>
          </w:p>
        </w:tc>
      </w:tr>
      <w:tr>
        <w:tc>
          <w:tcPr>
            <w:tcW w:type="dxa" w:w="2914"/>
          </w:tcPr>
          <w:p>
            <w:pPr>
              <w:spacing w:after="50" w:before="50" w:line="252" w:lineRule="auto"/>
            </w:pPr>
            <w:r>
              <w:rPr>
                <w:sz w:val="17"/>
              </w:rPr>
              <w:t>Falsification</w:t>
            </w:r>
          </w:p>
        </w:tc>
        <w:tc>
          <w:tcPr>
            <w:tcW w:type="dxa" w:w="6554"/>
          </w:tcPr>
          <w:p>
            <w:pPr>
              <w:spacing w:after="50" w:before="50" w:line="252" w:lineRule="auto"/>
            </w:pPr>
            <w:r>
              <w:rPr>
                <w:sz w:val="17"/>
              </w:rPr>
              <w:t>Failure; permanent exclusion; the institution and the supervising neutral are informed</w:t>
            </w:r>
          </w:p>
        </w:tc>
      </w:tr>
    </w:tbl>
    <w:p>
      <w:pPr>
        <w:spacing w:after="80" w:before="0"/>
      </w:pPr>
    </w:p>
    <w:p>
      <w:pPr>
        <w:pStyle w:val="Heading2"/>
      </w:pPr>
      <w:r>
        <w:t>6.1 Practice log format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052"/>
        <w:gridCol w:w="1052"/>
        <w:gridCol w:w="1052"/>
        <w:gridCol w:w="1052"/>
        <w:gridCol w:w="1052"/>
        <w:gridCol w:w="1052"/>
        <w:gridCol w:w="1052"/>
        <w:gridCol w:w="1052"/>
        <w:gridCol w:w="1052"/>
      </w:tblGrid>
      <w:tr>
        <w:trPr>
          <w:tblHeader w:val="true"/>
        </w:trPr>
        <w:tc>
          <w:tcPr>
            <w:tcW w:type="dxa" w:w="850"/>
            <w:shd w:val="clear" w:color="auto" w:fill="10375C"/>
          </w:tcPr>
          <w:p>
            <w:pPr>
              <w:spacing w:after="50" w:before="50"/>
            </w:pPr>
            <w:r>
              <w:rPr>
                <w:b/>
                <w:color w:val="FFFFFF"/>
                <w:sz w:val="17"/>
              </w:rPr>
              <w:t>#</w:t>
            </w:r>
          </w:p>
        </w:tc>
        <w:tc>
          <w:tcPr>
            <w:tcW w:type="dxa" w:w="850"/>
            <w:shd w:val="clear" w:color="auto" w:fill="10375C"/>
          </w:tcPr>
          <w:p>
            <w:pPr>
              <w:spacing w:after="50" w:before="50"/>
            </w:pPr>
            <w:r>
              <w:rPr>
                <w:b/>
                <w:color w:val="FFFFFF"/>
                <w:sz w:val="17"/>
              </w:rPr>
              <w:t>Date</w:t>
            </w:r>
          </w:p>
        </w:tc>
        <w:tc>
          <w:tcPr>
            <w:tcW w:type="dxa" w:w="1735"/>
            <w:shd w:val="clear" w:color="auto" w:fill="10375C"/>
          </w:tcPr>
          <w:p>
            <w:pPr>
              <w:spacing w:after="50" w:before="50"/>
            </w:pPr>
            <w:r>
              <w:rPr>
                <w:b/>
                <w:color w:val="FFFFFF"/>
                <w:sz w:val="17"/>
              </w:rPr>
              <w:t>Matter reference</w:t>
            </w:r>
          </w:p>
        </w:tc>
        <w:tc>
          <w:tcPr>
            <w:tcW w:type="dxa" w:w="850"/>
            <w:shd w:val="clear" w:color="auto" w:fill="10375C"/>
          </w:tcPr>
          <w:p>
            <w:pPr>
              <w:spacing w:after="50" w:before="50"/>
            </w:pPr>
            <w:r>
              <w:rPr>
                <w:b/>
                <w:color w:val="FFFFFF"/>
                <w:sz w:val="17"/>
              </w:rPr>
              <w:t>Sector</w:t>
            </w:r>
          </w:p>
        </w:tc>
        <w:tc>
          <w:tcPr>
            <w:tcW w:type="dxa" w:w="850"/>
            <w:shd w:val="clear" w:color="auto" w:fill="10375C"/>
          </w:tcPr>
          <w:p>
            <w:pPr>
              <w:spacing w:after="50" w:before="50"/>
            </w:pPr>
            <w:r>
              <w:rPr>
                <w:b/>
                <w:color w:val="FFFFFF"/>
                <w:sz w:val="17"/>
              </w:rPr>
              <w:t>Role</w:t>
            </w:r>
          </w:p>
        </w:tc>
        <w:tc>
          <w:tcPr>
            <w:tcW w:type="dxa" w:w="868"/>
            <w:shd w:val="clear" w:color="auto" w:fill="10375C"/>
          </w:tcPr>
          <w:p>
            <w:pPr>
              <w:spacing w:after="50" w:before="50"/>
            </w:pPr>
            <w:r>
              <w:rPr>
                <w:b/>
                <w:color w:val="FFFFFF"/>
                <w:sz w:val="17"/>
              </w:rPr>
              <w:t>Duration</w:t>
            </w:r>
          </w:p>
        </w:tc>
        <w:tc>
          <w:tcPr>
            <w:tcW w:type="dxa" w:w="850"/>
            <w:shd w:val="clear" w:color="auto" w:fill="10375C"/>
          </w:tcPr>
          <w:p>
            <w:pPr>
              <w:spacing w:after="50" w:before="50"/>
            </w:pPr>
            <w:r>
              <w:rPr>
                <w:b/>
                <w:color w:val="FFFFFF"/>
                <w:sz w:val="17"/>
              </w:rPr>
              <w:t>Outcome</w:t>
            </w:r>
          </w:p>
        </w:tc>
        <w:tc>
          <w:tcPr>
            <w:tcW w:type="dxa" w:w="2061"/>
            <w:shd w:val="clear" w:color="auto" w:fill="10375C"/>
          </w:tcPr>
          <w:p>
            <w:pPr>
              <w:spacing w:after="50" w:before="50"/>
            </w:pPr>
            <w:r>
              <w:rPr>
                <w:b/>
                <w:color w:val="FFFFFF"/>
                <w:sz w:val="17"/>
              </w:rPr>
              <w:t>Supervising neutral</w:t>
            </w:r>
          </w:p>
        </w:tc>
        <w:tc>
          <w:tcPr>
            <w:tcW w:type="dxa" w:w="976"/>
            <w:shd w:val="clear" w:color="auto" w:fill="10375C"/>
          </w:tcPr>
          <w:p>
            <w:pPr>
              <w:spacing w:after="50" w:before="50"/>
            </w:pPr>
            <w:r>
              <w:rPr>
                <w:b/>
                <w:color w:val="FFFFFF"/>
                <w:sz w:val="17"/>
              </w:rPr>
              <w:t>Signature</w:t>
            </w:r>
          </w:p>
        </w:tc>
      </w:tr>
      <w:tr>
        <w:tc>
          <w:tcPr>
            <w:tcW w:type="dxa" w:w="850"/>
          </w:tcPr>
          <w:p>
            <w:pPr>
              <w:spacing w:after="50" w:before="50" w:line="252" w:lineRule="auto"/>
            </w:pPr>
            <w:r>
              <w:rPr>
                <w:sz w:val="17"/>
              </w:rPr>
              <w:t>1</w:t>
            </w:r>
          </w:p>
        </w:tc>
        <w:tc>
          <w:tcPr>
            <w:tcW w:type="dxa" w:w="850"/>
          </w:tcPr>
          <w:p>
            <w:pPr>
              <w:spacing w:after="50" w:before="50" w:line="252" w:lineRule="auto"/>
            </w:pPr>
          </w:p>
        </w:tc>
        <w:tc>
          <w:tcPr>
            <w:tcW w:type="dxa" w:w="1735"/>
          </w:tcPr>
          <w:p>
            <w:pPr>
              <w:spacing w:after="50" w:before="50" w:line="252" w:lineRule="auto"/>
            </w:pPr>
          </w:p>
        </w:tc>
        <w:tc>
          <w:tcPr>
            <w:tcW w:type="dxa" w:w="850"/>
          </w:tcPr>
          <w:p>
            <w:pPr>
              <w:spacing w:after="50" w:before="50" w:line="252" w:lineRule="auto"/>
            </w:pPr>
          </w:p>
        </w:tc>
        <w:tc>
          <w:tcPr>
            <w:tcW w:type="dxa" w:w="850"/>
          </w:tcPr>
          <w:p>
            <w:pPr>
              <w:spacing w:after="50" w:before="50" w:line="252" w:lineRule="auto"/>
            </w:pPr>
          </w:p>
        </w:tc>
        <w:tc>
          <w:tcPr>
            <w:tcW w:type="dxa" w:w="868"/>
          </w:tcPr>
          <w:p>
            <w:pPr>
              <w:spacing w:after="50" w:before="50" w:line="252" w:lineRule="auto"/>
            </w:pPr>
          </w:p>
        </w:tc>
        <w:tc>
          <w:tcPr>
            <w:tcW w:type="dxa" w:w="850"/>
          </w:tcPr>
          <w:p>
            <w:pPr>
              <w:spacing w:after="50" w:before="50" w:line="252" w:lineRule="auto"/>
            </w:pPr>
          </w:p>
        </w:tc>
        <w:tc>
          <w:tcPr>
            <w:tcW w:type="dxa" w:w="2061"/>
          </w:tcPr>
          <w:p>
            <w:pPr>
              <w:spacing w:after="50" w:before="50" w:line="252" w:lineRule="auto"/>
            </w:pPr>
          </w:p>
        </w:tc>
        <w:tc>
          <w:tcPr>
            <w:tcW w:type="dxa" w:w="976"/>
          </w:tcPr>
          <w:p>
            <w:pPr>
              <w:spacing w:after="50" w:before="50" w:line="252" w:lineRule="auto"/>
            </w:pPr>
          </w:p>
        </w:tc>
      </w:tr>
    </w:tbl>
    <w:p>
      <w:pPr>
        <w:spacing w:after="80" w:before="0"/>
      </w:pPr>
    </w:p>
    <w:p>
      <w:r>
        <w:rPr>
          <w:b/>
        </w:rPr>
        <w:t>The matter reference is Equator's internal reference only.</w:t>
      </w:r>
      <w:r>
        <w:t xml:space="preserve"> No party name, no description of the dispute, and no identifying detail appears in the log.</w:t>
      </w:r>
    </w:p>
    <w:p>
      <w:pPr>
        <w:spacing w:before="80" w:after="160"/>
        <w:pBdr>
          <w:bottom w:val="single" w:sz="6" w:space="1" w:color="C9D6DE"/>
        </w:pBdr>
      </w:pPr>
    </w:p>
    <w:p>
      <w:pPr>
        <w:pStyle w:val="Heading1"/>
        <w:pBdr>
          <w:bottom w:val="single" w:sz="8" w:space="4" w:color="C9D6DE"/>
        </w:pBdr>
      </w:pPr>
      <w:r>
        <w:t>7. What happens if the protocol is breached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623"/>
            <w:shd w:val="clear" w:color="auto" w:fill="10375C"/>
          </w:tcPr>
          <w:p>
            <w:pPr>
              <w:spacing w:after="50" w:before="50"/>
            </w:pPr>
            <w:r>
              <w:rPr>
                <w:b/>
                <w:color w:val="FFFFFF"/>
                <w:sz w:val="17"/>
              </w:rPr>
              <w:t>Breach</w:t>
            </w:r>
          </w:p>
        </w:tc>
        <w:tc>
          <w:tcPr>
            <w:tcW w:type="dxa" w:w="4845"/>
            <w:shd w:val="clear" w:color="auto" w:fill="10375C"/>
          </w:tcPr>
          <w:p>
            <w:pPr>
              <w:spacing w:after="50" w:before="50"/>
            </w:pPr>
            <w:r>
              <w:rPr>
                <w:b/>
                <w:color w:val="FFFFFF"/>
                <w:sz w:val="17"/>
              </w:rPr>
              <w:t>Action</w:t>
            </w:r>
          </w:p>
        </w:tc>
      </w:tr>
      <w:tr>
        <w:tc>
          <w:tcPr>
            <w:tcW w:type="dxa" w:w="4623"/>
          </w:tcPr>
          <w:p>
            <w:pPr>
              <w:spacing w:after="50" w:before="50" w:line="252" w:lineRule="auto"/>
            </w:pPr>
            <w:r>
              <w:rPr>
                <w:sz w:val="17"/>
              </w:rPr>
              <w:t>Student records, photographs or screenshots anything</w:t>
            </w:r>
          </w:p>
        </w:tc>
        <w:tc>
          <w:tcPr>
            <w:tcW w:type="dxa" w:w="4845"/>
          </w:tcPr>
          <w:p>
            <w:pPr>
              <w:spacing w:after="50" w:before="50" w:line="252" w:lineRule="auto"/>
            </w:pPr>
            <w:r>
              <w:rPr>
                <w:sz w:val="17"/>
              </w:rPr>
              <w:t>Immediate exclusion; internship terminated; institution informed; Legal informed; the parties to the matter notified and advised</w:t>
            </w:r>
          </w:p>
        </w:tc>
      </w:tr>
      <w:tr>
        <w:tc>
          <w:tcPr>
            <w:tcW w:type="dxa" w:w="4623"/>
            <w:shd w:val="clear" w:color="auto" w:fill="EAF1F4"/>
          </w:tcPr>
          <w:p>
            <w:pPr>
              <w:spacing w:after="50" w:before="50" w:line="252" w:lineRule="auto"/>
            </w:pPr>
            <w:r>
              <w:rPr>
                <w:sz w:val="17"/>
              </w:rPr>
              <w:t>Student discusses a matter outside supervision</w:t>
            </w:r>
          </w:p>
        </w:tc>
        <w:tc>
          <w:tcPr>
            <w:tcW w:type="dxa" w:w="4845"/>
            <w:shd w:val="clear" w:color="auto" w:fill="EAF1F4"/>
          </w:tcPr>
          <w:p>
            <w:pPr>
              <w:spacing w:after="50" w:before="50" w:line="252" w:lineRule="auto"/>
            </w:pPr>
            <w:r>
              <w:rPr>
                <w:sz w:val="17"/>
              </w:rPr>
              <w:t>Immediate exclusion; institution informed</w:t>
            </w:r>
          </w:p>
        </w:tc>
      </w:tr>
      <w:tr>
        <w:tc>
          <w:tcPr>
            <w:tcW w:type="dxa" w:w="4623"/>
          </w:tcPr>
          <w:p>
            <w:pPr>
              <w:spacing w:after="50" w:before="50" w:line="252" w:lineRule="auto"/>
            </w:pPr>
            <w:r>
              <w:rPr>
                <w:sz w:val="17"/>
              </w:rPr>
              <w:t>Student posts about a matter</w:t>
            </w:r>
          </w:p>
        </w:tc>
        <w:tc>
          <w:tcPr>
            <w:tcW w:type="dxa" w:w="4845"/>
          </w:tcPr>
          <w:p>
            <w:pPr>
              <w:spacing w:after="50" w:before="50" w:line="252" w:lineRule="auto"/>
            </w:pPr>
            <w:r>
              <w:rPr>
                <w:sz w:val="17"/>
              </w:rPr>
              <w:t>Immediate exclusion; content removal pursued; institution informed; Legal informed</w:t>
            </w:r>
          </w:p>
        </w:tc>
      </w:tr>
      <w:tr>
        <w:tc>
          <w:tcPr>
            <w:tcW w:type="dxa" w:w="4623"/>
            <w:shd w:val="clear" w:color="auto" w:fill="EAF1F4"/>
          </w:tcPr>
          <w:p>
            <w:pPr>
              <w:spacing w:after="50" w:before="50" w:line="252" w:lineRule="auto"/>
            </w:pPr>
            <w:r>
              <w:rPr>
                <w:sz w:val="17"/>
              </w:rPr>
              <w:t>Student attends without consent having been obtained</w:t>
            </w:r>
          </w:p>
        </w:tc>
        <w:tc>
          <w:tcPr>
            <w:tcW w:type="dxa" w:w="4845"/>
            <w:shd w:val="clear" w:color="auto" w:fill="EAF1F4"/>
          </w:tcPr>
          <w:p>
            <w:pPr>
              <w:spacing w:after="50" w:before="50" w:line="252" w:lineRule="auto"/>
            </w:pPr>
            <w:r>
              <w:rPr>
                <w:sz w:val="17"/>
              </w:rPr>
              <w:t>Exposure stopped; supervisor accountable; incident reported to the Director; process reviewed</w:t>
            </w:r>
          </w:p>
        </w:tc>
      </w:tr>
      <w:tr>
        <w:tc>
          <w:tcPr>
            <w:tcW w:type="dxa" w:w="4623"/>
          </w:tcPr>
          <w:p>
            <w:pPr>
              <w:spacing w:after="50" w:before="50" w:line="252" w:lineRule="auto"/>
            </w:pPr>
            <w:r>
              <w:rPr>
                <w:sz w:val="17"/>
              </w:rPr>
              <w:t>Consent obtained by the student rather than the neutral</w:t>
            </w:r>
          </w:p>
        </w:tc>
        <w:tc>
          <w:tcPr>
            <w:tcW w:type="dxa" w:w="4845"/>
          </w:tcPr>
          <w:p>
            <w:pPr>
              <w:spacing w:after="50" w:before="50" w:line="252" w:lineRule="auto"/>
            </w:pPr>
            <w:r>
              <w:rPr>
                <w:sz w:val="17"/>
              </w:rPr>
              <w:t>Exposure invalid; consent re-sought properly or exposure abandoned</w:t>
            </w:r>
          </w:p>
        </w:tc>
      </w:tr>
      <w:tr>
        <w:tc>
          <w:tcPr>
            <w:tcW w:type="dxa" w:w="4623"/>
            <w:shd w:val="clear" w:color="auto" w:fill="EAF1F4"/>
          </w:tcPr>
          <w:p>
            <w:pPr>
              <w:spacing w:after="50" w:before="50" w:line="252" w:lineRule="auto"/>
            </w:pPr>
            <w:r>
              <w:rPr>
                <w:sz w:val="17"/>
              </w:rPr>
              <w:t>Notes removed from the room</w:t>
            </w:r>
          </w:p>
        </w:tc>
        <w:tc>
          <w:tcPr>
            <w:tcW w:type="dxa" w:w="4845"/>
            <w:shd w:val="clear" w:color="auto" w:fill="EAF1F4"/>
          </w:tcPr>
          <w:p>
            <w:pPr>
              <w:spacing w:after="50" w:before="50" w:line="252" w:lineRule="auto"/>
            </w:pPr>
            <w:r>
              <w:rPr>
                <w:sz w:val="17"/>
              </w:rPr>
              <w:t>Recovered; incident reported; student excluded from further exposure</w:t>
            </w:r>
          </w:p>
        </w:tc>
      </w:tr>
    </w:tbl>
    <w:p>
      <w:pPr>
        <w:spacing w:after="80" w:before="0"/>
      </w:pPr>
    </w:p>
    <w:p>
      <w:r>
        <w:rPr>
          <w:b/>
        </w:rPr>
        <w:t>Every breach is reported to the Programme Director the same day and to the Data Protection Officer where personal data is involved.</w:t>
      </w:r>
      <w:r>
        <w:t xml:space="preserve"> A breach involving a real party's information is notified to that party.</w:t>
      </w:r>
    </w:p>
    <w:p>
      <w:pPr>
        <w:spacing w:before="80" w:after="160"/>
        <w:pBdr>
          <w:bottom w:val="single" w:sz="6" w:space="1" w:color="C9D6DE"/>
        </w:pBdr>
      </w:pPr>
    </w:p>
    <w:p>
      <w:pPr>
        <w:pStyle w:val="Heading1"/>
        <w:pBdr>
          <w:bottom w:val="single" w:sz="8" w:space="4" w:color="C9D6DE"/>
        </w:pBdr>
      </w:pPr>
      <w:r>
        <w:t>8. Records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786"/>
            <w:shd w:val="clear" w:color="auto" w:fill="10375C"/>
          </w:tcPr>
          <w:p>
            <w:pPr>
              <w:spacing w:after="50" w:before="50"/>
            </w:pPr>
            <w:r>
              <w:rPr>
                <w:b/>
                <w:color w:val="FFFFFF"/>
                <w:sz w:val="17"/>
              </w:rPr>
              <w:t>Record</w:t>
            </w:r>
          </w:p>
        </w:tc>
        <w:tc>
          <w:tcPr>
            <w:tcW w:type="dxa" w:w="3682"/>
            <w:shd w:val="clear" w:color="auto" w:fill="10375C"/>
          </w:tcPr>
          <w:p>
            <w:pPr>
              <w:spacing w:after="50" w:before="50"/>
            </w:pPr>
            <w:r>
              <w:rPr>
                <w:b/>
                <w:color w:val="FFFFFF"/>
                <w:sz w:val="17"/>
              </w:rPr>
              <w:t>Retention</w:t>
            </w:r>
          </w:p>
        </w:tc>
      </w:tr>
      <w:tr>
        <w:tc>
          <w:tcPr>
            <w:tcW w:type="dxa" w:w="5786"/>
          </w:tcPr>
          <w:p>
            <w:pPr>
              <w:spacing w:after="50" w:before="50" w:line="252" w:lineRule="auto"/>
            </w:pPr>
            <w:r>
              <w:rPr>
                <w:sz w:val="17"/>
              </w:rPr>
              <w:t>Exposure authorisation</w:t>
            </w:r>
          </w:p>
        </w:tc>
        <w:tc>
          <w:tcPr>
            <w:tcW w:type="dxa" w:w="3682"/>
          </w:tcPr>
          <w:p>
            <w:pPr>
              <w:spacing w:after="50" w:before="50" w:line="252" w:lineRule="auto"/>
            </w:pPr>
            <w:r>
              <w:rPr>
                <w:sz w:val="17"/>
              </w:rPr>
              <w:t>With the case file</w:t>
            </w:r>
          </w:p>
        </w:tc>
      </w:tr>
      <w:tr>
        <w:tc>
          <w:tcPr>
            <w:tcW w:type="dxa" w:w="5786"/>
            <w:shd w:val="clear" w:color="auto" w:fill="EAF1F4"/>
          </w:tcPr>
          <w:p>
            <w:pPr>
              <w:spacing w:after="50" w:before="50" w:line="252" w:lineRule="auto"/>
            </w:pPr>
            <w:r>
              <w:rPr>
                <w:sz w:val="17"/>
              </w:rPr>
              <w:t>Party consent forms (F-05)</w:t>
            </w:r>
          </w:p>
        </w:tc>
        <w:tc>
          <w:tcPr>
            <w:tcW w:type="dxa" w:w="3682"/>
            <w:shd w:val="clear" w:color="auto" w:fill="EAF1F4"/>
          </w:tcPr>
          <w:p>
            <w:pPr>
              <w:spacing w:after="50" w:before="50" w:line="252" w:lineRule="auto"/>
            </w:pPr>
            <w:r>
              <w:rPr>
                <w:sz w:val="17"/>
              </w:rPr>
              <w:t>With the case file</w:t>
            </w:r>
          </w:p>
        </w:tc>
      </w:tr>
      <w:tr>
        <w:tc>
          <w:tcPr>
            <w:tcW w:type="dxa" w:w="5786"/>
          </w:tcPr>
          <w:p>
            <w:pPr>
              <w:spacing w:after="50" w:before="50" w:line="252" w:lineRule="auto"/>
            </w:pPr>
            <w:r>
              <w:rPr>
                <w:sz w:val="17"/>
              </w:rPr>
              <w:t>Student undertakings (F-04)</w:t>
            </w:r>
          </w:p>
        </w:tc>
        <w:tc>
          <w:tcPr>
            <w:tcW w:type="dxa" w:w="3682"/>
          </w:tcPr>
          <w:p>
            <w:pPr>
              <w:spacing w:after="50" w:before="50" w:line="252" w:lineRule="auto"/>
            </w:pPr>
            <w:r>
              <w:rPr>
                <w:sz w:val="17"/>
              </w:rPr>
              <w:t>7 years</w:t>
            </w:r>
          </w:p>
        </w:tc>
      </w:tr>
      <w:tr>
        <w:tc>
          <w:tcPr>
            <w:tcW w:type="dxa" w:w="5786"/>
            <w:shd w:val="clear" w:color="auto" w:fill="EAF1F4"/>
          </w:tcPr>
          <w:p>
            <w:pPr>
              <w:spacing w:after="50" w:before="50" w:line="252" w:lineRule="auto"/>
            </w:pPr>
            <w:r>
              <w:rPr>
                <w:sz w:val="17"/>
              </w:rPr>
              <w:t>Practice logs</w:t>
            </w:r>
          </w:p>
        </w:tc>
        <w:tc>
          <w:tcPr>
            <w:tcW w:type="dxa" w:w="3682"/>
            <w:shd w:val="clear" w:color="auto" w:fill="EAF1F4"/>
          </w:tcPr>
          <w:p>
            <w:pPr>
              <w:spacing w:after="50" w:before="50" w:line="252" w:lineRule="auto"/>
            </w:pPr>
            <w:r>
              <w:rPr>
                <w:sz w:val="17"/>
              </w:rPr>
              <w:t>7 years</w:t>
            </w:r>
          </w:p>
        </w:tc>
      </w:tr>
      <w:tr>
        <w:tc>
          <w:tcPr>
            <w:tcW w:type="dxa" w:w="5786"/>
          </w:tcPr>
          <w:p>
            <w:pPr>
              <w:spacing w:after="50" w:before="50" w:line="252" w:lineRule="auto"/>
            </w:pPr>
            <w:r>
              <w:rPr>
                <w:sz w:val="17"/>
              </w:rPr>
              <w:t>Audit records</w:t>
            </w:r>
          </w:p>
        </w:tc>
        <w:tc>
          <w:tcPr>
            <w:tcW w:type="dxa" w:w="3682"/>
          </w:tcPr>
          <w:p>
            <w:pPr>
              <w:spacing w:after="50" w:before="50" w:line="252" w:lineRule="auto"/>
            </w:pPr>
            <w:r>
              <w:rPr>
                <w:sz w:val="17"/>
              </w:rPr>
              <w:t>3 years</w:t>
            </w:r>
          </w:p>
        </w:tc>
      </w:tr>
      <w:tr>
        <w:tc>
          <w:tcPr>
            <w:tcW w:type="dxa" w:w="5786"/>
            <w:shd w:val="clear" w:color="auto" w:fill="EAF1F4"/>
          </w:tcPr>
          <w:p>
            <w:pPr>
              <w:spacing w:after="50" w:before="50" w:line="252" w:lineRule="auto"/>
            </w:pPr>
            <w:r>
              <w:rPr>
                <w:sz w:val="17"/>
              </w:rPr>
              <w:t>Breach reports</w:t>
            </w:r>
          </w:p>
        </w:tc>
        <w:tc>
          <w:tcPr>
            <w:tcW w:type="dxa" w:w="3682"/>
            <w:shd w:val="clear" w:color="auto" w:fill="EAF1F4"/>
          </w:tcPr>
          <w:p>
            <w:pPr>
              <w:spacing w:after="50" w:before="50" w:line="252" w:lineRule="auto"/>
            </w:pPr>
            <w:r>
              <w:rPr>
                <w:sz w:val="17"/>
              </w:rPr>
              <w:t>Permanent</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EQ-UAP-078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Live Clinic &amp; Supervised Practice SOP</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0C78F3E2-2549-4E9A-8783-CE1CCD7F284F}"/>
</file>

<file path=customXml/itemProps3.xml><?xml version="1.0" encoding="utf-8"?>
<ds:datastoreItem xmlns:ds="http://schemas.openxmlformats.org/officeDocument/2006/customXml" ds:itemID="{402E163E-8CA4-446C-8D44-86F344BA28F5}"/>
</file>

<file path=customXml/itemProps4.xml><?xml version="1.0" encoding="utf-8"?>
<ds:datastoreItem xmlns:ds="http://schemas.openxmlformats.org/officeDocument/2006/customXml" ds:itemID="{CD835A9F-8838-4D4B-91E5-18A689657BD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