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shd w:val="clear" w:color="auto" w:fill="10375C"/>
      </w:pPr>
      <w:r>
        <w:rPr>
          <w:rFonts w:ascii="Calibri" w:hAnsi="Calibri"/>
          <w:b/>
          <w:caps/>
          <w:color w:val="FFFFFF"/>
          <w:sz w:val="26"/>
        </w:rPr>
        <w:t xml:space="preserve"> EQUATOR RESOLUTION</w:t>
      </w:r>
    </w:p>
    <w:p>
      <w:pPr>
        <w:spacing w:before="0" w:after="880"/>
        <w:shd w:val="clear" w:color="auto" w:fill="0E7C7B"/>
      </w:pPr>
      <w:r>
        <w:rPr>
          <w:rFonts w:ascii="Calibri" w:hAnsi="Calibri"/>
          <w:color w:val="FFFFFF"/>
          <w:sz w:val="16"/>
        </w:rPr>
        <w:t xml:space="preserve"> An Infrabyx Group venture  ·  www.equatorresolution.com</w:t>
      </w:r>
    </w:p>
    <w:p>
      <w:pPr>
        <w:spacing w:after="40"/>
      </w:pPr>
      <w:r>
        <w:rPr>
          <w:rFonts w:ascii="Calibri" w:hAnsi="Calibri"/>
          <w:b/>
          <w:caps/>
          <w:color w:val="0E7C7B"/>
          <w:sz w:val="19"/>
        </w:rPr>
        <w:t>UNIVERSITY &amp; ACADEMIC PARTNERSHIP PROGRAMME</w:t>
      </w:r>
    </w:p>
    <w:p>
      <w:pPr>
        <w:spacing w:after="120" w:line="240" w:lineRule="auto"/>
      </w:pPr>
      <w:r>
        <w:rPr>
          <w:rFonts w:ascii="Calibri" w:hAnsi="Calibri"/>
          <w:b/>
          <w:color w:val="10375C"/>
          <w:sz w:val="54"/>
        </w:rPr>
        <w:t>Quality Assurance, Feedback &amp; Calibration SOP</w:t>
      </w:r>
    </w:p>
    <w:p>
      <w:pPr>
        <w:spacing w:after="280" w:line="276" w:lineRule="auto"/>
      </w:pPr>
      <w:r>
        <w:rPr>
          <w:rFonts w:ascii="Calibri" w:hAnsi="Calibri"/>
          <w:i/>
          <w:color w:val="3E6B8A"/>
          <w:sz w:val="25"/>
        </w:rPr>
        <w:t>How quality is measured, where the thresholds sit, and what happens when they are breached</w:t>
      </w:r>
    </w:p>
    <w:p>
      <w:pPr>
        <w:spacing w:after="520"/>
        <w:pBdr>
          <w:bottom w:val="single" w:sz="18" w:space="1" w:color="0E7C7B"/>
        </w:pBdr>
      </w:pPr>
    </w:p>
    <w:tbl>
      <w:tblPr>
        <w:tblW w:type="auto" w:w="0"/>
        <w:jc w:val="left"/>
        <w:tblLayout w:type="fixed"/>
        <w:tblLook w:firstColumn="1" w:firstRow="1" w:lastColumn="0" w:lastRow="0" w:noHBand="0" w:noVBand="1" w:val="04A0"/>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Pr>
      <w:tblGrid>
        <w:gridCol w:w="4734"/>
        <w:gridCol w:w="4734"/>
      </w:tblGrid>
      <w:tr>
        <w:tc>
          <w:tcPr>
            <w:tcW w:type="dxa" w:w="2891"/>
            <w:shd w:val="clear" w:color="auto" w:fill="EAF1F4"/>
          </w:tcPr>
          <w:p>
            <w:pPr>
              <w:spacing w:after="60" w:before="60"/>
            </w:pPr>
            <w:r>
              <w:rPr>
                <w:rFonts w:ascii="Calibri" w:hAnsi="Calibri"/>
                <w:b/>
                <w:color w:val="10375C"/>
                <w:sz w:val="18"/>
              </w:rPr>
              <w:t>Document reference</w:t>
            </w:r>
          </w:p>
        </w:tc>
        <w:tc>
          <w:tcPr>
            <w:tcW w:type="dxa" w:w="6576"/>
          </w:tcPr>
          <w:p>
            <w:pPr>
              <w:spacing w:after="60" w:before="60"/>
            </w:pPr>
            <w:r>
              <w:rPr>
                <w:rFonts w:ascii="Calibri" w:hAnsi="Calibri"/>
                <w:color w:val="333333"/>
                <w:sz w:val="18"/>
              </w:rPr>
              <w:t>EQ-UAP-079</w:t>
            </w:r>
          </w:p>
        </w:tc>
      </w:tr>
      <w:tr>
        <w:tc>
          <w:tcPr>
            <w:tcW w:type="dxa" w:w="2891"/>
            <w:shd w:val="clear" w:color="auto" w:fill="EAF1F4"/>
          </w:tcPr>
          <w:p>
            <w:pPr>
              <w:spacing w:after="60" w:before="60"/>
            </w:pPr>
            <w:r>
              <w:rPr>
                <w:rFonts w:ascii="Calibri" w:hAnsi="Calibri"/>
                <w:b/>
                <w:color w:val="10375C"/>
                <w:sz w:val="18"/>
              </w:rPr>
              <w:t>Document family</w:t>
            </w:r>
          </w:p>
        </w:tc>
        <w:tc>
          <w:tcPr>
            <w:tcW w:type="dxa" w:w="6576"/>
          </w:tcPr>
          <w:p>
            <w:pPr>
              <w:spacing w:after="60" w:before="60"/>
            </w:pPr>
            <w:r>
              <w:rPr>
                <w:rFonts w:ascii="Calibri" w:hAnsi="Calibri"/>
                <w:color w:val="333333"/>
                <w:sz w:val="18"/>
              </w:rPr>
              <w:t>Operations</w:t>
            </w:r>
          </w:p>
        </w:tc>
      </w:tr>
      <w:tr>
        <w:tc>
          <w:tcPr>
            <w:tcW w:type="dxa" w:w="2891"/>
            <w:shd w:val="clear" w:color="auto" w:fill="EAF1F4"/>
          </w:tcPr>
          <w:p>
            <w:pPr>
              <w:spacing w:after="60" w:before="60"/>
            </w:pPr>
            <w:r>
              <w:rPr>
                <w:rFonts w:ascii="Calibri" w:hAnsi="Calibri"/>
                <w:b/>
                <w:color w:val="10375C"/>
                <w:sz w:val="18"/>
              </w:rPr>
              <w:t>Version</w:t>
            </w:r>
          </w:p>
        </w:tc>
        <w:tc>
          <w:tcPr>
            <w:tcW w:type="dxa" w:w="6576"/>
          </w:tcPr>
          <w:p>
            <w:pPr>
              <w:spacing w:after="60" w:before="60"/>
            </w:pPr>
            <w:r>
              <w:rPr>
                <w:rFonts w:ascii="Calibri" w:hAnsi="Calibri"/>
                <w:color w:val="333333"/>
                <w:sz w:val="18"/>
              </w:rPr>
              <w:t>v1.0   ·   Draft for legal sign-off</w:t>
            </w:r>
          </w:p>
        </w:tc>
      </w:tr>
      <w:tr>
        <w:tc>
          <w:tcPr>
            <w:tcW w:type="dxa" w:w="2891"/>
            <w:shd w:val="clear" w:color="auto" w:fill="EAF1F4"/>
          </w:tcPr>
          <w:p>
            <w:pPr>
              <w:spacing w:after="60" w:before="60"/>
            </w:pPr>
            <w:r>
              <w:rPr>
                <w:rFonts w:ascii="Calibri" w:hAnsi="Calibri"/>
                <w:b/>
                <w:color w:val="10375C"/>
                <w:sz w:val="18"/>
              </w:rPr>
              <w:t>Date of issue</w:t>
            </w:r>
          </w:p>
        </w:tc>
        <w:tc>
          <w:tcPr>
            <w:tcW w:type="dxa" w:w="6576"/>
          </w:tcPr>
          <w:p>
            <w:pPr>
              <w:spacing w:after="60" w:before="60"/>
            </w:pPr>
            <w:r>
              <w:rPr>
                <w:rFonts w:ascii="Calibri" w:hAnsi="Calibri"/>
                <w:color w:val="333333"/>
                <w:sz w:val="18"/>
              </w:rPr>
              <w:t>July 2026</w:t>
            </w:r>
          </w:p>
        </w:tc>
      </w:tr>
      <w:tr>
        <w:tc>
          <w:tcPr>
            <w:tcW w:type="dxa" w:w="2891"/>
            <w:shd w:val="clear" w:color="auto" w:fill="EAF1F4"/>
          </w:tcPr>
          <w:p>
            <w:pPr>
              <w:spacing w:after="60" w:before="60"/>
            </w:pPr>
            <w:r>
              <w:rPr>
                <w:rFonts w:ascii="Calibri" w:hAnsi="Calibri"/>
                <w:b/>
                <w:color w:val="10375C"/>
                <w:sz w:val="18"/>
              </w:rPr>
              <w:t>Law stated as at</w:t>
            </w:r>
          </w:p>
        </w:tc>
        <w:tc>
          <w:tcPr>
            <w:tcW w:type="dxa" w:w="6576"/>
          </w:tcPr>
          <w:p>
            <w:pPr>
              <w:spacing w:after="60" w:before="60"/>
            </w:pPr>
            <w:r>
              <w:rPr>
                <w:rFonts w:ascii="Calibri" w:hAnsi="Calibri"/>
                <w:color w:val="333333"/>
                <w:sz w:val="18"/>
              </w:rPr>
              <w:t>22 July 2026</w:t>
            </w:r>
          </w:p>
        </w:tc>
      </w:tr>
      <w:tr>
        <w:tc>
          <w:tcPr>
            <w:tcW w:type="dxa" w:w="2891"/>
            <w:shd w:val="clear" w:color="auto" w:fill="EAF1F4"/>
          </w:tcPr>
          <w:p>
            <w:pPr>
              <w:spacing w:after="60" w:before="60"/>
            </w:pPr>
            <w:r>
              <w:rPr>
                <w:rFonts w:ascii="Calibri" w:hAnsi="Calibri"/>
                <w:b/>
                <w:color w:val="10375C"/>
                <w:sz w:val="18"/>
              </w:rPr>
              <w:t>Owner</w:t>
            </w:r>
          </w:p>
        </w:tc>
        <w:tc>
          <w:tcPr>
            <w:tcW w:type="dxa" w:w="6576"/>
          </w:tcPr>
          <w:p>
            <w:pPr>
              <w:spacing w:after="60" w:before="60"/>
            </w:pPr>
            <w:r>
              <w:rPr>
                <w:rFonts w:ascii="Calibri" w:hAnsi="Calibri"/>
                <w:color w:val="333333"/>
                <w:sz w:val="18"/>
              </w:rPr>
              <w:t>Director — Academic Partnerships, Equator ADR Institute</w:t>
            </w:r>
          </w:p>
        </w:tc>
      </w:tr>
      <w:tr>
        <w:tc>
          <w:tcPr>
            <w:tcW w:type="dxa" w:w="2891"/>
            <w:shd w:val="clear" w:color="auto" w:fill="EAF1F4"/>
          </w:tcPr>
          <w:p>
            <w:pPr>
              <w:spacing w:after="60" w:before="60"/>
            </w:pPr>
            <w:r>
              <w:rPr>
                <w:rFonts w:ascii="Calibri" w:hAnsi="Calibri"/>
                <w:b/>
                <w:color w:val="10375C"/>
                <w:sz w:val="18"/>
              </w:rPr>
              <w:t>Approver</w:t>
            </w:r>
          </w:p>
        </w:tc>
        <w:tc>
          <w:tcPr>
            <w:tcW w:type="dxa" w:w="6576"/>
          </w:tcPr>
          <w:p>
            <w:pPr>
              <w:spacing w:after="60" w:before="60"/>
            </w:pPr>
            <w:r>
              <w:rPr>
                <w:rFonts w:ascii="Calibri" w:hAnsi="Calibri"/>
                <w:color w:val="333333"/>
                <w:sz w:val="18"/>
              </w:rPr>
              <w:t>Managing Director, Equator Resolution</w:t>
            </w:r>
          </w:p>
        </w:tc>
      </w:tr>
      <w:tr>
        <w:tc>
          <w:tcPr>
            <w:tcW w:type="dxa" w:w="2891"/>
            <w:shd w:val="clear" w:color="auto" w:fill="EAF1F4"/>
          </w:tcPr>
          <w:p>
            <w:pPr>
              <w:spacing w:after="60" w:before="60"/>
            </w:pPr>
            <w:r>
              <w:rPr>
                <w:rFonts w:ascii="Calibri" w:hAnsi="Calibri"/>
                <w:b/>
                <w:color w:val="10375C"/>
                <w:sz w:val="18"/>
              </w:rPr>
              <w:t>Classification</w:t>
            </w:r>
          </w:p>
        </w:tc>
        <w:tc>
          <w:tcPr>
            <w:tcW w:type="dxa" w:w="6576"/>
          </w:tcPr>
          <w:p>
            <w:pPr>
              <w:spacing w:after="60" w:before="60"/>
            </w:pPr>
            <w:r>
              <w:rPr>
                <w:rFonts w:ascii="Calibri" w:hAnsi="Calibri"/>
                <w:color w:val="333333"/>
                <w:sz w:val="18"/>
              </w:rPr>
              <w:t>Confidential — Internal</w:t>
            </w:r>
          </w:p>
        </w:tc>
      </w:tr>
    </w:tbl>
    <w:p>
      <w:pPr>
        <w:spacing w:before="600"/>
        <w:ind w:left="170"/>
        <w:pBdr>
          <w:left w:val="single" w:sz="18" w:space="6" w:color="8A5A00"/>
        </w:pBdr>
        <w:shd w:val="clear" w:color="auto" w:fill="FDF6EC"/>
      </w:pPr>
      <w:r>
        <w:rPr>
          <w:b/>
          <w:color w:val="8A5A00"/>
          <w:sz w:val="17"/>
        </w:rPr>
        <w:t xml:space="preserve">Not legal advice.  </w:t>
      </w:r>
      <w:r>
        <w:rPr>
          <w:color w:val="595959"/>
          <w:sz w:val="17"/>
        </w:rPr>
        <w:t>This document is a working draft prepared for Equator Resolution. Before it is used with any institution, student or party it must be reviewed by qualified counsel and, where personal data is involved, by the Data Protection Officer. Items marked [verify] must be cleared in the Master Legal Sign-off Register.</w:t>
      </w:r>
    </w:p>
    <w:p>
      <w:r>
        <w:br w:type="page"/>
      </w:r>
    </w:p>
    <w:p>
      <w:pPr>
        <w:spacing w:after="200"/>
        <w:pBdr>
          <w:bottom w:val="single" w:sz="10" w:space="4" w:color="0E7C7B"/>
        </w:pBdr>
      </w:pPr>
      <w:r>
        <w:rPr>
          <w:rFonts w:ascii="Calibri" w:hAnsi="Calibri"/>
          <w:b/>
          <w:color w:val="10375C"/>
          <w:sz w:val="31"/>
        </w:rPr>
        <w:t>Document control</w:t>
      </w:r>
    </w:p>
    <w:p>
      <w:pPr>
        <w:spacing w:before="240" w:after="80"/>
        <w:keepNext w:val="1"/>
      </w:pPr>
      <w:r>
        <w:rPr>
          <w:rFonts w:ascii="Calibri" w:hAnsi="Calibri"/>
          <w:b/>
          <w:color w:val="0E7C7B"/>
          <w:sz w:val="22"/>
        </w:rPr>
        <w:t>Version history</w:t>
      </w:r>
    </w:p>
    <w:tbl>
      <w:tblPr>
        <w:tblW w:type="auto" w:w="0"/>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1894"/>
        <w:gridCol w:w="1894"/>
        <w:gridCol w:w="1894"/>
        <w:gridCol w:w="1894"/>
        <w:gridCol w:w="1894"/>
      </w:tblGrid>
      <w:tr>
        <w:trPr>
          <w:tblHeader w:val="true"/>
        </w:trPr>
        <w:tc>
          <w:tcPr>
            <w:tcW w:type="dxa" w:w="964"/>
            <w:shd w:val="clear" w:color="auto" w:fill="10375C"/>
          </w:tcPr>
          <w:p>
            <w:pPr>
              <w:spacing w:after="40" w:before="40"/>
            </w:pPr>
            <w:r>
              <w:rPr>
                <w:rFonts w:ascii="Calibri" w:hAnsi="Calibri"/>
                <w:b/>
                <w:color w:val="FFFFFF"/>
                <w:sz w:val="17"/>
              </w:rPr>
              <w:t>Version</w:t>
            </w:r>
          </w:p>
        </w:tc>
        <w:tc>
          <w:tcPr>
            <w:tcW w:type="dxa" w:w="1304"/>
            <w:shd w:val="clear" w:color="auto" w:fill="10375C"/>
          </w:tcPr>
          <w:p>
            <w:pPr>
              <w:spacing w:after="40" w:before="40"/>
            </w:pPr>
            <w:r>
              <w:rPr>
                <w:rFonts w:ascii="Calibri" w:hAnsi="Calibri"/>
                <w:b/>
                <w:color w:val="FFFFFF"/>
                <w:sz w:val="17"/>
              </w:rPr>
              <w:t>Date</w:t>
            </w:r>
          </w:p>
        </w:tc>
        <w:tc>
          <w:tcPr>
            <w:tcW w:type="dxa" w:w="2041"/>
            <w:shd w:val="clear" w:color="auto" w:fill="10375C"/>
          </w:tcPr>
          <w:p>
            <w:pPr>
              <w:spacing w:after="40" w:before="40"/>
            </w:pPr>
            <w:r>
              <w:rPr>
                <w:rFonts w:ascii="Calibri" w:hAnsi="Calibri"/>
                <w:b/>
                <w:color w:val="FFFFFF"/>
                <w:sz w:val="17"/>
              </w:rPr>
              <w:t>Author</w:t>
            </w:r>
          </w:p>
        </w:tc>
        <w:tc>
          <w:tcPr>
            <w:tcW w:type="dxa" w:w="3742"/>
            <w:shd w:val="clear" w:color="auto" w:fill="10375C"/>
          </w:tcPr>
          <w:p>
            <w:pPr>
              <w:spacing w:after="40" w:before="40"/>
            </w:pPr>
            <w:r>
              <w:rPr>
                <w:rFonts w:ascii="Calibri" w:hAnsi="Calibri"/>
                <w:b/>
                <w:color w:val="FFFFFF"/>
                <w:sz w:val="17"/>
              </w:rPr>
              <w:t>Summary of change</w:t>
            </w:r>
          </w:p>
        </w:tc>
        <w:tc>
          <w:tcPr>
            <w:tcW w:type="dxa" w:w="1417"/>
            <w:shd w:val="clear" w:color="auto" w:fill="10375C"/>
          </w:tcPr>
          <w:p>
            <w:pPr>
              <w:spacing w:after="40" w:before="40"/>
            </w:pPr>
            <w:r>
              <w:rPr>
                <w:rFonts w:ascii="Calibri" w:hAnsi="Calibri"/>
                <w:b/>
                <w:color w:val="FFFFFF"/>
                <w:sz w:val="17"/>
              </w:rPr>
              <w:t>Status</w:t>
            </w:r>
          </w:p>
        </w:tc>
      </w:tr>
      <w:tr>
        <w:tc>
          <w:tcPr>
            <w:tcW w:type="dxa" w:w="964"/>
          </w:tcPr>
          <w:p>
            <w:pPr>
              <w:spacing w:after="40" w:before="40"/>
            </w:pPr>
            <w:r>
              <w:rPr>
                <w:rFonts w:ascii="Calibri" w:hAnsi="Calibri"/>
                <w:sz w:val="17"/>
              </w:rPr>
              <w:t>0.1</w:t>
            </w:r>
          </w:p>
        </w:tc>
        <w:tc>
          <w:tcPr>
            <w:tcW w:type="dxa" w:w="1304"/>
          </w:tcPr>
          <w:p>
            <w:pPr>
              <w:spacing w:after="40" w:before="40"/>
            </w:pPr>
            <w:r>
              <w:rPr>
                <w:rFonts w:ascii="Calibri" w:hAnsi="Calibri"/>
                <w:sz w:val="17"/>
              </w:rPr>
              <w:t>July 2026</w:t>
            </w:r>
          </w:p>
        </w:tc>
        <w:tc>
          <w:tcPr>
            <w:tcW w:type="dxa" w:w="2041"/>
          </w:tcPr>
          <w:p>
            <w:pPr>
              <w:spacing w:after="40" w:before="40"/>
            </w:pPr>
            <w:r>
              <w:rPr>
                <w:rFonts w:ascii="Calibri" w:hAnsi="Calibri"/>
                <w:sz w:val="17"/>
              </w:rPr>
              <w:t>Equator ADR Institute</w:t>
            </w:r>
          </w:p>
        </w:tc>
        <w:tc>
          <w:tcPr>
            <w:tcW w:type="dxa" w:w="3742"/>
          </w:tcPr>
          <w:p>
            <w:pPr>
              <w:spacing w:after="40" w:before="40"/>
            </w:pPr>
            <w:r>
              <w:rPr>
                <w:rFonts w:ascii="Calibri" w:hAnsi="Calibri"/>
                <w:sz w:val="17"/>
              </w:rPr>
              <w:t>Initial drafting</w:t>
            </w:r>
          </w:p>
        </w:tc>
        <w:tc>
          <w:tcPr>
            <w:tcW w:type="dxa" w:w="1417"/>
          </w:tcPr>
          <w:p>
            <w:pPr>
              <w:spacing w:after="40" w:before="40"/>
            </w:pPr>
            <w:r>
              <w:rPr>
                <w:rFonts w:ascii="Calibri" w:hAnsi="Calibri"/>
                <w:sz w:val="17"/>
              </w:rPr>
              <w:t>Superseded</w:t>
            </w:r>
          </w:p>
        </w:tc>
      </w:tr>
      <w:tr>
        <w:tc>
          <w:tcPr>
            <w:tcW w:type="dxa" w:w="964"/>
            <w:shd w:val="clear" w:color="auto" w:fill="EAF1F4"/>
          </w:tcPr>
          <w:p>
            <w:pPr>
              <w:spacing w:after="40" w:before="40"/>
            </w:pPr>
            <w:r>
              <w:rPr>
                <w:rFonts w:ascii="Calibri" w:hAnsi="Calibri"/>
                <w:sz w:val="17"/>
              </w:rPr>
              <w:t>1.0</w:t>
            </w:r>
          </w:p>
        </w:tc>
        <w:tc>
          <w:tcPr>
            <w:tcW w:type="dxa" w:w="1304"/>
            <w:shd w:val="clear" w:color="auto" w:fill="EAF1F4"/>
          </w:tcPr>
          <w:p>
            <w:pPr>
              <w:spacing w:after="40" w:before="40"/>
            </w:pPr>
            <w:r>
              <w:rPr>
                <w:rFonts w:ascii="Calibri" w:hAnsi="Calibri"/>
                <w:sz w:val="17"/>
              </w:rPr>
              <w:t>July 2026</w:t>
            </w:r>
          </w:p>
        </w:tc>
        <w:tc>
          <w:tcPr>
            <w:tcW w:type="dxa" w:w="2041"/>
            <w:shd w:val="clear" w:color="auto" w:fill="EAF1F4"/>
          </w:tcPr>
          <w:p>
            <w:pPr>
              <w:spacing w:after="40" w:before="40"/>
            </w:pPr>
            <w:r>
              <w:rPr>
                <w:rFonts w:ascii="Calibri" w:hAnsi="Calibri"/>
                <w:sz w:val="17"/>
              </w:rPr>
              <w:t>Equator ADR Institute</w:t>
            </w:r>
          </w:p>
        </w:tc>
        <w:tc>
          <w:tcPr>
            <w:tcW w:type="dxa" w:w="3742"/>
            <w:shd w:val="clear" w:color="auto" w:fill="EAF1F4"/>
          </w:tcPr>
          <w:p>
            <w:pPr>
              <w:spacing w:after="40" w:before="40"/>
            </w:pPr>
            <w:r>
              <w:rPr>
                <w:rFonts w:ascii="Calibri" w:hAnsi="Calibri"/>
                <w:sz w:val="17"/>
              </w:rPr>
              <w:t>First complete issue for legal review</w:t>
            </w:r>
          </w:p>
        </w:tc>
        <w:tc>
          <w:tcPr>
            <w:tcW w:type="dxa" w:w="1417"/>
            <w:shd w:val="clear" w:color="auto" w:fill="EAF1F4"/>
          </w:tcPr>
          <w:p>
            <w:pPr>
              <w:spacing w:after="40" w:before="40"/>
            </w:pPr>
            <w:r>
              <w:rPr>
                <w:rFonts w:ascii="Calibri" w:hAnsi="Calibri"/>
                <w:sz w:val="17"/>
              </w:rPr>
              <w:t>Draft for legal sign-off</w:t>
            </w:r>
          </w:p>
        </w:tc>
      </w:tr>
      <w:tr>
        <w:tc>
          <w:tcPr>
            <w:tcW w:type="dxa" w:w="964"/>
          </w:tcPr>
          <w:p>
            <w:pPr>
              <w:spacing w:after="40" w:before="40"/>
            </w:pPr>
            <w:r>
              <w:rPr>
                <w:rFonts w:ascii="Calibri" w:hAnsi="Calibri"/>
                <w:sz w:val="17"/>
              </w:rPr>
            </w:r>
          </w:p>
        </w:tc>
        <w:tc>
          <w:tcPr>
            <w:tcW w:type="dxa" w:w="1304"/>
          </w:tcPr>
          <w:p>
            <w:pPr>
              <w:spacing w:after="40" w:before="40"/>
            </w:pPr>
            <w:r>
              <w:rPr>
                <w:rFonts w:ascii="Calibri" w:hAnsi="Calibri"/>
                <w:sz w:val="17"/>
              </w:rPr>
            </w:r>
          </w:p>
        </w:tc>
        <w:tc>
          <w:tcPr>
            <w:tcW w:type="dxa" w:w="2041"/>
          </w:tcPr>
          <w:p>
            <w:pPr>
              <w:spacing w:after="40" w:before="40"/>
            </w:pPr>
            <w:r>
              <w:rPr>
                <w:rFonts w:ascii="Calibri" w:hAnsi="Calibri"/>
                <w:sz w:val="17"/>
              </w:rPr>
            </w:r>
          </w:p>
        </w:tc>
        <w:tc>
          <w:tcPr>
            <w:tcW w:type="dxa" w:w="3742"/>
          </w:tcPr>
          <w:p>
            <w:pPr>
              <w:spacing w:after="40" w:before="40"/>
            </w:pPr>
            <w:r>
              <w:rPr>
                <w:rFonts w:ascii="Calibri" w:hAnsi="Calibri"/>
                <w:sz w:val="17"/>
              </w:rPr>
            </w:r>
          </w:p>
        </w:tc>
        <w:tc>
          <w:tcPr>
            <w:tcW w:type="dxa" w:w="1417"/>
          </w:tcPr>
          <w:p>
            <w:pPr>
              <w:spacing w:after="40" w:before="40"/>
            </w:pPr>
            <w:r>
              <w:rPr>
                <w:rFonts w:ascii="Calibri" w:hAnsi="Calibri"/>
                <w:sz w:val="17"/>
              </w:rPr>
            </w:r>
          </w:p>
        </w:tc>
      </w:tr>
      <w:tr>
        <w:tc>
          <w:tcPr>
            <w:tcW w:type="dxa" w:w="964"/>
            <w:shd w:val="clear" w:color="auto" w:fill="EAF1F4"/>
          </w:tcPr>
          <w:p>
            <w:pPr>
              <w:spacing w:after="40" w:before="40"/>
            </w:pPr>
            <w:r>
              <w:rPr>
                <w:rFonts w:ascii="Calibri" w:hAnsi="Calibri"/>
                <w:sz w:val="17"/>
              </w:rPr>
            </w:r>
          </w:p>
        </w:tc>
        <w:tc>
          <w:tcPr>
            <w:tcW w:type="dxa" w:w="1304"/>
            <w:shd w:val="clear" w:color="auto" w:fill="EAF1F4"/>
          </w:tcPr>
          <w:p>
            <w:pPr>
              <w:spacing w:after="40" w:before="40"/>
            </w:pPr>
            <w:r>
              <w:rPr>
                <w:rFonts w:ascii="Calibri" w:hAnsi="Calibri"/>
                <w:sz w:val="17"/>
              </w:rPr>
            </w:r>
          </w:p>
        </w:tc>
        <w:tc>
          <w:tcPr>
            <w:tcW w:type="dxa" w:w="2041"/>
            <w:shd w:val="clear" w:color="auto" w:fill="EAF1F4"/>
          </w:tcPr>
          <w:p>
            <w:pPr>
              <w:spacing w:after="40" w:before="40"/>
            </w:pPr>
            <w:r>
              <w:rPr>
                <w:rFonts w:ascii="Calibri" w:hAnsi="Calibri"/>
                <w:sz w:val="17"/>
              </w:rPr>
            </w:r>
          </w:p>
        </w:tc>
        <w:tc>
          <w:tcPr>
            <w:tcW w:type="dxa" w:w="3742"/>
            <w:shd w:val="clear" w:color="auto" w:fill="EAF1F4"/>
          </w:tcPr>
          <w:p>
            <w:pPr>
              <w:spacing w:after="40" w:before="40"/>
            </w:pPr>
            <w:r>
              <w:rPr>
                <w:rFonts w:ascii="Calibri" w:hAnsi="Calibri"/>
                <w:sz w:val="17"/>
              </w:rPr>
            </w:r>
          </w:p>
        </w:tc>
        <w:tc>
          <w:tcPr>
            <w:tcW w:type="dxa" w:w="1417"/>
            <w:shd w:val="clear" w:color="auto" w:fill="EAF1F4"/>
          </w:tcPr>
          <w:p>
            <w:pPr>
              <w:spacing w:after="40" w:before="40"/>
            </w:pPr>
            <w:r>
              <w:rPr>
                <w:rFonts w:ascii="Calibri" w:hAnsi="Calibri"/>
                <w:sz w:val="17"/>
              </w:rPr>
            </w:r>
          </w:p>
        </w:tc>
      </w:tr>
    </w:tbl>
    <w:p>
      <w:pPr>
        <w:spacing w:before="240" w:after="80"/>
        <w:keepNext w:val="1"/>
      </w:pPr>
      <w:r>
        <w:rPr>
          <w:rFonts w:ascii="Calibri" w:hAnsi="Calibri"/>
          <w:b/>
          <w:color w:val="0E7C7B"/>
          <w:sz w:val="22"/>
        </w:rPr>
        <w:t>Review and approval</w:t>
      </w:r>
    </w:p>
    <w:tbl>
      <w:tblPr>
        <w:tblW w:type="auto" w:w="0"/>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2367"/>
        <w:gridCol w:w="2367"/>
        <w:gridCol w:w="2367"/>
        <w:gridCol w:w="2367"/>
      </w:tblGrid>
      <w:tr>
        <w:trPr>
          <w:tblHeader w:val="true"/>
        </w:trPr>
        <w:tc>
          <w:tcPr>
            <w:tcW w:type="dxa" w:w="2098"/>
            <w:shd w:val="clear" w:color="auto" w:fill="10375C"/>
          </w:tcPr>
          <w:p>
            <w:pPr>
              <w:spacing w:after="40" w:before="40"/>
            </w:pPr>
            <w:r>
              <w:rPr>
                <w:rFonts w:ascii="Calibri" w:hAnsi="Calibri"/>
                <w:b/>
                <w:color w:val="FFFFFF"/>
                <w:sz w:val="17"/>
              </w:rPr>
              <w:t>Role</w:t>
            </w:r>
          </w:p>
        </w:tc>
        <w:tc>
          <w:tcPr>
            <w:tcW w:type="dxa" w:w="1928"/>
            <w:shd w:val="clear" w:color="auto" w:fill="10375C"/>
          </w:tcPr>
          <w:p>
            <w:pPr>
              <w:spacing w:after="40" w:before="40"/>
            </w:pPr>
            <w:r>
              <w:rPr>
                <w:rFonts w:ascii="Calibri" w:hAnsi="Calibri"/>
                <w:b/>
                <w:color w:val="FFFFFF"/>
                <w:sz w:val="17"/>
              </w:rPr>
              <w:t>Name</w:t>
            </w:r>
          </w:p>
        </w:tc>
        <w:tc>
          <w:tcPr>
            <w:tcW w:type="dxa" w:w="3628"/>
            <w:shd w:val="clear" w:color="auto" w:fill="10375C"/>
          </w:tcPr>
          <w:p>
            <w:pPr>
              <w:spacing w:after="40" w:before="40"/>
            </w:pPr>
            <w:r>
              <w:rPr>
                <w:rFonts w:ascii="Calibri" w:hAnsi="Calibri"/>
                <w:b/>
                <w:color w:val="FFFFFF"/>
                <w:sz w:val="17"/>
              </w:rPr>
              <w:t>Responsibility</w:t>
            </w:r>
          </w:p>
        </w:tc>
        <w:tc>
          <w:tcPr>
            <w:tcW w:type="dxa" w:w="1814"/>
            <w:shd w:val="clear" w:color="auto" w:fill="10375C"/>
          </w:tcPr>
          <w:p>
            <w:pPr>
              <w:spacing w:after="40" w:before="40"/>
            </w:pPr>
            <w:r>
              <w:rPr>
                <w:rFonts w:ascii="Calibri" w:hAnsi="Calibri"/>
                <w:b/>
                <w:color w:val="FFFFFF"/>
                <w:sz w:val="17"/>
              </w:rPr>
              <w:t>Signature / date</w:t>
            </w:r>
          </w:p>
        </w:tc>
      </w:tr>
      <w:tr>
        <w:tc>
          <w:tcPr>
            <w:tcW w:type="dxa" w:w="2098"/>
          </w:tcPr>
          <w:p>
            <w:pPr>
              <w:spacing w:after="40" w:before="40"/>
            </w:pPr>
            <w:r>
              <w:rPr>
                <w:rFonts w:ascii="Calibri" w:hAnsi="Calibri"/>
                <w:sz w:val="17"/>
              </w:rPr>
              <w:t>Preparer</w:t>
            </w:r>
          </w:p>
        </w:tc>
        <w:tc>
          <w:tcPr>
            <w:tcW w:type="dxa" w:w="1928"/>
          </w:tcPr>
          <w:p>
            <w:pPr>
              <w:spacing w:after="40" w:before="40"/>
            </w:pPr>
            <w:r>
              <w:rPr>
                <w:rFonts w:ascii="Calibri" w:hAnsi="Calibri"/>
                <w:sz w:val="17"/>
              </w:rPr>
              <w:t>[●]</w:t>
            </w:r>
          </w:p>
        </w:tc>
        <w:tc>
          <w:tcPr>
            <w:tcW w:type="dxa" w:w="3628"/>
          </w:tcPr>
          <w:p>
            <w:pPr>
              <w:spacing w:after="40" w:before="40"/>
            </w:pPr>
            <w:r>
              <w:rPr>
                <w:rFonts w:ascii="Calibri" w:hAnsi="Calibri"/>
                <w:sz w:val="17"/>
              </w:rPr>
              <w:t>Drafting and factual accuracy</w:t>
            </w:r>
          </w:p>
        </w:tc>
        <w:tc>
          <w:tcPr>
            <w:tcW w:type="dxa" w:w="1814"/>
          </w:tcPr>
          <w:p>
            <w:pPr>
              <w:spacing w:after="40" w:before="40"/>
            </w:pPr>
            <w:r>
              <w:rPr>
                <w:rFonts w:ascii="Calibri" w:hAnsi="Calibri"/>
                <w:sz w:val="17"/>
              </w:rPr>
            </w:r>
          </w:p>
        </w:tc>
      </w:tr>
      <w:tr>
        <w:tc>
          <w:tcPr>
            <w:tcW w:type="dxa" w:w="2098"/>
            <w:shd w:val="clear" w:color="auto" w:fill="EAF1F4"/>
          </w:tcPr>
          <w:p>
            <w:pPr>
              <w:spacing w:after="40" w:before="40"/>
            </w:pPr>
            <w:r>
              <w:rPr>
                <w:rFonts w:ascii="Calibri" w:hAnsi="Calibri"/>
                <w:sz w:val="17"/>
              </w:rPr>
              <w:t>Reviewer — Legal</w:t>
            </w:r>
          </w:p>
        </w:tc>
        <w:tc>
          <w:tcPr>
            <w:tcW w:type="dxa" w:w="1928"/>
            <w:shd w:val="clear" w:color="auto" w:fill="EAF1F4"/>
          </w:tcPr>
          <w:p>
            <w:pPr>
              <w:spacing w:after="40" w:before="40"/>
            </w:pPr>
            <w:r>
              <w:rPr>
                <w:rFonts w:ascii="Calibri" w:hAnsi="Calibri"/>
                <w:sz w:val="17"/>
              </w:rPr>
              <w:t>[●]</w:t>
            </w:r>
          </w:p>
        </w:tc>
        <w:tc>
          <w:tcPr>
            <w:tcW w:type="dxa" w:w="3628"/>
            <w:shd w:val="clear" w:color="auto" w:fill="EAF1F4"/>
          </w:tcPr>
          <w:p>
            <w:pPr>
              <w:spacing w:after="40" w:before="40"/>
            </w:pPr>
            <w:r>
              <w:rPr>
                <w:rFonts w:ascii="Calibri" w:hAnsi="Calibri"/>
                <w:sz w:val="17"/>
              </w:rPr>
              <w:t>Statutory compliance; clause risk</w:t>
            </w:r>
          </w:p>
        </w:tc>
        <w:tc>
          <w:tcPr>
            <w:tcW w:type="dxa" w:w="1814"/>
            <w:shd w:val="clear" w:color="auto" w:fill="EAF1F4"/>
          </w:tcPr>
          <w:p>
            <w:pPr>
              <w:spacing w:after="40" w:before="40"/>
            </w:pPr>
            <w:r>
              <w:rPr>
                <w:rFonts w:ascii="Calibri" w:hAnsi="Calibri"/>
                <w:sz w:val="17"/>
              </w:rPr>
            </w:r>
          </w:p>
        </w:tc>
      </w:tr>
      <w:tr>
        <w:tc>
          <w:tcPr>
            <w:tcW w:type="dxa" w:w="2098"/>
          </w:tcPr>
          <w:p>
            <w:pPr>
              <w:spacing w:after="40" w:before="40"/>
            </w:pPr>
            <w:r>
              <w:rPr>
                <w:rFonts w:ascii="Calibri" w:hAnsi="Calibri"/>
                <w:sz w:val="17"/>
              </w:rPr>
              <w:t>Reviewer — Finance</w:t>
            </w:r>
          </w:p>
        </w:tc>
        <w:tc>
          <w:tcPr>
            <w:tcW w:type="dxa" w:w="1928"/>
          </w:tcPr>
          <w:p>
            <w:pPr>
              <w:spacing w:after="40" w:before="40"/>
            </w:pPr>
            <w:r>
              <w:rPr>
                <w:rFonts w:ascii="Calibri" w:hAnsi="Calibri"/>
                <w:sz w:val="17"/>
              </w:rPr>
              <w:t>[●]</w:t>
            </w:r>
          </w:p>
        </w:tc>
        <w:tc>
          <w:tcPr>
            <w:tcW w:type="dxa" w:w="3628"/>
          </w:tcPr>
          <w:p>
            <w:pPr>
              <w:spacing w:after="40" w:before="40"/>
            </w:pPr>
            <w:r>
              <w:rPr>
                <w:rFonts w:ascii="Calibri" w:hAnsi="Calibri"/>
                <w:sz w:val="17"/>
              </w:rPr>
              <w:t>Pricing, tax and revenue treatment</w:t>
            </w:r>
          </w:p>
        </w:tc>
        <w:tc>
          <w:tcPr>
            <w:tcW w:type="dxa" w:w="1814"/>
          </w:tcPr>
          <w:p>
            <w:pPr>
              <w:spacing w:after="40" w:before="40"/>
            </w:pPr>
            <w:r>
              <w:rPr>
                <w:rFonts w:ascii="Calibri" w:hAnsi="Calibri"/>
                <w:sz w:val="17"/>
              </w:rPr>
            </w:r>
          </w:p>
        </w:tc>
      </w:tr>
      <w:tr>
        <w:tc>
          <w:tcPr>
            <w:tcW w:type="dxa" w:w="2098"/>
            <w:shd w:val="clear" w:color="auto" w:fill="EAF1F4"/>
          </w:tcPr>
          <w:p>
            <w:pPr>
              <w:spacing w:after="40" w:before="40"/>
            </w:pPr>
            <w:r>
              <w:rPr>
                <w:rFonts w:ascii="Calibri" w:hAnsi="Calibri"/>
                <w:sz w:val="17"/>
              </w:rPr>
              <w:t>Data Protection Officer</w:t>
            </w:r>
          </w:p>
        </w:tc>
        <w:tc>
          <w:tcPr>
            <w:tcW w:type="dxa" w:w="1928"/>
            <w:shd w:val="clear" w:color="auto" w:fill="EAF1F4"/>
          </w:tcPr>
          <w:p>
            <w:pPr>
              <w:spacing w:after="40" w:before="40"/>
            </w:pPr>
            <w:r>
              <w:rPr>
                <w:rFonts w:ascii="Calibri" w:hAnsi="Calibri"/>
                <w:sz w:val="17"/>
              </w:rPr>
              <w:t>[●]</w:t>
            </w:r>
          </w:p>
        </w:tc>
        <w:tc>
          <w:tcPr>
            <w:tcW w:type="dxa" w:w="3628"/>
            <w:shd w:val="clear" w:color="auto" w:fill="EAF1F4"/>
          </w:tcPr>
          <w:p>
            <w:pPr>
              <w:spacing w:after="40" w:before="40"/>
            </w:pPr>
            <w:r>
              <w:rPr>
                <w:rFonts w:ascii="Calibri" w:hAnsi="Calibri"/>
                <w:sz w:val="17"/>
              </w:rPr>
              <w:t>DPDP Act 2023 and Rules 2025 compliance</w:t>
            </w:r>
          </w:p>
        </w:tc>
        <w:tc>
          <w:tcPr>
            <w:tcW w:type="dxa" w:w="1814"/>
            <w:shd w:val="clear" w:color="auto" w:fill="EAF1F4"/>
          </w:tcPr>
          <w:p>
            <w:pPr>
              <w:spacing w:after="40" w:before="40"/>
            </w:pPr>
            <w:r>
              <w:rPr>
                <w:rFonts w:ascii="Calibri" w:hAnsi="Calibri"/>
                <w:sz w:val="17"/>
              </w:rPr>
            </w:r>
          </w:p>
        </w:tc>
      </w:tr>
      <w:tr>
        <w:tc>
          <w:tcPr>
            <w:tcW w:type="dxa" w:w="2098"/>
          </w:tcPr>
          <w:p>
            <w:pPr>
              <w:spacing w:after="40" w:before="40"/>
            </w:pPr>
            <w:r>
              <w:rPr>
                <w:rFonts w:ascii="Calibri" w:hAnsi="Calibri"/>
                <w:sz w:val="17"/>
              </w:rPr>
              <w:t>Approver</w:t>
            </w:r>
          </w:p>
        </w:tc>
        <w:tc>
          <w:tcPr>
            <w:tcW w:type="dxa" w:w="1928"/>
          </w:tcPr>
          <w:p>
            <w:pPr>
              <w:spacing w:after="40" w:before="40"/>
            </w:pPr>
            <w:r>
              <w:rPr>
                <w:rFonts w:ascii="Calibri" w:hAnsi="Calibri"/>
                <w:sz w:val="17"/>
              </w:rPr>
              <w:t>[●]</w:t>
            </w:r>
          </w:p>
        </w:tc>
        <w:tc>
          <w:tcPr>
            <w:tcW w:type="dxa" w:w="3628"/>
          </w:tcPr>
          <w:p>
            <w:pPr>
              <w:spacing w:after="40" w:before="40"/>
            </w:pPr>
            <w:r>
              <w:rPr>
                <w:rFonts w:ascii="Calibri" w:hAnsi="Calibri"/>
                <w:sz w:val="17"/>
              </w:rPr>
              <w:t>Final approval for issue</w:t>
            </w:r>
          </w:p>
        </w:tc>
        <w:tc>
          <w:tcPr>
            <w:tcW w:type="dxa" w:w="1814"/>
          </w:tcPr>
          <w:p>
            <w:pPr>
              <w:spacing w:after="40" w:before="40"/>
            </w:pPr>
            <w:r>
              <w:rPr>
                <w:rFonts w:ascii="Calibri" w:hAnsi="Calibri"/>
                <w:sz w:val="17"/>
              </w:rPr>
            </w:r>
          </w:p>
        </w:tc>
      </w:tr>
    </w:tbl>
    <w:p>
      <w:pPr>
        <w:spacing w:before="240" w:after="80"/>
        <w:keepNext w:val="1"/>
      </w:pPr>
      <w:r>
        <w:rPr>
          <w:rFonts w:ascii="Calibri" w:hAnsi="Calibri"/>
          <w:b/>
          <w:color w:val="0E7C7B"/>
          <w:sz w:val="22"/>
        </w:rPr>
        <w:t>Distribution and related documents</w:t>
      </w:r>
    </w:p>
    <w:tbl>
      <w:tblPr>
        <w:tblW w:type="auto" w:w="0"/>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2608"/>
            <w:shd w:val="clear" w:color="auto" w:fill="10375C"/>
          </w:tcPr>
          <w:p>
            <w:pPr>
              <w:spacing w:after="40" w:before="40"/>
            </w:pPr>
            <w:r>
              <w:rPr>
                <w:rFonts w:ascii="Calibri" w:hAnsi="Calibri"/>
                <w:b/>
                <w:color w:val="FFFFFF"/>
                <w:sz w:val="17"/>
              </w:rPr>
              <w:t>Item</w:t>
            </w:r>
          </w:p>
        </w:tc>
        <w:tc>
          <w:tcPr>
            <w:tcW w:type="dxa" w:w="6860"/>
            <w:shd w:val="clear" w:color="auto" w:fill="10375C"/>
          </w:tcPr>
          <w:p>
            <w:pPr>
              <w:spacing w:after="40" w:before="40"/>
            </w:pPr>
            <w:r>
              <w:rPr>
                <w:rFonts w:ascii="Calibri" w:hAnsi="Calibri"/>
                <w:b/>
                <w:color w:val="FFFFFF"/>
                <w:sz w:val="17"/>
              </w:rPr>
              <w:t>Detail</w:t>
            </w:r>
          </w:p>
        </w:tc>
      </w:tr>
      <w:tr>
        <w:tc>
          <w:tcPr>
            <w:tcW w:type="dxa" w:w="2608"/>
          </w:tcPr>
          <w:p>
            <w:pPr>
              <w:spacing w:after="40" w:before="40"/>
            </w:pPr>
            <w:r>
              <w:rPr>
                <w:rFonts w:ascii="Calibri" w:hAnsi="Calibri"/>
                <w:sz w:val="17"/>
              </w:rPr>
              <w:t>Primary distribution</w:t>
            </w:r>
          </w:p>
        </w:tc>
        <w:tc>
          <w:tcPr>
            <w:tcW w:type="dxa" w:w="6860"/>
          </w:tcPr>
          <w:p>
            <w:pPr>
              <w:spacing w:after="40" w:before="40"/>
            </w:pPr>
            <w:r>
              <w:rPr>
                <w:rFonts w:ascii="Calibri" w:hAnsi="Calibri"/>
                <w:sz w:val="17"/>
              </w:rPr>
              <w:t>Managing Director; Director — Academic Partnerships; Legal; Finance</w:t>
            </w:r>
          </w:p>
        </w:tc>
      </w:tr>
      <w:tr>
        <w:tc>
          <w:tcPr>
            <w:tcW w:type="dxa" w:w="2608"/>
            <w:shd w:val="clear" w:color="auto" w:fill="EAF1F4"/>
          </w:tcPr>
          <w:p>
            <w:pPr>
              <w:spacing w:after="40" w:before="40"/>
            </w:pPr>
            <w:r>
              <w:rPr>
                <w:rFonts w:ascii="Calibri" w:hAnsi="Calibri"/>
                <w:sz w:val="17"/>
              </w:rPr>
              <w:t>Counterparty distribution</w:t>
            </w:r>
          </w:p>
        </w:tc>
        <w:tc>
          <w:tcPr>
            <w:tcW w:type="dxa" w:w="6860"/>
            <w:shd w:val="clear" w:color="auto" w:fill="EAF1F4"/>
          </w:tcPr>
          <w:p>
            <w:pPr>
              <w:spacing w:after="40" w:before="40"/>
            </w:pPr>
            <w:r>
              <w:rPr>
                <w:rFonts w:ascii="Calibri" w:hAnsi="Calibri"/>
                <w:sz w:val="17"/>
              </w:rPr>
              <w:t>Not for external release without approval</w:t>
            </w:r>
          </w:p>
        </w:tc>
      </w:tr>
      <w:tr>
        <w:tc>
          <w:tcPr>
            <w:tcW w:type="dxa" w:w="2608"/>
          </w:tcPr>
          <w:p>
            <w:pPr>
              <w:spacing w:after="40" w:before="40"/>
            </w:pPr>
            <w:r>
              <w:rPr>
                <w:rFonts w:ascii="Calibri" w:hAnsi="Calibri"/>
                <w:sz w:val="17"/>
              </w:rPr>
              <w:t>Related documents</w:t>
            </w:r>
          </w:p>
        </w:tc>
        <w:tc>
          <w:tcPr>
            <w:tcW w:type="dxa" w:w="6860"/>
          </w:tcPr>
          <w:p>
            <w:pPr>
              <w:spacing w:after="40" w:before="40"/>
            </w:pPr>
            <w:r>
              <w:rPr>
                <w:rFonts w:ascii="Calibri" w:hAnsi="Calibri"/>
                <w:sz w:val="17"/>
              </w:rPr>
              <w:t>See 00 — READ ME, University Partnership Programme</w:t>
            </w:r>
          </w:p>
        </w:tc>
      </w:tr>
      <w:tr>
        <w:tc>
          <w:tcPr>
            <w:tcW w:type="dxa" w:w="2608"/>
            <w:shd w:val="clear" w:color="auto" w:fill="EAF1F4"/>
          </w:tcPr>
          <w:p>
            <w:pPr>
              <w:spacing w:after="40" w:before="40"/>
            </w:pPr>
            <w:r>
              <w:rPr>
                <w:rFonts w:ascii="Calibri" w:hAnsi="Calibri"/>
                <w:sz w:val="17"/>
              </w:rPr>
              <w:t>Retention</w:t>
            </w:r>
          </w:p>
        </w:tc>
        <w:tc>
          <w:tcPr>
            <w:tcW w:type="dxa" w:w="6860"/>
            <w:shd w:val="clear" w:color="auto" w:fill="EAF1F4"/>
          </w:tcPr>
          <w:p>
            <w:pPr>
              <w:spacing w:after="40" w:before="40"/>
            </w:pPr>
            <w:r>
              <w:rPr>
                <w:rFonts w:ascii="Calibri" w:hAnsi="Calibri"/>
                <w:sz w:val="17"/>
              </w:rPr>
              <w:t>7 years from expiry of the related MOU, unless a longer statutory period applies</w:t>
            </w:r>
          </w:p>
        </w:tc>
      </w:tr>
      <w:tr>
        <w:tc>
          <w:tcPr>
            <w:tcW w:type="dxa" w:w="2608"/>
          </w:tcPr>
          <w:p>
            <w:pPr>
              <w:spacing w:after="40" w:before="40"/>
            </w:pPr>
            <w:r>
              <w:rPr>
                <w:rFonts w:ascii="Calibri" w:hAnsi="Calibri"/>
                <w:sz w:val="17"/>
              </w:rPr>
              <w:t>Review cycle</w:t>
            </w:r>
          </w:p>
        </w:tc>
        <w:tc>
          <w:tcPr>
            <w:tcW w:type="dxa" w:w="6860"/>
          </w:tcPr>
          <w:p>
            <w:pPr>
              <w:spacing w:after="40" w:before="40"/>
            </w:pPr>
            <w:r>
              <w:rPr>
                <w:rFonts w:ascii="Calibri" w:hAnsi="Calibri"/>
                <w:sz w:val="17"/>
              </w:rPr>
              <w:t>Annual, or on any change of law affecting the subject matter</w:t>
            </w:r>
          </w:p>
        </w:tc>
      </w:tr>
    </w:tbl>
    <w:p>
      <w:r>
        <w:br w:type="page"/>
      </w:r>
    </w:p>
    <w:p>
      <w:pPr>
        <w:spacing w:after="160"/>
        <w:pBdr>
          <w:bottom w:val="single" w:sz="10" w:space="4" w:color="0E7C7B"/>
        </w:pBdr>
      </w:pPr>
      <w:r>
        <w:rPr>
          <w:rFonts w:ascii="Calibri" w:hAnsi="Calibri"/>
          <w:b/>
          <w:color w:val="10375C"/>
          <w:sz w:val="31"/>
        </w:rPr>
        <w:t>Contents</w:t>
      </w:r>
    </w:p>
    <w:p>
      <w:r>
        <w:rPr>
          <w:i/>
          <w:color w:val="595959"/>
          <w:sz w:val="16"/>
        </w:rPr>
        <w:t>This table of contents is a live field. Open in Word, select all (Ctrl+A) and press F9 to populate or refresh it.</w:t>
      </w:r>
    </w:p>
    <w:p>
      <w:r>
        <w:fldChar w:fldCharType="begin"/>
      </w:r>
      <w:r>
        <w:instrText xml:space="preserve"> TOC \o "1-3" \h \z \u </w:instrText>
      </w:r>
      <w:r>
        <w:fldChar w:fldCharType="separate"/>
      </w:r>
      <w:r>
        <w:t>…</w:t>
      </w:r>
      <w:r>
        <w:fldChar w:fldCharType="end"/>
      </w:r>
    </w:p>
    <w:p>
      <w:r>
        <w:br w:type="page"/>
      </w:r>
    </w:p>
    <w:p>
      <w:pPr>
        <w:pStyle w:val="Heading1"/>
        <w:pBdr>
          <w:bottom w:val="single" w:sz="8" w:space="4" w:color="C9D6DE"/>
        </w:pBdr>
      </w:pPr>
      <w:r>
        <w:t>1. What is measured</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2367"/>
        <w:gridCol w:w="2367"/>
        <w:gridCol w:w="2367"/>
        <w:gridCol w:w="2367"/>
      </w:tblGrid>
      <w:tr>
        <w:trPr>
          <w:tblHeader w:val="true"/>
        </w:trPr>
        <w:tc>
          <w:tcPr>
            <w:tcW w:type="dxa" w:w="1563"/>
            <w:shd w:val="clear" w:color="auto" w:fill="10375C"/>
          </w:tcPr>
          <w:p>
            <w:pPr>
              <w:spacing w:after="50" w:before="50"/>
            </w:pPr>
            <w:r>
              <w:rPr>
                <w:b/>
                <w:color w:val="FFFFFF"/>
                <w:sz w:val="17"/>
              </w:rPr>
              <w:t>Domain</w:t>
            </w:r>
          </w:p>
        </w:tc>
        <w:tc>
          <w:tcPr>
            <w:tcW w:type="dxa" w:w="3539"/>
            <w:shd w:val="clear" w:color="auto" w:fill="10375C"/>
          </w:tcPr>
          <w:p>
            <w:pPr>
              <w:spacing w:after="50" w:before="50"/>
            </w:pPr>
            <w:r>
              <w:rPr>
                <w:b/>
                <w:color w:val="FFFFFF"/>
                <w:sz w:val="17"/>
              </w:rPr>
              <w:t>Measure</w:t>
            </w:r>
          </w:p>
        </w:tc>
        <w:tc>
          <w:tcPr>
            <w:tcW w:type="dxa" w:w="2187"/>
            <w:shd w:val="clear" w:color="auto" w:fill="10375C"/>
          </w:tcPr>
          <w:p>
            <w:pPr>
              <w:spacing w:after="50" w:before="50"/>
            </w:pPr>
            <w:r>
              <w:rPr>
                <w:b/>
                <w:color w:val="FFFFFF"/>
                <w:sz w:val="17"/>
              </w:rPr>
              <w:t>Threshold</w:t>
            </w:r>
          </w:p>
        </w:tc>
        <w:tc>
          <w:tcPr>
            <w:tcW w:type="dxa" w:w="2179"/>
            <w:shd w:val="clear" w:color="auto" w:fill="10375C"/>
          </w:tcPr>
          <w:p>
            <w:pPr>
              <w:spacing w:after="50" w:before="50"/>
            </w:pPr>
            <w:r>
              <w:rPr>
                <w:b/>
                <w:color w:val="FFFFFF"/>
                <w:sz w:val="17"/>
              </w:rPr>
              <w:t>Frequency</w:t>
            </w:r>
          </w:p>
        </w:tc>
      </w:tr>
      <w:tr>
        <w:tc>
          <w:tcPr>
            <w:tcW w:type="dxa" w:w="1563"/>
          </w:tcPr>
          <w:p>
            <w:pPr>
              <w:spacing w:after="50" w:before="50" w:line="252" w:lineRule="auto"/>
            </w:pPr>
            <w:r>
              <w:rPr>
                <w:sz w:val="17"/>
              </w:rPr>
              <w:t>Participant experience</w:t>
            </w:r>
          </w:p>
        </w:tc>
        <w:tc>
          <w:tcPr>
            <w:tcW w:type="dxa" w:w="3539"/>
          </w:tcPr>
          <w:p>
            <w:pPr>
              <w:spacing w:after="50" w:before="50" w:line="252" w:lineRule="auto"/>
            </w:pPr>
            <w:r>
              <w:rPr>
                <w:sz w:val="17"/>
              </w:rPr>
              <w:t>Mean feedback score, 1–5</w:t>
            </w:r>
          </w:p>
        </w:tc>
        <w:tc>
          <w:tcPr>
            <w:tcW w:type="dxa" w:w="2187"/>
          </w:tcPr>
          <w:p>
            <w:pPr>
              <w:spacing w:after="50" w:before="50" w:line="252" w:lineRule="auto"/>
            </w:pPr>
            <w:r>
              <w:rPr>
                <w:sz w:val="17"/>
              </w:rPr>
              <w:t>≥ 4.0; review below 3.8</w:t>
            </w:r>
          </w:p>
        </w:tc>
        <w:tc>
          <w:tcPr>
            <w:tcW w:type="dxa" w:w="2179"/>
          </w:tcPr>
          <w:p>
            <w:pPr>
              <w:spacing w:after="50" w:before="50" w:line="252" w:lineRule="auto"/>
            </w:pPr>
            <w:r>
              <w:rPr>
                <w:sz w:val="17"/>
              </w:rPr>
              <w:t>Every session</w:t>
            </w:r>
          </w:p>
        </w:tc>
      </w:tr>
      <w:tr>
        <w:tc>
          <w:tcPr>
            <w:tcW w:type="dxa" w:w="1563"/>
            <w:shd w:val="clear" w:color="auto" w:fill="EAF1F4"/>
          </w:tcPr>
          <w:p>
            <w:pPr>
              <w:spacing w:after="50" w:before="50" w:line="252" w:lineRule="auto"/>
            </w:pPr>
            <w:r>
              <w:rPr>
                <w:sz w:val="17"/>
              </w:rPr>
              <w:t>Trainer performance</w:t>
            </w:r>
          </w:p>
        </w:tc>
        <w:tc>
          <w:tcPr>
            <w:tcW w:type="dxa" w:w="3539"/>
            <w:shd w:val="clear" w:color="auto" w:fill="EAF1F4"/>
          </w:tcPr>
          <w:p>
            <w:pPr>
              <w:spacing w:after="50" w:before="50" w:line="252" w:lineRule="auto"/>
            </w:pPr>
            <w:r>
              <w:rPr>
                <w:sz w:val="17"/>
              </w:rPr>
              <w:t>Observation score; participant score; punctuality; records</w:t>
            </w:r>
          </w:p>
        </w:tc>
        <w:tc>
          <w:tcPr>
            <w:tcW w:type="dxa" w:w="2187"/>
            <w:shd w:val="clear" w:color="auto" w:fill="EAF1F4"/>
          </w:tcPr>
          <w:p>
            <w:pPr>
              <w:spacing w:after="50" w:before="50" w:line="252" w:lineRule="auto"/>
            </w:pPr>
            <w:r>
              <w:rPr>
                <w:sz w:val="17"/>
              </w:rPr>
              <w:t>Observation ≥ 4.0</w:t>
            </w:r>
          </w:p>
        </w:tc>
        <w:tc>
          <w:tcPr>
            <w:tcW w:type="dxa" w:w="2179"/>
            <w:shd w:val="clear" w:color="auto" w:fill="EAF1F4"/>
          </w:tcPr>
          <w:p>
            <w:pPr>
              <w:spacing w:after="50" w:before="50" w:line="252" w:lineRule="auto"/>
            </w:pPr>
            <w:r>
              <w:rPr>
                <w:sz w:val="17"/>
              </w:rPr>
              <w:t>Annual observation; every programme for feedback</w:t>
            </w:r>
          </w:p>
        </w:tc>
      </w:tr>
      <w:tr>
        <w:tc>
          <w:tcPr>
            <w:tcW w:type="dxa" w:w="1563"/>
          </w:tcPr>
          <w:p>
            <w:pPr>
              <w:spacing w:after="50" w:before="50" w:line="252" w:lineRule="auto"/>
            </w:pPr>
            <w:r>
              <w:rPr>
                <w:sz w:val="17"/>
              </w:rPr>
              <w:t>Assessment integrity</w:t>
            </w:r>
          </w:p>
        </w:tc>
        <w:tc>
          <w:tcPr>
            <w:tcW w:type="dxa" w:w="3539"/>
          </w:tcPr>
          <w:p>
            <w:pPr>
              <w:spacing w:after="50" w:before="50" w:line="252" w:lineRule="auto"/>
            </w:pPr>
            <w:r>
              <w:rPr>
                <w:sz w:val="17"/>
              </w:rPr>
              <w:t>Calibration divergence; moderation adjustments; appeal rate</w:t>
            </w:r>
          </w:p>
        </w:tc>
        <w:tc>
          <w:tcPr>
            <w:tcW w:type="dxa" w:w="2187"/>
          </w:tcPr>
          <w:p>
            <w:pPr>
              <w:spacing w:after="50" w:before="50" w:line="252" w:lineRule="auto"/>
            </w:pPr>
            <w:r>
              <w:rPr>
                <w:sz w:val="17"/>
              </w:rPr>
              <w:t>Divergence ≤ 8 marks; appeal rate &lt; 3%</w:t>
            </w:r>
          </w:p>
        </w:tc>
        <w:tc>
          <w:tcPr>
            <w:tcW w:type="dxa" w:w="2179"/>
          </w:tcPr>
          <w:p>
            <w:pPr>
              <w:spacing w:after="50" w:before="50" w:line="252" w:lineRule="auto"/>
            </w:pPr>
            <w:r>
              <w:rPr>
                <w:sz w:val="17"/>
              </w:rPr>
              <w:t>Every assessed cohort</w:t>
            </w:r>
          </w:p>
        </w:tc>
      </w:tr>
      <w:tr>
        <w:tc>
          <w:tcPr>
            <w:tcW w:type="dxa" w:w="1563"/>
            <w:shd w:val="clear" w:color="auto" w:fill="EAF1F4"/>
          </w:tcPr>
          <w:p>
            <w:pPr>
              <w:spacing w:after="50" w:before="50" w:line="252" w:lineRule="auto"/>
            </w:pPr>
            <w:r>
              <w:rPr>
                <w:sz w:val="17"/>
              </w:rPr>
              <w:t>Outcome</w:t>
            </w:r>
          </w:p>
        </w:tc>
        <w:tc>
          <w:tcPr>
            <w:tcW w:type="dxa" w:w="3539"/>
            <w:shd w:val="clear" w:color="auto" w:fill="EAF1F4"/>
          </w:tcPr>
          <w:p>
            <w:pPr>
              <w:spacing w:after="50" w:before="50" w:line="252" w:lineRule="auto"/>
            </w:pPr>
            <w:r>
              <w:rPr>
                <w:sz w:val="17"/>
              </w:rPr>
              <w:t>Pass rate; distribution</w:t>
            </w:r>
          </w:p>
        </w:tc>
        <w:tc>
          <w:tcPr>
            <w:tcW w:type="dxa" w:w="2187"/>
            <w:shd w:val="clear" w:color="auto" w:fill="EAF1F4"/>
          </w:tcPr>
          <w:p>
            <w:pPr>
              <w:spacing w:after="50" w:before="50" w:line="252" w:lineRule="auto"/>
            </w:pPr>
            <w:r>
              <w:rPr>
                <w:sz w:val="17"/>
              </w:rPr>
              <w:t>Within 1.5 standard deviations of historic</w:t>
            </w:r>
          </w:p>
        </w:tc>
        <w:tc>
          <w:tcPr>
            <w:tcW w:type="dxa" w:w="2179"/>
            <w:shd w:val="clear" w:color="auto" w:fill="EAF1F4"/>
          </w:tcPr>
          <w:p>
            <w:pPr>
              <w:spacing w:after="50" w:before="50" w:line="252" w:lineRule="auto"/>
            </w:pPr>
            <w:r>
              <w:rPr>
                <w:sz w:val="17"/>
              </w:rPr>
              <w:t>Every cohort</w:t>
            </w:r>
          </w:p>
        </w:tc>
      </w:tr>
      <w:tr>
        <w:tc>
          <w:tcPr>
            <w:tcW w:type="dxa" w:w="1563"/>
          </w:tcPr>
          <w:p>
            <w:pPr>
              <w:spacing w:after="50" w:before="50" w:line="252" w:lineRule="auto"/>
            </w:pPr>
            <w:r>
              <w:rPr>
                <w:sz w:val="17"/>
              </w:rPr>
              <w:t>Delivery reliability</w:t>
            </w:r>
          </w:p>
        </w:tc>
        <w:tc>
          <w:tcPr>
            <w:tcW w:type="dxa" w:w="3539"/>
          </w:tcPr>
          <w:p>
            <w:pPr>
              <w:spacing w:after="50" w:before="50" w:line="252" w:lineRule="auto"/>
            </w:pPr>
            <w:r>
              <w:rPr>
                <w:sz w:val="17"/>
              </w:rPr>
              <w:t>Programmes delivered on the agreed date</w:t>
            </w:r>
          </w:p>
        </w:tc>
        <w:tc>
          <w:tcPr>
            <w:tcW w:type="dxa" w:w="2187"/>
          </w:tcPr>
          <w:p>
            <w:pPr>
              <w:spacing w:after="50" w:before="50" w:line="252" w:lineRule="auto"/>
            </w:pPr>
            <w:r>
              <w:rPr>
                <w:sz w:val="17"/>
              </w:rPr>
              <w:t>≥ 95%</w:t>
            </w:r>
          </w:p>
        </w:tc>
        <w:tc>
          <w:tcPr>
            <w:tcW w:type="dxa" w:w="2179"/>
          </w:tcPr>
          <w:p>
            <w:pPr>
              <w:spacing w:after="50" w:before="50" w:line="252" w:lineRule="auto"/>
            </w:pPr>
            <w:r>
              <w:rPr>
                <w:sz w:val="17"/>
              </w:rPr>
              <w:t>Quarterly</w:t>
            </w:r>
          </w:p>
        </w:tc>
      </w:tr>
      <w:tr>
        <w:tc>
          <w:tcPr>
            <w:tcW w:type="dxa" w:w="1563"/>
            <w:shd w:val="clear" w:color="auto" w:fill="EAF1F4"/>
          </w:tcPr>
          <w:p>
            <w:pPr>
              <w:spacing w:after="50" w:before="50" w:line="252" w:lineRule="auto"/>
            </w:pPr>
            <w:r>
              <w:rPr>
                <w:sz w:val="17"/>
              </w:rPr>
              <w:t>Documentation</w:t>
            </w:r>
          </w:p>
        </w:tc>
        <w:tc>
          <w:tcPr>
            <w:tcW w:type="dxa" w:w="3539"/>
            <w:shd w:val="clear" w:color="auto" w:fill="EAF1F4"/>
          </w:tcPr>
          <w:p>
            <w:pPr>
              <w:spacing w:after="50" w:before="50" w:line="252" w:lineRule="auto"/>
            </w:pPr>
            <w:r>
              <w:rPr>
                <w:sz w:val="17"/>
              </w:rPr>
              <w:t>Reports issued within 21 days</w:t>
            </w:r>
          </w:p>
        </w:tc>
        <w:tc>
          <w:tcPr>
            <w:tcW w:type="dxa" w:w="2187"/>
            <w:shd w:val="clear" w:color="auto" w:fill="EAF1F4"/>
          </w:tcPr>
          <w:p>
            <w:pPr>
              <w:spacing w:after="50" w:before="50" w:line="252" w:lineRule="auto"/>
            </w:pPr>
            <w:r>
              <w:rPr>
                <w:sz w:val="17"/>
              </w:rPr>
              <w:t>100%</w:t>
            </w:r>
          </w:p>
        </w:tc>
        <w:tc>
          <w:tcPr>
            <w:tcW w:type="dxa" w:w="2179"/>
            <w:shd w:val="clear" w:color="auto" w:fill="EAF1F4"/>
          </w:tcPr>
          <w:p>
            <w:pPr>
              <w:spacing w:after="50" w:before="50" w:line="252" w:lineRule="auto"/>
            </w:pPr>
            <w:r>
              <w:rPr>
                <w:sz w:val="17"/>
              </w:rPr>
              <w:t>Monthly</w:t>
            </w:r>
          </w:p>
        </w:tc>
      </w:tr>
      <w:tr>
        <w:tc>
          <w:tcPr>
            <w:tcW w:type="dxa" w:w="1563"/>
          </w:tcPr>
          <w:p>
            <w:pPr>
              <w:spacing w:after="50" w:before="50" w:line="252" w:lineRule="auto"/>
            </w:pPr>
            <w:r>
              <w:rPr>
                <w:sz w:val="17"/>
              </w:rPr>
              <w:t>Partner satisfaction</w:t>
            </w:r>
          </w:p>
        </w:tc>
        <w:tc>
          <w:tcPr>
            <w:tcW w:type="dxa" w:w="3539"/>
          </w:tcPr>
          <w:p>
            <w:pPr>
              <w:spacing w:after="50" w:before="50" w:line="252" w:lineRule="auto"/>
            </w:pPr>
            <w:r>
              <w:rPr>
                <w:sz w:val="17"/>
              </w:rPr>
              <w:t>Annual partner survey</w:t>
            </w:r>
          </w:p>
        </w:tc>
        <w:tc>
          <w:tcPr>
            <w:tcW w:type="dxa" w:w="2187"/>
          </w:tcPr>
          <w:p>
            <w:pPr>
              <w:spacing w:after="50" w:before="50" w:line="252" w:lineRule="auto"/>
            </w:pPr>
            <w:r>
              <w:rPr>
                <w:sz w:val="17"/>
              </w:rPr>
              <w:t>≥ 4.0</w:t>
            </w:r>
          </w:p>
        </w:tc>
        <w:tc>
          <w:tcPr>
            <w:tcW w:type="dxa" w:w="2179"/>
          </w:tcPr>
          <w:p>
            <w:pPr>
              <w:spacing w:after="50" w:before="50" w:line="252" w:lineRule="auto"/>
            </w:pPr>
            <w:r>
              <w:rPr>
                <w:sz w:val="17"/>
              </w:rPr>
              <w:t>Annual</w:t>
            </w:r>
          </w:p>
        </w:tc>
      </w:tr>
      <w:tr>
        <w:tc>
          <w:tcPr>
            <w:tcW w:type="dxa" w:w="1563"/>
            <w:shd w:val="clear" w:color="auto" w:fill="EAF1F4"/>
          </w:tcPr>
          <w:p>
            <w:pPr>
              <w:spacing w:after="50" w:before="50" w:line="252" w:lineRule="auto"/>
            </w:pPr>
            <w:r>
              <w:rPr>
                <w:sz w:val="17"/>
              </w:rPr>
              <w:t>Incidents</w:t>
            </w:r>
          </w:p>
        </w:tc>
        <w:tc>
          <w:tcPr>
            <w:tcW w:type="dxa" w:w="3539"/>
            <w:shd w:val="clear" w:color="auto" w:fill="EAF1F4"/>
          </w:tcPr>
          <w:p>
            <w:pPr>
              <w:spacing w:after="50" w:before="50" w:line="252" w:lineRule="auto"/>
            </w:pPr>
            <w:r>
              <w:rPr>
                <w:sz w:val="17"/>
              </w:rPr>
              <w:t>Number and severity</w:t>
            </w:r>
          </w:p>
        </w:tc>
        <w:tc>
          <w:tcPr>
            <w:tcW w:type="dxa" w:w="2187"/>
            <w:shd w:val="clear" w:color="auto" w:fill="EAF1F4"/>
          </w:tcPr>
          <w:p>
            <w:pPr>
              <w:spacing w:after="50" w:before="50" w:line="252" w:lineRule="auto"/>
            </w:pPr>
            <w:r>
              <w:rPr>
                <w:sz w:val="17"/>
              </w:rPr>
              <w:t>Zero serious</w:t>
            </w:r>
          </w:p>
        </w:tc>
        <w:tc>
          <w:tcPr>
            <w:tcW w:type="dxa" w:w="2179"/>
            <w:shd w:val="clear" w:color="auto" w:fill="EAF1F4"/>
          </w:tcPr>
          <w:p>
            <w:pPr>
              <w:spacing w:after="50" w:before="50" w:line="252" w:lineRule="auto"/>
            </w:pPr>
            <w:r>
              <w:rPr>
                <w:sz w:val="17"/>
              </w:rPr>
              <w:t>Continuous</w:t>
            </w:r>
          </w:p>
        </w:tc>
      </w:tr>
    </w:tbl>
    <w:p>
      <w:pPr>
        <w:spacing w:after="80" w:before="0"/>
      </w:pPr>
    </w:p>
    <w:p>
      <w:pPr>
        <w:spacing w:before="80" w:after="160"/>
        <w:pBdr>
          <w:bottom w:val="single" w:sz="6" w:space="1" w:color="C9D6DE"/>
        </w:pBdr>
      </w:pPr>
    </w:p>
    <w:p>
      <w:pPr>
        <w:pStyle w:val="Heading1"/>
        <w:pBdr>
          <w:bottom w:val="single" w:sz="8" w:space="4" w:color="C9D6DE"/>
        </w:pBdr>
      </w:pPr>
      <w:r>
        <w:t>2. Feedback</w:t>
      </w:r>
    </w:p>
    <w:p>
      <w:pPr>
        <w:pStyle w:val="Heading2"/>
      </w:pPr>
      <w:r>
        <w:t>2.1 Collection</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9468"/>
      </w:tblGrid>
      <w:tr>
        <w:trPr>
          <w:tblHeader w:val="true"/>
        </w:trPr>
        <w:tc>
          <w:tcPr>
            <w:tcW w:type="dxa" w:w="9468"/>
            <w:shd w:val="clear" w:color="auto" w:fill="10375C"/>
          </w:tcPr>
          <w:p>
            <w:pPr>
              <w:spacing w:after="50" w:before="50"/>
            </w:pPr>
            <w:r>
              <w:rPr>
                <w:b/>
                <w:color w:val="FFFFFF"/>
                <w:sz w:val="17"/>
              </w:rPr>
              <w:t>Rule</w:t>
            </w:r>
          </w:p>
        </w:tc>
      </w:tr>
      <w:tr>
        <w:tc>
          <w:tcPr>
            <w:tcW w:type="dxa" w:w="9468"/>
          </w:tcPr>
          <w:p>
            <w:pPr>
              <w:spacing w:after="50" w:before="50" w:line="252" w:lineRule="auto"/>
            </w:pPr>
            <w:r>
              <w:rPr>
                <w:sz w:val="17"/>
              </w:rPr>
              <w:t xml:space="preserve">Collected at the end of </w:t>
            </w:r>
            <w:r>
              <w:rPr>
                <w:b/>
                <w:sz w:val="17"/>
              </w:rPr>
              <w:t>each day</w:t>
            </w:r>
            <w:r>
              <w:rPr>
                <w:sz w:val="17"/>
              </w:rPr>
              <w:t>, not only at the end</w:t>
            </w:r>
          </w:p>
        </w:tc>
      </w:tr>
      <w:tr>
        <w:tc>
          <w:tcPr>
            <w:tcW w:type="dxa" w:w="9468"/>
            <w:shd w:val="clear" w:color="auto" w:fill="EAF1F4"/>
          </w:tcPr>
          <w:p>
            <w:pPr>
              <w:spacing w:after="50" w:before="50" w:line="252" w:lineRule="auto"/>
            </w:pPr>
            <w:r>
              <w:rPr>
                <w:sz w:val="17"/>
              </w:rPr>
              <w:t>Anonymous; digital where possible; paper where connectivity is poor</w:t>
            </w:r>
          </w:p>
        </w:tc>
      </w:tr>
      <w:tr>
        <w:tc>
          <w:tcPr>
            <w:tcW w:type="dxa" w:w="9468"/>
          </w:tcPr>
          <w:p>
            <w:pPr>
              <w:spacing w:after="50" w:before="50" w:line="252" w:lineRule="auto"/>
            </w:pPr>
            <w:r>
              <w:rPr>
                <w:sz w:val="17"/>
              </w:rPr>
              <w:t>Response rate below 70% is itself reported</w:t>
            </w:r>
          </w:p>
        </w:tc>
      </w:tr>
      <w:tr>
        <w:tc>
          <w:tcPr>
            <w:tcW w:type="dxa" w:w="9468"/>
            <w:shd w:val="clear" w:color="auto" w:fill="EAF1F4"/>
          </w:tcPr>
          <w:p>
            <w:pPr>
              <w:spacing w:after="50" w:before="50" w:line="252" w:lineRule="auto"/>
            </w:pPr>
            <w:r>
              <w:rPr>
                <w:sz w:val="17"/>
              </w:rPr>
              <w:t>Free text is read in full by the Head of Curriculum, not summarised by score</w:t>
            </w:r>
          </w:p>
        </w:tc>
      </w:tr>
      <w:tr>
        <w:tc>
          <w:tcPr>
            <w:tcW w:type="dxa" w:w="9468"/>
          </w:tcPr>
          <w:p>
            <w:pPr>
              <w:spacing w:after="50" w:before="50" w:line="252" w:lineRule="auto"/>
            </w:pPr>
            <w:r>
              <w:rPr>
                <w:sz w:val="17"/>
              </w:rPr>
              <w:t>A specific complaint about an individual is escalated the same day, not held until analysis</w:t>
            </w:r>
          </w:p>
        </w:tc>
      </w:tr>
    </w:tbl>
    <w:p>
      <w:pPr>
        <w:spacing w:after="80" w:before="0"/>
      </w:pPr>
    </w:p>
    <w:p>
      <w:pPr>
        <w:pStyle w:val="Heading2"/>
      </w:pPr>
      <w:r>
        <w:t>2.2 Instrument</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3156"/>
        <w:gridCol w:w="3156"/>
        <w:gridCol w:w="3156"/>
      </w:tblGrid>
      <w:tr>
        <w:trPr>
          <w:tblHeader w:val="true"/>
        </w:trPr>
        <w:tc>
          <w:tcPr>
            <w:tcW w:type="dxa" w:w="937"/>
            <w:shd w:val="clear" w:color="auto" w:fill="10375C"/>
          </w:tcPr>
          <w:p>
            <w:pPr>
              <w:spacing w:after="50" w:before="50"/>
            </w:pPr>
            <w:r>
              <w:rPr>
                <w:b/>
                <w:color w:val="FFFFFF"/>
                <w:sz w:val="17"/>
              </w:rPr>
              <w:t>#</w:t>
            </w:r>
          </w:p>
        </w:tc>
        <w:tc>
          <w:tcPr>
            <w:tcW w:type="dxa" w:w="7309"/>
            <w:shd w:val="clear" w:color="auto" w:fill="10375C"/>
          </w:tcPr>
          <w:p>
            <w:pPr>
              <w:spacing w:after="50" w:before="50"/>
            </w:pPr>
            <w:r>
              <w:rPr>
                <w:b/>
                <w:color w:val="FFFFFF"/>
                <w:sz w:val="17"/>
              </w:rPr>
              <w:t>Item</w:t>
            </w:r>
          </w:p>
        </w:tc>
        <w:tc>
          <w:tcPr>
            <w:tcW w:type="dxa" w:w="1221"/>
            <w:shd w:val="clear" w:color="auto" w:fill="10375C"/>
          </w:tcPr>
          <w:p>
            <w:pPr>
              <w:spacing w:after="50" w:before="50"/>
            </w:pPr>
            <w:r>
              <w:rPr>
                <w:b/>
                <w:color w:val="FFFFFF"/>
                <w:sz w:val="17"/>
              </w:rPr>
              <w:t>Scale</w:t>
            </w:r>
          </w:p>
        </w:tc>
      </w:tr>
      <w:tr>
        <w:tc>
          <w:tcPr>
            <w:tcW w:type="dxa" w:w="937"/>
          </w:tcPr>
          <w:p>
            <w:pPr>
              <w:spacing w:after="50" w:before="50" w:line="252" w:lineRule="auto"/>
            </w:pPr>
            <w:r>
              <w:rPr>
                <w:sz w:val="17"/>
              </w:rPr>
              <w:t>1</w:t>
            </w:r>
          </w:p>
        </w:tc>
        <w:tc>
          <w:tcPr>
            <w:tcW w:type="dxa" w:w="7309"/>
          </w:tcPr>
          <w:p>
            <w:pPr>
              <w:spacing w:after="50" w:before="50" w:line="252" w:lineRule="auto"/>
            </w:pPr>
            <w:r>
              <w:rPr>
                <w:sz w:val="17"/>
              </w:rPr>
              <w:t>The programme met the objectives stated</w:t>
            </w:r>
          </w:p>
        </w:tc>
        <w:tc>
          <w:tcPr>
            <w:tcW w:type="dxa" w:w="1221"/>
          </w:tcPr>
          <w:p>
            <w:pPr>
              <w:spacing w:after="50" w:before="50" w:line="252" w:lineRule="auto"/>
            </w:pPr>
            <w:r>
              <w:rPr>
                <w:sz w:val="17"/>
              </w:rPr>
              <w:t>1–5</w:t>
            </w:r>
          </w:p>
        </w:tc>
      </w:tr>
      <w:tr>
        <w:tc>
          <w:tcPr>
            <w:tcW w:type="dxa" w:w="937"/>
            <w:shd w:val="clear" w:color="auto" w:fill="EAF1F4"/>
          </w:tcPr>
          <w:p>
            <w:pPr>
              <w:spacing w:after="50" w:before="50" w:line="252" w:lineRule="auto"/>
            </w:pPr>
            <w:r>
              <w:rPr>
                <w:sz w:val="17"/>
              </w:rPr>
              <w:t>2</w:t>
            </w:r>
          </w:p>
        </w:tc>
        <w:tc>
          <w:tcPr>
            <w:tcW w:type="dxa" w:w="7309"/>
            <w:shd w:val="clear" w:color="auto" w:fill="EAF1F4"/>
          </w:tcPr>
          <w:p>
            <w:pPr>
              <w:spacing w:after="50" w:before="50" w:line="252" w:lineRule="auto"/>
            </w:pPr>
            <w:r>
              <w:rPr>
                <w:sz w:val="17"/>
              </w:rPr>
              <w:t>The trainer explained clearly</w:t>
            </w:r>
          </w:p>
        </w:tc>
        <w:tc>
          <w:tcPr>
            <w:tcW w:type="dxa" w:w="1221"/>
            <w:shd w:val="clear" w:color="auto" w:fill="EAF1F4"/>
          </w:tcPr>
          <w:p>
            <w:pPr>
              <w:spacing w:after="50" w:before="50" w:line="252" w:lineRule="auto"/>
            </w:pPr>
            <w:r>
              <w:rPr>
                <w:sz w:val="17"/>
              </w:rPr>
              <w:t>1–5</w:t>
            </w:r>
          </w:p>
        </w:tc>
      </w:tr>
      <w:tr>
        <w:tc>
          <w:tcPr>
            <w:tcW w:type="dxa" w:w="937"/>
          </w:tcPr>
          <w:p>
            <w:pPr>
              <w:spacing w:after="50" w:before="50" w:line="252" w:lineRule="auto"/>
            </w:pPr>
            <w:r>
              <w:rPr>
                <w:sz w:val="17"/>
              </w:rPr>
              <w:t>3</w:t>
            </w:r>
          </w:p>
        </w:tc>
        <w:tc>
          <w:tcPr>
            <w:tcW w:type="dxa" w:w="7309"/>
          </w:tcPr>
          <w:p>
            <w:pPr>
              <w:spacing w:after="50" w:before="50" w:line="252" w:lineRule="auto"/>
            </w:pPr>
            <w:r>
              <w:rPr>
                <w:sz w:val="17"/>
              </w:rPr>
              <w:t>There was enough practice, as against listening</w:t>
            </w:r>
          </w:p>
        </w:tc>
        <w:tc>
          <w:tcPr>
            <w:tcW w:type="dxa" w:w="1221"/>
          </w:tcPr>
          <w:p>
            <w:pPr>
              <w:spacing w:after="50" w:before="50" w:line="252" w:lineRule="auto"/>
            </w:pPr>
            <w:r>
              <w:rPr>
                <w:sz w:val="17"/>
              </w:rPr>
              <w:t>1–5</w:t>
            </w:r>
          </w:p>
        </w:tc>
      </w:tr>
      <w:tr>
        <w:tc>
          <w:tcPr>
            <w:tcW w:type="dxa" w:w="937"/>
            <w:shd w:val="clear" w:color="auto" w:fill="EAF1F4"/>
          </w:tcPr>
          <w:p>
            <w:pPr>
              <w:spacing w:after="50" w:before="50" w:line="252" w:lineRule="auto"/>
            </w:pPr>
            <w:r>
              <w:rPr>
                <w:sz w:val="17"/>
              </w:rPr>
              <w:t>4</w:t>
            </w:r>
          </w:p>
        </w:tc>
        <w:tc>
          <w:tcPr>
            <w:tcW w:type="dxa" w:w="7309"/>
            <w:shd w:val="clear" w:color="auto" w:fill="EAF1F4"/>
          </w:tcPr>
          <w:p>
            <w:pPr>
              <w:spacing w:after="50" w:before="50" w:line="252" w:lineRule="auto"/>
            </w:pPr>
            <w:r>
              <w:rPr>
                <w:sz w:val="17"/>
              </w:rPr>
              <w:t>The debriefs were useful</w:t>
            </w:r>
          </w:p>
        </w:tc>
        <w:tc>
          <w:tcPr>
            <w:tcW w:type="dxa" w:w="1221"/>
            <w:shd w:val="clear" w:color="auto" w:fill="EAF1F4"/>
          </w:tcPr>
          <w:p>
            <w:pPr>
              <w:spacing w:after="50" w:before="50" w:line="252" w:lineRule="auto"/>
            </w:pPr>
            <w:r>
              <w:rPr>
                <w:sz w:val="17"/>
              </w:rPr>
              <w:t>1–5</w:t>
            </w:r>
          </w:p>
        </w:tc>
      </w:tr>
      <w:tr>
        <w:tc>
          <w:tcPr>
            <w:tcW w:type="dxa" w:w="937"/>
          </w:tcPr>
          <w:p>
            <w:pPr>
              <w:spacing w:after="50" w:before="50" w:line="252" w:lineRule="auto"/>
            </w:pPr>
            <w:r>
              <w:rPr>
                <w:sz w:val="17"/>
              </w:rPr>
              <w:t>5</w:t>
            </w:r>
          </w:p>
        </w:tc>
        <w:tc>
          <w:tcPr>
            <w:tcW w:type="dxa" w:w="7309"/>
          </w:tcPr>
          <w:p>
            <w:pPr>
              <w:spacing w:after="50" w:before="50" w:line="252" w:lineRule="auto"/>
            </w:pPr>
            <w:r>
              <w:rPr>
                <w:sz w:val="17"/>
              </w:rPr>
              <w:t>The materials were useful</w:t>
            </w:r>
          </w:p>
        </w:tc>
        <w:tc>
          <w:tcPr>
            <w:tcW w:type="dxa" w:w="1221"/>
          </w:tcPr>
          <w:p>
            <w:pPr>
              <w:spacing w:after="50" w:before="50" w:line="252" w:lineRule="auto"/>
            </w:pPr>
            <w:r>
              <w:rPr>
                <w:sz w:val="17"/>
              </w:rPr>
              <w:t>1–5</w:t>
            </w:r>
          </w:p>
        </w:tc>
      </w:tr>
      <w:tr>
        <w:tc>
          <w:tcPr>
            <w:tcW w:type="dxa" w:w="937"/>
            <w:shd w:val="clear" w:color="auto" w:fill="EAF1F4"/>
          </w:tcPr>
          <w:p>
            <w:pPr>
              <w:spacing w:after="50" w:before="50" w:line="252" w:lineRule="auto"/>
            </w:pPr>
            <w:r>
              <w:rPr>
                <w:sz w:val="17"/>
              </w:rPr>
              <w:t>6</w:t>
            </w:r>
          </w:p>
        </w:tc>
        <w:tc>
          <w:tcPr>
            <w:tcW w:type="dxa" w:w="7309"/>
            <w:shd w:val="clear" w:color="auto" w:fill="EAF1F4"/>
          </w:tcPr>
          <w:p>
            <w:pPr>
              <w:spacing w:after="50" w:before="50" w:line="252" w:lineRule="auto"/>
            </w:pPr>
            <w:r>
              <w:rPr>
                <w:sz w:val="17"/>
              </w:rPr>
              <w:t>The venue and arrangements were adequate</w:t>
            </w:r>
          </w:p>
        </w:tc>
        <w:tc>
          <w:tcPr>
            <w:tcW w:type="dxa" w:w="1221"/>
            <w:shd w:val="clear" w:color="auto" w:fill="EAF1F4"/>
          </w:tcPr>
          <w:p>
            <w:pPr>
              <w:spacing w:after="50" w:before="50" w:line="252" w:lineRule="auto"/>
            </w:pPr>
            <w:r>
              <w:rPr>
                <w:sz w:val="17"/>
              </w:rPr>
              <w:t>1–5</w:t>
            </w:r>
          </w:p>
        </w:tc>
      </w:tr>
      <w:tr>
        <w:tc>
          <w:tcPr>
            <w:tcW w:type="dxa" w:w="937"/>
          </w:tcPr>
          <w:p>
            <w:pPr>
              <w:spacing w:after="50" w:before="50" w:line="252" w:lineRule="auto"/>
            </w:pPr>
            <w:r>
              <w:rPr>
                <w:sz w:val="17"/>
              </w:rPr>
              <w:t>7</w:t>
            </w:r>
          </w:p>
        </w:tc>
        <w:tc>
          <w:tcPr>
            <w:tcW w:type="dxa" w:w="7309"/>
          </w:tcPr>
          <w:p>
            <w:pPr>
              <w:spacing w:after="50" w:before="50" w:line="252" w:lineRule="auto"/>
            </w:pPr>
            <w:r>
              <w:rPr>
                <w:sz w:val="17"/>
              </w:rPr>
              <w:t>I feel more capable than I did before</w:t>
            </w:r>
          </w:p>
        </w:tc>
        <w:tc>
          <w:tcPr>
            <w:tcW w:type="dxa" w:w="1221"/>
          </w:tcPr>
          <w:p>
            <w:pPr>
              <w:spacing w:after="50" w:before="50" w:line="252" w:lineRule="auto"/>
            </w:pPr>
            <w:r>
              <w:rPr>
                <w:sz w:val="17"/>
              </w:rPr>
              <w:t>1–5</w:t>
            </w:r>
          </w:p>
        </w:tc>
      </w:tr>
      <w:tr>
        <w:tc>
          <w:tcPr>
            <w:tcW w:type="dxa" w:w="937"/>
            <w:shd w:val="clear" w:color="auto" w:fill="EAF1F4"/>
          </w:tcPr>
          <w:p>
            <w:pPr>
              <w:spacing w:after="50" w:before="50" w:line="252" w:lineRule="auto"/>
            </w:pPr>
            <w:r>
              <w:rPr>
                <w:sz w:val="17"/>
              </w:rPr>
              <w:t>8</w:t>
            </w:r>
          </w:p>
        </w:tc>
        <w:tc>
          <w:tcPr>
            <w:tcW w:type="dxa" w:w="7309"/>
            <w:shd w:val="clear" w:color="auto" w:fill="EAF1F4"/>
          </w:tcPr>
          <w:p>
            <w:pPr>
              <w:spacing w:after="50" w:before="50" w:line="252" w:lineRule="auto"/>
            </w:pPr>
            <w:r>
              <w:rPr>
                <w:sz w:val="17"/>
              </w:rPr>
              <w:t>I would recommend this to a fellow student</w:t>
            </w:r>
          </w:p>
        </w:tc>
        <w:tc>
          <w:tcPr>
            <w:tcW w:type="dxa" w:w="1221"/>
            <w:shd w:val="clear" w:color="auto" w:fill="EAF1F4"/>
          </w:tcPr>
          <w:p>
            <w:pPr>
              <w:spacing w:after="50" w:before="50" w:line="252" w:lineRule="auto"/>
            </w:pPr>
            <w:r>
              <w:rPr>
                <w:sz w:val="17"/>
              </w:rPr>
              <w:t>1–5</w:t>
            </w:r>
          </w:p>
        </w:tc>
      </w:tr>
      <w:tr>
        <w:tc>
          <w:tcPr>
            <w:tcW w:type="dxa" w:w="937"/>
          </w:tcPr>
          <w:p>
            <w:pPr>
              <w:spacing w:after="50" w:before="50" w:line="252" w:lineRule="auto"/>
            </w:pPr>
            <w:r>
              <w:rPr>
                <w:sz w:val="17"/>
              </w:rPr>
              <w:t>9</w:t>
            </w:r>
          </w:p>
        </w:tc>
        <w:tc>
          <w:tcPr>
            <w:tcW w:type="dxa" w:w="7309"/>
          </w:tcPr>
          <w:p>
            <w:pPr>
              <w:spacing w:after="50" w:before="50" w:line="252" w:lineRule="auto"/>
            </w:pPr>
            <w:r>
              <w:rPr>
                <w:sz w:val="17"/>
              </w:rPr>
              <w:t>What was most useful?</w:t>
            </w:r>
          </w:p>
        </w:tc>
        <w:tc>
          <w:tcPr>
            <w:tcW w:type="dxa" w:w="1221"/>
          </w:tcPr>
          <w:p>
            <w:pPr>
              <w:spacing w:after="50" w:before="50" w:line="252" w:lineRule="auto"/>
            </w:pPr>
            <w:r>
              <w:rPr>
                <w:sz w:val="17"/>
              </w:rPr>
              <w:t>Free text</w:t>
            </w:r>
          </w:p>
        </w:tc>
      </w:tr>
      <w:tr>
        <w:tc>
          <w:tcPr>
            <w:tcW w:type="dxa" w:w="937"/>
            <w:shd w:val="clear" w:color="auto" w:fill="EAF1F4"/>
          </w:tcPr>
          <w:p>
            <w:pPr>
              <w:spacing w:after="50" w:before="50" w:line="252" w:lineRule="auto"/>
            </w:pPr>
            <w:r>
              <w:rPr>
                <w:sz w:val="17"/>
              </w:rPr>
              <w:t>10</w:t>
            </w:r>
          </w:p>
        </w:tc>
        <w:tc>
          <w:tcPr>
            <w:tcW w:type="dxa" w:w="7309"/>
            <w:shd w:val="clear" w:color="auto" w:fill="EAF1F4"/>
          </w:tcPr>
          <w:p>
            <w:pPr>
              <w:spacing w:after="50" w:before="50" w:line="252" w:lineRule="auto"/>
            </w:pPr>
            <w:r>
              <w:rPr>
                <w:sz w:val="17"/>
              </w:rPr>
              <w:t>What should change?</w:t>
            </w:r>
          </w:p>
        </w:tc>
        <w:tc>
          <w:tcPr>
            <w:tcW w:type="dxa" w:w="1221"/>
            <w:shd w:val="clear" w:color="auto" w:fill="EAF1F4"/>
          </w:tcPr>
          <w:p>
            <w:pPr>
              <w:spacing w:after="50" w:before="50" w:line="252" w:lineRule="auto"/>
            </w:pPr>
            <w:r>
              <w:rPr>
                <w:sz w:val="17"/>
              </w:rPr>
              <w:t>Free text</w:t>
            </w:r>
          </w:p>
        </w:tc>
      </w:tr>
      <w:tr>
        <w:tc>
          <w:tcPr>
            <w:tcW w:type="dxa" w:w="937"/>
          </w:tcPr>
          <w:p>
            <w:pPr>
              <w:spacing w:after="50" w:before="50" w:line="252" w:lineRule="auto"/>
            </w:pPr>
            <w:r>
              <w:rPr>
                <w:sz w:val="17"/>
              </w:rPr>
              <w:t>11</w:t>
            </w:r>
          </w:p>
        </w:tc>
        <w:tc>
          <w:tcPr>
            <w:tcW w:type="dxa" w:w="7309"/>
          </w:tcPr>
          <w:p>
            <w:pPr>
              <w:spacing w:after="50" w:before="50" w:line="252" w:lineRule="auto"/>
            </w:pPr>
            <w:r>
              <w:rPr>
                <w:sz w:val="17"/>
              </w:rPr>
              <w:t>Anything you wish to raise privately?</w:t>
            </w:r>
          </w:p>
        </w:tc>
        <w:tc>
          <w:tcPr>
            <w:tcW w:type="dxa" w:w="1221"/>
          </w:tcPr>
          <w:p>
            <w:pPr>
              <w:spacing w:after="50" w:before="50" w:line="252" w:lineRule="auto"/>
            </w:pPr>
            <w:r>
              <w:rPr>
                <w:sz w:val="17"/>
              </w:rPr>
              <w:t>Free text</w:t>
            </w:r>
          </w:p>
        </w:tc>
      </w:tr>
    </w:tbl>
    <w:p>
      <w:pPr>
        <w:spacing w:after="80" w:before="0"/>
      </w:pPr>
    </w:p>
    <w:p>
      <w:r>
        <w:t>Item 3 is the diagnostic item for this programme. A low score on item 3 almost always means the trainer talked too much, and it predicts a low score on item 7.</w:t>
      </w:r>
    </w:p>
    <w:p>
      <w:pPr>
        <w:pStyle w:val="Heading2"/>
      </w:pPr>
      <w:r>
        <w:t>2.3 Thresholds and action</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1541"/>
            <w:shd w:val="clear" w:color="auto" w:fill="10375C"/>
          </w:tcPr>
          <w:p>
            <w:pPr>
              <w:spacing w:after="50" w:before="50"/>
            </w:pPr>
            <w:r>
              <w:rPr>
                <w:b/>
                <w:color w:val="FFFFFF"/>
                <w:sz w:val="17"/>
              </w:rPr>
              <w:t>Score</w:t>
            </w:r>
          </w:p>
        </w:tc>
        <w:tc>
          <w:tcPr>
            <w:tcW w:type="dxa" w:w="7926"/>
            <w:shd w:val="clear" w:color="auto" w:fill="10375C"/>
          </w:tcPr>
          <w:p>
            <w:pPr>
              <w:spacing w:after="50" w:before="50"/>
            </w:pPr>
            <w:r>
              <w:rPr>
                <w:b/>
                <w:color w:val="FFFFFF"/>
                <w:sz w:val="17"/>
              </w:rPr>
              <w:t>Action</w:t>
            </w:r>
          </w:p>
        </w:tc>
      </w:tr>
      <w:tr>
        <w:tc>
          <w:tcPr>
            <w:tcW w:type="dxa" w:w="1541"/>
          </w:tcPr>
          <w:p>
            <w:pPr>
              <w:spacing w:after="50" w:before="50" w:line="252" w:lineRule="auto"/>
            </w:pPr>
            <w:r>
              <w:rPr>
                <w:sz w:val="17"/>
              </w:rPr>
              <w:t>≥ 4.3</w:t>
            </w:r>
          </w:p>
        </w:tc>
        <w:tc>
          <w:tcPr>
            <w:tcW w:type="dxa" w:w="7926"/>
          </w:tcPr>
          <w:p>
            <w:pPr>
              <w:spacing w:after="50" w:before="50" w:line="252" w:lineRule="auto"/>
            </w:pPr>
            <w:r>
              <w:rPr>
                <w:sz w:val="17"/>
              </w:rPr>
              <w:t>Recorded; the trainer is told</w:t>
            </w:r>
          </w:p>
        </w:tc>
      </w:tr>
      <w:tr>
        <w:tc>
          <w:tcPr>
            <w:tcW w:type="dxa" w:w="1541"/>
            <w:shd w:val="clear" w:color="auto" w:fill="EAF1F4"/>
          </w:tcPr>
          <w:p>
            <w:pPr>
              <w:spacing w:after="50" w:before="50" w:line="252" w:lineRule="auto"/>
            </w:pPr>
            <w:r>
              <w:rPr>
                <w:sz w:val="17"/>
              </w:rPr>
              <w:t>4.0 – 4.29</w:t>
            </w:r>
          </w:p>
        </w:tc>
        <w:tc>
          <w:tcPr>
            <w:tcW w:type="dxa" w:w="7926"/>
            <w:shd w:val="clear" w:color="auto" w:fill="EAF1F4"/>
          </w:tcPr>
          <w:p>
            <w:pPr>
              <w:spacing w:after="50" w:before="50" w:line="252" w:lineRule="auto"/>
            </w:pPr>
            <w:r>
              <w:rPr>
                <w:sz w:val="17"/>
              </w:rPr>
              <w:t>Normal</w:t>
            </w:r>
          </w:p>
        </w:tc>
      </w:tr>
      <w:tr>
        <w:tc>
          <w:tcPr>
            <w:tcW w:type="dxa" w:w="1541"/>
          </w:tcPr>
          <w:p>
            <w:pPr>
              <w:spacing w:after="50" w:before="50" w:line="252" w:lineRule="auto"/>
            </w:pPr>
            <w:r>
              <w:rPr>
                <w:sz w:val="17"/>
              </w:rPr>
              <w:t>3.8 – 3.99</w:t>
            </w:r>
          </w:p>
        </w:tc>
        <w:tc>
          <w:tcPr>
            <w:tcW w:type="dxa" w:w="7926"/>
          </w:tcPr>
          <w:p>
            <w:pPr>
              <w:spacing w:after="50" w:before="50" w:line="252" w:lineRule="auto"/>
            </w:pPr>
            <w:r>
              <w:rPr>
                <w:sz w:val="17"/>
              </w:rPr>
              <w:t>Reviewed by the Head of Curriculum; trainer conversation</w:t>
            </w:r>
          </w:p>
        </w:tc>
      </w:tr>
      <w:tr>
        <w:tc>
          <w:tcPr>
            <w:tcW w:type="dxa" w:w="1541"/>
            <w:shd w:val="clear" w:color="auto" w:fill="EAF1F4"/>
          </w:tcPr>
          <w:p>
            <w:pPr>
              <w:spacing w:after="50" w:before="50" w:line="252" w:lineRule="auto"/>
            </w:pPr>
            <w:r>
              <w:rPr>
                <w:sz w:val="17"/>
              </w:rPr>
              <w:t>3.5 – 3.79</w:t>
            </w:r>
          </w:p>
        </w:tc>
        <w:tc>
          <w:tcPr>
            <w:tcW w:type="dxa" w:w="7926"/>
            <w:shd w:val="clear" w:color="auto" w:fill="EAF1F4"/>
          </w:tcPr>
          <w:p>
            <w:pPr>
              <w:spacing w:after="50" w:before="50" w:line="252" w:lineRule="auto"/>
            </w:pPr>
            <w:r>
              <w:rPr>
                <w:sz w:val="17"/>
              </w:rPr>
              <w:t>Root cause analysis; trainer observed at the next delivery; partner informed with the remedial plan</w:t>
            </w:r>
          </w:p>
        </w:tc>
      </w:tr>
      <w:tr>
        <w:tc>
          <w:tcPr>
            <w:tcW w:type="dxa" w:w="1541"/>
          </w:tcPr>
          <w:p>
            <w:pPr>
              <w:spacing w:after="50" w:before="50" w:line="252" w:lineRule="auto"/>
            </w:pPr>
            <w:r>
              <w:rPr>
                <w:sz w:val="17"/>
              </w:rPr>
              <w:t>Below 3.5</w:t>
            </w:r>
          </w:p>
        </w:tc>
        <w:tc>
          <w:tcPr>
            <w:tcW w:type="dxa" w:w="7926"/>
          </w:tcPr>
          <w:p>
            <w:pPr>
              <w:spacing w:after="50" w:before="50" w:line="252" w:lineRule="auto"/>
            </w:pPr>
            <w:r>
              <w:rPr>
                <w:sz w:val="17"/>
              </w:rPr>
              <w:t>Programme suspended at that institution pending review; Director and partner informed; trainer not allocated until re-observed</w:t>
            </w:r>
          </w:p>
        </w:tc>
      </w:tr>
    </w:tbl>
    <w:p>
      <w:pPr>
        <w:spacing w:after="80" w:before="0"/>
      </w:pPr>
    </w:p>
    <w:p>
      <w:pPr>
        <w:spacing w:before="80" w:after="160"/>
        <w:pBdr>
          <w:bottom w:val="single" w:sz="6" w:space="1" w:color="C9D6DE"/>
        </w:pBdr>
      </w:pPr>
    </w:p>
    <w:p>
      <w:pPr>
        <w:pStyle w:val="Heading1"/>
        <w:pBdr>
          <w:bottom w:val="single" w:sz="8" w:space="4" w:color="C9D6DE"/>
        </w:pBdr>
      </w:pPr>
      <w:r>
        <w:t>3. Trainer observation</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1751"/>
            <w:shd w:val="clear" w:color="auto" w:fill="10375C"/>
          </w:tcPr>
          <w:p>
            <w:pPr>
              <w:spacing w:after="50" w:before="50"/>
            </w:pPr>
            <w:r>
              <w:rPr>
                <w:b/>
                <w:color w:val="FFFFFF"/>
                <w:sz w:val="17"/>
              </w:rPr>
              <w:t>Element</w:t>
            </w:r>
          </w:p>
        </w:tc>
        <w:tc>
          <w:tcPr>
            <w:tcW w:type="dxa" w:w="7717"/>
            <w:shd w:val="clear" w:color="auto" w:fill="10375C"/>
          </w:tcPr>
          <w:p>
            <w:pPr>
              <w:spacing w:after="50" w:before="50"/>
            </w:pPr>
            <w:r>
              <w:rPr>
                <w:b/>
                <w:color w:val="FFFFFF"/>
                <w:sz w:val="17"/>
              </w:rPr>
              <w:t>Standard</w:t>
            </w:r>
          </w:p>
        </w:tc>
      </w:tr>
      <w:tr>
        <w:tc>
          <w:tcPr>
            <w:tcW w:type="dxa" w:w="1751"/>
          </w:tcPr>
          <w:p>
            <w:pPr>
              <w:spacing w:after="50" w:before="50" w:line="252" w:lineRule="auto"/>
            </w:pPr>
            <w:r>
              <w:rPr>
                <w:sz w:val="17"/>
              </w:rPr>
              <w:t>Frequency</w:t>
            </w:r>
          </w:p>
        </w:tc>
        <w:tc>
          <w:tcPr>
            <w:tcW w:type="dxa" w:w="7717"/>
          </w:tcPr>
          <w:p>
            <w:pPr>
              <w:spacing w:after="50" w:before="50" w:line="252" w:lineRule="auto"/>
            </w:pPr>
            <w:r>
              <w:rPr>
                <w:sz w:val="17"/>
              </w:rPr>
              <w:t>Every trainer observed once a year, and always within the first two deliveries of a new programme</w:t>
            </w:r>
          </w:p>
        </w:tc>
      </w:tr>
      <w:tr>
        <w:tc>
          <w:tcPr>
            <w:tcW w:type="dxa" w:w="1751"/>
            <w:shd w:val="clear" w:color="auto" w:fill="EAF1F4"/>
          </w:tcPr>
          <w:p>
            <w:pPr>
              <w:spacing w:after="50" w:before="50" w:line="252" w:lineRule="auto"/>
            </w:pPr>
            <w:r>
              <w:rPr>
                <w:sz w:val="17"/>
              </w:rPr>
              <w:t>Observer</w:t>
            </w:r>
          </w:p>
        </w:tc>
        <w:tc>
          <w:tcPr>
            <w:tcW w:type="dxa" w:w="7717"/>
            <w:shd w:val="clear" w:color="auto" w:fill="EAF1F4"/>
          </w:tcPr>
          <w:p>
            <w:pPr>
              <w:spacing w:after="50" w:before="50" w:line="252" w:lineRule="auto"/>
            </w:pPr>
            <w:r>
              <w:rPr>
                <w:sz w:val="17"/>
              </w:rPr>
              <w:t>Head of Curriculum or a nominated senior trainer</w:t>
            </w:r>
          </w:p>
        </w:tc>
      </w:tr>
      <w:tr>
        <w:tc>
          <w:tcPr>
            <w:tcW w:type="dxa" w:w="1751"/>
          </w:tcPr>
          <w:p>
            <w:pPr>
              <w:spacing w:after="50" w:before="50" w:line="252" w:lineRule="auto"/>
            </w:pPr>
            <w:r>
              <w:rPr>
                <w:sz w:val="17"/>
              </w:rPr>
              <w:t>Notice</w:t>
            </w:r>
          </w:p>
        </w:tc>
        <w:tc>
          <w:tcPr>
            <w:tcW w:type="dxa" w:w="7717"/>
          </w:tcPr>
          <w:p>
            <w:pPr>
              <w:spacing w:after="50" w:before="50" w:line="252" w:lineRule="auto"/>
            </w:pPr>
            <w:r>
              <w:rPr>
                <w:sz w:val="17"/>
              </w:rPr>
              <w:t>Announced; unannounced observation is not used</w:t>
            </w:r>
          </w:p>
        </w:tc>
      </w:tr>
      <w:tr>
        <w:tc>
          <w:tcPr>
            <w:tcW w:type="dxa" w:w="1751"/>
            <w:shd w:val="clear" w:color="auto" w:fill="EAF1F4"/>
          </w:tcPr>
          <w:p>
            <w:pPr>
              <w:spacing w:after="50" w:before="50" w:line="252" w:lineRule="auto"/>
            </w:pPr>
            <w:r>
              <w:rPr>
                <w:sz w:val="17"/>
              </w:rPr>
              <w:t>Instrument</w:t>
            </w:r>
          </w:p>
        </w:tc>
        <w:tc>
          <w:tcPr>
            <w:tcW w:type="dxa" w:w="7717"/>
            <w:shd w:val="clear" w:color="auto" w:fill="EAF1F4"/>
          </w:tcPr>
          <w:p>
            <w:pPr>
              <w:spacing w:after="50" w:before="50" w:line="252" w:lineRule="auto"/>
            </w:pPr>
            <w:r>
              <w:rPr>
                <w:sz w:val="17"/>
              </w:rPr>
              <w:t xml:space="preserve">Preparation; adherence to the session plan; the one-third rule; drill quality; simulation management; </w:t>
            </w:r>
            <w:r>
              <w:rPr>
                <w:b/>
                <w:sz w:val="17"/>
              </w:rPr>
              <w:t>debrief quality</w:t>
            </w:r>
            <w:r>
              <w:rPr>
                <w:sz w:val="17"/>
              </w:rPr>
              <w:t>; individual feedback given; records</w:t>
            </w:r>
          </w:p>
        </w:tc>
      </w:tr>
      <w:tr>
        <w:tc>
          <w:tcPr>
            <w:tcW w:type="dxa" w:w="1751"/>
          </w:tcPr>
          <w:p>
            <w:pPr>
              <w:spacing w:after="50" w:before="50" w:line="252" w:lineRule="auto"/>
            </w:pPr>
            <w:r>
              <w:rPr>
                <w:sz w:val="17"/>
              </w:rPr>
              <w:t>Outcome</w:t>
            </w:r>
          </w:p>
        </w:tc>
        <w:tc>
          <w:tcPr>
            <w:tcW w:type="dxa" w:w="7717"/>
          </w:tcPr>
          <w:p>
            <w:pPr>
              <w:spacing w:after="50" w:before="50" w:line="252" w:lineRule="auto"/>
            </w:pPr>
            <w:r>
              <w:rPr>
                <w:sz w:val="17"/>
              </w:rPr>
              <w:t>Written, shared with the trainer within seven days, discussed</w:t>
            </w:r>
          </w:p>
        </w:tc>
      </w:tr>
      <w:tr>
        <w:tc>
          <w:tcPr>
            <w:tcW w:type="dxa" w:w="1751"/>
            <w:shd w:val="clear" w:color="auto" w:fill="EAF1F4"/>
          </w:tcPr>
          <w:p>
            <w:pPr>
              <w:spacing w:after="50" w:before="50" w:line="252" w:lineRule="auto"/>
            </w:pPr>
            <w:r>
              <w:rPr>
                <w:sz w:val="17"/>
              </w:rPr>
              <w:t>Below standard</w:t>
            </w:r>
          </w:p>
        </w:tc>
        <w:tc>
          <w:tcPr>
            <w:tcW w:type="dxa" w:w="7717"/>
            <w:shd w:val="clear" w:color="auto" w:fill="EAF1F4"/>
          </w:tcPr>
          <w:p>
            <w:pPr>
              <w:spacing w:after="50" w:before="50" w:line="252" w:lineRule="auto"/>
            </w:pPr>
            <w:r>
              <w:rPr>
                <w:sz w:val="17"/>
              </w:rPr>
              <w:t>Development plan; re-observation within 90 days; not allocated to assessed cohorts until cleared</w:t>
            </w:r>
          </w:p>
        </w:tc>
      </w:tr>
    </w:tbl>
    <w:p>
      <w:pPr>
        <w:spacing w:after="80" w:before="0"/>
      </w:pPr>
    </w:p>
    <w:p>
      <w:r>
        <w:rPr>
          <w:b/>
        </w:rPr>
        <w:t>Debrief quality is weighted highest in the observation instrument</w:t>
      </w:r>
      <w:r>
        <w:t>, because it is where the teaching actually happens and it is the skill trainers most commonly lack.</w:t>
      </w:r>
    </w:p>
    <w:p>
      <w:pPr>
        <w:spacing w:before="80" w:after="160"/>
        <w:pBdr>
          <w:bottom w:val="single" w:sz="6" w:space="1" w:color="C9D6DE"/>
        </w:pBdr>
      </w:pPr>
    </w:p>
    <w:p>
      <w:pPr>
        <w:pStyle w:val="Heading1"/>
        <w:pBdr>
          <w:bottom w:val="single" w:sz="8" w:space="4" w:color="C9D6DE"/>
        </w:pBdr>
      </w:pPr>
      <w:r>
        <w:t>4. Assessment quality</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3335"/>
            <w:shd w:val="clear" w:color="auto" w:fill="10375C"/>
          </w:tcPr>
          <w:p>
            <w:pPr>
              <w:spacing w:after="50" w:before="50"/>
            </w:pPr>
            <w:r>
              <w:rPr>
                <w:b/>
                <w:color w:val="FFFFFF"/>
                <w:sz w:val="17"/>
              </w:rPr>
              <w:t>Control</w:t>
            </w:r>
          </w:p>
        </w:tc>
        <w:tc>
          <w:tcPr>
            <w:tcW w:type="dxa" w:w="6133"/>
            <w:shd w:val="clear" w:color="auto" w:fill="10375C"/>
          </w:tcPr>
          <w:p>
            <w:pPr>
              <w:spacing w:after="50" w:before="50"/>
            </w:pPr>
            <w:r>
              <w:rPr>
                <w:b/>
                <w:color w:val="FFFFFF"/>
                <w:sz w:val="17"/>
              </w:rPr>
              <w:t>Standard</w:t>
            </w:r>
          </w:p>
        </w:tc>
      </w:tr>
      <w:tr>
        <w:tc>
          <w:tcPr>
            <w:tcW w:type="dxa" w:w="3335"/>
          </w:tcPr>
          <w:p>
            <w:pPr>
              <w:spacing w:after="50" w:before="50" w:line="252" w:lineRule="auto"/>
            </w:pPr>
            <w:r>
              <w:rPr>
                <w:sz w:val="17"/>
              </w:rPr>
              <w:t>Calibration before every assessed cohort</w:t>
            </w:r>
          </w:p>
        </w:tc>
        <w:tc>
          <w:tcPr>
            <w:tcW w:type="dxa" w:w="6133"/>
          </w:tcPr>
          <w:p>
            <w:pPr>
              <w:spacing w:after="50" w:before="50" w:line="252" w:lineRule="auto"/>
            </w:pPr>
            <w:r>
              <w:rPr>
                <w:sz w:val="17"/>
              </w:rPr>
              <w:t>Mandatory</w:t>
            </w:r>
          </w:p>
        </w:tc>
      </w:tr>
      <w:tr>
        <w:tc>
          <w:tcPr>
            <w:tcW w:type="dxa" w:w="3335"/>
            <w:shd w:val="clear" w:color="auto" w:fill="EAF1F4"/>
          </w:tcPr>
          <w:p>
            <w:pPr>
              <w:spacing w:after="50" w:before="50" w:line="252" w:lineRule="auto"/>
            </w:pPr>
            <w:r>
              <w:rPr>
                <w:sz w:val="17"/>
              </w:rPr>
              <w:t>Divergence tolerance</w:t>
            </w:r>
          </w:p>
        </w:tc>
        <w:tc>
          <w:tcPr>
            <w:tcW w:type="dxa" w:w="6133"/>
            <w:shd w:val="clear" w:color="auto" w:fill="EAF1F4"/>
          </w:tcPr>
          <w:p>
            <w:pPr>
              <w:spacing w:after="50" w:before="50" w:line="252" w:lineRule="auto"/>
            </w:pPr>
            <w:r>
              <w:rPr>
                <w:sz w:val="17"/>
              </w:rPr>
              <w:t>≤ 8 marks from benchmark</w:t>
            </w:r>
          </w:p>
        </w:tc>
      </w:tr>
      <w:tr>
        <w:tc>
          <w:tcPr>
            <w:tcW w:type="dxa" w:w="3335"/>
          </w:tcPr>
          <w:p>
            <w:pPr>
              <w:spacing w:after="50" w:before="50" w:line="252" w:lineRule="auto"/>
            </w:pPr>
            <w:r>
              <w:rPr>
                <w:sz w:val="17"/>
              </w:rPr>
              <w:t>Double marking</w:t>
            </w:r>
          </w:p>
        </w:tc>
        <w:tc>
          <w:tcPr>
            <w:tcW w:type="dxa" w:w="6133"/>
          </w:tcPr>
          <w:p>
            <w:pPr>
              <w:spacing w:after="50" w:before="50" w:line="252" w:lineRule="auto"/>
            </w:pPr>
            <w:r>
              <w:rPr>
                <w:sz w:val="17"/>
              </w:rPr>
              <w:t>All borderline; all fails; 10% random</w:t>
            </w:r>
          </w:p>
        </w:tc>
      </w:tr>
      <w:tr>
        <w:tc>
          <w:tcPr>
            <w:tcW w:type="dxa" w:w="3335"/>
            <w:shd w:val="clear" w:color="auto" w:fill="EAF1F4"/>
          </w:tcPr>
          <w:p>
            <w:pPr>
              <w:spacing w:after="50" w:before="50" w:line="252" w:lineRule="auto"/>
            </w:pPr>
            <w:r>
              <w:rPr>
                <w:sz w:val="17"/>
              </w:rPr>
              <w:t>Moderation meeting</w:t>
            </w:r>
          </w:p>
        </w:tc>
        <w:tc>
          <w:tcPr>
            <w:tcW w:type="dxa" w:w="6133"/>
            <w:shd w:val="clear" w:color="auto" w:fill="EAF1F4"/>
          </w:tcPr>
          <w:p>
            <w:pPr>
              <w:spacing w:after="50" w:before="50" w:line="252" w:lineRule="auto"/>
            </w:pPr>
            <w:r>
              <w:rPr>
                <w:sz w:val="17"/>
              </w:rPr>
              <w:t>Before release, chaired by the Head of Curriculum</w:t>
            </w:r>
          </w:p>
        </w:tc>
      </w:tr>
      <w:tr>
        <w:tc>
          <w:tcPr>
            <w:tcW w:type="dxa" w:w="3335"/>
          </w:tcPr>
          <w:p>
            <w:pPr>
              <w:spacing w:after="50" w:before="50" w:line="252" w:lineRule="auto"/>
            </w:pPr>
            <w:r>
              <w:rPr>
                <w:sz w:val="17"/>
              </w:rPr>
              <w:t>Distribution review</w:t>
            </w:r>
          </w:p>
        </w:tc>
        <w:tc>
          <w:tcPr>
            <w:tcW w:type="dxa" w:w="6133"/>
          </w:tcPr>
          <w:p>
            <w:pPr>
              <w:spacing w:after="50" w:before="50" w:line="252" w:lineRule="auto"/>
            </w:pPr>
            <w:r>
              <w:rPr>
                <w:sz w:val="17"/>
              </w:rPr>
              <w:t xml:space="preserve">Anomalous distribution triggers review of the assessment event, </w:t>
            </w:r>
            <w:r>
              <w:rPr>
                <w:b/>
                <w:sz w:val="17"/>
              </w:rPr>
              <w:t>not adjustment of individual marks</w:t>
            </w:r>
          </w:p>
        </w:tc>
      </w:tr>
      <w:tr>
        <w:tc>
          <w:tcPr>
            <w:tcW w:type="dxa" w:w="3335"/>
            <w:shd w:val="clear" w:color="auto" w:fill="EAF1F4"/>
          </w:tcPr>
          <w:p>
            <w:pPr>
              <w:spacing w:after="50" w:before="50" w:line="252" w:lineRule="auto"/>
            </w:pPr>
            <w:r>
              <w:rPr>
                <w:sz w:val="17"/>
              </w:rPr>
              <w:t>Appeal rate</w:t>
            </w:r>
          </w:p>
        </w:tc>
        <w:tc>
          <w:tcPr>
            <w:tcW w:type="dxa" w:w="6133"/>
            <w:shd w:val="clear" w:color="auto" w:fill="EAF1F4"/>
          </w:tcPr>
          <w:p>
            <w:pPr>
              <w:spacing w:after="50" w:before="50" w:line="252" w:lineRule="auto"/>
            </w:pPr>
            <w:r>
              <w:rPr>
                <w:sz w:val="17"/>
              </w:rPr>
              <w:t>Above 3% triggers review of the rubric and the briefing</w:t>
            </w:r>
          </w:p>
        </w:tc>
      </w:tr>
      <w:tr>
        <w:tc>
          <w:tcPr>
            <w:tcW w:type="dxa" w:w="3335"/>
          </w:tcPr>
          <w:p>
            <w:pPr>
              <w:spacing w:after="50" w:before="50" w:line="252" w:lineRule="auto"/>
            </w:pPr>
            <w:r>
              <w:rPr>
                <w:sz w:val="17"/>
              </w:rPr>
              <w:t>Assessor performance</w:t>
            </w:r>
          </w:p>
        </w:tc>
        <w:tc>
          <w:tcPr>
            <w:tcW w:type="dxa" w:w="6133"/>
          </w:tcPr>
          <w:p>
            <w:pPr>
              <w:spacing w:after="50" w:before="50" w:line="252" w:lineRule="auto"/>
            </w:pPr>
            <w:r>
              <w:rPr>
                <w:sz w:val="17"/>
              </w:rPr>
              <w:t>Divergence, completeness of observations, timeliness</w:t>
            </w:r>
          </w:p>
        </w:tc>
      </w:tr>
    </w:tbl>
    <w:p>
      <w:pPr>
        <w:spacing w:after="80" w:before="0"/>
      </w:pPr>
    </w:p>
    <w:p>
      <w:pPr>
        <w:spacing w:before="80" w:after="160"/>
        <w:pBdr>
          <w:bottom w:val="single" w:sz="6" w:space="1" w:color="C9D6DE"/>
        </w:pBdr>
      </w:pPr>
    </w:p>
    <w:p>
      <w:pPr>
        <w:pStyle w:val="Heading1"/>
        <w:pBdr>
          <w:bottom w:val="single" w:sz="8" w:space="4" w:color="C9D6DE"/>
        </w:pBdr>
      </w:pPr>
      <w:r>
        <w:t>5. Partner satisfaction survey — annual</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3156"/>
        <w:gridCol w:w="3156"/>
        <w:gridCol w:w="3156"/>
      </w:tblGrid>
      <w:tr>
        <w:trPr>
          <w:tblHeader w:val="true"/>
        </w:trPr>
        <w:tc>
          <w:tcPr>
            <w:tcW w:type="dxa" w:w="898"/>
            <w:shd w:val="clear" w:color="auto" w:fill="10375C"/>
          </w:tcPr>
          <w:p>
            <w:pPr>
              <w:spacing w:after="50" w:before="50"/>
            </w:pPr>
            <w:r>
              <w:rPr>
                <w:b/>
                <w:color w:val="FFFFFF"/>
                <w:sz w:val="17"/>
              </w:rPr>
              <w:t>#</w:t>
            </w:r>
          </w:p>
        </w:tc>
        <w:tc>
          <w:tcPr>
            <w:tcW w:type="dxa" w:w="6651"/>
            <w:shd w:val="clear" w:color="auto" w:fill="10375C"/>
          </w:tcPr>
          <w:p>
            <w:pPr>
              <w:spacing w:after="50" w:before="50"/>
            </w:pPr>
            <w:r>
              <w:rPr>
                <w:b/>
                <w:color w:val="FFFFFF"/>
                <w:sz w:val="17"/>
              </w:rPr>
              <w:t>Item</w:t>
            </w:r>
          </w:p>
        </w:tc>
        <w:tc>
          <w:tcPr>
            <w:tcW w:type="dxa" w:w="1919"/>
            <w:shd w:val="clear" w:color="auto" w:fill="10375C"/>
          </w:tcPr>
          <w:p>
            <w:pPr>
              <w:spacing w:after="50" w:before="50"/>
            </w:pPr>
            <w:r>
              <w:rPr>
                <w:b/>
                <w:color w:val="FFFFFF"/>
                <w:sz w:val="17"/>
              </w:rPr>
              <w:t>Scale</w:t>
            </w:r>
          </w:p>
        </w:tc>
      </w:tr>
      <w:tr>
        <w:tc>
          <w:tcPr>
            <w:tcW w:type="dxa" w:w="898"/>
          </w:tcPr>
          <w:p>
            <w:pPr>
              <w:spacing w:after="50" w:before="50" w:line="252" w:lineRule="auto"/>
            </w:pPr>
            <w:r>
              <w:rPr>
                <w:sz w:val="17"/>
              </w:rPr>
              <w:t>1</w:t>
            </w:r>
          </w:p>
        </w:tc>
        <w:tc>
          <w:tcPr>
            <w:tcW w:type="dxa" w:w="6651"/>
          </w:tcPr>
          <w:p>
            <w:pPr>
              <w:spacing w:after="50" w:before="50" w:line="252" w:lineRule="auto"/>
            </w:pPr>
            <w:r>
              <w:rPr>
                <w:sz w:val="17"/>
              </w:rPr>
              <w:t>Activities were delivered as agreed</w:t>
            </w:r>
          </w:p>
        </w:tc>
        <w:tc>
          <w:tcPr>
            <w:tcW w:type="dxa" w:w="1919"/>
          </w:tcPr>
          <w:p>
            <w:pPr>
              <w:spacing w:after="50" w:before="50" w:line="252" w:lineRule="auto"/>
            </w:pPr>
            <w:r>
              <w:rPr>
                <w:sz w:val="17"/>
              </w:rPr>
              <w:t>1–5</w:t>
            </w:r>
          </w:p>
        </w:tc>
      </w:tr>
      <w:tr>
        <w:tc>
          <w:tcPr>
            <w:tcW w:type="dxa" w:w="898"/>
            <w:shd w:val="clear" w:color="auto" w:fill="EAF1F4"/>
          </w:tcPr>
          <w:p>
            <w:pPr>
              <w:spacing w:after="50" w:before="50" w:line="252" w:lineRule="auto"/>
            </w:pPr>
            <w:r>
              <w:rPr>
                <w:sz w:val="17"/>
              </w:rPr>
              <w:t>2</w:t>
            </w:r>
          </w:p>
        </w:tc>
        <w:tc>
          <w:tcPr>
            <w:tcW w:type="dxa" w:w="6651"/>
            <w:shd w:val="clear" w:color="auto" w:fill="EAF1F4"/>
          </w:tcPr>
          <w:p>
            <w:pPr>
              <w:spacing w:after="50" w:before="50" w:line="252" w:lineRule="auto"/>
            </w:pPr>
            <w:r>
              <w:rPr>
                <w:sz w:val="17"/>
              </w:rPr>
              <w:t>Quality of delivery met expectations</w:t>
            </w:r>
          </w:p>
        </w:tc>
        <w:tc>
          <w:tcPr>
            <w:tcW w:type="dxa" w:w="1919"/>
            <w:shd w:val="clear" w:color="auto" w:fill="EAF1F4"/>
          </w:tcPr>
          <w:p>
            <w:pPr>
              <w:spacing w:after="50" w:before="50" w:line="252" w:lineRule="auto"/>
            </w:pPr>
            <w:r>
              <w:rPr>
                <w:sz w:val="17"/>
              </w:rPr>
              <w:t>1–5</w:t>
            </w:r>
          </w:p>
        </w:tc>
      </w:tr>
      <w:tr>
        <w:tc>
          <w:tcPr>
            <w:tcW w:type="dxa" w:w="898"/>
          </w:tcPr>
          <w:p>
            <w:pPr>
              <w:spacing w:after="50" w:before="50" w:line="252" w:lineRule="auto"/>
            </w:pPr>
            <w:r>
              <w:rPr>
                <w:sz w:val="17"/>
              </w:rPr>
              <w:t>3</w:t>
            </w:r>
          </w:p>
        </w:tc>
        <w:tc>
          <w:tcPr>
            <w:tcW w:type="dxa" w:w="6651"/>
          </w:tcPr>
          <w:p>
            <w:pPr>
              <w:spacing w:after="50" w:before="50" w:line="252" w:lineRule="auto"/>
            </w:pPr>
            <w:r>
              <w:rPr>
                <w:sz w:val="17"/>
              </w:rPr>
              <w:t>Reports and documentation were useful and timely</w:t>
            </w:r>
          </w:p>
        </w:tc>
        <w:tc>
          <w:tcPr>
            <w:tcW w:type="dxa" w:w="1919"/>
          </w:tcPr>
          <w:p>
            <w:pPr>
              <w:spacing w:after="50" w:before="50" w:line="252" w:lineRule="auto"/>
            </w:pPr>
            <w:r>
              <w:rPr>
                <w:sz w:val="17"/>
              </w:rPr>
              <w:t>1–5</w:t>
            </w:r>
          </w:p>
        </w:tc>
      </w:tr>
      <w:tr>
        <w:tc>
          <w:tcPr>
            <w:tcW w:type="dxa" w:w="898"/>
            <w:shd w:val="clear" w:color="auto" w:fill="EAF1F4"/>
          </w:tcPr>
          <w:p>
            <w:pPr>
              <w:spacing w:after="50" w:before="50" w:line="252" w:lineRule="auto"/>
            </w:pPr>
            <w:r>
              <w:rPr>
                <w:sz w:val="17"/>
              </w:rPr>
              <w:t>4</w:t>
            </w:r>
          </w:p>
        </w:tc>
        <w:tc>
          <w:tcPr>
            <w:tcW w:type="dxa" w:w="6651"/>
            <w:shd w:val="clear" w:color="auto" w:fill="EAF1F4"/>
          </w:tcPr>
          <w:p>
            <w:pPr>
              <w:spacing w:after="50" w:before="50" w:line="252" w:lineRule="auto"/>
            </w:pPr>
            <w:r>
              <w:rPr>
                <w:sz w:val="17"/>
              </w:rPr>
              <w:t>Communication was responsive</w:t>
            </w:r>
          </w:p>
        </w:tc>
        <w:tc>
          <w:tcPr>
            <w:tcW w:type="dxa" w:w="1919"/>
            <w:shd w:val="clear" w:color="auto" w:fill="EAF1F4"/>
          </w:tcPr>
          <w:p>
            <w:pPr>
              <w:spacing w:after="50" w:before="50" w:line="252" w:lineRule="auto"/>
            </w:pPr>
            <w:r>
              <w:rPr>
                <w:sz w:val="17"/>
              </w:rPr>
              <w:t>1–5</w:t>
            </w:r>
          </w:p>
        </w:tc>
      </w:tr>
      <w:tr>
        <w:tc>
          <w:tcPr>
            <w:tcW w:type="dxa" w:w="898"/>
          </w:tcPr>
          <w:p>
            <w:pPr>
              <w:spacing w:after="50" w:before="50" w:line="252" w:lineRule="auto"/>
            </w:pPr>
            <w:r>
              <w:rPr>
                <w:sz w:val="17"/>
              </w:rPr>
              <w:t>5</w:t>
            </w:r>
          </w:p>
        </w:tc>
        <w:tc>
          <w:tcPr>
            <w:tcW w:type="dxa" w:w="6651"/>
          </w:tcPr>
          <w:p>
            <w:pPr>
              <w:spacing w:after="50" w:before="50" w:line="252" w:lineRule="auto"/>
            </w:pPr>
            <w:r>
              <w:rPr>
                <w:sz w:val="17"/>
              </w:rPr>
              <w:t>Commercial dealings were clear and fair</w:t>
            </w:r>
          </w:p>
        </w:tc>
        <w:tc>
          <w:tcPr>
            <w:tcW w:type="dxa" w:w="1919"/>
          </w:tcPr>
          <w:p>
            <w:pPr>
              <w:spacing w:after="50" w:before="50" w:line="252" w:lineRule="auto"/>
            </w:pPr>
            <w:r>
              <w:rPr>
                <w:sz w:val="17"/>
              </w:rPr>
              <w:t>1–5</w:t>
            </w:r>
          </w:p>
        </w:tc>
      </w:tr>
      <w:tr>
        <w:tc>
          <w:tcPr>
            <w:tcW w:type="dxa" w:w="898"/>
            <w:shd w:val="clear" w:color="auto" w:fill="EAF1F4"/>
          </w:tcPr>
          <w:p>
            <w:pPr>
              <w:spacing w:after="50" w:before="50" w:line="252" w:lineRule="auto"/>
            </w:pPr>
            <w:r>
              <w:rPr>
                <w:sz w:val="17"/>
              </w:rPr>
              <w:t>6</w:t>
            </w:r>
          </w:p>
        </w:tc>
        <w:tc>
          <w:tcPr>
            <w:tcW w:type="dxa" w:w="6651"/>
            <w:shd w:val="clear" w:color="auto" w:fill="EAF1F4"/>
          </w:tcPr>
          <w:p>
            <w:pPr>
              <w:spacing w:after="50" w:before="50" w:line="252" w:lineRule="auto"/>
            </w:pPr>
            <w:r>
              <w:rPr>
                <w:sz w:val="17"/>
              </w:rPr>
              <w:t>Students benefited</w:t>
            </w:r>
          </w:p>
        </w:tc>
        <w:tc>
          <w:tcPr>
            <w:tcW w:type="dxa" w:w="1919"/>
            <w:shd w:val="clear" w:color="auto" w:fill="EAF1F4"/>
          </w:tcPr>
          <w:p>
            <w:pPr>
              <w:spacing w:after="50" w:before="50" w:line="252" w:lineRule="auto"/>
            </w:pPr>
            <w:r>
              <w:rPr>
                <w:sz w:val="17"/>
              </w:rPr>
              <w:t>1–5</w:t>
            </w:r>
          </w:p>
        </w:tc>
      </w:tr>
      <w:tr>
        <w:tc>
          <w:tcPr>
            <w:tcW w:type="dxa" w:w="898"/>
          </w:tcPr>
          <w:p>
            <w:pPr>
              <w:spacing w:after="50" w:before="50" w:line="252" w:lineRule="auto"/>
            </w:pPr>
            <w:r>
              <w:rPr>
                <w:sz w:val="17"/>
              </w:rPr>
              <w:t>7</w:t>
            </w:r>
          </w:p>
        </w:tc>
        <w:tc>
          <w:tcPr>
            <w:tcW w:type="dxa" w:w="6651"/>
          </w:tcPr>
          <w:p>
            <w:pPr>
              <w:spacing w:after="50" w:before="50" w:line="252" w:lineRule="auto"/>
            </w:pPr>
            <w:r>
              <w:rPr>
                <w:sz w:val="17"/>
              </w:rPr>
              <w:t>Faculty benefited</w:t>
            </w:r>
          </w:p>
        </w:tc>
        <w:tc>
          <w:tcPr>
            <w:tcW w:type="dxa" w:w="1919"/>
          </w:tcPr>
          <w:p>
            <w:pPr>
              <w:spacing w:after="50" w:before="50" w:line="252" w:lineRule="auto"/>
            </w:pPr>
            <w:r>
              <w:rPr>
                <w:sz w:val="17"/>
              </w:rPr>
              <w:t>1–5</w:t>
            </w:r>
          </w:p>
        </w:tc>
      </w:tr>
      <w:tr>
        <w:tc>
          <w:tcPr>
            <w:tcW w:type="dxa" w:w="898"/>
            <w:shd w:val="clear" w:color="auto" w:fill="EAF1F4"/>
          </w:tcPr>
          <w:p>
            <w:pPr>
              <w:spacing w:after="50" w:before="50" w:line="252" w:lineRule="auto"/>
            </w:pPr>
            <w:r>
              <w:rPr>
                <w:sz w:val="17"/>
              </w:rPr>
              <w:t>8</w:t>
            </w:r>
          </w:p>
        </w:tc>
        <w:tc>
          <w:tcPr>
            <w:tcW w:type="dxa" w:w="6651"/>
            <w:shd w:val="clear" w:color="auto" w:fill="EAF1F4"/>
          </w:tcPr>
          <w:p>
            <w:pPr>
              <w:spacing w:after="50" w:before="50" w:line="252" w:lineRule="auto"/>
            </w:pPr>
            <w:r>
              <w:rPr>
                <w:sz w:val="17"/>
              </w:rPr>
              <w:t>We would renew</w:t>
            </w:r>
          </w:p>
        </w:tc>
        <w:tc>
          <w:tcPr>
            <w:tcW w:type="dxa" w:w="1919"/>
            <w:shd w:val="clear" w:color="auto" w:fill="EAF1F4"/>
          </w:tcPr>
          <w:p>
            <w:pPr>
              <w:spacing w:after="50" w:before="50" w:line="252" w:lineRule="auto"/>
            </w:pPr>
            <w:r>
              <w:rPr>
                <w:sz w:val="17"/>
              </w:rPr>
              <w:t>Yes / No / Uncertain</w:t>
            </w:r>
          </w:p>
        </w:tc>
      </w:tr>
      <w:tr>
        <w:tc>
          <w:tcPr>
            <w:tcW w:type="dxa" w:w="898"/>
          </w:tcPr>
          <w:p>
            <w:pPr>
              <w:spacing w:after="50" w:before="50" w:line="252" w:lineRule="auto"/>
            </w:pPr>
            <w:r>
              <w:rPr>
                <w:sz w:val="17"/>
              </w:rPr>
              <w:t>9</w:t>
            </w:r>
          </w:p>
        </w:tc>
        <w:tc>
          <w:tcPr>
            <w:tcW w:type="dxa" w:w="6651"/>
          </w:tcPr>
          <w:p>
            <w:pPr>
              <w:spacing w:after="50" w:before="50" w:line="252" w:lineRule="auto"/>
            </w:pPr>
            <w:r>
              <w:rPr>
                <w:sz w:val="17"/>
              </w:rPr>
              <w:t>What should Equator do differently?</w:t>
            </w:r>
          </w:p>
        </w:tc>
        <w:tc>
          <w:tcPr>
            <w:tcW w:type="dxa" w:w="1919"/>
          </w:tcPr>
          <w:p>
            <w:pPr>
              <w:spacing w:after="50" w:before="50" w:line="252" w:lineRule="auto"/>
            </w:pPr>
            <w:r>
              <w:rPr>
                <w:sz w:val="17"/>
              </w:rPr>
              <w:t>Free text</w:t>
            </w:r>
          </w:p>
        </w:tc>
      </w:tr>
      <w:tr>
        <w:tc>
          <w:tcPr>
            <w:tcW w:type="dxa" w:w="898"/>
            <w:shd w:val="clear" w:color="auto" w:fill="EAF1F4"/>
          </w:tcPr>
          <w:p>
            <w:pPr>
              <w:spacing w:after="50" w:before="50" w:line="252" w:lineRule="auto"/>
            </w:pPr>
            <w:r>
              <w:rPr>
                <w:sz w:val="17"/>
              </w:rPr>
              <w:t>10</w:t>
            </w:r>
          </w:p>
        </w:tc>
        <w:tc>
          <w:tcPr>
            <w:tcW w:type="dxa" w:w="6651"/>
            <w:shd w:val="clear" w:color="auto" w:fill="EAF1F4"/>
          </w:tcPr>
          <w:p>
            <w:pPr>
              <w:spacing w:after="50" w:before="50" w:line="252" w:lineRule="auto"/>
            </w:pPr>
            <w:r>
              <w:rPr>
                <w:sz w:val="17"/>
              </w:rPr>
              <w:t>What should we do differently?</w:t>
            </w:r>
          </w:p>
        </w:tc>
        <w:tc>
          <w:tcPr>
            <w:tcW w:type="dxa" w:w="1919"/>
            <w:shd w:val="clear" w:color="auto" w:fill="EAF1F4"/>
          </w:tcPr>
          <w:p>
            <w:pPr>
              <w:spacing w:after="50" w:before="50" w:line="252" w:lineRule="auto"/>
            </w:pPr>
            <w:r>
              <w:rPr>
                <w:sz w:val="17"/>
              </w:rPr>
              <w:t>Free text</w:t>
            </w:r>
          </w:p>
        </w:tc>
      </w:tr>
    </w:tbl>
    <w:p>
      <w:pPr>
        <w:spacing w:after="80" w:before="0"/>
      </w:pPr>
    </w:p>
    <w:p>
      <w:r>
        <w:t>Item 8 is the leading indicator of renewal and is reported to the Programme Board separately.</w:t>
      </w:r>
    </w:p>
    <w:p>
      <w:pPr>
        <w:spacing w:before="80" w:after="160"/>
        <w:pBdr>
          <w:bottom w:val="single" w:sz="6" w:space="1" w:color="C9D6DE"/>
        </w:pBdr>
      </w:pPr>
    </w:p>
    <w:p>
      <w:pPr>
        <w:pStyle w:val="Heading1"/>
        <w:pBdr>
          <w:bottom w:val="single" w:sz="8" w:space="4" w:color="C9D6DE"/>
        </w:pBdr>
      </w:pPr>
      <w:r>
        <w:t>6. Continuous improvement</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3156"/>
        <w:gridCol w:w="3156"/>
        <w:gridCol w:w="3156"/>
      </w:tblGrid>
      <w:tr>
        <w:trPr>
          <w:tblHeader w:val="true"/>
        </w:trPr>
        <w:tc>
          <w:tcPr>
            <w:tcW w:type="dxa" w:w="3171"/>
            <w:shd w:val="clear" w:color="auto" w:fill="10375C"/>
          </w:tcPr>
          <w:p>
            <w:pPr>
              <w:spacing w:after="50" w:before="50"/>
            </w:pPr>
            <w:r>
              <w:rPr>
                <w:b/>
                <w:color w:val="FFFFFF"/>
                <w:sz w:val="17"/>
              </w:rPr>
              <w:t>Forum</w:t>
            </w:r>
          </w:p>
        </w:tc>
        <w:tc>
          <w:tcPr>
            <w:tcW w:type="dxa" w:w="1306"/>
            <w:shd w:val="clear" w:color="auto" w:fill="10375C"/>
          </w:tcPr>
          <w:p>
            <w:pPr>
              <w:spacing w:after="50" w:before="50"/>
            </w:pPr>
            <w:r>
              <w:rPr>
                <w:b/>
                <w:color w:val="FFFFFF"/>
                <w:sz w:val="17"/>
              </w:rPr>
              <w:t>Frequency</w:t>
            </w:r>
          </w:p>
        </w:tc>
        <w:tc>
          <w:tcPr>
            <w:tcW w:type="dxa" w:w="4991"/>
            <w:shd w:val="clear" w:color="auto" w:fill="10375C"/>
          </w:tcPr>
          <w:p>
            <w:pPr>
              <w:spacing w:after="50" w:before="50"/>
            </w:pPr>
            <w:r>
              <w:rPr>
                <w:b/>
                <w:color w:val="FFFFFF"/>
                <w:sz w:val="17"/>
              </w:rPr>
              <w:t>Output</w:t>
            </w:r>
          </w:p>
        </w:tc>
      </w:tr>
      <w:tr>
        <w:tc>
          <w:tcPr>
            <w:tcW w:type="dxa" w:w="3171"/>
          </w:tcPr>
          <w:p>
            <w:pPr>
              <w:spacing w:after="50" w:before="50" w:line="252" w:lineRule="auto"/>
            </w:pPr>
            <w:r>
              <w:rPr>
                <w:sz w:val="17"/>
              </w:rPr>
              <w:t>Post-programme review</w:t>
            </w:r>
          </w:p>
        </w:tc>
        <w:tc>
          <w:tcPr>
            <w:tcW w:type="dxa" w:w="1306"/>
          </w:tcPr>
          <w:p>
            <w:pPr>
              <w:spacing w:after="50" w:before="50" w:line="252" w:lineRule="auto"/>
            </w:pPr>
            <w:r>
              <w:rPr>
                <w:sz w:val="17"/>
              </w:rPr>
              <w:t>Every programme</w:t>
            </w:r>
          </w:p>
        </w:tc>
        <w:tc>
          <w:tcPr>
            <w:tcW w:type="dxa" w:w="4991"/>
          </w:tcPr>
          <w:p>
            <w:pPr>
              <w:spacing w:after="50" w:before="50" w:line="252" w:lineRule="auto"/>
            </w:pPr>
            <w:r>
              <w:rPr>
                <w:sz w:val="17"/>
              </w:rPr>
              <w:t>Three changes recorded in the session log</w:t>
            </w:r>
          </w:p>
        </w:tc>
      </w:tr>
      <w:tr>
        <w:tc>
          <w:tcPr>
            <w:tcW w:type="dxa" w:w="3171"/>
            <w:shd w:val="clear" w:color="auto" w:fill="EAF1F4"/>
          </w:tcPr>
          <w:p>
            <w:pPr>
              <w:spacing w:after="50" w:before="50" w:line="252" w:lineRule="auto"/>
            </w:pPr>
            <w:r>
              <w:rPr>
                <w:sz w:val="17"/>
              </w:rPr>
              <w:t>Trainer forum</w:t>
            </w:r>
          </w:p>
        </w:tc>
        <w:tc>
          <w:tcPr>
            <w:tcW w:type="dxa" w:w="1306"/>
            <w:shd w:val="clear" w:color="auto" w:fill="EAF1F4"/>
          </w:tcPr>
          <w:p>
            <w:pPr>
              <w:spacing w:after="50" w:before="50" w:line="252" w:lineRule="auto"/>
            </w:pPr>
            <w:r>
              <w:rPr>
                <w:sz w:val="17"/>
              </w:rPr>
              <w:t>Quarterly</w:t>
            </w:r>
          </w:p>
        </w:tc>
        <w:tc>
          <w:tcPr>
            <w:tcW w:type="dxa" w:w="4991"/>
            <w:shd w:val="clear" w:color="auto" w:fill="EAF1F4"/>
          </w:tcPr>
          <w:p>
            <w:pPr>
              <w:spacing w:after="50" w:before="50" w:line="252" w:lineRule="auto"/>
            </w:pPr>
            <w:r>
              <w:rPr>
                <w:sz w:val="17"/>
              </w:rPr>
              <w:t>Shared practice; curriculum amendment proposals</w:t>
            </w:r>
          </w:p>
        </w:tc>
      </w:tr>
      <w:tr>
        <w:tc>
          <w:tcPr>
            <w:tcW w:type="dxa" w:w="3171"/>
          </w:tcPr>
          <w:p>
            <w:pPr>
              <w:spacing w:after="50" w:before="50" w:line="252" w:lineRule="auto"/>
            </w:pPr>
            <w:r>
              <w:rPr>
                <w:sz w:val="17"/>
              </w:rPr>
              <w:t>Curriculum and Certification Committee</w:t>
            </w:r>
          </w:p>
        </w:tc>
        <w:tc>
          <w:tcPr>
            <w:tcW w:type="dxa" w:w="1306"/>
          </w:tcPr>
          <w:p>
            <w:pPr>
              <w:spacing w:after="50" w:before="50" w:line="252" w:lineRule="auto"/>
            </w:pPr>
            <w:r>
              <w:rPr>
                <w:sz w:val="17"/>
              </w:rPr>
              <w:t>Quarterly</w:t>
            </w:r>
          </w:p>
        </w:tc>
        <w:tc>
          <w:tcPr>
            <w:tcW w:type="dxa" w:w="4991"/>
          </w:tcPr>
          <w:p>
            <w:pPr>
              <w:spacing w:after="50" w:before="50" w:line="252" w:lineRule="auto"/>
            </w:pPr>
            <w:r>
              <w:rPr>
                <w:sz w:val="17"/>
              </w:rPr>
              <w:t>Approved curriculum and assessment changes</w:t>
            </w:r>
          </w:p>
        </w:tc>
      </w:tr>
      <w:tr>
        <w:tc>
          <w:tcPr>
            <w:tcW w:type="dxa" w:w="3171"/>
            <w:shd w:val="clear" w:color="auto" w:fill="EAF1F4"/>
          </w:tcPr>
          <w:p>
            <w:pPr>
              <w:spacing w:after="50" w:before="50" w:line="252" w:lineRule="auto"/>
            </w:pPr>
            <w:r>
              <w:rPr>
                <w:sz w:val="17"/>
              </w:rPr>
              <w:t>Quality report to the Programme Board</w:t>
            </w:r>
          </w:p>
        </w:tc>
        <w:tc>
          <w:tcPr>
            <w:tcW w:type="dxa" w:w="1306"/>
            <w:shd w:val="clear" w:color="auto" w:fill="EAF1F4"/>
          </w:tcPr>
          <w:p>
            <w:pPr>
              <w:spacing w:after="50" w:before="50" w:line="252" w:lineRule="auto"/>
            </w:pPr>
            <w:r>
              <w:rPr>
                <w:sz w:val="17"/>
              </w:rPr>
              <w:t>Quarterly</w:t>
            </w:r>
          </w:p>
        </w:tc>
        <w:tc>
          <w:tcPr>
            <w:tcW w:type="dxa" w:w="4991"/>
            <w:shd w:val="clear" w:color="auto" w:fill="EAF1F4"/>
          </w:tcPr>
          <w:p>
            <w:pPr>
              <w:spacing w:after="50" w:before="50" w:line="252" w:lineRule="auto"/>
            </w:pPr>
            <w:r>
              <w:rPr>
                <w:sz w:val="17"/>
              </w:rPr>
              <w:t>Scores, thresholds breached, actions, trends</w:t>
            </w:r>
          </w:p>
        </w:tc>
      </w:tr>
      <w:tr>
        <w:tc>
          <w:tcPr>
            <w:tcW w:type="dxa" w:w="3171"/>
          </w:tcPr>
          <w:p>
            <w:pPr>
              <w:spacing w:after="50" w:before="50" w:line="252" w:lineRule="auto"/>
            </w:pPr>
            <w:r>
              <w:rPr>
                <w:sz w:val="17"/>
              </w:rPr>
              <w:t>Annual quality review</w:t>
            </w:r>
          </w:p>
        </w:tc>
        <w:tc>
          <w:tcPr>
            <w:tcW w:type="dxa" w:w="1306"/>
          </w:tcPr>
          <w:p>
            <w:pPr>
              <w:spacing w:after="50" w:before="50" w:line="252" w:lineRule="auto"/>
            </w:pPr>
            <w:r>
              <w:rPr>
                <w:sz w:val="17"/>
              </w:rPr>
              <w:t>Annual</w:t>
            </w:r>
          </w:p>
        </w:tc>
        <w:tc>
          <w:tcPr>
            <w:tcW w:type="dxa" w:w="4991"/>
          </w:tcPr>
          <w:p>
            <w:pPr>
              <w:spacing w:after="50" w:before="50" w:line="252" w:lineRule="auto"/>
            </w:pPr>
            <w:r>
              <w:rPr>
                <w:sz w:val="17"/>
              </w:rPr>
              <w:t>Full review of instruments, thresholds and outcomes</w:t>
            </w:r>
          </w:p>
        </w:tc>
      </w:tr>
    </w:tbl>
    <w:p>
      <w:pPr>
        <w:spacing w:after="80" w:before="0"/>
      </w:pPr>
    </w:p>
    <w:p>
      <w:pPr>
        <w:spacing w:before="80" w:after="160"/>
        <w:pBdr>
          <w:bottom w:val="single" w:sz="6" w:space="1" w:color="C9D6DE"/>
        </w:pBdr>
      </w:pPr>
    </w:p>
    <w:p>
      <w:pPr>
        <w:pStyle w:val="Heading1"/>
        <w:pBdr>
          <w:bottom w:val="single" w:sz="8" w:space="4" w:color="C9D6DE"/>
        </w:pBdr>
      </w:pPr>
      <w:r>
        <w:t>7. Complaints</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3156"/>
        <w:gridCol w:w="3156"/>
        <w:gridCol w:w="3156"/>
      </w:tblGrid>
      <w:tr>
        <w:trPr>
          <w:tblHeader w:val="true"/>
        </w:trPr>
        <w:tc>
          <w:tcPr>
            <w:tcW w:type="dxa" w:w="850"/>
            <w:shd w:val="clear" w:color="auto" w:fill="10375C"/>
          </w:tcPr>
          <w:p>
            <w:pPr>
              <w:spacing w:after="50" w:before="50"/>
            </w:pPr>
            <w:r>
              <w:rPr>
                <w:b/>
                <w:color w:val="FFFFFF"/>
                <w:sz w:val="17"/>
              </w:rPr>
              <w:t>Stage</w:t>
            </w:r>
          </w:p>
        </w:tc>
        <w:tc>
          <w:tcPr>
            <w:tcW w:type="dxa" w:w="5512"/>
            <w:shd w:val="clear" w:color="auto" w:fill="10375C"/>
          </w:tcPr>
          <w:p>
            <w:pPr>
              <w:spacing w:after="50" w:before="50"/>
            </w:pPr>
            <w:r>
              <w:rPr>
                <w:b/>
                <w:color w:val="FFFFFF"/>
                <w:sz w:val="17"/>
              </w:rPr>
              <w:t>Route</w:t>
            </w:r>
          </w:p>
        </w:tc>
        <w:tc>
          <w:tcPr>
            <w:tcW w:type="dxa" w:w="3167"/>
            <w:shd w:val="clear" w:color="auto" w:fill="10375C"/>
          </w:tcPr>
          <w:p>
            <w:pPr>
              <w:spacing w:after="50" w:before="50"/>
            </w:pPr>
            <w:r>
              <w:rPr>
                <w:b/>
                <w:color w:val="FFFFFF"/>
                <w:sz w:val="17"/>
              </w:rPr>
              <w:t>Time</w:t>
            </w:r>
          </w:p>
        </w:tc>
      </w:tr>
      <w:tr>
        <w:tc>
          <w:tcPr>
            <w:tcW w:type="dxa" w:w="850"/>
          </w:tcPr>
          <w:p>
            <w:pPr>
              <w:spacing w:after="50" w:before="50" w:line="252" w:lineRule="auto"/>
            </w:pPr>
            <w:r>
              <w:rPr>
                <w:sz w:val="17"/>
              </w:rPr>
              <w:t>1</w:t>
            </w:r>
          </w:p>
        </w:tc>
        <w:tc>
          <w:tcPr>
            <w:tcW w:type="dxa" w:w="5512"/>
          </w:tcPr>
          <w:p>
            <w:pPr>
              <w:spacing w:after="50" w:before="50" w:line="252" w:lineRule="auto"/>
            </w:pPr>
            <w:r>
              <w:rPr>
                <w:sz w:val="17"/>
              </w:rPr>
              <w:t>Raised with the trainer or Operations Manager</w:t>
            </w:r>
          </w:p>
        </w:tc>
        <w:tc>
          <w:tcPr>
            <w:tcW w:type="dxa" w:w="3167"/>
          </w:tcPr>
          <w:p>
            <w:pPr>
              <w:spacing w:after="50" w:before="50" w:line="252" w:lineRule="auto"/>
            </w:pPr>
            <w:r>
              <w:rPr>
                <w:sz w:val="17"/>
              </w:rPr>
              <w:t>Resolved in 3 working days</w:t>
            </w:r>
          </w:p>
        </w:tc>
      </w:tr>
      <w:tr>
        <w:tc>
          <w:tcPr>
            <w:tcW w:type="dxa" w:w="850"/>
            <w:shd w:val="clear" w:color="auto" w:fill="EAF1F4"/>
          </w:tcPr>
          <w:p>
            <w:pPr>
              <w:spacing w:after="50" w:before="50" w:line="252" w:lineRule="auto"/>
            </w:pPr>
            <w:r>
              <w:rPr>
                <w:sz w:val="17"/>
              </w:rPr>
              <w:t>2</w:t>
            </w:r>
          </w:p>
        </w:tc>
        <w:tc>
          <w:tcPr>
            <w:tcW w:type="dxa" w:w="5512"/>
            <w:shd w:val="clear" w:color="auto" w:fill="EAF1F4"/>
          </w:tcPr>
          <w:p>
            <w:pPr>
              <w:spacing w:after="50" w:before="50" w:line="252" w:lineRule="auto"/>
            </w:pPr>
            <w:r>
              <w:rPr>
                <w:sz w:val="17"/>
              </w:rPr>
              <w:t>Head of Curriculum, in writing</w:t>
            </w:r>
          </w:p>
        </w:tc>
        <w:tc>
          <w:tcPr>
            <w:tcW w:type="dxa" w:w="3167"/>
            <w:shd w:val="clear" w:color="auto" w:fill="EAF1F4"/>
          </w:tcPr>
          <w:p>
            <w:pPr>
              <w:spacing w:after="50" w:before="50" w:line="252" w:lineRule="auto"/>
            </w:pPr>
            <w:r>
              <w:rPr>
                <w:sz w:val="17"/>
              </w:rPr>
              <w:t>10 working days</w:t>
            </w:r>
          </w:p>
        </w:tc>
      </w:tr>
      <w:tr>
        <w:tc>
          <w:tcPr>
            <w:tcW w:type="dxa" w:w="850"/>
          </w:tcPr>
          <w:p>
            <w:pPr>
              <w:spacing w:after="50" w:before="50" w:line="252" w:lineRule="auto"/>
            </w:pPr>
            <w:r>
              <w:rPr>
                <w:sz w:val="17"/>
              </w:rPr>
              <w:t>3</w:t>
            </w:r>
          </w:p>
        </w:tc>
        <w:tc>
          <w:tcPr>
            <w:tcW w:type="dxa" w:w="5512"/>
          </w:tcPr>
          <w:p>
            <w:pPr>
              <w:spacing w:after="50" w:before="50" w:line="252" w:lineRule="auto"/>
            </w:pPr>
            <w:r>
              <w:rPr>
                <w:sz w:val="17"/>
              </w:rPr>
              <w:t>Programme Director</w:t>
            </w:r>
          </w:p>
        </w:tc>
        <w:tc>
          <w:tcPr>
            <w:tcW w:type="dxa" w:w="3167"/>
          </w:tcPr>
          <w:p>
            <w:pPr>
              <w:spacing w:after="50" w:before="50" w:line="252" w:lineRule="auto"/>
            </w:pPr>
            <w:r>
              <w:rPr>
                <w:sz w:val="17"/>
              </w:rPr>
              <w:t>15 working days</w:t>
            </w:r>
          </w:p>
        </w:tc>
      </w:tr>
      <w:tr>
        <w:tc>
          <w:tcPr>
            <w:tcW w:type="dxa" w:w="850"/>
            <w:shd w:val="clear" w:color="auto" w:fill="EAF1F4"/>
          </w:tcPr>
          <w:p>
            <w:pPr>
              <w:spacing w:after="50" w:before="50" w:line="252" w:lineRule="auto"/>
            </w:pPr>
            <w:r>
              <w:rPr>
                <w:sz w:val="17"/>
              </w:rPr>
              <w:t>4</w:t>
            </w:r>
          </w:p>
        </w:tc>
        <w:tc>
          <w:tcPr>
            <w:tcW w:type="dxa" w:w="5512"/>
            <w:shd w:val="clear" w:color="auto" w:fill="EAF1F4"/>
          </w:tcPr>
          <w:p>
            <w:pPr>
              <w:spacing w:after="50" w:before="50" w:line="252" w:lineRule="auto"/>
            </w:pPr>
            <w:r>
              <w:rPr>
                <w:sz w:val="17"/>
              </w:rPr>
              <w:t>Managing Director; decision final</w:t>
            </w:r>
          </w:p>
        </w:tc>
        <w:tc>
          <w:tcPr>
            <w:tcW w:type="dxa" w:w="3167"/>
            <w:shd w:val="clear" w:color="auto" w:fill="EAF1F4"/>
          </w:tcPr>
          <w:p>
            <w:pPr>
              <w:spacing w:after="50" w:before="50" w:line="252" w:lineRule="auto"/>
            </w:pPr>
            <w:r>
              <w:rPr>
                <w:sz w:val="17"/>
              </w:rPr>
              <w:t>30 working days</w:t>
            </w:r>
          </w:p>
        </w:tc>
      </w:tr>
    </w:tbl>
    <w:p>
      <w:pPr>
        <w:spacing w:after="80" w:before="0"/>
      </w:pPr>
    </w:p>
    <w:p>
      <w:r>
        <w:t xml:space="preserve">Complaints alleging harassment, discrimination, safeguarding failure or breach of confidentiality </w:t>
      </w:r>
      <w:r>
        <w:rPr>
          <w:b/>
        </w:rPr>
        <w:t>bypass stages 1 to 3</w:t>
      </w:r>
      <w:r>
        <w:t xml:space="preserve"> and go immediately to the Programme Director and, where appropriate, under the POSH or safeguarding protocol.</w:t>
      </w:r>
    </w:p>
    <w:p>
      <w:r>
        <w:t>Every complaint is logged, whatever the stage at which it is resolved, and the log is reviewed quarterly for patterns.</w:t>
      </w:r>
    </w:p>
    <w:sectPr w:rsidR="00FC693F" w:rsidRPr="0006063C" w:rsidSect="00034616">
      <w:headerReference w:type="default" r:id="rId9"/>
      <w:footerReference w:type="default" r:id="rId10"/>
      <w:pgSz w:w="11906" w:h="16838"/>
      <w:pgMar w:top="1134" w:right="1134" w:bottom="1020" w:left="130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734" w:val="center"/>
        <w:tab w:pos="9468" w:val="right"/>
      </w:tabs>
      <w:pBdr>
        <w:top w:val="single" w:sz="6" w:space="3" w:color="C9D6DE"/>
      </w:pBdr>
    </w:pPr>
    <w:r/>
    <w:r>
      <w:rPr>
        <w:color w:val="595959"/>
        <w:sz w:val="15"/>
      </w:rPr>
      <w:t>EQ-UAP-079  ·  v1.0</w:t>
    </w:r>
    <w:r>
      <w:tab/>
    </w:r>
    <w:r>
      <w:rPr>
        <w:b/>
        <w:color w:val="595959"/>
        <w:sz w:val="15"/>
      </w:rPr>
      <w:t>EQUATOR RESOLUTION</w:t>
    </w:r>
    <w:r>
      <w:tab/>
    </w:r>
    <w:r>
      <w:rPr>
        <w:color w:val="595959"/>
        <w:sz w:val="15"/>
      </w:rPr>
      <w:t xml:space="preserve">Page </w:t>
    </w:r>
    <w:r>
      <w:fldChar w:fldCharType="begin"/>
    </w:r>
    <w:r>
      <w:instrText xml:space="preserve"> PAGE </w:instrText>
    </w:r>
    <w:r>
      <w:fldChar w:fldCharType="separate"/>
    </w:r>
    <w:r>
      <w:rPr>
        <w:color w:val="595959"/>
        <w:sz w:val="15"/>
      </w:rPr>
      <w:t>…</w:t>
    </w:r>
    <w:r>
      <w:fldChar w:fldCharType="end"/>
    </w:r>
    <w:r>
      <w:rPr>
        <w:color w:val="595959"/>
        <w:sz w:val="15"/>
      </w:rPr>
      <w:t xml:space="preserve"> of </w:t>
    </w:r>
    <w:r>
      <w:fldChar w:fldCharType="begin"/>
    </w:r>
    <w:r>
      <w:instrText xml:space="preserve"> NUMPAGES </w:instrText>
    </w:r>
    <w:r>
      <w:fldChar w:fldCharType="separate"/>
    </w:r>
    <w:r>
      <w:rPr>
        <w:color w:val="595959"/>
        <w:sz w:val="15"/>
      </w:rPr>
      <w:t>…</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468" w:val="right"/>
      </w:tabs>
      <w:pBdr>
        <w:bottom w:val="single" w:sz="6" w:space="3" w:color="C9D6DE"/>
      </w:pBdr>
    </w:pPr>
    <w:r/>
    <w:r>
      <w:rPr>
        <w:rFonts w:ascii="Calibri" w:hAnsi="Calibri"/>
        <w:b/>
        <w:color w:val="10375C"/>
        <w:sz w:val="16"/>
      </w:rPr>
      <w:t>Quality Assurance, Feedback &amp; Calibration SOP</w:t>
    </w:r>
    <w:r>
      <w:rPr>
        <w:rFonts w:ascii="Calibri" w:hAnsi="Calibri"/>
        <w:color w:val="595959"/>
        <w:sz w:val="16"/>
      </w:rPr>
      <w:tab/>
      <w:t>Confidential — Internal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before="0" w:lineRule="auto" w:line="271"/>
    </w:pPr>
    <w:rPr>
      <w:rFonts w:ascii="Calibri" w:hAnsi="Calibri" w:eastAsia="Calibri"/>
      <w:color w:val="26262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160" w:lineRule="auto" w:line="240"/>
      <w:outlineLvl w:val="0"/>
    </w:pPr>
    <w:rPr>
      <w:rFonts w:asciiTheme="majorHAnsi" w:eastAsiaTheme="majorEastAsia" w:hAnsiTheme="majorHAnsi" w:cstheme="majorBidi" w:ascii="Calibri" w:hAnsi="Calibri" w:eastAsia="Calibri"/>
      <w:b/>
      <w:bCs/>
      <w:i w:val="0"/>
      <w:caps w:val="0"/>
      <w:color w:val="10375C"/>
      <w:sz w:val="31"/>
      <w:szCs w:val="28"/>
    </w:rPr>
  </w:style>
  <w:style w:type="paragraph" w:styleId="Heading2">
    <w:name w:val="heading 2"/>
    <w:basedOn w:val="Normal"/>
    <w:next w:val="Normal"/>
    <w:link w:val="Heading2Char"/>
    <w:uiPriority w:val="9"/>
    <w:unhideWhenUsed/>
    <w:qFormat/>
    <w:rsid w:val="00FC693F"/>
    <w:pPr>
      <w:keepNext/>
      <w:keepLines/>
      <w:spacing w:before="320" w:after="100" w:lineRule="auto" w:line="240"/>
      <w:outlineLvl w:val="1"/>
    </w:pPr>
    <w:rPr>
      <w:rFonts w:asciiTheme="majorHAnsi" w:eastAsiaTheme="majorEastAsia" w:hAnsiTheme="majorHAnsi" w:cstheme="majorBidi" w:ascii="Calibri" w:hAnsi="Calibri" w:eastAsia="Calibri"/>
      <w:b/>
      <w:bCs/>
      <w:i w:val="0"/>
      <w:caps w:val="0"/>
      <w:color w:val="0E7C7B"/>
      <w:sz w:val="25"/>
      <w:szCs w:val="26"/>
    </w:rPr>
  </w:style>
  <w:style w:type="paragraph" w:styleId="Heading3">
    <w:name w:val="heading 3"/>
    <w:basedOn w:val="Normal"/>
    <w:next w:val="Normal"/>
    <w:link w:val="Heading3Char"/>
    <w:uiPriority w:val="9"/>
    <w:unhideWhenUsed/>
    <w:qFormat/>
    <w:rsid w:val="00FC693F"/>
    <w:pPr>
      <w:keepNext/>
      <w:keepLines/>
      <w:spacing w:before="260" w:after="80" w:lineRule="auto" w:line="240"/>
      <w:outlineLvl w:val="2"/>
    </w:pPr>
    <w:rPr>
      <w:rFonts w:asciiTheme="majorHAnsi" w:eastAsiaTheme="majorEastAsia" w:hAnsiTheme="majorHAnsi" w:cstheme="majorBidi" w:ascii="Calibri" w:hAnsi="Calibri" w:eastAsia="Calibri"/>
      <w:b/>
      <w:bCs/>
      <w:i w:val="0"/>
      <w:caps w:val="0"/>
      <w:color w:val="10375C"/>
      <w:sz w:val="22"/>
    </w:rPr>
  </w:style>
  <w:style w:type="paragraph" w:styleId="Heading4">
    <w:name w:val="heading 4"/>
    <w:basedOn w:val="Normal"/>
    <w:next w:val="Normal"/>
    <w:link w:val="Heading4Char"/>
    <w:uiPriority w:val="9"/>
    <w:semiHidden/>
    <w:unhideWhenUsed/>
    <w:qFormat/>
    <w:rsid w:val="00FC693F"/>
    <w:pPr>
      <w:keepNext/>
      <w:keepLines/>
      <w:spacing w:before="220" w:after="60" w:lineRule="auto" w:line="240"/>
      <w:outlineLvl w:val="3"/>
    </w:pPr>
    <w:rPr>
      <w:rFonts w:asciiTheme="majorHAnsi" w:eastAsiaTheme="majorEastAsia" w:hAnsiTheme="majorHAnsi" w:cstheme="majorBidi" w:ascii="Calibri" w:hAnsi="Calibri" w:eastAsia="Calibri"/>
      <w:b/>
      <w:bCs/>
      <w:i/>
      <w:iCs/>
      <w:caps w:val="0"/>
      <w:color w:val="595959"/>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4" w:lineRule="auto"/>
      <w:contextualSpacing/>
    </w:pPr>
    <w:rPr>
      <w:rFonts w:ascii="Calibri" w:hAnsi="Calibri"/>
      <w:color w:val="262626"/>
      <w:sz w:val="21"/>
    </w:rPr>
  </w:style>
  <w:style w:type="paragraph" w:styleId="ListBullet2">
    <w:name w:val="List Bullet 2"/>
    <w:basedOn w:val="Normal"/>
    <w:uiPriority w:val="99"/>
    <w:unhideWhenUsed/>
    <w:rsid w:val="00326F90"/>
    <w:pPr>
      <w:numPr>
        <w:numId w:val="2"/>
      </w:numPr>
      <w:spacing w:after="40"/>
      <w:contextualSpacing/>
    </w:pPr>
    <w:rPr>
      <w:rFonts w:ascii="Calibri" w:hAnsi="Calibri"/>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4" w:lineRule="auto"/>
      <w:contextualSpacing/>
    </w:pPr>
    <w:rPr>
      <w:rFonts w:ascii="Calibri" w:hAnsi="Calibri"/>
      <w:color w:val="262626"/>
      <w:sz w:val="21"/>
    </w:rPr>
  </w:style>
  <w:style w:type="paragraph" w:styleId="ListNumber2">
    <w:name w:val="List Number 2"/>
    <w:basedOn w:val="Normal"/>
    <w:uiPriority w:val="99"/>
    <w:unhideWhenUsed/>
    <w:rsid w:val="0029639D"/>
    <w:pPr>
      <w:numPr>
        <w:numId w:val="6"/>
      </w:numPr>
      <w:spacing w:after="40"/>
      <w:contextualSpacing/>
    </w:pPr>
    <w:rPr>
      <w:rFonts w:ascii="Calibri" w:hAnsi="Calibri"/>
      <w:sz w:val="20"/>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3D5D88ED318E546B0BAD9611B3061C9" ma:contentTypeVersion="9" ma:contentTypeDescription="Create a new document." ma:contentTypeScope="" ma:versionID="d50db782a5ec69b02a0131a0f200a05c">
  <xsd:schema xmlns:xsd="http://www.w3.org/2001/XMLSchema" xmlns:xs="http://www.w3.org/2001/XMLSchema" xmlns:p="http://schemas.microsoft.com/office/2006/metadata/properties" xmlns:ns2="30dddea4-ca15-4972-99ca-320a89f10386" targetNamespace="http://schemas.microsoft.com/office/2006/metadata/properties" ma:root="true" ma:fieldsID="2e09d9990d161d2f2733b865e15bb167" ns2:_="">
    <xsd:import namespace="30dddea4-ca15-4972-99ca-320a89f1038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dddea4-ca15-4972-99ca-320a89f103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fieldId="{5cf76f15-5ced-4ddc-b409-7134ff3c332f}" ma:taxonomyMulti="true" ma:sspId="00000000-0000-0000-0000-000000000000" ma:termSetId="00000000-0000-0000-0000-000000000000" ma:anchorId="00000000-0000-0000-0000-000000000000" ma:open="fals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0dddea4-ca15-4972-99ca-320a89f1038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4B61D93F-A2DB-4F04-95EC-DED4D29ED9EE}"/>
</file>

<file path=customXml/itemProps3.xml><?xml version="1.0" encoding="utf-8"?>
<ds:datastoreItem xmlns:ds="http://schemas.openxmlformats.org/officeDocument/2006/customXml" ds:itemID="{F5086A30-69FA-469A-AE22-E91DD830D53C}"/>
</file>

<file path=customXml/itemProps4.xml><?xml version="1.0" encoding="utf-8"?>
<ds:datastoreItem xmlns:ds="http://schemas.openxmlformats.org/officeDocument/2006/customXml" ds:itemID="{AB93618D-389B-4790-872F-06C6214CBFEB}"/>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0x01010053D5D88ED318E546B0BAD9611B3061C9</vt:lpwstr>
  </property>
</Properties>
</file>