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Risk Register &amp; Escalation Matrix</w:t>
      </w:r>
    </w:p>
    <w:p>
      <w:pPr>
        <w:spacing w:after="280" w:line="276" w:lineRule="auto"/>
      </w:pPr>
      <w:r>
        <w:rPr>
          <w:rFonts w:ascii="Calibri" w:hAnsi="Calibri"/>
          <w:i/>
          <w:color w:val="3E6B8A"/>
          <w:sz w:val="25"/>
        </w:rPr>
        <w:t>The programme's risks, scored, owned and mitigated, with the escalation route for each severity level</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EQ-UAP-080</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Operations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Scoring</w:t>
      </w:r>
    </w:p>
    <w:p>
      <w:r>
        <w:rPr>
          <w:b/>
        </w:rPr>
        <w:t>Risk score = Likelihood × Impact</w:t>
      </w:r>
      <w:r>
        <w:t>, each on a scale of 1 to 5.</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Score</w:t>
            </w:r>
          </w:p>
        </w:tc>
        <w:tc>
          <w:tcPr>
            <w:tcW w:type="dxa" w:w="1077"/>
            <w:shd w:val="clear" w:color="auto" w:fill="10375C"/>
          </w:tcPr>
          <w:p>
            <w:pPr>
              <w:spacing w:after="50" w:before="50"/>
            </w:pPr>
            <w:r>
              <w:rPr>
                <w:b/>
                <w:color w:val="FFFFFF"/>
                <w:sz w:val="17"/>
              </w:rPr>
              <w:t>Rating</w:t>
            </w:r>
          </w:p>
        </w:tc>
        <w:tc>
          <w:tcPr>
            <w:tcW w:type="dxa" w:w="7583"/>
            <w:shd w:val="clear" w:color="auto" w:fill="10375C"/>
          </w:tcPr>
          <w:p>
            <w:pPr>
              <w:spacing w:after="50" w:before="50"/>
            </w:pPr>
            <w:r>
              <w:rPr>
                <w:b/>
                <w:color w:val="FFFFFF"/>
                <w:sz w:val="17"/>
              </w:rPr>
              <w:t>Treatment</w:t>
            </w:r>
          </w:p>
        </w:tc>
      </w:tr>
      <w:tr>
        <w:tc>
          <w:tcPr>
            <w:tcW w:type="dxa" w:w="850"/>
          </w:tcPr>
          <w:p>
            <w:pPr>
              <w:spacing w:after="50" w:before="50" w:line="252" w:lineRule="auto"/>
            </w:pPr>
            <w:r>
              <w:rPr>
                <w:sz w:val="17"/>
              </w:rPr>
              <w:t>20–25</w:t>
            </w:r>
          </w:p>
        </w:tc>
        <w:tc>
          <w:tcPr>
            <w:tcW w:type="dxa" w:w="1077"/>
          </w:tcPr>
          <w:p>
            <w:pPr>
              <w:spacing w:after="50" w:before="50" w:line="252" w:lineRule="auto"/>
            </w:pPr>
            <w:r>
              <w:rPr>
                <w:sz w:val="17"/>
              </w:rPr>
              <w:t>Critical</w:t>
            </w:r>
          </w:p>
        </w:tc>
        <w:tc>
          <w:tcPr>
            <w:tcW w:type="dxa" w:w="7583"/>
          </w:tcPr>
          <w:p>
            <w:pPr>
              <w:spacing w:after="50" w:before="50" w:line="252" w:lineRule="auto"/>
            </w:pPr>
            <w:r>
              <w:rPr>
                <w:sz w:val="17"/>
              </w:rPr>
              <w:t>Programme Board; mitigation plan with dates; reviewed monthly</w:t>
            </w:r>
          </w:p>
        </w:tc>
      </w:tr>
      <w:tr>
        <w:tc>
          <w:tcPr>
            <w:tcW w:type="dxa" w:w="850"/>
            <w:shd w:val="clear" w:color="auto" w:fill="EAF1F4"/>
          </w:tcPr>
          <w:p>
            <w:pPr>
              <w:spacing w:after="50" w:before="50" w:line="252" w:lineRule="auto"/>
            </w:pPr>
            <w:r>
              <w:rPr>
                <w:sz w:val="17"/>
              </w:rPr>
              <w:t>12–19</w:t>
            </w:r>
          </w:p>
        </w:tc>
        <w:tc>
          <w:tcPr>
            <w:tcW w:type="dxa" w:w="1077"/>
            <w:shd w:val="clear" w:color="auto" w:fill="EAF1F4"/>
          </w:tcPr>
          <w:p>
            <w:pPr>
              <w:spacing w:after="50" w:before="50" w:line="252" w:lineRule="auto"/>
            </w:pPr>
            <w:r>
              <w:rPr>
                <w:sz w:val="17"/>
              </w:rPr>
              <w:t>High</w:t>
            </w:r>
          </w:p>
        </w:tc>
        <w:tc>
          <w:tcPr>
            <w:tcW w:type="dxa" w:w="7583"/>
            <w:shd w:val="clear" w:color="auto" w:fill="EAF1F4"/>
          </w:tcPr>
          <w:p>
            <w:pPr>
              <w:spacing w:after="50" w:before="50" w:line="252" w:lineRule="auto"/>
            </w:pPr>
            <w:r>
              <w:rPr>
                <w:sz w:val="17"/>
              </w:rPr>
              <w:t>Programme Director; mitigation plan; reviewed quarterly</w:t>
            </w:r>
          </w:p>
        </w:tc>
      </w:tr>
      <w:tr>
        <w:tc>
          <w:tcPr>
            <w:tcW w:type="dxa" w:w="850"/>
          </w:tcPr>
          <w:p>
            <w:pPr>
              <w:spacing w:after="50" w:before="50" w:line="252" w:lineRule="auto"/>
            </w:pPr>
            <w:r>
              <w:rPr>
                <w:sz w:val="17"/>
              </w:rPr>
              <w:t>6–11</w:t>
            </w:r>
          </w:p>
        </w:tc>
        <w:tc>
          <w:tcPr>
            <w:tcW w:type="dxa" w:w="1077"/>
          </w:tcPr>
          <w:p>
            <w:pPr>
              <w:spacing w:after="50" w:before="50" w:line="252" w:lineRule="auto"/>
            </w:pPr>
            <w:r>
              <w:rPr>
                <w:sz w:val="17"/>
              </w:rPr>
              <w:t>Medium</w:t>
            </w:r>
          </w:p>
        </w:tc>
        <w:tc>
          <w:tcPr>
            <w:tcW w:type="dxa" w:w="7583"/>
          </w:tcPr>
          <w:p>
            <w:pPr>
              <w:spacing w:after="50" w:before="50" w:line="252" w:lineRule="auto"/>
            </w:pPr>
            <w:r>
              <w:rPr>
                <w:sz w:val="17"/>
              </w:rPr>
              <w:t>Owner; controls documented; reviewed half-yearly</w:t>
            </w:r>
          </w:p>
        </w:tc>
      </w:tr>
      <w:tr>
        <w:tc>
          <w:tcPr>
            <w:tcW w:type="dxa" w:w="850"/>
            <w:shd w:val="clear" w:color="auto" w:fill="EAF1F4"/>
          </w:tcPr>
          <w:p>
            <w:pPr>
              <w:spacing w:after="50" w:before="50" w:line="252" w:lineRule="auto"/>
            </w:pPr>
            <w:r>
              <w:rPr>
                <w:sz w:val="17"/>
              </w:rPr>
              <w:t>1–5</w:t>
            </w:r>
          </w:p>
        </w:tc>
        <w:tc>
          <w:tcPr>
            <w:tcW w:type="dxa" w:w="1077"/>
            <w:shd w:val="clear" w:color="auto" w:fill="EAF1F4"/>
          </w:tcPr>
          <w:p>
            <w:pPr>
              <w:spacing w:after="50" w:before="50" w:line="252" w:lineRule="auto"/>
            </w:pPr>
            <w:r>
              <w:rPr>
                <w:sz w:val="17"/>
              </w:rPr>
              <w:t>Low</w:t>
            </w:r>
          </w:p>
        </w:tc>
        <w:tc>
          <w:tcPr>
            <w:tcW w:type="dxa" w:w="7583"/>
            <w:shd w:val="clear" w:color="auto" w:fill="EAF1F4"/>
          </w:tcPr>
          <w:p>
            <w:pPr>
              <w:spacing w:after="50" w:before="50" w:line="252" w:lineRule="auto"/>
            </w:pPr>
            <w:r>
              <w:rPr>
                <w:sz w:val="17"/>
              </w:rPr>
              <w:t>Monitored</w:t>
            </w:r>
          </w:p>
        </w:tc>
      </w:tr>
    </w:tbl>
    <w:p>
      <w:pPr>
        <w:spacing w:after="80" w:before="0"/>
      </w:pPr>
    </w:p>
    <w:p>
      <w:pPr>
        <w:spacing w:before="80" w:after="160"/>
        <w:pBdr>
          <w:bottom w:val="single" w:sz="6" w:space="1" w:color="C9D6DE"/>
        </w:pBdr>
      </w:pPr>
    </w:p>
    <w:p>
      <w:pPr>
        <w:pStyle w:val="Heading1"/>
        <w:pBdr>
          <w:bottom w:val="single" w:sz="8" w:space="4" w:color="C9D6DE"/>
        </w:pBdr>
      </w:pPr>
      <w:r>
        <w:t>2. The register</w:t>
      </w:r>
    </w:p>
    <w:p>
      <w:pPr>
        <w:pStyle w:val="Heading2"/>
      </w:pPr>
      <w:r>
        <w:t>2.1 Strategic</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353"/>
        <w:gridCol w:w="1353"/>
        <w:gridCol w:w="1353"/>
        <w:gridCol w:w="1353"/>
        <w:gridCol w:w="1353"/>
        <w:gridCol w:w="1353"/>
        <w:gridCol w:w="1353"/>
      </w:tblGrid>
      <w:tr>
        <w:trPr>
          <w:tblHeader w:val="true"/>
        </w:trPr>
        <w:tc>
          <w:tcPr>
            <w:tcW w:type="dxa" w:w="850"/>
            <w:shd w:val="clear" w:color="auto" w:fill="10375C"/>
          </w:tcPr>
          <w:p>
            <w:pPr>
              <w:spacing w:after="50" w:before="50"/>
            </w:pPr>
            <w:r>
              <w:rPr>
                <w:b/>
                <w:color w:val="FFFFFF"/>
                <w:sz w:val="17"/>
              </w:rPr>
              <w:t>#</w:t>
            </w:r>
          </w:p>
        </w:tc>
        <w:tc>
          <w:tcPr>
            <w:tcW w:type="dxa" w:w="3557"/>
            <w:shd w:val="clear" w:color="auto" w:fill="10375C"/>
          </w:tcPr>
          <w:p>
            <w:pPr>
              <w:spacing w:after="50" w:before="50"/>
            </w:pPr>
            <w:r>
              <w:rPr>
                <w:b/>
                <w:color w:val="FFFFFF"/>
                <w:sz w:val="17"/>
              </w:rPr>
              <w:t>Risk</w:t>
            </w:r>
          </w:p>
        </w:tc>
        <w:tc>
          <w:tcPr>
            <w:tcW w:type="dxa" w:w="850"/>
            <w:shd w:val="clear" w:color="auto" w:fill="10375C"/>
          </w:tcPr>
          <w:p>
            <w:pPr>
              <w:spacing w:after="50" w:before="50"/>
            </w:pPr>
            <w:r>
              <w:rPr>
                <w:b/>
                <w:color w:val="FFFFFF"/>
                <w:sz w:val="17"/>
              </w:rPr>
              <w:t>L</w:t>
            </w:r>
          </w:p>
        </w:tc>
        <w:tc>
          <w:tcPr>
            <w:tcW w:type="dxa" w:w="850"/>
            <w:shd w:val="clear" w:color="auto" w:fill="10375C"/>
          </w:tcPr>
          <w:p>
            <w:pPr>
              <w:spacing w:after="50" w:before="50"/>
            </w:pPr>
            <w:r>
              <w:rPr>
                <w:b/>
                <w:color w:val="FFFFFF"/>
                <w:sz w:val="17"/>
              </w:rPr>
              <w:t>I</w:t>
            </w:r>
          </w:p>
        </w:tc>
        <w:tc>
          <w:tcPr>
            <w:tcW w:type="dxa" w:w="850"/>
            <w:shd w:val="clear" w:color="auto" w:fill="10375C"/>
          </w:tcPr>
          <w:p>
            <w:pPr>
              <w:spacing w:after="50" w:before="50"/>
            </w:pPr>
            <w:r>
              <w:rPr>
                <w:b/>
                <w:color w:val="FFFFFF"/>
                <w:sz w:val="17"/>
              </w:rPr>
              <w:t>Score</w:t>
            </w:r>
          </w:p>
        </w:tc>
        <w:tc>
          <w:tcPr>
            <w:tcW w:type="dxa" w:w="3557"/>
            <w:shd w:val="clear" w:color="auto" w:fill="10375C"/>
          </w:tcPr>
          <w:p>
            <w:pPr>
              <w:spacing w:after="50" w:before="50"/>
            </w:pPr>
            <w:r>
              <w:rPr>
                <w:b/>
                <w:color w:val="FFFFFF"/>
                <w:sz w:val="17"/>
              </w:rPr>
              <w:t>Mitigation</w:t>
            </w:r>
          </w:p>
        </w:tc>
        <w:tc>
          <w:tcPr>
            <w:tcW w:type="dxa" w:w="931"/>
            <w:shd w:val="clear" w:color="auto" w:fill="10375C"/>
          </w:tcPr>
          <w:p>
            <w:pPr>
              <w:spacing w:after="50" w:before="50"/>
            </w:pPr>
            <w:r>
              <w:rPr>
                <w:b/>
                <w:color w:val="FFFFFF"/>
                <w:sz w:val="17"/>
              </w:rPr>
              <w:t>Owner</w:t>
            </w:r>
          </w:p>
        </w:tc>
      </w:tr>
      <w:tr>
        <w:tc>
          <w:tcPr>
            <w:tcW w:type="dxa" w:w="850"/>
          </w:tcPr>
          <w:p>
            <w:pPr>
              <w:spacing w:after="50" w:before="50" w:line="252" w:lineRule="auto"/>
            </w:pPr>
            <w:r>
              <w:rPr>
                <w:sz w:val="17"/>
              </w:rPr>
              <w:t>R1</w:t>
            </w:r>
          </w:p>
        </w:tc>
        <w:tc>
          <w:tcPr>
            <w:tcW w:type="dxa" w:w="3557"/>
          </w:tcPr>
          <w:p>
            <w:pPr>
              <w:spacing w:after="50" w:before="50" w:line="252" w:lineRule="auto"/>
            </w:pPr>
            <w:r>
              <w:rPr>
                <w:sz w:val="17"/>
              </w:rPr>
              <w:t>MOUs signed but dormant; effort sunk with no return</w:t>
            </w:r>
          </w:p>
        </w:tc>
        <w:tc>
          <w:tcPr>
            <w:tcW w:type="dxa" w:w="850"/>
          </w:tcPr>
          <w:p>
            <w:pPr>
              <w:spacing w:after="50" w:before="50" w:line="252" w:lineRule="auto"/>
            </w:pPr>
            <w:r>
              <w:rPr>
                <w:sz w:val="17"/>
              </w:rPr>
              <w:t>4</w:t>
            </w:r>
          </w:p>
        </w:tc>
        <w:tc>
          <w:tcPr>
            <w:tcW w:type="dxa" w:w="850"/>
          </w:tcPr>
          <w:p>
            <w:pPr>
              <w:spacing w:after="50" w:before="50" w:line="252" w:lineRule="auto"/>
            </w:pPr>
            <w:r>
              <w:rPr>
                <w:sz w:val="17"/>
              </w:rPr>
              <w:t>3</w:t>
            </w:r>
          </w:p>
        </w:tc>
        <w:tc>
          <w:tcPr>
            <w:tcW w:type="dxa" w:w="850"/>
          </w:tcPr>
          <w:p>
            <w:pPr>
              <w:spacing w:after="50" w:before="50" w:line="252" w:lineRule="auto"/>
            </w:pPr>
            <w:r>
              <w:rPr>
                <w:sz w:val="17"/>
              </w:rPr>
              <w:t>12</w:t>
            </w:r>
          </w:p>
        </w:tc>
        <w:tc>
          <w:tcPr>
            <w:tcW w:type="dxa" w:w="3557"/>
          </w:tcPr>
          <w:p>
            <w:pPr>
              <w:spacing w:after="50" w:before="50" w:line="252" w:lineRule="auto"/>
            </w:pPr>
            <w:r>
              <w:rPr>
                <w:sz w:val="17"/>
              </w:rPr>
              <w:t>Minimum activity clause 6.4 with automatic lapse; activation SOP; annual scorecard; capacity ceiling on new signings</w:t>
            </w:r>
          </w:p>
        </w:tc>
        <w:tc>
          <w:tcPr>
            <w:tcW w:type="dxa" w:w="931"/>
          </w:tcPr>
          <w:p>
            <w:pPr>
              <w:spacing w:after="50" w:before="50" w:line="252" w:lineRule="auto"/>
            </w:pPr>
            <w:r>
              <w:rPr>
                <w:sz w:val="17"/>
              </w:rPr>
              <w:t>Director</w:t>
            </w:r>
          </w:p>
        </w:tc>
      </w:tr>
      <w:tr>
        <w:tc>
          <w:tcPr>
            <w:tcW w:type="dxa" w:w="850"/>
            <w:shd w:val="clear" w:color="auto" w:fill="EAF1F4"/>
          </w:tcPr>
          <w:p>
            <w:pPr>
              <w:spacing w:after="50" w:before="50" w:line="252" w:lineRule="auto"/>
            </w:pPr>
            <w:r>
              <w:rPr>
                <w:sz w:val="17"/>
              </w:rPr>
              <w:t>R2</w:t>
            </w:r>
          </w:p>
        </w:tc>
        <w:tc>
          <w:tcPr>
            <w:tcW w:type="dxa" w:w="3557"/>
            <w:shd w:val="clear" w:color="auto" w:fill="EAF1F4"/>
          </w:tcPr>
          <w:p>
            <w:pPr>
              <w:spacing w:after="50" w:before="50" w:line="252" w:lineRule="auto"/>
            </w:pPr>
            <w:r>
              <w:rPr>
                <w:sz w:val="17"/>
              </w:rPr>
              <w:t>Mediation Council notifies standards the curriculum does not meet</w:t>
            </w:r>
          </w:p>
        </w:tc>
        <w:tc>
          <w:tcPr>
            <w:tcW w:type="dxa" w:w="850"/>
            <w:shd w:val="clear" w:color="auto" w:fill="EAF1F4"/>
          </w:tcPr>
          <w:p>
            <w:pPr>
              <w:spacing w:after="50" w:before="50" w:line="252" w:lineRule="auto"/>
            </w:pPr>
            <w:r>
              <w:rPr>
                <w:sz w:val="17"/>
              </w:rPr>
              <w:t>3</w:t>
            </w:r>
          </w:p>
        </w:tc>
        <w:tc>
          <w:tcPr>
            <w:tcW w:type="dxa" w:w="850"/>
            <w:shd w:val="clear" w:color="auto" w:fill="EAF1F4"/>
          </w:tcPr>
          <w:p>
            <w:pPr>
              <w:spacing w:after="50" w:before="50" w:line="252" w:lineRule="auto"/>
            </w:pPr>
            <w:r>
              <w:rPr>
                <w:sz w:val="17"/>
              </w:rPr>
              <w:t>5</w:t>
            </w:r>
          </w:p>
        </w:tc>
        <w:tc>
          <w:tcPr>
            <w:tcW w:type="dxa" w:w="850"/>
            <w:shd w:val="clear" w:color="auto" w:fill="EAF1F4"/>
          </w:tcPr>
          <w:p>
            <w:pPr>
              <w:spacing w:after="50" w:before="50" w:line="252" w:lineRule="auto"/>
            </w:pPr>
            <w:r>
              <w:rPr>
                <w:sz w:val="17"/>
              </w:rPr>
              <w:t>15</w:t>
            </w:r>
          </w:p>
        </w:tc>
        <w:tc>
          <w:tcPr>
            <w:tcW w:type="dxa" w:w="3557"/>
            <w:shd w:val="clear" w:color="auto" w:fill="EAF1F4"/>
          </w:tcPr>
          <w:p>
            <w:pPr>
              <w:spacing w:after="50" w:before="50" w:line="252" w:lineRule="auto"/>
            </w:pPr>
            <w:r>
              <w:rPr>
                <w:sz w:val="17"/>
              </w:rPr>
              <w:t>Curriculum mapped to court-annexed 40+20 norms; modular design; regulatory watch reported quarterly</w:t>
            </w:r>
          </w:p>
        </w:tc>
        <w:tc>
          <w:tcPr>
            <w:tcW w:type="dxa" w:w="931"/>
            <w:shd w:val="clear" w:color="auto" w:fill="EAF1F4"/>
          </w:tcPr>
          <w:p>
            <w:pPr>
              <w:spacing w:after="50" w:before="50" w:line="252" w:lineRule="auto"/>
            </w:pPr>
            <w:r>
              <w:rPr>
                <w:sz w:val="17"/>
              </w:rPr>
              <w:t>Head of Curriculum</w:t>
            </w:r>
          </w:p>
        </w:tc>
      </w:tr>
      <w:tr>
        <w:tc>
          <w:tcPr>
            <w:tcW w:type="dxa" w:w="850"/>
          </w:tcPr>
          <w:p>
            <w:pPr>
              <w:spacing w:after="50" w:before="50" w:line="252" w:lineRule="auto"/>
            </w:pPr>
            <w:r>
              <w:rPr>
                <w:sz w:val="17"/>
              </w:rPr>
              <w:t>R3</w:t>
            </w:r>
          </w:p>
        </w:tc>
        <w:tc>
          <w:tcPr>
            <w:tcW w:type="dxa" w:w="3557"/>
          </w:tcPr>
          <w:p>
            <w:pPr>
              <w:spacing w:after="50" w:before="50" w:line="252" w:lineRule="auto"/>
            </w:pPr>
            <w:r>
              <w:rPr>
                <w:sz w:val="17"/>
              </w:rPr>
              <w:t>Programme fails to reach breakeven in year 2</w:t>
            </w:r>
          </w:p>
        </w:tc>
        <w:tc>
          <w:tcPr>
            <w:tcW w:type="dxa" w:w="850"/>
          </w:tcPr>
          <w:p>
            <w:pPr>
              <w:spacing w:after="50" w:before="50" w:line="252" w:lineRule="auto"/>
            </w:pPr>
            <w:r>
              <w:rPr>
                <w:sz w:val="17"/>
              </w:rPr>
              <w:t>3</w:t>
            </w:r>
          </w:p>
        </w:tc>
        <w:tc>
          <w:tcPr>
            <w:tcW w:type="dxa" w:w="850"/>
          </w:tcPr>
          <w:p>
            <w:pPr>
              <w:spacing w:after="50" w:before="50" w:line="252" w:lineRule="auto"/>
            </w:pPr>
            <w:r>
              <w:rPr>
                <w:sz w:val="17"/>
              </w:rPr>
              <w:t>4</w:t>
            </w:r>
          </w:p>
        </w:tc>
        <w:tc>
          <w:tcPr>
            <w:tcW w:type="dxa" w:w="850"/>
          </w:tcPr>
          <w:p>
            <w:pPr>
              <w:spacing w:after="50" w:before="50" w:line="252" w:lineRule="auto"/>
            </w:pPr>
            <w:r>
              <w:rPr>
                <w:sz w:val="17"/>
              </w:rPr>
              <w:t>12</w:t>
            </w:r>
          </w:p>
        </w:tc>
        <w:tc>
          <w:tcPr>
            <w:tcW w:type="dxa" w:w="3557"/>
          </w:tcPr>
          <w:p>
            <w:pPr>
              <w:spacing w:after="50" w:before="50" w:line="252" w:lineRule="auto"/>
            </w:pPr>
            <w:r>
              <w:rPr>
                <w:sz w:val="17"/>
              </w:rPr>
              <w:t>Advisory retainers and coaching prioritised; local bench density targets; monthly revenue tracking</w:t>
            </w:r>
          </w:p>
        </w:tc>
        <w:tc>
          <w:tcPr>
            <w:tcW w:type="dxa" w:w="931"/>
          </w:tcPr>
          <w:p>
            <w:pPr>
              <w:spacing w:after="50" w:before="50" w:line="252" w:lineRule="auto"/>
            </w:pPr>
            <w:r>
              <w:rPr>
                <w:sz w:val="17"/>
              </w:rPr>
              <w:t>Director</w:t>
            </w:r>
          </w:p>
        </w:tc>
      </w:tr>
      <w:tr>
        <w:tc>
          <w:tcPr>
            <w:tcW w:type="dxa" w:w="850"/>
            <w:shd w:val="clear" w:color="auto" w:fill="EAF1F4"/>
          </w:tcPr>
          <w:p>
            <w:pPr>
              <w:spacing w:after="50" w:before="50" w:line="252" w:lineRule="auto"/>
            </w:pPr>
            <w:r>
              <w:rPr>
                <w:sz w:val="17"/>
              </w:rPr>
              <w:t>R4</w:t>
            </w:r>
          </w:p>
        </w:tc>
        <w:tc>
          <w:tcPr>
            <w:tcW w:type="dxa" w:w="3557"/>
            <w:shd w:val="clear" w:color="auto" w:fill="EAF1F4"/>
          </w:tcPr>
          <w:p>
            <w:pPr>
              <w:spacing w:after="50" w:before="50" w:line="252" w:lineRule="auto"/>
            </w:pPr>
            <w:r>
              <w:rPr>
                <w:sz w:val="17"/>
              </w:rPr>
              <w:t>Competitor establishes a dominant university network first</w:t>
            </w:r>
          </w:p>
        </w:tc>
        <w:tc>
          <w:tcPr>
            <w:tcW w:type="dxa" w:w="850"/>
            <w:shd w:val="clear" w:color="auto" w:fill="EAF1F4"/>
          </w:tcPr>
          <w:p>
            <w:pPr>
              <w:spacing w:after="50" w:before="50" w:line="252" w:lineRule="auto"/>
            </w:pPr>
            <w:r>
              <w:rPr>
                <w:sz w:val="17"/>
              </w:rPr>
              <w:t>3</w:t>
            </w:r>
          </w:p>
        </w:tc>
        <w:tc>
          <w:tcPr>
            <w:tcW w:type="dxa" w:w="850"/>
            <w:shd w:val="clear" w:color="auto" w:fill="EAF1F4"/>
          </w:tcPr>
          <w:p>
            <w:pPr>
              <w:spacing w:after="50" w:before="50" w:line="252" w:lineRule="auto"/>
            </w:pPr>
            <w:r>
              <w:rPr>
                <w:sz w:val="17"/>
              </w:rPr>
              <w:t>3</w:t>
            </w:r>
          </w:p>
        </w:tc>
        <w:tc>
          <w:tcPr>
            <w:tcW w:type="dxa" w:w="850"/>
            <w:shd w:val="clear" w:color="auto" w:fill="EAF1F4"/>
          </w:tcPr>
          <w:p>
            <w:pPr>
              <w:spacing w:after="50" w:before="50" w:line="252" w:lineRule="auto"/>
            </w:pPr>
            <w:r>
              <w:rPr>
                <w:sz w:val="17"/>
              </w:rPr>
              <w:t>9</w:t>
            </w:r>
          </w:p>
        </w:tc>
        <w:tc>
          <w:tcPr>
            <w:tcW w:type="dxa" w:w="3557"/>
            <w:shd w:val="clear" w:color="auto" w:fill="EAF1F4"/>
          </w:tcPr>
          <w:p>
            <w:pPr>
              <w:spacing w:after="50" w:before="50" w:line="252" w:lineRule="auto"/>
            </w:pPr>
            <w:r>
              <w:rPr>
                <w:sz w:val="17"/>
              </w:rPr>
              <w:t>Speed; Tier 1 anchors secured early; narrow exclusivity where justified</w:t>
            </w:r>
          </w:p>
        </w:tc>
        <w:tc>
          <w:tcPr>
            <w:tcW w:type="dxa" w:w="931"/>
            <w:shd w:val="clear" w:color="auto" w:fill="EAF1F4"/>
          </w:tcPr>
          <w:p>
            <w:pPr>
              <w:spacing w:after="50" w:before="50" w:line="252" w:lineRule="auto"/>
            </w:pPr>
            <w:r>
              <w:rPr>
                <w:sz w:val="17"/>
              </w:rPr>
              <w:t>Director</w:t>
            </w:r>
          </w:p>
        </w:tc>
      </w:tr>
    </w:tbl>
    <w:p>
      <w:pPr>
        <w:spacing w:after="80" w:before="0"/>
      </w:pPr>
    </w:p>
    <w:p>
      <w:pPr>
        <w:pStyle w:val="Heading2"/>
      </w:pPr>
      <w:r>
        <w:t>2.2 Legal and regulatory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353"/>
        <w:gridCol w:w="1353"/>
        <w:gridCol w:w="1353"/>
        <w:gridCol w:w="1353"/>
        <w:gridCol w:w="1353"/>
        <w:gridCol w:w="1353"/>
        <w:gridCol w:w="1353"/>
      </w:tblGrid>
      <w:tr>
        <w:trPr>
          <w:tblHeader w:val="true"/>
        </w:trPr>
        <w:tc>
          <w:tcPr>
            <w:tcW w:type="dxa" w:w="850"/>
            <w:shd w:val="clear" w:color="auto" w:fill="10375C"/>
          </w:tcPr>
          <w:p>
            <w:pPr>
              <w:spacing w:after="50" w:before="50"/>
            </w:pPr>
            <w:r>
              <w:rPr>
                <w:b/>
                <w:color w:val="FFFFFF"/>
                <w:sz w:val="17"/>
              </w:rPr>
              <w:t>#</w:t>
            </w:r>
          </w:p>
        </w:tc>
        <w:tc>
          <w:tcPr>
            <w:tcW w:type="dxa" w:w="3695"/>
            <w:shd w:val="clear" w:color="auto" w:fill="10375C"/>
          </w:tcPr>
          <w:p>
            <w:pPr>
              <w:spacing w:after="50" w:before="50"/>
            </w:pPr>
            <w:r>
              <w:rPr>
                <w:b/>
                <w:color w:val="FFFFFF"/>
                <w:sz w:val="17"/>
              </w:rPr>
              <w:t>Risk</w:t>
            </w:r>
          </w:p>
        </w:tc>
        <w:tc>
          <w:tcPr>
            <w:tcW w:type="dxa" w:w="850"/>
            <w:shd w:val="clear" w:color="auto" w:fill="10375C"/>
          </w:tcPr>
          <w:p>
            <w:pPr>
              <w:spacing w:after="50" w:before="50"/>
            </w:pPr>
            <w:r>
              <w:rPr>
                <w:b/>
                <w:color w:val="FFFFFF"/>
                <w:sz w:val="17"/>
              </w:rPr>
              <w:t>L</w:t>
            </w:r>
          </w:p>
        </w:tc>
        <w:tc>
          <w:tcPr>
            <w:tcW w:type="dxa" w:w="850"/>
            <w:shd w:val="clear" w:color="auto" w:fill="10375C"/>
          </w:tcPr>
          <w:p>
            <w:pPr>
              <w:spacing w:after="50" w:before="50"/>
            </w:pPr>
            <w:r>
              <w:rPr>
                <w:b/>
                <w:color w:val="FFFFFF"/>
                <w:sz w:val="17"/>
              </w:rPr>
              <w:t>I</w:t>
            </w:r>
          </w:p>
        </w:tc>
        <w:tc>
          <w:tcPr>
            <w:tcW w:type="dxa" w:w="850"/>
            <w:shd w:val="clear" w:color="auto" w:fill="10375C"/>
          </w:tcPr>
          <w:p>
            <w:pPr>
              <w:spacing w:after="50" w:before="50"/>
            </w:pPr>
            <w:r>
              <w:rPr>
                <w:b/>
                <w:color w:val="FFFFFF"/>
                <w:sz w:val="17"/>
              </w:rPr>
              <w:t>Score</w:t>
            </w:r>
          </w:p>
        </w:tc>
        <w:tc>
          <w:tcPr>
            <w:tcW w:type="dxa" w:w="3695"/>
            <w:shd w:val="clear" w:color="auto" w:fill="10375C"/>
          </w:tcPr>
          <w:p>
            <w:pPr>
              <w:spacing w:after="50" w:before="50"/>
            </w:pPr>
            <w:r>
              <w:rPr>
                <w:b/>
                <w:color w:val="FFFFFF"/>
                <w:sz w:val="17"/>
              </w:rPr>
              <w:t>Mitigation</w:t>
            </w:r>
          </w:p>
        </w:tc>
        <w:tc>
          <w:tcPr>
            <w:tcW w:type="dxa" w:w="850"/>
            <w:shd w:val="clear" w:color="auto" w:fill="10375C"/>
          </w:tcPr>
          <w:p>
            <w:pPr>
              <w:spacing w:after="50" w:before="50"/>
            </w:pPr>
            <w:r>
              <w:rPr>
                <w:b/>
                <w:color w:val="FFFFFF"/>
                <w:sz w:val="17"/>
              </w:rPr>
              <w:t>Owner</w:t>
            </w:r>
          </w:p>
        </w:tc>
      </w:tr>
      <w:tr>
        <w:tc>
          <w:tcPr>
            <w:tcW w:type="dxa" w:w="850"/>
          </w:tcPr>
          <w:p>
            <w:pPr>
              <w:spacing w:after="50" w:before="50" w:line="252" w:lineRule="auto"/>
            </w:pPr>
            <w:r>
              <w:rPr>
                <w:sz w:val="17"/>
              </w:rPr>
              <w:t>R5</w:t>
            </w:r>
          </w:p>
        </w:tc>
        <w:tc>
          <w:tcPr>
            <w:tcW w:type="dxa" w:w="3695"/>
          </w:tcPr>
          <w:p>
            <w:pPr>
              <w:spacing w:after="50" w:before="50" w:line="252" w:lineRule="auto"/>
            </w:pPr>
            <w:r>
              <w:rPr>
                <w:sz w:val="17"/>
              </w:rPr>
              <w:t>Marketing claim about certification challenged as misleading</w:t>
            </w:r>
          </w:p>
        </w:tc>
        <w:tc>
          <w:tcPr>
            <w:tcW w:type="dxa" w:w="850"/>
          </w:tcPr>
          <w:p>
            <w:pPr>
              <w:spacing w:after="50" w:before="50" w:line="252" w:lineRule="auto"/>
            </w:pPr>
            <w:r>
              <w:rPr>
                <w:sz w:val="17"/>
              </w:rPr>
              <w:t>3</w:t>
            </w:r>
          </w:p>
        </w:tc>
        <w:tc>
          <w:tcPr>
            <w:tcW w:type="dxa" w:w="850"/>
          </w:tcPr>
          <w:p>
            <w:pPr>
              <w:spacing w:after="50" w:before="50" w:line="252" w:lineRule="auto"/>
            </w:pPr>
            <w:r>
              <w:rPr>
                <w:sz w:val="17"/>
              </w:rPr>
              <w:t>5</w:t>
            </w:r>
          </w:p>
        </w:tc>
        <w:tc>
          <w:tcPr>
            <w:tcW w:type="dxa" w:w="850"/>
          </w:tcPr>
          <w:p>
            <w:pPr>
              <w:spacing w:after="50" w:before="50" w:line="252" w:lineRule="auto"/>
            </w:pPr>
            <w:r>
              <w:rPr>
                <w:sz w:val="17"/>
              </w:rPr>
              <w:t>15</w:t>
            </w:r>
          </w:p>
        </w:tc>
        <w:tc>
          <w:tcPr>
            <w:tcW w:type="dxa" w:w="3695"/>
          </w:tcPr>
          <w:p>
            <w:pPr>
              <w:spacing w:after="50" w:before="50" w:line="252" w:lineRule="auto"/>
            </w:pPr>
            <w:r>
              <w:rPr>
                <w:sz w:val="17"/>
              </w:rPr>
              <w:t>Approved formulations only; all collateral cleared by Legal; open item U6</w:t>
            </w:r>
          </w:p>
        </w:tc>
        <w:tc>
          <w:tcPr>
            <w:tcW w:type="dxa" w:w="850"/>
          </w:tcPr>
          <w:p>
            <w:pPr>
              <w:spacing w:after="50" w:before="50" w:line="252" w:lineRule="auto"/>
            </w:pPr>
            <w:r>
              <w:rPr>
                <w:sz w:val="17"/>
              </w:rPr>
              <w:t>Legal</w:t>
            </w:r>
          </w:p>
        </w:tc>
      </w:tr>
      <w:tr>
        <w:tc>
          <w:tcPr>
            <w:tcW w:type="dxa" w:w="850"/>
            <w:shd w:val="clear" w:color="auto" w:fill="EAF1F4"/>
          </w:tcPr>
          <w:p>
            <w:pPr>
              <w:spacing w:after="50" w:before="50" w:line="252" w:lineRule="auto"/>
            </w:pPr>
            <w:r>
              <w:rPr>
                <w:sz w:val="17"/>
              </w:rPr>
              <w:t>R6</w:t>
            </w:r>
          </w:p>
        </w:tc>
        <w:tc>
          <w:tcPr>
            <w:tcW w:type="dxa" w:w="3695"/>
            <w:shd w:val="clear" w:color="auto" w:fill="EAF1F4"/>
          </w:tcPr>
          <w:p>
            <w:pPr>
              <w:spacing w:after="50" w:before="50" w:line="252" w:lineRule="auto"/>
            </w:pPr>
            <w:r>
              <w:rPr>
                <w:sz w:val="17"/>
              </w:rPr>
              <w:t>Student personal data mishandled under DPDP</w:t>
            </w:r>
          </w:p>
        </w:tc>
        <w:tc>
          <w:tcPr>
            <w:tcW w:type="dxa" w:w="850"/>
            <w:shd w:val="clear" w:color="auto" w:fill="EAF1F4"/>
          </w:tcPr>
          <w:p>
            <w:pPr>
              <w:spacing w:after="50" w:before="50" w:line="252" w:lineRule="auto"/>
            </w:pPr>
            <w:r>
              <w:rPr>
                <w:sz w:val="17"/>
              </w:rPr>
              <w:t>3</w:t>
            </w:r>
          </w:p>
        </w:tc>
        <w:tc>
          <w:tcPr>
            <w:tcW w:type="dxa" w:w="850"/>
            <w:shd w:val="clear" w:color="auto" w:fill="EAF1F4"/>
          </w:tcPr>
          <w:p>
            <w:pPr>
              <w:spacing w:after="50" w:before="50" w:line="252" w:lineRule="auto"/>
            </w:pPr>
            <w:r>
              <w:rPr>
                <w:sz w:val="17"/>
              </w:rPr>
              <w:t>5</w:t>
            </w:r>
          </w:p>
        </w:tc>
        <w:tc>
          <w:tcPr>
            <w:tcW w:type="dxa" w:w="850"/>
            <w:shd w:val="clear" w:color="auto" w:fill="EAF1F4"/>
          </w:tcPr>
          <w:p>
            <w:pPr>
              <w:spacing w:after="50" w:before="50" w:line="252" w:lineRule="auto"/>
            </w:pPr>
            <w:r>
              <w:rPr>
                <w:sz w:val="17"/>
              </w:rPr>
              <w:t>15</w:t>
            </w:r>
          </w:p>
        </w:tc>
        <w:tc>
          <w:tcPr>
            <w:tcW w:type="dxa" w:w="3695"/>
            <w:shd w:val="clear" w:color="auto" w:fill="EAF1F4"/>
          </w:tcPr>
          <w:p>
            <w:pPr>
              <w:spacing w:after="50" w:before="50" w:line="252" w:lineRule="auto"/>
            </w:pPr>
            <w:r>
              <w:rPr>
                <w:sz w:val="17"/>
              </w:rPr>
              <w:t>Data Addendum; consent architecture; DPO sign-off before any portal; annual training; open item U3</w:t>
            </w:r>
          </w:p>
        </w:tc>
        <w:tc>
          <w:tcPr>
            <w:tcW w:type="dxa" w:w="850"/>
            <w:shd w:val="clear" w:color="auto" w:fill="EAF1F4"/>
          </w:tcPr>
          <w:p>
            <w:pPr>
              <w:spacing w:after="50" w:before="50" w:line="252" w:lineRule="auto"/>
            </w:pPr>
            <w:r>
              <w:rPr>
                <w:sz w:val="17"/>
              </w:rPr>
              <w:t>DPO</w:t>
            </w:r>
          </w:p>
        </w:tc>
      </w:tr>
      <w:tr>
        <w:tc>
          <w:tcPr>
            <w:tcW w:type="dxa" w:w="850"/>
          </w:tcPr>
          <w:p>
            <w:pPr>
              <w:spacing w:after="50" w:before="50" w:line="252" w:lineRule="auto"/>
            </w:pPr>
            <w:r>
              <w:rPr>
                <w:sz w:val="17"/>
              </w:rPr>
              <w:t>R7</w:t>
            </w:r>
          </w:p>
        </w:tc>
        <w:tc>
          <w:tcPr>
            <w:tcW w:type="dxa" w:w="3695"/>
          </w:tcPr>
          <w:p>
            <w:pPr>
              <w:spacing w:after="50" w:before="50" w:line="252" w:lineRule="auto"/>
            </w:pPr>
            <w:r>
              <w:rPr>
                <w:sz w:val="17"/>
              </w:rPr>
              <w:t>Breach of mediation confidentiality by a student or intern</w:t>
            </w:r>
          </w:p>
        </w:tc>
        <w:tc>
          <w:tcPr>
            <w:tcW w:type="dxa" w:w="850"/>
          </w:tcPr>
          <w:p>
            <w:pPr>
              <w:spacing w:after="50" w:before="50" w:line="252" w:lineRule="auto"/>
            </w:pPr>
            <w:r>
              <w:rPr>
                <w:sz w:val="17"/>
              </w:rPr>
              <w:t>3</w:t>
            </w:r>
          </w:p>
        </w:tc>
        <w:tc>
          <w:tcPr>
            <w:tcW w:type="dxa" w:w="850"/>
          </w:tcPr>
          <w:p>
            <w:pPr>
              <w:spacing w:after="50" w:before="50" w:line="252" w:lineRule="auto"/>
            </w:pPr>
            <w:r>
              <w:rPr>
                <w:sz w:val="17"/>
              </w:rPr>
              <w:t>5</w:t>
            </w:r>
          </w:p>
        </w:tc>
        <w:tc>
          <w:tcPr>
            <w:tcW w:type="dxa" w:w="850"/>
          </w:tcPr>
          <w:p>
            <w:pPr>
              <w:spacing w:after="50" w:before="50" w:line="252" w:lineRule="auto"/>
            </w:pPr>
            <w:r>
              <w:rPr>
                <w:sz w:val="17"/>
              </w:rPr>
              <w:t>15</w:t>
            </w:r>
          </w:p>
        </w:tc>
        <w:tc>
          <w:tcPr>
            <w:tcW w:type="dxa" w:w="3695"/>
          </w:tcPr>
          <w:p>
            <w:pPr>
              <w:spacing w:after="50" w:before="50" w:line="252" w:lineRule="auto"/>
            </w:pPr>
            <w:r>
              <w:rPr>
                <w:sz w:val="17"/>
              </w:rPr>
              <w:t>Live clinic SOP; undertakings signed per session; no devices; notes destroyed; 45-minute induction session</w:t>
            </w:r>
          </w:p>
        </w:tc>
        <w:tc>
          <w:tcPr>
            <w:tcW w:type="dxa" w:w="850"/>
          </w:tcPr>
          <w:p>
            <w:pPr>
              <w:spacing w:after="50" w:before="50" w:line="252" w:lineRule="auto"/>
            </w:pPr>
            <w:r>
              <w:rPr>
                <w:sz w:val="17"/>
              </w:rPr>
              <w:t>Coordinator</w:t>
            </w:r>
          </w:p>
        </w:tc>
      </w:tr>
      <w:tr>
        <w:tc>
          <w:tcPr>
            <w:tcW w:type="dxa" w:w="850"/>
            <w:shd w:val="clear" w:color="auto" w:fill="EAF1F4"/>
          </w:tcPr>
          <w:p>
            <w:pPr>
              <w:spacing w:after="50" w:before="50" w:line="252" w:lineRule="auto"/>
            </w:pPr>
            <w:r>
              <w:rPr>
                <w:sz w:val="17"/>
              </w:rPr>
              <w:t>R8</w:t>
            </w:r>
          </w:p>
        </w:tc>
        <w:tc>
          <w:tcPr>
            <w:tcW w:type="dxa" w:w="3695"/>
            <w:shd w:val="clear" w:color="auto" w:fill="EAF1F4"/>
          </w:tcPr>
          <w:p>
            <w:pPr>
              <w:spacing w:after="50" w:before="50" w:line="252" w:lineRule="auto"/>
            </w:pPr>
            <w:r>
              <w:rPr>
                <w:sz w:val="17"/>
              </w:rPr>
              <w:t>Intern characterised as an employee, with statutory consequences</w:t>
            </w:r>
          </w:p>
        </w:tc>
        <w:tc>
          <w:tcPr>
            <w:tcW w:type="dxa" w:w="850"/>
            <w:shd w:val="clear" w:color="auto" w:fill="EAF1F4"/>
          </w:tcPr>
          <w:p>
            <w:pPr>
              <w:spacing w:after="50" w:before="50" w:line="252" w:lineRule="auto"/>
            </w:pPr>
            <w:r>
              <w:rPr>
                <w:sz w:val="17"/>
              </w:rPr>
              <w:t>3</w:t>
            </w:r>
          </w:p>
        </w:tc>
        <w:tc>
          <w:tcPr>
            <w:tcW w:type="dxa" w:w="850"/>
            <w:shd w:val="clear" w:color="auto" w:fill="EAF1F4"/>
          </w:tcPr>
          <w:p>
            <w:pPr>
              <w:spacing w:after="50" w:before="50" w:line="252" w:lineRule="auto"/>
            </w:pPr>
            <w:r>
              <w:rPr>
                <w:sz w:val="17"/>
              </w:rPr>
              <w:t>4</w:t>
            </w:r>
          </w:p>
        </w:tc>
        <w:tc>
          <w:tcPr>
            <w:tcW w:type="dxa" w:w="850"/>
            <w:shd w:val="clear" w:color="auto" w:fill="EAF1F4"/>
          </w:tcPr>
          <w:p>
            <w:pPr>
              <w:spacing w:after="50" w:before="50" w:line="252" w:lineRule="auto"/>
            </w:pPr>
            <w:r>
              <w:rPr>
                <w:sz w:val="17"/>
              </w:rPr>
              <w:t>12</w:t>
            </w:r>
          </w:p>
        </w:tc>
        <w:tc>
          <w:tcPr>
            <w:tcW w:type="dxa" w:w="3695"/>
            <w:shd w:val="clear" w:color="auto" w:fill="EAF1F4"/>
          </w:tcPr>
          <w:p>
            <w:pPr>
              <w:spacing w:after="50" w:before="50" w:line="252" w:lineRule="auto"/>
            </w:pPr>
            <w:r>
              <w:rPr>
                <w:sz w:val="17"/>
              </w:rPr>
              <w:t>Internship agreement; genuine educational content; stipend policy; open item U4</w:t>
            </w:r>
          </w:p>
        </w:tc>
        <w:tc>
          <w:tcPr>
            <w:tcW w:type="dxa" w:w="850"/>
            <w:shd w:val="clear" w:color="auto" w:fill="EAF1F4"/>
          </w:tcPr>
          <w:p>
            <w:pPr>
              <w:spacing w:after="50" w:before="50" w:line="252" w:lineRule="auto"/>
            </w:pPr>
            <w:r>
              <w:rPr>
                <w:sz w:val="17"/>
              </w:rPr>
              <w:t>HR</w:t>
            </w:r>
          </w:p>
        </w:tc>
      </w:tr>
      <w:tr>
        <w:tc>
          <w:tcPr>
            <w:tcW w:type="dxa" w:w="850"/>
          </w:tcPr>
          <w:p>
            <w:pPr>
              <w:spacing w:after="50" w:before="50" w:line="252" w:lineRule="auto"/>
            </w:pPr>
            <w:r>
              <w:rPr>
                <w:sz w:val="17"/>
              </w:rPr>
              <w:t>R9</w:t>
            </w:r>
          </w:p>
        </w:tc>
        <w:tc>
          <w:tcPr>
            <w:tcW w:type="dxa" w:w="3695"/>
          </w:tcPr>
          <w:p>
            <w:pPr>
              <w:spacing w:after="50" w:before="50" w:line="252" w:lineRule="auto"/>
            </w:pPr>
            <w:r>
              <w:rPr>
                <w:sz w:val="17"/>
              </w:rPr>
              <w:t>GST position determined adversely with retrospective effect</w:t>
            </w:r>
          </w:p>
        </w:tc>
        <w:tc>
          <w:tcPr>
            <w:tcW w:type="dxa" w:w="850"/>
          </w:tcPr>
          <w:p>
            <w:pPr>
              <w:spacing w:after="50" w:before="50" w:line="252" w:lineRule="auto"/>
            </w:pPr>
            <w:r>
              <w:rPr>
                <w:sz w:val="17"/>
              </w:rPr>
              <w:t>3</w:t>
            </w:r>
          </w:p>
        </w:tc>
        <w:tc>
          <w:tcPr>
            <w:tcW w:type="dxa" w:w="850"/>
          </w:tcPr>
          <w:p>
            <w:pPr>
              <w:spacing w:after="50" w:before="50" w:line="252" w:lineRule="auto"/>
            </w:pPr>
            <w:r>
              <w:rPr>
                <w:sz w:val="17"/>
              </w:rPr>
              <w:t>4</w:t>
            </w:r>
          </w:p>
        </w:tc>
        <w:tc>
          <w:tcPr>
            <w:tcW w:type="dxa" w:w="850"/>
          </w:tcPr>
          <w:p>
            <w:pPr>
              <w:spacing w:after="50" w:before="50" w:line="252" w:lineRule="auto"/>
            </w:pPr>
            <w:r>
              <w:rPr>
                <w:sz w:val="17"/>
              </w:rPr>
              <w:t>12</w:t>
            </w:r>
          </w:p>
        </w:tc>
        <w:tc>
          <w:tcPr>
            <w:tcW w:type="dxa" w:w="3695"/>
          </w:tcPr>
          <w:p>
            <w:pPr>
              <w:spacing w:after="50" w:before="50" w:line="252" w:lineRule="auto"/>
            </w:pPr>
            <w:r>
              <w:rPr>
                <w:sz w:val="17"/>
              </w:rPr>
              <w:t>Quote exclusive of tax; no position asserted; open item U1 prioritised</w:t>
            </w:r>
          </w:p>
        </w:tc>
        <w:tc>
          <w:tcPr>
            <w:tcW w:type="dxa" w:w="850"/>
          </w:tcPr>
          <w:p>
            <w:pPr>
              <w:spacing w:after="50" w:before="50" w:line="252" w:lineRule="auto"/>
            </w:pPr>
            <w:r>
              <w:rPr>
                <w:sz w:val="17"/>
              </w:rPr>
              <w:t>Finance</w:t>
            </w:r>
          </w:p>
        </w:tc>
      </w:tr>
      <w:tr>
        <w:tc>
          <w:tcPr>
            <w:tcW w:type="dxa" w:w="850"/>
            <w:shd w:val="clear" w:color="auto" w:fill="EAF1F4"/>
          </w:tcPr>
          <w:p>
            <w:pPr>
              <w:spacing w:after="50" w:before="50" w:line="252" w:lineRule="auto"/>
            </w:pPr>
            <w:r>
              <w:rPr>
                <w:sz w:val="17"/>
              </w:rPr>
              <w:t>R10</w:t>
            </w:r>
          </w:p>
        </w:tc>
        <w:tc>
          <w:tcPr>
            <w:tcW w:type="dxa" w:w="3695"/>
            <w:shd w:val="clear" w:color="auto" w:fill="EAF1F4"/>
          </w:tcPr>
          <w:p>
            <w:pPr>
              <w:spacing w:after="50" w:before="50" w:line="252" w:lineRule="auto"/>
            </w:pPr>
            <w:r>
              <w:rPr>
                <w:sz w:val="17"/>
              </w:rPr>
              <w:t>Conflict of interest — partner institution becomes a party</w:t>
            </w:r>
          </w:p>
        </w:tc>
        <w:tc>
          <w:tcPr>
            <w:tcW w:type="dxa" w:w="850"/>
            <w:shd w:val="clear" w:color="auto" w:fill="EAF1F4"/>
          </w:tcPr>
          <w:p>
            <w:pPr>
              <w:spacing w:after="50" w:before="50" w:line="252" w:lineRule="auto"/>
            </w:pPr>
            <w:r>
              <w:rPr>
                <w:sz w:val="17"/>
              </w:rPr>
              <w:t>3</w:t>
            </w:r>
          </w:p>
        </w:tc>
        <w:tc>
          <w:tcPr>
            <w:tcW w:type="dxa" w:w="850"/>
            <w:shd w:val="clear" w:color="auto" w:fill="EAF1F4"/>
          </w:tcPr>
          <w:p>
            <w:pPr>
              <w:spacing w:after="50" w:before="50" w:line="252" w:lineRule="auto"/>
            </w:pPr>
            <w:r>
              <w:rPr>
                <w:sz w:val="17"/>
              </w:rPr>
              <w:t>3</w:t>
            </w:r>
          </w:p>
        </w:tc>
        <w:tc>
          <w:tcPr>
            <w:tcW w:type="dxa" w:w="850"/>
            <w:shd w:val="clear" w:color="auto" w:fill="EAF1F4"/>
          </w:tcPr>
          <w:p>
            <w:pPr>
              <w:spacing w:after="50" w:before="50" w:line="252" w:lineRule="auto"/>
            </w:pPr>
            <w:r>
              <w:rPr>
                <w:sz w:val="17"/>
              </w:rPr>
              <w:t>9</w:t>
            </w:r>
          </w:p>
        </w:tc>
        <w:tc>
          <w:tcPr>
            <w:tcW w:type="dxa" w:w="3695"/>
            <w:shd w:val="clear" w:color="auto" w:fill="EAF1F4"/>
          </w:tcPr>
          <w:p>
            <w:pPr>
              <w:spacing w:after="50" w:before="50" w:line="252" w:lineRule="auto"/>
            </w:pPr>
            <w:r>
              <w:rPr>
                <w:sz w:val="17"/>
              </w:rPr>
              <w:t>Conflict policy; entity separation; disclosure and recusal protocol</w:t>
            </w:r>
          </w:p>
        </w:tc>
        <w:tc>
          <w:tcPr>
            <w:tcW w:type="dxa" w:w="850"/>
            <w:shd w:val="clear" w:color="auto" w:fill="EAF1F4"/>
          </w:tcPr>
          <w:p>
            <w:pPr>
              <w:spacing w:after="50" w:before="50" w:line="252" w:lineRule="auto"/>
            </w:pPr>
            <w:r>
              <w:rPr>
                <w:sz w:val="17"/>
              </w:rPr>
              <w:t>Legal</w:t>
            </w:r>
          </w:p>
        </w:tc>
      </w:tr>
      <w:tr>
        <w:tc>
          <w:tcPr>
            <w:tcW w:type="dxa" w:w="850"/>
          </w:tcPr>
          <w:p>
            <w:pPr>
              <w:spacing w:after="50" w:before="50" w:line="252" w:lineRule="auto"/>
            </w:pPr>
            <w:r>
              <w:rPr>
                <w:sz w:val="17"/>
              </w:rPr>
              <w:t>R11</w:t>
            </w:r>
          </w:p>
        </w:tc>
        <w:tc>
          <w:tcPr>
            <w:tcW w:type="dxa" w:w="3695"/>
          </w:tcPr>
          <w:p>
            <w:pPr>
              <w:spacing w:after="50" w:before="50" w:line="252" w:lineRule="auto"/>
            </w:pPr>
            <w:r>
              <w:rPr>
                <w:sz w:val="17"/>
              </w:rPr>
              <w:t>Certificate represented as a qualification by a partner</w:t>
            </w:r>
          </w:p>
        </w:tc>
        <w:tc>
          <w:tcPr>
            <w:tcW w:type="dxa" w:w="850"/>
          </w:tcPr>
          <w:p>
            <w:pPr>
              <w:spacing w:after="50" w:before="50" w:line="252" w:lineRule="auto"/>
            </w:pPr>
            <w:r>
              <w:rPr>
                <w:sz w:val="17"/>
              </w:rPr>
              <w:t>3</w:t>
            </w:r>
          </w:p>
        </w:tc>
        <w:tc>
          <w:tcPr>
            <w:tcW w:type="dxa" w:w="850"/>
          </w:tcPr>
          <w:p>
            <w:pPr>
              <w:spacing w:after="50" w:before="50" w:line="252" w:lineRule="auto"/>
            </w:pPr>
            <w:r>
              <w:rPr>
                <w:sz w:val="17"/>
              </w:rPr>
              <w:t>4</w:t>
            </w:r>
          </w:p>
        </w:tc>
        <w:tc>
          <w:tcPr>
            <w:tcW w:type="dxa" w:w="850"/>
          </w:tcPr>
          <w:p>
            <w:pPr>
              <w:spacing w:after="50" w:before="50" w:line="252" w:lineRule="auto"/>
            </w:pPr>
            <w:r>
              <w:rPr>
                <w:sz w:val="17"/>
              </w:rPr>
              <w:t>12</w:t>
            </w:r>
          </w:p>
        </w:tc>
        <w:tc>
          <w:tcPr>
            <w:tcW w:type="dxa" w:w="3695"/>
          </w:tcPr>
          <w:p>
            <w:pPr>
              <w:spacing w:after="50" w:before="50" w:line="252" w:lineRule="auto"/>
            </w:pPr>
            <w:r>
              <w:rPr>
                <w:sz w:val="17"/>
              </w:rPr>
              <w:t>Mandatory statement on every certificate; Schedule G prohibitions; monitoring of partner collateral</w:t>
            </w:r>
          </w:p>
        </w:tc>
        <w:tc>
          <w:tcPr>
            <w:tcW w:type="dxa" w:w="850"/>
          </w:tcPr>
          <w:p>
            <w:pPr>
              <w:spacing w:after="50" w:before="50" w:line="252" w:lineRule="auto"/>
            </w:pPr>
            <w:r>
              <w:rPr>
                <w:sz w:val="17"/>
              </w:rPr>
              <w:t>Marketing</w:t>
            </w:r>
          </w:p>
        </w:tc>
      </w:tr>
    </w:tbl>
    <w:p>
      <w:pPr>
        <w:spacing w:after="80" w:before="0"/>
      </w:pPr>
    </w:p>
    <w:p>
      <w:pPr>
        <w:pStyle w:val="Heading2"/>
      </w:pPr>
      <w:r>
        <w:t>2.3 Safeguarding and conduct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353"/>
        <w:gridCol w:w="1353"/>
        <w:gridCol w:w="1353"/>
        <w:gridCol w:w="1353"/>
        <w:gridCol w:w="1353"/>
        <w:gridCol w:w="1353"/>
        <w:gridCol w:w="1353"/>
      </w:tblGrid>
      <w:tr>
        <w:trPr>
          <w:tblHeader w:val="true"/>
        </w:trPr>
        <w:tc>
          <w:tcPr>
            <w:tcW w:type="dxa" w:w="850"/>
            <w:shd w:val="clear" w:color="auto" w:fill="10375C"/>
          </w:tcPr>
          <w:p>
            <w:pPr>
              <w:spacing w:after="50" w:before="50"/>
            </w:pPr>
            <w:r>
              <w:rPr>
                <w:b/>
                <w:color w:val="FFFFFF"/>
                <w:sz w:val="17"/>
              </w:rPr>
              <w:t>#</w:t>
            </w:r>
          </w:p>
        </w:tc>
        <w:tc>
          <w:tcPr>
            <w:tcW w:type="dxa" w:w="3359"/>
            <w:shd w:val="clear" w:color="auto" w:fill="10375C"/>
          </w:tcPr>
          <w:p>
            <w:pPr>
              <w:spacing w:after="50" w:before="50"/>
            </w:pPr>
            <w:r>
              <w:rPr>
                <w:b/>
                <w:color w:val="FFFFFF"/>
                <w:sz w:val="17"/>
              </w:rPr>
              <w:t>Risk</w:t>
            </w:r>
          </w:p>
        </w:tc>
        <w:tc>
          <w:tcPr>
            <w:tcW w:type="dxa" w:w="850"/>
            <w:shd w:val="clear" w:color="auto" w:fill="10375C"/>
          </w:tcPr>
          <w:p>
            <w:pPr>
              <w:spacing w:after="50" w:before="50"/>
            </w:pPr>
            <w:r>
              <w:rPr>
                <w:b/>
                <w:color w:val="FFFFFF"/>
                <w:sz w:val="17"/>
              </w:rPr>
              <w:t>L</w:t>
            </w:r>
          </w:p>
        </w:tc>
        <w:tc>
          <w:tcPr>
            <w:tcW w:type="dxa" w:w="850"/>
            <w:shd w:val="clear" w:color="auto" w:fill="10375C"/>
          </w:tcPr>
          <w:p>
            <w:pPr>
              <w:spacing w:after="50" w:before="50"/>
            </w:pPr>
            <w:r>
              <w:rPr>
                <w:b/>
                <w:color w:val="FFFFFF"/>
                <w:sz w:val="17"/>
              </w:rPr>
              <w:t>I</w:t>
            </w:r>
          </w:p>
        </w:tc>
        <w:tc>
          <w:tcPr>
            <w:tcW w:type="dxa" w:w="850"/>
            <w:shd w:val="clear" w:color="auto" w:fill="10375C"/>
          </w:tcPr>
          <w:p>
            <w:pPr>
              <w:spacing w:after="50" w:before="50"/>
            </w:pPr>
            <w:r>
              <w:rPr>
                <w:b/>
                <w:color w:val="FFFFFF"/>
                <w:sz w:val="17"/>
              </w:rPr>
              <w:t>Score</w:t>
            </w:r>
          </w:p>
        </w:tc>
        <w:tc>
          <w:tcPr>
            <w:tcW w:type="dxa" w:w="3814"/>
            <w:shd w:val="clear" w:color="auto" w:fill="10375C"/>
          </w:tcPr>
          <w:p>
            <w:pPr>
              <w:spacing w:after="50" w:before="50"/>
            </w:pPr>
            <w:r>
              <w:rPr>
                <w:b/>
                <w:color w:val="FFFFFF"/>
                <w:sz w:val="17"/>
              </w:rPr>
              <w:t>Mitigation</w:t>
            </w:r>
          </w:p>
        </w:tc>
        <w:tc>
          <w:tcPr>
            <w:tcW w:type="dxa" w:w="850"/>
            <w:shd w:val="clear" w:color="auto" w:fill="10375C"/>
          </w:tcPr>
          <w:p>
            <w:pPr>
              <w:spacing w:after="50" w:before="50"/>
            </w:pPr>
            <w:r>
              <w:rPr>
                <w:b/>
                <w:color w:val="FFFFFF"/>
                <w:sz w:val="17"/>
              </w:rPr>
              <w:t>Owner</w:t>
            </w:r>
          </w:p>
        </w:tc>
      </w:tr>
      <w:tr>
        <w:tc>
          <w:tcPr>
            <w:tcW w:type="dxa" w:w="850"/>
          </w:tcPr>
          <w:p>
            <w:pPr>
              <w:spacing w:after="50" w:before="50" w:line="252" w:lineRule="auto"/>
            </w:pPr>
            <w:r>
              <w:rPr>
                <w:sz w:val="17"/>
              </w:rPr>
              <w:t>R12</w:t>
            </w:r>
          </w:p>
        </w:tc>
        <w:tc>
          <w:tcPr>
            <w:tcW w:type="dxa" w:w="3359"/>
          </w:tcPr>
          <w:p>
            <w:pPr>
              <w:spacing w:after="50" w:before="50" w:line="252" w:lineRule="auto"/>
            </w:pPr>
            <w:r>
              <w:rPr>
                <w:sz w:val="17"/>
              </w:rPr>
              <w:t>Safeguarding incident involving a student</w:t>
            </w:r>
          </w:p>
        </w:tc>
        <w:tc>
          <w:tcPr>
            <w:tcW w:type="dxa" w:w="850"/>
          </w:tcPr>
          <w:p>
            <w:pPr>
              <w:spacing w:after="50" w:before="50" w:line="252" w:lineRule="auto"/>
            </w:pPr>
            <w:r>
              <w:rPr>
                <w:sz w:val="17"/>
              </w:rPr>
              <w:t>2</w:t>
            </w:r>
          </w:p>
        </w:tc>
        <w:tc>
          <w:tcPr>
            <w:tcW w:type="dxa" w:w="850"/>
          </w:tcPr>
          <w:p>
            <w:pPr>
              <w:spacing w:after="50" w:before="50" w:line="252" w:lineRule="auto"/>
            </w:pPr>
            <w:r>
              <w:rPr>
                <w:sz w:val="17"/>
              </w:rPr>
              <w:t>5</w:t>
            </w:r>
          </w:p>
        </w:tc>
        <w:tc>
          <w:tcPr>
            <w:tcW w:type="dxa" w:w="850"/>
          </w:tcPr>
          <w:p>
            <w:pPr>
              <w:spacing w:after="50" w:before="50" w:line="252" w:lineRule="auto"/>
            </w:pPr>
            <w:r>
              <w:rPr>
                <w:sz w:val="17"/>
              </w:rPr>
              <w:t>10</w:t>
            </w:r>
          </w:p>
        </w:tc>
        <w:tc>
          <w:tcPr>
            <w:tcW w:type="dxa" w:w="3814"/>
          </w:tcPr>
          <w:p>
            <w:pPr>
              <w:spacing w:after="50" w:before="50" w:line="252" w:lineRule="auto"/>
            </w:pPr>
            <w:r>
              <w:rPr>
                <w:sz w:val="17"/>
              </w:rPr>
              <w:t>Safeguarding policy; two-adult rule; trained staff; 24-hour escalation; residential protocols</w:t>
            </w:r>
          </w:p>
        </w:tc>
        <w:tc>
          <w:tcPr>
            <w:tcW w:type="dxa" w:w="850"/>
          </w:tcPr>
          <w:p>
            <w:pPr>
              <w:spacing w:after="50" w:before="50" w:line="252" w:lineRule="auto"/>
            </w:pPr>
            <w:r>
              <w:rPr>
                <w:sz w:val="17"/>
              </w:rPr>
              <w:t>Operations</w:t>
            </w:r>
          </w:p>
        </w:tc>
      </w:tr>
      <w:tr>
        <w:tc>
          <w:tcPr>
            <w:tcW w:type="dxa" w:w="850"/>
            <w:shd w:val="clear" w:color="auto" w:fill="EAF1F4"/>
          </w:tcPr>
          <w:p>
            <w:pPr>
              <w:spacing w:after="50" w:before="50" w:line="252" w:lineRule="auto"/>
            </w:pPr>
            <w:r>
              <w:rPr>
                <w:sz w:val="17"/>
              </w:rPr>
              <w:t>R13</w:t>
            </w:r>
          </w:p>
        </w:tc>
        <w:tc>
          <w:tcPr>
            <w:tcW w:type="dxa" w:w="3359"/>
            <w:shd w:val="clear" w:color="auto" w:fill="EAF1F4"/>
          </w:tcPr>
          <w:p>
            <w:pPr>
              <w:spacing w:after="50" w:before="50" w:line="252" w:lineRule="auto"/>
            </w:pPr>
            <w:r>
              <w:rPr>
                <w:sz w:val="17"/>
              </w:rPr>
              <w:t>Harassment allegation against a trainer or staff member</w:t>
            </w:r>
          </w:p>
        </w:tc>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5</w:t>
            </w:r>
          </w:p>
        </w:tc>
        <w:tc>
          <w:tcPr>
            <w:tcW w:type="dxa" w:w="850"/>
            <w:shd w:val="clear" w:color="auto" w:fill="EAF1F4"/>
          </w:tcPr>
          <w:p>
            <w:pPr>
              <w:spacing w:after="50" w:before="50" w:line="252" w:lineRule="auto"/>
            </w:pPr>
            <w:r>
              <w:rPr>
                <w:sz w:val="17"/>
              </w:rPr>
              <w:t>10</w:t>
            </w:r>
          </w:p>
        </w:tc>
        <w:tc>
          <w:tcPr>
            <w:tcW w:type="dxa" w:w="3814"/>
            <w:shd w:val="clear" w:color="auto" w:fill="EAF1F4"/>
          </w:tcPr>
          <w:p>
            <w:pPr>
              <w:spacing w:after="50" w:before="50" w:line="252" w:lineRule="auto"/>
            </w:pPr>
            <w:r>
              <w:rPr>
                <w:sz w:val="17"/>
              </w:rPr>
              <w:t>Code of conduct; POSH machinery; complaints bypass; no informal investigation</w:t>
            </w:r>
          </w:p>
        </w:tc>
        <w:tc>
          <w:tcPr>
            <w:tcW w:type="dxa" w:w="850"/>
            <w:shd w:val="clear" w:color="auto" w:fill="EAF1F4"/>
          </w:tcPr>
          <w:p>
            <w:pPr>
              <w:spacing w:after="50" w:before="50" w:line="252" w:lineRule="auto"/>
            </w:pPr>
            <w:r>
              <w:rPr>
                <w:sz w:val="17"/>
              </w:rPr>
              <w:t>Director</w:t>
            </w:r>
          </w:p>
        </w:tc>
      </w:tr>
      <w:tr>
        <w:tc>
          <w:tcPr>
            <w:tcW w:type="dxa" w:w="850"/>
          </w:tcPr>
          <w:p>
            <w:pPr>
              <w:spacing w:after="50" w:before="50" w:line="252" w:lineRule="auto"/>
            </w:pPr>
            <w:r>
              <w:rPr>
                <w:sz w:val="17"/>
              </w:rPr>
              <w:t>R14</w:t>
            </w:r>
          </w:p>
        </w:tc>
        <w:tc>
          <w:tcPr>
            <w:tcW w:type="dxa" w:w="3359"/>
          </w:tcPr>
          <w:p>
            <w:pPr>
              <w:spacing w:after="50" w:before="50" w:line="252" w:lineRule="auto"/>
            </w:pPr>
            <w:r>
              <w:rPr>
                <w:sz w:val="17"/>
              </w:rPr>
              <w:t>Incident at a residential event</w:t>
            </w:r>
          </w:p>
        </w:tc>
        <w:tc>
          <w:tcPr>
            <w:tcW w:type="dxa" w:w="850"/>
          </w:tcPr>
          <w:p>
            <w:pPr>
              <w:spacing w:after="50" w:before="50" w:line="252" w:lineRule="auto"/>
            </w:pPr>
            <w:r>
              <w:rPr>
                <w:sz w:val="17"/>
              </w:rPr>
              <w:t>2</w:t>
            </w:r>
          </w:p>
        </w:tc>
        <w:tc>
          <w:tcPr>
            <w:tcW w:type="dxa" w:w="850"/>
          </w:tcPr>
          <w:p>
            <w:pPr>
              <w:spacing w:after="50" w:before="50" w:line="252" w:lineRule="auto"/>
            </w:pPr>
            <w:r>
              <w:rPr>
                <w:sz w:val="17"/>
              </w:rPr>
              <w:t>4</w:t>
            </w:r>
          </w:p>
        </w:tc>
        <w:tc>
          <w:tcPr>
            <w:tcW w:type="dxa" w:w="850"/>
          </w:tcPr>
          <w:p>
            <w:pPr>
              <w:spacing w:after="50" w:before="50" w:line="252" w:lineRule="auto"/>
            </w:pPr>
            <w:r>
              <w:rPr>
                <w:sz w:val="17"/>
              </w:rPr>
              <w:t>8</w:t>
            </w:r>
          </w:p>
        </w:tc>
        <w:tc>
          <w:tcPr>
            <w:tcW w:type="dxa" w:w="3814"/>
          </w:tcPr>
          <w:p>
            <w:pPr>
              <w:spacing w:after="50" w:before="50" w:line="252" w:lineRule="auto"/>
            </w:pPr>
            <w:r>
              <w:rPr>
                <w:sz w:val="17"/>
              </w:rPr>
              <w:t>Residential protocol; supervision ratio; no alcohol; 24-hour coordinator; medical information collected</w:t>
            </w:r>
          </w:p>
        </w:tc>
        <w:tc>
          <w:tcPr>
            <w:tcW w:type="dxa" w:w="850"/>
          </w:tcPr>
          <w:p>
            <w:pPr>
              <w:spacing w:after="50" w:before="50" w:line="252" w:lineRule="auto"/>
            </w:pPr>
            <w:r>
              <w:rPr>
                <w:sz w:val="17"/>
              </w:rPr>
              <w:t>Operations</w:t>
            </w:r>
          </w:p>
        </w:tc>
      </w:tr>
      <w:tr>
        <w:tc>
          <w:tcPr>
            <w:tcW w:type="dxa" w:w="850"/>
            <w:shd w:val="clear" w:color="auto" w:fill="EAF1F4"/>
          </w:tcPr>
          <w:p>
            <w:pPr>
              <w:spacing w:after="50" w:before="50" w:line="252" w:lineRule="auto"/>
            </w:pPr>
            <w:r>
              <w:rPr>
                <w:sz w:val="17"/>
              </w:rPr>
              <w:t>R15</w:t>
            </w:r>
          </w:p>
        </w:tc>
        <w:tc>
          <w:tcPr>
            <w:tcW w:type="dxa" w:w="3359"/>
            <w:shd w:val="clear" w:color="auto" w:fill="EAF1F4"/>
          </w:tcPr>
          <w:p>
            <w:pPr>
              <w:spacing w:after="50" w:before="50" w:line="252" w:lineRule="auto"/>
            </w:pPr>
            <w:r>
              <w:rPr>
                <w:sz w:val="17"/>
              </w:rPr>
              <w:t>Trainer misconduct with a participant</w:t>
            </w:r>
          </w:p>
        </w:tc>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5</w:t>
            </w:r>
          </w:p>
        </w:tc>
        <w:tc>
          <w:tcPr>
            <w:tcW w:type="dxa" w:w="850"/>
            <w:shd w:val="clear" w:color="auto" w:fill="EAF1F4"/>
          </w:tcPr>
          <w:p>
            <w:pPr>
              <w:spacing w:after="50" w:before="50" w:line="252" w:lineRule="auto"/>
            </w:pPr>
            <w:r>
              <w:rPr>
                <w:sz w:val="17"/>
              </w:rPr>
              <w:t>10</w:t>
            </w:r>
          </w:p>
        </w:tc>
        <w:tc>
          <w:tcPr>
            <w:tcW w:type="dxa" w:w="3814"/>
            <w:shd w:val="clear" w:color="auto" w:fill="EAF1F4"/>
          </w:tcPr>
          <w:p>
            <w:pPr>
              <w:spacing w:after="50" w:before="50" w:line="252" w:lineRule="auto"/>
            </w:pPr>
            <w:r>
              <w:rPr>
                <w:sz w:val="17"/>
              </w:rPr>
              <w:t>Engagement agreement clause 7; declaration; observation; feedback route</w:t>
            </w:r>
          </w:p>
        </w:tc>
        <w:tc>
          <w:tcPr>
            <w:tcW w:type="dxa" w:w="850"/>
            <w:shd w:val="clear" w:color="auto" w:fill="EAF1F4"/>
          </w:tcPr>
          <w:p>
            <w:pPr>
              <w:spacing w:after="50" w:before="50" w:line="252" w:lineRule="auto"/>
            </w:pPr>
            <w:r>
              <w:rPr>
                <w:sz w:val="17"/>
              </w:rPr>
              <w:t>Curriculum</w:t>
            </w:r>
          </w:p>
        </w:tc>
      </w:tr>
    </w:tbl>
    <w:p>
      <w:pPr>
        <w:spacing w:after="80" w:before="0"/>
      </w:pPr>
    </w:p>
    <w:p>
      <w:pPr>
        <w:pStyle w:val="Heading2"/>
      </w:pPr>
      <w:r>
        <w:t>2.4 Operational</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353"/>
        <w:gridCol w:w="1353"/>
        <w:gridCol w:w="1353"/>
        <w:gridCol w:w="1353"/>
        <w:gridCol w:w="1353"/>
        <w:gridCol w:w="1353"/>
        <w:gridCol w:w="1353"/>
      </w:tblGrid>
      <w:tr>
        <w:trPr>
          <w:tblHeader w:val="true"/>
        </w:trPr>
        <w:tc>
          <w:tcPr>
            <w:tcW w:type="dxa" w:w="850"/>
            <w:shd w:val="clear" w:color="auto" w:fill="10375C"/>
          </w:tcPr>
          <w:p>
            <w:pPr>
              <w:spacing w:after="50" w:before="50"/>
            </w:pPr>
            <w:r>
              <w:rPr>
                <w:b/>
                <w:color w:val="FFFFFF"/>
                <w:sz w:val="17"/>
              </w:rPr>
              <w:t>#</w:t>
            </w:r>
          </w:p>
        </w:tc>
        <w:tc>
          <w:tcPr>
            <w:tcW w:type="dxa" w:w="3463"/>
            <w:shd w:val="clear" w:color="auto" w:fill="10375C"/>
          </w:tcPr>
          <w:p>
            <w:pPr>
              <w:spacing w:after="50" w:before="50"/>
            </w:pPr>
            <w:r>
              <w:rPr>
                <w:b/>
                <w:color w:val="FFFFFF"/>
                <w:sz w:val="17"/>
              </w:rPr>
              <w:t>Risk</w:t>
            </w:r>
          </w:p>
        </w:tc>
        <w:tc>
          <w:tcPr>
            <w:tcW w:type="dxa" w:w="850"/>
            <w:shd w:val="clear" w:color="auto" w:fill="10375C"/>
          </w:tcPr>
          <w:p>
            <w:pPr>
              <w:spacing w:after="50" w:before="50"/>
            </w:pPr>
            <w:r>
              <w:rPr>
                <w:b/>
                <w:color w:val="FFFFFF"/>
                <w:sz w:val="17"/>
              </w:rPr>
              <w:t>L</w:t>
            </w:r>
          </w:p>
        </w:tc>
        <w:tc>
          <w:tcPr>
            <w:tcW w:type="dxa" w:w="850"/>
            <w:shd w:val="clear" w:color="auto" w:fill="10375C"/>
          </w:tcPr>
          <w:p>
            <w:pPr>
              <w:spacing w:after="50" w:before="50"/>
            </w:pPr>
            <w:r>
              <w:rPr>
                <w:b/>
                <w:color w:val="FFFFFF"/>
                <w:sz w:val="17"/>
              </w:rPr>
              <w:t>I</w:t>
            </w:r>
          </w:p>
        </w:tc>
        <w:tc>
          <w:tcPr>
            <w:tcW w:type="dxa" w:w="850"/>
            <w:shd w:val="clear" w:color="auto" w:fill="10375C"/>
          </w:tcPr>
          <w:p>
            <w:pPr>
              <w:spacing w:after="50" w:before="50"/>
            </w:pPr>
            <w:r>
              <w:rPr>
                <w:b/>
                <w:color w:val="FFFFFF"/>
                <w:sz w:val="17"/>
              </w:rPr>
              <w:t>Score</w:t>
            </w:r>
          </w:p>
        </w:tc>
        <w:tc>
          <w:tcPr>
            <w:tcW w:type="dxa" w:w="3740"/>
            <w:shd w:val="clear" w:color="auto" w:fill="10375C"/>
          </w:tcPr>
          <w:p>
            <w:pPr>
              <w:spacing w:after="50" w:before="50"/>
            </w:pPr>
            <w:r>
              <w:rPr>
                <w:b/>
                <w:color w:val="FFFFFF"/>
                <w:sz w:val="17"/>
              </w:rPr>
              <w:t>Mitigation</w:t>
            </w:r>
          </w:p>
        </w:tc>
        <w:tc>
          <w:tcPr>
            <w:tcW w:type="dxa" w:w="850"/>
            <w:shd w:val="clear" w:color="auto" w:fill="10375C"/>
          </w:tcPr>
          <w:p>
            <w:pPr>
              <w:spacing w:after="50" w:before="50"/>
            </w:pPr>
            <w:r>
              <w:rPr>
                <w:b/>
                <w:color w:val="FFFFFF"/>
                <w:sz w:val="17"/>
              </w:rPr>
              <w:t>Owner</w:t>
            </w:r>
          </w:p>
        </w:tc>
      </w:tr>
      <w:tr>
        <w:tc>
          <w:tcPr>
            <w:tcW w:type="dxa" w:w="850"/>
          </w:tcPr>
          <w:p>
            <w:pPr>
              <w:spacing w:after="50" w:before="50" w:line="252" w:lineRule="auto"/>
            </w:pPr>
            <w:r>
              <w:rPr>
                <w:sz w:val="17"/>
              </w:rPr>
              <w:t>R16</w:t>
            </w:r>
          </w:p>
        </w:tc>
        <w:tc>
          <w:tcPr>
            <w:tcW w:type="dxa" w:w="3463"/>
          </w:tcPr>
          <w:p>
            <w:pPr>
              <w:spacing w:after="50" w:before="50" w:line="252" w:lineRule="auto"/>
            </w:pPr>
            <w:r>
              <w:rPr>
                <w:sz w:val="17"/>
              </w:rPr>
              <w:t>Key-person dependency on a small trainer bench</w:t>
            </w:r>
          </w:p>
        </w:tc>
        <w:tc>
          <w:tcPr>
            <w:tcW w:type="dxa" w:w="850"/>
          </w:tcPr>
          <w:p>
            <w:pPr>
              <w:spacing w:after="50" w:before="50" w:line="252" w:lineRule="auto"/>
            </w:pPr>
            <w:r>
              <w:rPr>
                <w:sz w:val="17"/>
              </w:rPr>
              <w:t>4</w:t>
            </w:r>
          </w:p>
        </w:tc>
        <w:tc>
          <w:tcPr>
            <w:tcW w:type="dxa" w:w="850"/>
          </w:tcPr>
          <w:p>
            <w:pPr>
              <w:spacing w:after="50" w:before="50" w:line="252" w:lineRule="auto"/>
            </w:pPr>
            <w:r>
              <w:rPr>
                <w:sz w:val="17"/>
              </w:rPr>
              <w:t>4</w:t>
            </w:r>
          </w:p>
        </w:tc>
        <w:tc>
          <w:tcPr>
            <w:tcW w:type="dxa" w:w="850"/>
          </w:tcPr>
          <w:p>
            <w:pPr>
              <w:spacing w:after="50" w:before="50" w:line="252" w:lineRule="auto"/>
            </w:pPr>
            <w:r>
              <w:rPr>
                <w:sz w:val="17"/>
              </w:rPr>
              <w:t>16</w:t>
            </w:r>
          </w:p>
        </w:tc>
        <w:tc>
          <w:tcPr>
            <w:tcW w:type="dxa" w:w="3740"/>
          </w:tcPr>
          <w:p>
            <w:pPr>
              <w:spacing w:after="50" w:before="50" w:line="252" w:lineRule="auto"/>
            </w:pPr>
            <w:r>
              <w:rPr>
                <w:sz w:val="17"/>
              </w:rPr>
              <w:t>Train-the-trainer; minimum bench of 12 before scaling; local bench targets per city</w:t>
            </w:r>
          </w:p>
        </w:tc>
        <w:tc>
          <w:tcPr>
            <w:tcW w:type="dxa" w:w="850"/>
          </w:tcPr>
          <w:p>
            <w:pPr>
              <w:spacing w:after="50" w:before="50" w:line="252" w:lineRule="auto"/>
            </w:pPr>
            <w:r>
              <w:rPr>
                <w:sz w:val="17"/>
              </w:rPr>
              <w:t>Curriculum</w:t>
            </w:r>
          </w:p>
        </w:tc>
      </w:tr>
      <w:tr>
        <w:tc>
          <w:tcPr>
            <w:tcW w:type="dxa" w:w="850"/>
            <w:shd w:val="clear" w:color="auto" w:fill="EAF1F4"/>
          </w:tcPr>
          <w:p>
            <w:pPr>
              <w:spacing w:after="50" w:before="50" w:line="252" w:lineRule="auto"/>
            </w:pPr>
            <w:r>
              <w:rPr>
                <w:sz w:val="17"/>
              </w:rPr>
              <w:t>R17</w:t>
            </w:r>
          </w:p>
        </w:tc>
        <w:tc>
          <w:tcPr>
            <w:tcW w:type="dxa" w:w="3463"/>
            <w:shd w:val="clear" w:color="auto" w:fill="EAF1F4"/>
          </w:tcPr>
          <w:p>
            <w:pPr>
              <w:spacing w:after="50" w:before="50" w:line="252" w:lineRule="auto"/>
            </w:pPr>
            <w:r>
              <w:rPr>
                <w:sz w:val="17"/>
              </w:rPr>
              <w:t>Cohort under-subscription; programme uneconomic</w:t>
            </w:r>
          </w:p>
        </w:tc>
        <w:tc>
          <w:tcPr>
            <w:tcW w:type="dxa" w:w="850"/>
            <w:shd w:val="clear" w:color="auto" w:fill="EAF1F4"/>
          </w:tcPr>
          <w:p>
            <w:pPr>
              <w:spacing w:after="50" w:before="50" w:line="252" w:lineRule="auto"/>
            </w:pPr>
            <w:r>
              <w:rPr>
                <w:sz w:val="17"/>
              </w:rPr>
              <w:t>4</w:t>
            </w:r>
          </w:p>
        </w:tc>
        <w:tc>
          <w:tcPr>
            <w:tcW w:type="dxa" w:w="850"/>
            <w:shd w:val="clear" w:color="auto" w:fill="EAF1F4"/>
          </w:tcPr>
          <w:p>
            <w:pPr>
              <w:spacing w:after="50" w:before="50" w:line="252" w:lineRule="auto"/>
            </w:pPr>
            <w:r>
              <w:rPr>
                <w:sz w:val="17"/>
              </w:rPr>
              <w:t>3</w:t>
            </w:r>
          </w:p>
        </w:tc>
        <w:tc>
          <w:tcPr>
            <w:tcW w:type="dxa" w:w="850"/>
            <w:shd w:val="clear" w:color="auto" w:fill="EAF1F4"/>
          </w:tcPr>
          <w:p>
            <w:pPr>
              <w:spacing w:after="50" w:before="50" w:line="252" w:lineRule="auto"/>
            </w:pPr>
            <w:r>
              <w:rPr>
                <w:sz w:val="17"/>
              </w:rPr>
              <w:t>12</w:t>
            </w:r>
          </w:p>
        </w:tc>
        <w:tc>
          <w:tcPr>
            <w:tcW w:type="dxa" w:w="3740"/>
            <w:shd w:val="clear" w:color="auto" w:fill="EAF1F4"/>
          </w:tcPr>
          <w:p>
            <w:pPr>
              <w:spacing w:after="50" w:before="50" w:line="252" w:lineRule="auto"/>
            </w:pPr>
            <w:r>
              <w:rPr>
                <w:sz w:val="17"/>
              </w:rPr>
              <w:t>Free guest lecture first; day −21 and −7 checkpoints; combine cohorts; go/no-go discipline</w:t>
            </w:r>
          </w:p>
        </w:tc>
        <w:tc>
          <w:tcPr>
            <w:tcW w:type="dxa" w:w="850"/>
            <w:shd w:val="clear" w:color="auto" w:fill="EAF1F4"/>
          </w:tcPr>
          <w:p>
            <w:pPr>
              <w:spacing w:after="50" w:before="50" w:line="252" w:lineRule="auto"/>
            </w:pPr>
            <w:r>
              <w:rPr>
                <w:sz w:val="17"/>
              </w:rPr>
              <w:t>Operations</w:t>
            </w:r>
          </w:p>
        </w:tc>
      </w:tr>
      <w:tr>
        <w:tc>
          <w:tcPr>
            <w:tcW w:type="dxa" w:w="850"/>
          </w:tcPr>
          <w:p>
            <w:pPr>
              <w:spacing w:after="50" w:before="50" w:line="252" w:lineRule="auto"/>
            </w:pPr>
            <w:r>
              <w:rPr>
                <w:sz w:val="17"/>
              </w:rPr>
              <w:t>R18</w:t>
            </w:r>
          </w:p>
        </w:tc>
        <w:tc>
          <w:tcPr>
            <w:tcW w:type="dxa" w:w="3463"/>
          </w:tcPr>
          <w:p>
            <w:pPr>
              <w:spacing w:after="50" w:before="50" w:line="252" w:lineRule="auto"/>
            </w:pPr>
            <w:r>
              <w:rPr>
                <w:sz w:val="17"/>
              </w:rPr>
              <w:t>Unsuitable venue delivered on the day</w:t>
            </w:r>
          </w:p>
        </w:tc>
        <w:tc>
          <w:tcPr>
            <w:tcW w:type="dxa" w:w="850"/>
          </w:tcPr>
          <w:p>
            <w:pPr>
              <w:spacing w:after="50" w:before="50" w:line="252" w:lineRule="auto"/>
            </w:pPr>
            <w:r>
              <w:rPr>
                <w:sz w:val="17"/>
              </w:rPr>
              <w:t>3</w:t>
            </w:r>
          </w:p>
        </w:tc>
        <w:tc>
          <w:tcPr>
            <w:tcW w:type="dxa" w:w="850"/>
          </w:tcPr>
          <w:p>
            <w:pPr>
              <w:spacing w:after="50" w:before="50" w:line="252" w:lineRule="auto"/>
            </w:pPr>
            <w:r>
              <w:rPr>
                <w:sz w:val="17"/>
              </w:rPr>
              <w:t>3</w:t>
            </w:r>
          </w:p>
        </w:tc>
        <w:tc>
          <w:tcPr>
            <w:tcW w:type="dxa" w:w="850"/>
          </w:tcPr>
          <w:p>
            <w:pPr>
              <w:spacing w:after="50" w:before="50" w:line="252" w:lineRule="auto"/>
            </w:pPr>
            <w:r>
              <w:rPr>
                <w:sz w:val="17"/>
              </w:rPr>
              <w:t>9</w:t>
            </w:r>
          </w:p>
        </w:tc>
        <w:tc>
          <w:tcPr>
            <w:tcW w:type="dxa" w:w="3740"/>
          </w:tcPr>
          <w:p>
            <w:pPr>
              <w:spacing w:after="50" w:before="50" w:line="252" w:lineRule="auto"/>
            </w:pPr>
            <w:r>
              <w:rPr>
                <w:sz w:val="17"/>
              </w:rPr>
              <w:t>Room standard communicated in writing at −35; walkthrough at −1; postpone rather than deliver badly</w:t>
            </w:r>
          </w:p>
        </w:tc>
        <w:tc>
          <w:tcPr>
            <w:tcW w:type="dxa" w:w="850"/>
          </w:tcPr>
          <w:p>
            <w:pPr>
              <w:spacing w:after="50" w:before="50" w:line="252" w:lineRule="auto"/>
            </w:pPr>
            <w:r>
              <w:rPr>
                <w:sz w:val="17"/>
              </w:rPr>
              <w:t>Operations</w:t>
            </w:r>
          </w:p>
        </w:tc>
      </w:tr>
      <w:tr>
        <w:tc>
          <w:tcPr>
            <w:tcW w:type="dxa" w:w="850"/>
            <w:shd w:val="clear" w:color="auto" w:fill="EAF1F4"/>
          </w:tcPr>
          <w:p>
            <w:pPr>
              <w:spacing w:after="50" w:before="50" w:line="252" w:lineRule="auto"/>
            </w:pPr>
            <w:r>
              <w:rPr>
                <w:sz w:val="17"/>
              </w:rPr>
              <w:t>R19</w:t>
            </w:r>
          </w:p>
        </w:tc>
        <w:tc>
          <w:tcPr>
            <w:tcW w:type="dxa" w:w="3463"/>
            <w:shd w:val="clear" w:color="auto" w:fill="EAF1F4"/>
          </w:tcPr>
          <w:p>
            <w:pPr>
              <w:spacing w:after="50" w:before="50" w:line="252" w:lineRule="auto"/>
            </w:pPr>
            <w:r>
              <w:rPr>
                <w:sz w:val="17"/>
              </w:rPr>
              <w:t>Competition integrity failure — leak, disputed result</w:t>
            </w:r>
          </w:p>
        </w:tc>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5</w:t>
            </w:r>
          </w:p>
        </w:tc>
        <w:tc>
          <w:tcPr>
            <w:tcW w:type="dxa" w:w="850"/>
            <w:shd w:val="clear" w:color="auto" w:fill="EAF1F4"/>
          </w:tcPr>
          <w:p>
            <w:pPr>
              <w:spacing w:after="50" w:before="50" w:line="252" w:lineRule="auto"/>
            </w:pPr>
            <w:r>
              <w:rPr>
                <w:sz w:val="17"/>
              </w:rPr>
              <w:t>10</w:t>
            </w:r>
          </w:p>
        </w:tc>
        <w:tc>
          <w:tcPr>
            <w:tcW w:type="dxa" w:w="3740"/>
            <w:shd w:val="clear" w:color="auto" w:fill="EAF1F4"/>
          </w:tcPr>
          <w:p>
            <w:pPr>
              <w:spacing w:after="50" w:before="50" w:line="252" w:lineRule="auto"/>
            </w:pPr>
            <w:r>
              <w:rPr>
                <w:sz w:val="17"/>
              </w:rPr>
              <w:t>Integrity architecture; separations; calibration; appeals with a defined route</w:t>
            </w:r>
          </w:p>
        </w:tc>
        <w:tc>
          <w:tcPr>
            <w:tcW w:type="dxa" w:w="850"/>
            <w:shd w:val="clear" w:color="auto" w:fill="EAF1F4"/>
          </w:tcPr>
          <w:p>
            <w:pPr>
              <w:spacing w:after="50" w:before="50" w:line="252" w:lineRule="auto"/>
            </w:pPr>
            <w:r>
              <w:rPr>
                <w:sz w:val="17"/>
              </w:rPr>
              <w:t>Convenor</w:t>
            </w:r>
          </w:p>
        </w:tc>
      </w:tr>
      <w:tr>
        <w:tc>
          <w:tcPr>
            <w:tcW w:type="dxa" w:w="850"/>
          </w:tcPr>
          <w:p>
            <w:pPr>
              <w:spacing w:after="50" w:before="50" w:line="252" w:lineRule="auto"/>
            </w:pPr>
            <w:r>
              <w:rPr>
                <w:sz w:val="17"/>
              </w:rPr>
              <w:t>R20</w:t>
            </w:r>
          </w:p>
        </w:tc>
        <w:tc>
          <w:tcPr>
            <w:tcW w:type="dxa" w:w="3463"/>
          </w:tcPr>
          <w:p>
            <w:pPr>
              <w:spacing w:after="50" w:before="50" w:line="252" w:lineRule="auto"/>
            </w:pPr>
            <w:r>
              <w:rPr>
                <w:sz w:val="17"/>
              </w:rPr>
              <w:t>Trainer unavailable at short notice</w:t>
            </w:r>
          </w:p>
        </w:tc>
        <w:tc>
          <w:tcPr>
            <w:tcW w:type="dxa" w:w="850"/>
          </w:tcPr>
          <w:p>
            <w:pPr>
              <w:spacing w:after="50" w:before="50" w:line="252" w:lineRule="auto"/>
            </w:pPr>
            <w:r>
              <w:rPr>
                <w:sz w:val="17"/>
              </w:rPr>
              <w:t>3</w:t>
            </w:r>
          </w:p>
        </w:tc>
        <w:tc>
          <w:tcPr>
            <w:tcW w:type="dxa" w:w="850"/>
          </w:tcPr>
          <w:p>
            <w:pPr>
              <w:spacing w:after="50" w:before="50" w:line="252" w:lineRule="auto"/>
            </w:pPr>
            <w:r>
              <w:rPr>
                <w:sz w:val="17"/>
              </w:rPr>
              <w:t>3</w:t>
            </w:r>
          </w:p>
        </w:tc>
        <w:tc>
          <w:tcPr>
            <w:tcW w:type="dxa" w:w="850"/>
          </w:tcPr>
          <w:p>
            <w:pPr>
              <w:spacing w:after="50" w:before="50" w:line="252" w:lineRule="auto"/>
            </w:pPr>
            <w:r>
              <w:rPr>
                <w:sz w:val="17"/>
              </w:rPr>
              <w:t>9</w:t>
            </w:r>
          </w:p>
        </w:tc>
        <w:tc>
          <w:tcPr>
            <w:tcW w:type="dxa" w:w="3740"/>
          </w:tcPr>
          <w:p>
            <w:pPr>
              <w:spacing w:after="50" w:before="50" w:line="252" w:lineRule="auto"/>
            </w:pPr>
            <w:r>
              <w:rPr>
                <w:sz w:val="17"/>
              </w:rPr>
              <w:t>Reserve bench; substitution protocol; institution informed same day</w:t>
            </w:r>
          </w:p>
        </w:tc>
        <w:tc>
          <w:tcPr>
            <w:tcW w:type="dxa" w:w="850"/>
          </w:tcPr>
          <w:p>
            <w:pPr>
              <w:spacing w:after="50" w:before="50" w:line="252" w:lineRule="auto"/>
            </w:pPr>
            <w:r>
              <w:rPr>
                <w:sz w:val="17"/>
              </w:rPr>
              <w:t>Curriculum</w:t>
            </w:r>
          </w:p>
        </w:tc>
      </w:tr>
    </w:tbl>
    <w:p>
      <w:pPr>
        <w:spacing w:after="80" w:before="0"/>
      </w:pPr>
    </w:p>
    <w:p>
      <w:pPr>
        <w:pStyle w:val="Heading2"/>
      </w:pPr>
      <w:r>
        <w:t>2.5 Financial</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353"/>
        <w:gridCol w:w="1353"/>
        <w:gridCol w:w="1353"/>
        <w:gridCol w:w="1353"/>
        <w:gridCol w:w="1353"/>
        <w:gridCol w:w="1353"/>
        <w:gridCol w:w="1353"/>
      </w:tblGrid>
      <w:tr>
        <w:trPr>
          <w:tblHeader w:val="true"/>
        </w:trPr>
        <w:tc>
          <w:tcPr>
            <w:tcW w:type="dxa" w:w="850"/>
            <w:shd w:val="clear" w:color="auto" w:fill="10375C"/>
          </w:tcPr>
          <w:p>
            <w:pPr>
              <w:spacing w:after="50" w:before="50"/>
            </w:pPr>
            <w:r>
              <w:rPr>
                <w:b/>
                <w:color w:val="FFFFFF"/>
                <w:sz w:val="17"/>
              </w:rPr>
              <w:t>#</w:t>
            </w:r>
          </w:p>
        </w:tc>
        <w:tc>
          <w:tcPr>
            <w:tcW w:type="dxa" w:w="3231"/>
            <w:shd w:val="clear" w:color="auto" w:fill="10375C"/>
          </w:tcPr>
          <w:p>
            <w:pPr>
              <w:spacing w:after="50" w:before="50"/>
            </w:pPr>
            <w:r>
              <w:rPr>
                <w:b/>
                <w:color w:val="FFFFFF"/>
                <w:sz w:val="17"/>
              </w:rPr>
              <w:t>Risk</w:t>
            </w:r>
          </w:p>
        </w:tc>
        <w:tc>
          <w:tcPr>
            <w:tcW w:type="dxa" w:w="850"/>
            <w:shd w:val="clear" w:color="auto" w:fill="10375C"/>
          </w:tcPr>
          <w:p>
            <w:pPr>
              <w:spacing w:after="50" w:before="50"/>
            </w:pPr>
            <w:r>
              <w:rPr>
                <w:b/>
                <w:color w:val="FFFFFF"/>
                <w:sz w:val="17"/>
              </w:rPr>
              <w:t>L</w:t>
            </w:r>
          </w:p>
        </w:tc>
        <w:tc>
          <w:tcPr>
            <w:tcW w:type="dxa" w:w="850"/>
            <w:shd w:val="clear" w:color="auto" w:fill="10375C"/>
          </w:tcPr>
          <w:p>
            <w:pPr>
              <w:spacing w:after="50" w:before="50"/>
            </w:pPr>
            <w:r>
              <w:rPr>
                <w:b/>
                <w:color w:val="FFFFFF"/>
                <w:sz w:val="17"/>
              </w:rPr>
              <w:t>I</w:t>
            </w:r>
          </w:p>
        </w:tc>
        <w:tc>
          <w:tcPr>
            <w:tcW w:type="dxa" w:w="850"/>
            <w:shd w:val="clear" w:color="auto" w:fill="10375C"/>
          </w:tcPr>
          <w:p>
            <w:pPr>
              <w:spacing w:after="50" w:before="50"/>
            </w:pPr>
            <w:r>
              <w:rPr>
                <w:b/>
                <w:color w:val="FFFFFF"/>
                <w:sz w:val="17"/>
              </w:rPr>
              <w:t>Score</w:t>
            </w:r>
          </w:p>
        </w:tc>
        <w:tc>
          <w:tcPr>
            <w:tcW w:type="dxa" w:w="3998"/>
            <w:shd w:val="clear" w:color="auto" w:fill="10375C"/>
          </w:tcPr>
          <w:p>
            <w:pPr>
              <w:spacing w:after="50" w:before="50"/>
            </w:pPr>
            <w:r>
              <w:rPr>
                <w:b/>
                <w:color w:val="FFFFFF"/>
                <w:sz w:val="17"/>
              </w:rPr>
              <w:t>Mitigation</w:t>
            </w:r>
          </w:p>
        </w:tc>
        <w:tc>
          <w:tcPr>
            <w:tcW w:type="dxa" w:w="850"/>
            <w:shd w:val="clear" w:color="auto" w:fill="10375C"/>
          </w:tcPr>
          <w:p>
            <w:pPr>
              <w:spacing w:after="50" w:before="50"/>
            </w:pPr>
            <w:r>
              <w:rPr>
                <w:b/>
                <w:color w:val="FFFFFF"/>
                <w:sz w:val="17"/>
              </w:rPr>
              <w:t>Owner</w:t>
            </w:r>
          </w:p>
        </w:tc>
      </w:tr>
      <w:tr>
        <w:tc>
          <w:tcPr>
            <w:tcW w:type="dxa" w:w="850"/>
          </w:tcPr>
          <w:p>
            <w:pPr>
              <w:spacing w:after="50" w:before="50" w:line="252" w:lineRule="auto"/>
            </w:pPr>
            <w:r>
              <w:rPr>
                <w:sz w:val="17"/>
              </w:rPr>
              <w:t>R21</w:t>
            </w:r>
          </w:p>
        </w:tc>
        <w:tc>
          <w:tcPr>
            <w:tcW w:type="dxa" w:w="3231"/>
          </w:tcPr>
          <w:p>
            <w:pPr>
              <w:spacing w:after="50" w:before="50" w:line="252" w:lineRule="auto"/>
            </w:pPr>
            <w:r>
              <w:rPr>
                <w:sz w:val="17"/>
              </w:rPr>
              <w:t>Free-of-cost creep; paid programmes given away</w:t>
            </w:r>
          </w:p>
        </w:tc>
        <w:tc>
          <w:tcPr>
            <w:tcW w:type="dxa" w:w="850"/>
          </w:tcPr>
          <w:p>
            <w:pPr>
              <w:spacing w:after="50" w:before="50" w:line="252" w:lineRule="auto"/>
            </w:pPr>
            <w:r>
              <w:rPr>
                <w:sz w:val="17"/>
              </w:rPr>
              <w:t>4</w:t>
            </w:r>
          </w:p>
        </w:tc>
        <w:tc>
          <w:tcPr>
            <w:tcW w:type="dxa" w:w="850"/>
          </w:tcPr>
          <w:p>
            <w:pPr>
              <w:spacing w:after="50" w:before="50" w:line="252" w:lineRule="auto"/>
            </w:pPr>
            <w:r>
              <w:rPr>
                <w:sz w:val="17"/>
              </w:rPr>
              <w:t>3</w:t>
            </w:r>
          </w:p>
        </w:tc>
        <w:tc>
          <w:tcPr>
            <w:tcW w:type="dxa" w:w="850"/>
          </w:tcPr>
          <w:p>
            <w:pPr>
              <w:spacing w:after="50" w:before="50" w:line="252" w:lineRule="auto"/>
            </w:pPr>
            <w:r>
              <w:rPr>
                <w:sz w:val="17"/>
              </w:rPr>
              <w:t>12</w:t>
            </w:r>
          </w:p>
        </w:tc>
        <w:tc>
          <w:tcPr>
            <w:tcW w:type="dxa" w:w="3998"/>
          </w:tcPr>
          <w:p>
            <w:pPr>
              <w:spacing w:after="50" w:before="50" w:line="252" w:lineRule="auto"/>
            </w:pPr>
            <w:r>
              <w:rPr>
                <w:sz w:val="17"/>
              </w:rPr>
              <w:t>Delegation of Authority; approved loss leaders only; exceptions register reported quarterly</w:t>
            </w:r>
          </w:p>
        </w:tc>
        <w:tc>
          <w:tcPr>
            <w:tcW w:type="dxa" w:w="850"/>
          </w:tcPr>
          <w:p>
            <w:pPr>
              <w:spacing w:after="50" w:before="50" w:line="252" w:lineRule="auto"/>
            </w:pPr>
            <w:r>
              <w:rPr>
                <w:sz w:val="17"/>
              </w:rPr>
              <w:t>Finance</w:t>
            </w:r>
          </w:p>
        </w:tc>
      </w:tr>
      <w:tr>
        <w:tc>
          <w:tcPr>
            <w:tcW w:type="dxa" w:w="850"/>
            <w:shd w:val="clear" w:color="auto" w:fill="EAF1F4"/>
          </w:tcPr>
          <w:p>
            <w:pPr>
              <w:spacing w:after="50" w:before="50" w:line="252" w:lineRule="auto"/>
            </w:pPr>
            <w:r>
              <w:rPr>
                <w:sz w:val="17"/>
              </w:rPr>
              <w:t>R22</w:t>
            </w:r>
          </w:p>
        </w:tc>
        <w:tc>
          <w:tcPr>
            <w:tcW w:type="dxa" w:w="3231"/>
            <w:shd w:val="clear" w:color="auto" w:fill="EAF1F4"/>
          </w:tcPr>
          <w:p>
            <w:pPr>
              <w:spacing w:after="50" w:before="50" w:line="252" w:lineRule="auto"/>
            </w:pPr>
            <w:r>
              <w:rPr>
                <w:sz w:val="17"/>
              </w:rPr>
              <w:t>Revenue share not settled by an institution</w:t>
            </w:r>
          </w:p>
        </w:tc>
        <w:tc>
          <w:tcPr>
            <w:tcW w:type="dxa" w:w="850"/>
            <w:shd w:val="clear" w:color="auto" w:fill="EAF1F4"/>
          </w:tcPr>
          <w:p>
            <w:pPr>
              <w:spacing w:after="50" w:before="50" w:line="252" w:lineRule="auto"/>
            </w:pPr>
            <w:r>
              <w:rPr>
                <w:sz w:val="17"/>
              </w:rPr>
              <w:t>3</w:t>
            </w:r>
          </w:p>
        </w:tc>
        <w:tc>
          <w:tcPr>
            <w:tcW w:type="dxa" w:w="850"/>
            <w:shd w:val="clear" w:color="auto" w:fill="EAF1F4"/>
          </w:tcPr>
          <w:p>
            <w:pPr>
              <w:spacing w:after="50" w:before="50" w:line="252" w:lineRule="auto"/>
            </w:pPr>
            <w:r>
              <w:rPr>
                <w:sz w:val="17"/>
              </w:rPr>
              <w:t>3</w:t>
            </w:r>
          </w:p>
        </w:tc>
        <w:tc>
          <w:tcPr>
            <w:tcW w:type="dxa" w:w="850"/>
            <w:shd w:val="clear" w:color="auto" w:fill="EAF1F4"/>
          </w:tcPr>
          <w:p>
            <w:pPr>
              <w:spacing w:after="50" w:before="50" w:line="252" w:lineRule="auto"/>
            </w:pPr>
            <w:r>
              <w:rPr>
                <w:sz w:val="17"/>
              </w:rPr>
              <w:t>9</w:t>
            </w:r>
          </w:p>
        </w:tc>
        <w:tc>
          <w:tcPr>
            <w:tcW w:type="dxa" w:w="3998"/>
            <w:shd w:val="clear" w:color="auto" w:fill="EAF1F4"/>
          </w:tcPr>
          <w:p>
            <w:pPr>
              <w:spacing w:after="50" w:before="50" w:line="252" w:lineRule="auto"/>
            </w:pPr>
            <w:r>
              <w:rPr>
                <w:sz w:val="17"/>
              </w:rPr>
              <w:t>Preference for Equator collection; settlement SOP; escalation ladder; no new delivery beyond 60 days overdue</w:t>
            </w:r>
          </w:p>
        </w:tc>
        <w:tc>
          <w:tcPr>
            <w:tcW w:type="dxa" w:w="850"/>
            <w:shd w:val="clear" w:color="auto" w:fill="EAF1F4"/>
          </w:tcPr>
          <w:p>
            <w:pPr>
              <w:spacing w:after="50" w:before="50" w:line="252" w:lineRule="auto"/>
            </w:pPr>
            <w:r>
              <w:rPr>
                <w:sz w:val="17"/>
              </w:rPr>
              <w:t>Finance</w:t>
            </w:r>
          </w:p>
        </w:tc>
      </w:tr>
      <w:tr>
        <w:tc>
          <w:tcPr>
            <w:tcW w:type="dxa" w:w="850"/>
          </w:tcPr>
          <w:p>
            <w:pPr>
              <w:spacing w:after="50" w:before="50" w:line="252" w:lineRule="auto"/>
            </w:pPr>
            <w:r>
              <w:rPr>
                <w:sz w:val="17"/>
              </w:rPr>
              <w:t>R23</w:t>
            </w:r>
          </w:p>
        </w:tc>
        <w:tc>
          <w:tcPr>
            <w:tcW w:type="dxa" w:w="3231"/>
          </w:tcPr>
          <w:p>
            <w:pPr>
              <w:spacing w:after="50" w:before="50" w:line="252" w:lineRule="auto"/>
            </w:pPr>
            <w:r>
              <w:rPr>
                <w:sz w:val="17"/>
              </w:rPr>
              <w:t>Competition deficit exceeding budget</w:t>
            </w:r>
          </w:p>
        </w:tc>
        <w:tc>
          <w:tcPr>
            <w:tcW w:type="dxa" w:w="850"/>
          </w:tcPr>
          <w:p>
            <w:pPr>
              <w:spacing w:after="50" w:before="50" w:line="252" w:lineRule="auto"/>
            </w:pPr>
            <w:r>
              <w:rPr>
                <w:sz w:val="17"/>
              </w:rPr>
              <w:t>3</w:t>
            </w:r>
          </w:p>
        </w:tc>
        <w:tc>
          <w:tcPr>
            <w:tcW w:type="dxa" w:w="850"/>
          </w:tcPr>
          <w:p>
            <w:pPr>
              <w:spacing w:after="50" w:before="50" w:line="252" w:lineRule="auto"/>
            </w:pPr>
            <w:r>
              <w:rPr>
                <w:sz w:val="17"/>
              </w:rPr>
              <w:t>3</w:t>
            </w:r>
          </w:p>
        </w:tc>
        <w:tc>
          <w:tcPr>
            <w:tcW w:type="dxa" w:w="850"/>
          </w:tcPr>
          <w:p>
            <w:pPr>
              <w:spacing w:after="50" w:before="50" w:line="252" w:lineRule="auto"/>
            </w:pPr>
            <w:r>
              <w:rPr>
                <w:sz w:val="17"/>
              </w:rPr>
              <w:t>9</w:t>
            </w:r>
          </w:p>
        </w:tc>
        <w:tc>
          <w:tcPr>
            <w:tcW w:type="dxa" w:w="3998"/>
          </w:tcPr>
          <w:p>
            <w:pPr>
              <w:spacing w:after="50" w:before="50" w:line="252" w:lineRule="auto"/>
            </w:pPr>
            <w:r>
              <w:rPr>
                <w:sz w:val="17"/>
              </w:rPr>
              <w:t>No launch without title sponsor contracted; 10% contingency; edition 1 ceiling of ₹2.5 lakh</w:t>
            </w:r>
          </w:p>
        </w:tc>
        <w:tc>
          <w:tcPr>
            <w:tcW w:type="dxa" w:w="850"/>
          </w:tcPr>
          <w:p>
            <w:pPr>
              <w:spacing w:after="50" w:before="50" w:line="252" w:lineRule="auto"/>
            </w:pPr>
            <w:r>
              <w:rPr>
                <w:sz w:val="17"/>
              </w:rPr>
              <w:t>Convenor</w:t>
            </w:r>
          </w:p>
        </w:tc>
      </w:tr>
      <w:tr>
        <w:tc>
          <w:tcPr>
            <w:tcW w:type="dxa" w:w="850"/>
            <w:shd w:val="clear" w:color="auto" w:fill="EAF1F4"/>
          </w:tcPr>
          <w:p>
            <w:pPr>
              <w:spacing w:after="50" w:before="50" w:line="252" w:lineRule="auto"/>
            </w:pPr>
            <w:r>
              <w:rPr>
                <w:sz w:val="17"/>
              </w:rPr>
              <w:t>R24</w:t>
            </w:r>
          </w:p>
        </w:tc>
        <w:tc>
          <w:tcPr>
            <w:tcW w:type="dxa" w:w="3231"/>
            <w:shd w:val="clear" w:color="auto" w:fill="EAF1F4"/>
          </w:tcPr>
          <w:p>
            <w:pPr>
              <w:spacing w:after="50" w:before="50" w:line="252" w:lineRule="auto"/>
            </w:pPr>
            <w:r>
              <w:rPr>
                <w:sz w:val="17"/>
              </w:rPr>
              <w:t>Receivables ageing beyond 90 days</w:t>
            </w:r>
          </w:p>
        </w:tc>
        <w:tc>
          <w:tcPr>
            <w:tcW w:type="dxa" w:w="850"/>
            <w:shd w:val="clear" w:color="auto" w:fill="EAF1F4"/>
          </w:tcPr>
          <w:p>
            <w:pPr>
              <w:spacing w:after="50" w:before="50" w:line="252" w:lineRule="auto"/>
            </w:pPr>
            <w:r>
              <w:rPr>
                <w:sz w:val="17"/>
              </w:rPr>
              <w:t>3</w:t>
            </w:r>
          </w:p>
        </w:tc>
        <w:tc>
          <w:tcPr>
            <w:tcW w:type="dxa" w:w="850"/>
            <w:shd w:val="clear" w:color="auto" w:fill="EAF1F4"/>
          </w:tcPr>
          <w:p>
            <w:pPr>
              <w:spacing w:after="50" w:before="50" w:line="252" w:lineRule="auto"/>
            </w:pPr>
            <w:r>
              <w:rPr>
                <w:sz w:val="17"/>
              </w:rPr>
              <w:t>3</w:t>
            </w:r>
          </w:p>
        </w:tc>
        <w:tc>
          <w:tcPr>
            <w:tcW w:type="dxa" w:w="850"/>
            <w:shd w:val="clear" w:color="auto" w:fill="EAF1F4"/>
          </w:tcPr>
          <w:p>
            <w:pPr>
              <w:spacing w:after="50" w:before="50" w:line="252" w:lineRule="auto"/>
            </w:pPr>
            <w:r>
              <w:rPr>
                <w:sz w:val="17"/>
              </w:rPr>
              <w:t>9</w:t>
            </w:r>
          </w:p>
        </w:tc>
        <w:tc>
          <w:tcPr>
            <w:tcW w:type="dxa" w:w="3998"/>
            <w:shd w:val="clear" w:color="auto" w:fill="EAF1F4"/>
          </w:tcPr>
          <w:p>
            <w:pPr>
              <w:spacing w:after="50" w:before="50" w:line="252" w:lineRule="auto"/>
            </w:pPr>
            <w:r>
              <w:rPr>
                <w:sz w:val="17"/>
              </w:rPr>
              <w:t>Collections ladder; purchase order discipline; standing rule on further delivery</w:t>
            </w:r>
          </w:p>
        </w:tc>
        <w:tc>
          <w:tcPr>
            <w:tcW w:type="dxa" w:w="850"/>
            <w:shd w:val="clear" w:color="auto" w:fill="EAF1F4"/>
          </w:tcPr>
          <w:p>
            <w:pPr>
              <w:spacing w:after="50" w:before="50" w:line="252" w:lineRule="auto"/>
            </w:pPr>
            <w:r>
              <w:rPr>
                <w:sz w:val="17"/>
              </w:rPr>
              <w:t>Finance</w:t>
            </w:r>
          </w:p>
        </w:tc>
      </w:tr>
    </w:tbl>
    <w:p>
      <w:pPr>
        <w:spacing w:after="80" w:before="0"/>
      </w:pPr>
    </w:p>
    <w:p>
      <w:pPr>
        <w:pStyle w:val="Heading2"/>
      </w:pPr>
      <w:r>
        <w:t>2.6 Reputational</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353"/>
        <w:gridCol w:w="1353"/>
        <w:gridCol w:w="1353"/>
        <w:gridCol w:w="1353"/>
        <w:gridCol w:w="1353"/>
        <w:gridCol w:w="1353"/>
        <w:gridCol w:w="1353"/>
      </w:tblGrid>
      <w:tr>
        <w:trPr>
          <w:tblHeader w:val="true"/>
        </w:trPr>
        <w:tc>
          <w:tcPr>
            <w:tcW w:type="dxa" w:w="850"/>
            <w:shd w:val="clear" w:color="auto" w:fill="10375C"/>
          </w:tcPr>
          <w:p>
            <w:pPr>
              <w:spacing w:after="50" w:before="50"/>
            </w:pPr>
            <w:r>
              <w:rPr>
                <w:b/>
                <w:color w:val="FFFFFF"/>
                <w:sz w:val="17"/>
              </w:rPr>
              <w:t>#</w:t>
            </w:r>
          </w:p>
        </w:tc>
        <w:tc>
          <w:tcPr>
            <w:tcW w:type="dxa" w:w="3306"/>
            <w:shd w:val="clear" w:color="auto" w:fill="10375C"/>
          </w:tcPr>
          <w:p>
            <w:pPr>
              <w:spacing w:after="50" w:before="50"/>
            </w:pPr>
            <w:r>
              <w:rPr>
                <w:b/>
                <w:color w:val="FFFFFF"/>
                <w:sz w:val="17"/>
              </w:rPr>
              <w:t>Risk</w:t>
            </w:r>
          </w:p>
        </w:tc>
        <w:tc>
          <w:tcPr>
            <w:tcW w:type="dxa" w:w="850"/>
            <w:shd w:val="clear" w:color="auto" w:fill="10375C"/>
          </w:tcPr>
          <w:p>
            <w:pPr>
              <w:spacing w:after="50" w:before="50"/>
            </w:pPr>
            <w:r>
              <w:rPr>
                <w:b/>
                <w:color w:val="FFFFFF"/>
                <w:sz w:val="17"/>
              </w:rPr>
              <w:t>L</w:t>
            </w:r>
          </w:p>
        </w:tc>
        <w:tc>
          <w:tcPr>
            <w:tcW w:type="dxa" w:w="850"/>
            <w:shd w:val="clear" w:color="auto" w:fill="10375C"/>
          </w:tcPr>
          <w:p>
            <w:pPr>
              <w:spacing w:after="50" w:before="50"/>
            </w:pPr>
            <w:r>
              <w:rPr>
                <w:b/>
                <w:color w:val="FFFFFF"/>
                <w:sz w:val="17"/>
              </w:rPr>
              <w:t>I</w:t>
            </w:r>
          </w:p>
        </w:tc>
        <w:tc>
          <w:tcPr>
            <w:tcW w:type="dxa" w:w="850"/>
            <w:shd w:val="clear" w:color="auto" w:fill="10375C"/>
          </w:tcPr>
          <w:p>
            <w:pPr>
              <w:spacing w:after="50" w:before="50"/>
            </w:pPr>
            <w:r>
              <w:rPr>
                <w:b/>
                <w:color w:val="FFFFFF"/>
                <w:sz w:val="17"/>
              </w:rPr>
              <w:t>Score</w:t>
            </w:r>
          </w:p>
        </w:tc>
        <w:tc>
          <w:tcPr>
            <w:tcW w:type="dxa" w:w="3882"/>
            <w:shd w:val="clear" w:color="auto" w:fill="10375C"/>
          </w:tcPr>
          <w:p>
            <w:pPr>
              <w:spacing w:after="50" w:before="50"/>
            </w:pPr>
            <w:r>
              <w:rPr>
                <w:b/>
                <w:color w:val="FFFFFF"/>
                <w:sz w:val="17"/>
              </w:rPr>
              <w:t>Mitigation</w:t>
            </w:r>
          </w:p>
        </w:tc>
        <w:tc>
          <w:tcPr>
            <w:tcW w:type="dxa" w:w="850"/>
            <w:shd w:val="clear" w:color="auto" w:fill="10375C"/>
          </w:tcPr>
          <w:p>
            <w:pPr>
              <w:spacing w:after="50" w:before="50"/>
            </w:pPr>
            <w:r>
              <w:rPr>
                <w:b/>
                <w:color w:val="FFFFFF"/>
                <w:sz w:val="17"/>
              </w:rPr>
              <w:t>Owner</w:t>
            </w:r>
          </w:p>
        </w:tc>
      </w:tr>
      <w:tr>
        <w:tc>
          <w:tcPr>
            <w:tcW w:type="dxa" w:w="850"/>
          </w:tcPr>
          <w:p>
            <w:pPr>
              <w:spacing w:after="50" w:before="50" w:line="252" w:lineRule="auto"/>
            </w:pPr>
            <w:r>
              <w:rPr>
                <w:sz w:val="17"/>
              </w:rPr>
              <w:t>R25</w:t>
            </w:r>
          </w:p>
        </w:tc>
        <w:tc>
          <w:tcPr>
            <w:tcW w:type="dxa" w:w="3306"/>
          </w:tcPr>
          <w:p>
            <w:pPr>
              <w:spacing w:after="50" w:before="50" w:line="252" w:lineRule="auto"/>
            </w:pPr>
            <w:r>
              <w:rPr>
                <w:sz w:val="17"/>
              </w:rPr>
              <w:t>Poorly delivered programme at a visible institution</w:t>
            </w:r>
          </w:p>
        </w:tc>
        <w:tc>
          <w:tcPr>
            <w:tcW w:type="dxa" w:w="850"/>
          </w:tcPr>
          <w:p>
            <w:pPr>
              <w:spacing w:after="50" w:before="50" w:line="252" w:lineRule="auto"/>
            </w:pPr>
            <w:r>
              <w:rPr>
                <w:sz w:val="17"/>
              </w:rPr>
              <w:t>3</w:t>
            </w:r>
          </w:p>
        </w:tc>
        <w:tc>
          <w:tcPr>
            <w:tcW w:type="dxa" w:w="850"/>
          </w:tcPr>
          <w:p>
            <w:pPr>
              <w:spacing w:after="50" w:before="50" w:line="252" w:lineRule="auto"/>
            </w:pPr>
            <w:r>
              <w:rPr>
                <w:sz w:val="17"/>
              </w:rPr>
              <w:t>4</w:t>
            </w:r>
          </w:p>
        </w:tc>
        <w:tc>
          <w:tcPr>
            <w:tcW w:type="dxa" w:w="850"/>
          </w:tcPr>
          <w:p>
            <w:pPr>
              <w:spacing w:after="50" w:before="50" w:line="252" w:lineRule="auto"/>
            </w:pPr>
            <w:r>
              <w:rPr>
                <w:sz w:val="17"/>
              </w:rPr>
              <w:t>12</w:t>
            </w:r>
          </w:p>
        </w:tc>
        <w:tc>
          <w:tcPr>
            <w:tcW w:type="dxa" w:w="3882"/>
          </w:tcPr>
          <w:p>
            <w:pPr>
              <w:spacing w:after="50" w:before="50" w:line="252" w:lineRule="auto"/>
            </w:pPr>
            <w:r>
              <w:rPr>
                <w:sz w:val="17"/>
              </w:rPr>
              <w:t>Quality thresholds; observation; feedback daily; suspension protocol below 3.5</w:t>
            </w:r>
          </w:p>
        </w:tc>
        <w:tc>
          <w:tcPr>
            <w:tcW w:type="dxa" w:w="850"/>
          </w:tcPr>
          <w:p>
            <w:pPr>
              <w:spacing w:after="50" w:before="50" w:line="252" w:lineRule="auto"/>
            </w:pPr>
            <w:r>
              <w:rPr>
                <w:sz w:val="17"/>
              </w:rPr>
              <w:t>Curriculum</w:t>
            </w:r>
          </w:p>
        </w:tc>
      </w:tr>
      <w:tr>
        <w:tc>
          <w:tcPr>
            <w:tcW w:type="dxa" w:w="850"/>
            <w:shd w:val="clear" w:color="auto" w:fill="EAF1F4"/>
          </w:tcPr>
          <w:p>
            <w:pPr>
              <w:spacing w:after="50" w:before="50" w:line="252" w:lineRule="auto"/>
            </w:pPr>
            <w:r>
              <w:rPr>
                <w:sz w:val="17"/>
              </w:rPr>
              <w:t>R26</w:t>
            </w:r>
          </w:p>
        </w:tc>
        <w:tc>
          <w:tcPr>
            <w:tcW w:type="dxa" w:w="3306"/>
            <w:shd w:val="clear" w:color="auto" w:fill="EAF1F4"/>
          </w:tcPr>
          <w:p>
            <w:pPr>
              <w:spacing w:after="50" w:before="50" w:line="252" w:lineRule="auto"/>
            </w:pPr>
            <w:r>
              <w:rPr>
                <w:sz w:val="17"/>
              </w:rPr>
              <w:t>Sponsor association damages the brand</w:t>
            </w:r>
          </w:p>
        </w:tc>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r>
              <w:rPr>
                <w:sz w:val="17"/>
              </w:rPr>
              <w:t>4</w:t>
            </w:r>
          </w:p>
        </w:tc>
        <w:tc>
          <w:tcPr>
            <w:tcW w:type="dxa" w:w="850"/>
            <w:shd w:val="clear" w:color="auto" w:fill="EAF1F4"/>
          </w:tcPr>
          <w:p>
            <w:pPr>
              <w:spacing w:after="50" w:before="50" w:line="252" w:lineRule="auto"/>
            </w:pPr>
            <w:r>
              <w:rPr>
                <w:sz w:val="17"/>
              </w:rPr>
              <w:t>8</w:t>
            </w:r>
          </w:p>
        </w:tc>
        <w:tc>
          <w:tcPr>
            <w:tcW w:type="dxa" w:w="3882"/>
            <w:shd w:val="clear" w:color="auto" w:fill="EAF1F4"/>
          </w:tcPr>
          <w:p>
            <w:pPr>
              <w:spacing w:after="50" w:before="50" w:line="252" w:lineRule="auto"/>
            </w:pPr>
            <w:r>
              <w:rPr>
                <w:sz w:val="17"/>
              </w:rPr>
              <w:t>Sponsor screening protocol; excluded sectors; host institution consulted</w:t>
            </w:r>
          </w:p>
        </w:tc>
        <w:tc>
          <w:tcPr>
            <w:tcW w:type="dxa" w:w="850"/>
            <w:shd w:val="clear" w:color="auto" w:fill="EAF1F4"/>
          </w:tcPr>
          <w:p>
            <w:pPr>
              <w:spacing w:after="50" w:before="50" w:line="252" w:lineRule="auto"/>
            </w:pPr>
            <w:r>
              <w:rPr>
                <w:sz w:val="17"/>
              </w:rPr>
              <w:t>Director</w:t>
            </w:r>
          </w:p>
        </w:tc>
      </w:tr>
      <w:tr>
        <w:tc>
          <w:tcPr>
            <w:tcW w:type="dxa" w:w="850"/>
          </w:tcPr>
          <w:p>
            <w:pPr>
              <w:spacing w:after="50" w:before="50" w:line="252" w:lineRule="auto"/>
            </w:pPr>
            <w:r>
              <w:rPr>
                <w:sz w:val="17"/>
              </w:rPr>
              <w:t>R27</w:t>
            </w:r>
          </w:p>
        </w:tc>
        <w:tc>
          <w:tcPr>
            <w:tcW w:type="dxa" w:w="3306"/>
          </w:tcPr>
          <w:p>
            <w:pPr>
              <w:spacing w:after="50" w:before="50" w:line="252" w:lineRule="auto"/>
            </w:pPr>
            <w:r>
              <w:rPr>
                <w:sz w:val="17"/>
              </w:rPr>
              <w:t>Public dispute with a partner institution</w:t>
            </w:r>
          </w:p>
        </w:tc>
        <w:tc>
          <w:tcPr>
            <w:tcW w:type="dxa" w:w="850"/>
          </w:tcPr>
          <w:p>
            <w:pPr>
              <w:spacing w:after="50" w:before="50" w:line="252" w:lineRule="auto"/>
            </w:pPr>
            <w:r>
              <w:rPr>
                <w:sz w:val="17"/>
              </w:rPr>
              <w:t>2</w:t>
            </w:r>
          </w:p>
        </w:tc>
        <w:tc>
          <w:tcPr>
            <w:tcW w:type="dxa" w:w="850"/>
          </w:tcPr>
          <w:p>
            <w:pPr>
              <w:spacing w:after="50" w:before="50" w:line="252" w:lineRule="auto"/>
            </w:pPr>
            <w:r>
              <w:rPr>
                <w:sz w:val="17"/>
              </w:rPr>
              <w:t>4</w:t>
            </w:r>
          </w:p>
        </w:tc>
        <w:tc>
          <w:tcPr>
            <w:tcW w:type="dxa" w:w="850"/>
          </w:tcPr>
          <w:p>
            <w:pPr>
              <w:spacing w:after="50" w:before="50" w:line="252" w:lineRule="auto"/>
            </w:pPr>
            <w:r>
              <w:rPr>
                <w:sz w:val="17"/>
              </w:rPr>
              <w:t>8</w:t>
            </w:r>
          </w:p>
        </w:tc>
        <w:tc>
          <w:tcPr>
            <w:tcW w:type="dxa" w:w="3882"/>
          </w:tcPr>
          <w:p>
            <w:pPr>
              <w:spacing w:after="50" w:before="50" w:line="252" w:lineRule="auto"/>
            </w:pPr>
            <w:r>
              <w:rPr>
                <w:sz w:val="17"/>
              </w:rPr>
              <w:t>Escalation ladder; mediation-first dispute clause; publicity clause 21.8</w:t>
            </w:r>
          </w:p>
        </w:tc>
        <w:tc>
          <w:tcPr>
            <w:tcW w:type="dxa" w:w="850"/>
          </w:tcPr>
          <w:p>
            <w:pPr>
              <w:spacing w:after="50" w:before="50" w:line="252" w:lineRule="auto"/>
            </w:pPr>
            <w:r>
              <w:rPr>
                <w:sz w:val="17"/>
              </w:rPr>
              <w:t>Director</w:t>
            </w:r>
          </w:p>
        </w:tc>
      </w:tr>
    </w:tbl>
    <w:p>
      <w:pPr>
        <w:spacing w:after="80" w:before="0"/>
      </w:pPr>
    </w:p>
    <w:p>
      <w:pPr>
        <w:spacing w:before="80" w:after="160"/>
        <w:pBdr>
          <w:bottom w:val="single" w:sz="6" w:space="1" w:color="C9D6DE"/>
        </w:pBdr>
      </w:pPr>
    </w:p>
    <w:p>
      <w:pPr>
        <w:pStyle w:val="Heading1"/>
        <w:pBdr>
          <w:bottom w:val="single" w:sz="8" w:space="4" w:color="C9D6DE"/>
        </w:pBdr>
      </w:pPr>
      <w:r>
        <w:t>3. Escalation matrix</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850"/>
            <w:shd w:val="clear" w:color="auto" w:fill="10375C"/>
          </w:tcPr>
          <w:p>
            <w:pPr>
              <w:spacing w:after="50" w:before="50"/>
            </w:pPr>
            <w:r>
              <w:rPr>
                <w:b/>
                <w:color w:val="FFFFFF"/>
                <w:sz w:val="17"/>
              </w:rPr>
              <w:t>Level</w:t>
            </w:r>
          </w:p>
        </w:tc>
        <w:tc>
          <w:tcPr>
            <w:tcW w:type="dxa" w:w="3354"/>
            <w:shd w:val="clear" w:color="auto" w:fill="10375C"/>
          </w:tcPr>
          <w:p>
            <w:pPr>
              <w:spacing w:after="50" w:before="50"/>
            </w:pPr>
            <w:r>
              <w:rPr>
                <w:b/>
                <w:color w:val="FFFFFF"/>
                <w:sz w:val="17"/>
              </w:rPr>
              <w:t>Trigger</w:t>
            </w:r>
          </w:p>
        </w:tc>
        <w:tc>
          <w:tcPr>
            <w:tcW w:type="dxa" w:w="2893"/>
            <w:shd w:val="clear" w:color="auto" w:fill="10375C"/>
          </w:tcPr>
          <w:p>
            <w:pPr>
              <w:spacing w:after="50" w:before="50"/>
            </w:pPr>
            <w:r>
              <w:rPr>
                <w:b/>
                <w:color w:val="FFFFFF"/>
                <w:sz w:val="17"/>
              </w:rPr>
              <w:t>To whom</w:t>
            </w:r>
          </w:p>
        </w:tc>
        <w:tc>
          <w:tcPr>
            <w:tcW w:type="dxa" w:w="1009"/>
            <w:shd w:val="clear" w:color="auto" w:fill="10375C"/>
          </w:tcPr>
          <w:p>
            <w:pPr>
              <w:spacing w:after="50" w:before="50"/>
            </w:pPr>
            <w:r>
              <w:rPr>
                <w:b/>
                <w:color w:val="FFFFFF"/>
                <w:sz w:val="17"/>
              </w:rPr>
              <w:t>Timeframe</w:t>
            </w:r>
          </w:p>
        </w:tc>
        <w:tc>
          <w:tcPr>
            <w:tcW w:type="dxa" w:w="1769"/>
            <w:shd w:val="clear" w:color="auto" w:fill="10375C"/>
          </w:tcPr>
          <w:p>
            <w:pPr>
              <w:spacing w:after="50" w:before="50"/>
            </w:pPr>
            <w:r>
              <w:rPr>
                <w:b/>
                <w:color w:val="FFFFFF"/>
                <w:sz w:val="17"/>
              </w:rPr>
              <w:t>Record</w:t>
            </w:r>
          </w:p>
        </w:tc>
      </w:tr>
      <w:tr>
        <w:tc>
          <w:tcPr>
            <w:tcW w:type="dxa" w:w="850"/>
          </w:tcPr>
          <w:p>
            <w:pPr>
              <w:spacing w:after="50" w:before="50" w:line="252" w:lineRule="auto"/>
            </w:pPr>
            <w:r>
              <w:rPr>
                <w:b/>
                <w:sz w:val="17"/>
              </w:rPr>
              <w:t>L1</w:t>
            </w:r>
          </w:p>
        </w:tc>
        <w:tc>
          <w:tcPr>
            <w:tcW w:type="dxa" w:w="3354"/>
          </w:tcPr>
          <w:p>
            <w:pPr>
              <w:spacing w:after="50" w:before="50" w:line="252" w:lineRule="auto"/>
            </w:pPr>
            <w:r>
              <w:rPr>
                <w:sz w:val="17"/>
              </w:rPr>
              <w:t>Routine delivery issue — scheduling, materials, logistics</w:t>
            </w:r>
          </w:p>
        </w:tc>
        <w:tc>
          <w:tcPr>
            <w:tcW w:type="dxa" w:w="2893"/>
          </w:tcPr>
          <w:p>
            <w:pPr>
              <w:spacing w:after="50" w:before="50" w:line="252" w:lineRule="auto"/>
            </w:pPr>
            <w:r>
              <w:rPr>
                <w:sz w:val="17"/>
              </w:rPr>
              <w:t>Manager, Programme Operations</w:t>
            </w:r>
          </w:p>
        </w:tc>
        <w:tc>
          <w:tcPr>
            <w:tcW w:type="dxa" w:w="1009"/>
          </w:tcPr>
          <w:p>
            <w:pPr>
              <w:spacing w:after="50" w:before="50" w:line="252" w:lineRule="auto"/>
            </w:pPr>
            <w:r>
              <w:rPr>
                <w:sz w:val="17"/>
              </w:rPr>
              <w:t>2 working days</w:t>
            </w:r>
          </w:p>
        </w:tc>
        <w:tc>
          <w:tcPr>
            <w:tcW w:type="dxa" w:w="1769"/>
          </w:tcPr>
          <w:p>
            <w:pPr>
              <w:spacing w:after="50" w:before="50" w:line="252" w:lineRule="auto"/>
            </w:pPr>
            <w:r>
              <w:rPr>
                <w:sz w:val="17"/>
              </w:rPr>
              <w:t>Session log</w:t>
            </w:r>
          </w:p>
        </w:tc>
      </w:tr>
      <w:tr>
        <w:tc>
          <w:tcPr>
            <w:tcW w:type="dxa" w:w="850"/>
            <w:shd w:val="clear" w:color="auto" w:fill="EAF1F4"/>
          </w:tcPr>
          <w:p>
            <w:pPr>
              <w:spacing w:after="50" w:before="50" w:line="252" w:lineRule="auto"/>
            </w:pPr>
            <w:r>
              <w:rPr>
                <w:b/>
                <w:sz w:val="17"/>
              </w:rPr>
              <w:t>L2</w:t>
            </w:r>
          </w:p>
        </w:tc>
        <w:tc>
          <w:tcPr>
            <w:tcW w:type="dxa" w:w="3354"/>
            <w:shd w:val="clear" w:color="auto" w:fill="EAF1F4"/>
          </w:tcPr>
          <w:p>
            <w:pPr>
              <w:spacing w:after="50" w:before="50" w:line="252" w:lineRule="auto"/>
            </w:pPr>
            <w:r>
              <w:rPr>
                <w:sz w:val="17"/>
              </w:rPr>
              <w:t>Partner dissatisfaction; assessment dispute; feedback below 3.8; calendar slippage</w:t>
            </w:r>
          </w:p>
        </w:tc>
        <w:tc>
          <w:tcPr>
            <w:tcW w:type="dxa" w:w="2893"/>
            <w:shd w:val="clear" w:color="auto" w:fill="EAF1F4"/>
          </w:tcPr>
          <w:p>
            <w:pPr>
              <w:spacing w:after="50" w:before="50" w:line="252" w:lineRule="auto"/>
            </w:pPr>
            <w:r>
              <w:rPr>
                <w:sz w:val="17"/>
              </w:rPr>
              <w:t>Programme Director</w:t>
            </w:r>
          </w:p>
        </w:tc>
        <w:tc>
          <w:tcPr>
            <w:tcW w:type="dxa" w:w="1009"/>
            <w:shd w:val="clear" w:color="auto" w:fill="EAF1F4"/>
          </w:tcPr>
          <w:p>
            <w:pPr>
              <w:spacing w:after="50" w:before="50" w:line="252" w:lineRule="auto"/>
            </w:pPr>
            <w:r>
              <w:rPr>
                <w:sz w:val="17"/>
              </w:rPr>
              <w:t>5 working days</w:t>
            </w:r>
          </w:p>
        </w:tc>
        <w:tc>
          <w:tcPr>
            <w:tcW w:type="dxa" w:w="1769"/>
            <w:shd w:val="clear" w:color="auto" w:fill="EAF1F4"/>
          </w:tcPr>
          <w:p>
            <w:pPr>
              <w:spacing w:after="50" w:before="50" w:line="252" w:lineRule="auto"/>
            </w:pPr>
            <w:r>
              <w:rPr>
                <w:sz w:val="17"/>
              </w:rPr>
              <w:t>Incident log</w:t>
            </w:r>
          </w:p>
        </w:tc>
      </w:tr>
      <w:tr>
        <w:tc>
          <w:tcPr>
            <w:tcW w:type="dxa" w:w="850"/>
          </w:tcPr>
          <w:p>
            <w:pPr>
              <w:spacing w:after="50" w:before="50" w:line="252" w:lineRule="auto"/>
            </w:pPr>
            <w:r>
              <w:rPr>
                <w:b/>
                <w:sz w:val="17"/>
              </w:rPr>
              <w:t>L3</w:t>
            </w:r>
          </w:p>
        </w:tc>
        <w:tc>
          <w:tcPr>
            <w:tcW w:type="dxa" w:w="3354"/>
          </w:tcPr>
          <w:p>
            <w:pPr>
              <w:spacing w:after="50" w:before="50" w:line="252" w:lineRule="auto"/>
            </w:pPr>
            <w:r>
              <w:rPr>
                <w:sz w:val="17"/>
              </w:rPr>
              <w:t>Contractual dispute; pricing concession sought; competition integrity challenge; receivable beyond 60 days; media enquiry</w:t>
            </w:r>
          </w:p>
        </w:tc>
        <w:tc>
          <w:tcPr>
            <w:tcW w:type="dxa" w:w="2893"/>
          </w:tcPr>
          <w:p>
            <w:pPr>
              <w:spacing w:after="50" w:before="50" w:line="252" w:lineRule="auto"/>
            </w:pPr>
            <w:r>
              <w:rPr>
                <w:sz w:val="17"/>
              </w:rPr>
              <w:t>Programme Board</w:t>
            </w:r>
          </w:p>
        </w:tc>
        <w:tc>
          <w:tcPr>
            <w:tcW w:type="dxa" w:w="1009"/>
          </w:tcPr>
          <w:p>
            <w:pPr>
              <w:spacing w:after="50" w:before="50" w:line="252" w:lineRule="auto"/>
            </w:pPr>
            <w:r>
              <w:rPr>
                <w:sz w:val="17"/>
              </w:rPr>
              <w:t>10 working days</w:t>
            </w:r>
          </w:p>
        </w:tc>
        <w:tc>
          <w:tcPr>
            <w:tcW w:type="dxa" w:w="1769"/>
          </w:tcPr>
          <w:p>
            <w:pPr>
              <w:spacing w:after="50" w:before="50" w:line="252" w:lineRule="auto"/>
            </w:pPr>
            <w:r>
              <w:rPr>
                <w:sz w:val="17"/>
              </w:rPr>
              <w:t>Board paper</w:t>
            </w:r>
          </w:p>
        </w:tc>
      </w:tr>
      <w:tr>
        <w:tc>
          <w:tcPr>
            <w:tcW w:type="dxa" w:w="850"/>
            <w:shd w:val="clear" w:color="auto" w:fill="EAF1F4"/>
          </w:tcPr>
          <w:p>
            <w:pPr>
              <w:spacing w:after="50" w:before="50" w:line="252" w:lineRule="auto"/>
            </w:pPr>
            <w:r>
              <w:rPr>
                <w:b/>
                <w:sz w:val="17"/>
              </w:rPr>
              <w:t>L4</w:t>
            </w:r>
          </w:p>
        </w:tc>
        <w:tc>
          <w:tcPr>
            <w:tcW w:type="dxa" w:w="3354"/>
            <w:shd w:val="clear" w:color="auto" w:fill="EAF1F4"/>
          </w:tcPr>
          <w:p>
            <w:pPr>
              <w:spacing w:after="50" w:before="50" w:line="252" w:lineRule="auto"/>
            </w:pPr>
            <w:r>
              <w:rPr>
                <w:b/>
                <w:sz w:val="17"/>
              </w:rPr>
              <w:t>Safeguarding incident · data breach · confidentiality breach involving a real party · regulatory contact · litigation threat · allegation against a staff member</w:t>
            </w:r>
          </w:p>
        </w:tc>
        <w:tc>
          <w:tcPr>
            <w:tcW w:type="dxa" w:w="2893"/>
            <w:shd w:val="clear" w:color="auto" w:fill="EAF1F4"/>
          </w:tcPr>
          <w:p>
            <w:pPr>
              <w:spacing w:after="50" w:before="50" w:line="252" w:lineRule="auto"/>
            </w:pPr>
            <w:r>
              <w:rPr>
                <w:b/>
                <w:sz w:val="17"/>
              </w:rPr>
              <w:t>Managing Director and General Counsel immediately; Board notified</w:t>
            </w:r>
          </w:p>
        </w:tc>
        <w:tc>
          <w:tcPr>
            <w:tcW w:type="dxa" w:w="1009"/>
            <w:shd w:val="clear" w:color="auto" w:fill="EAF1F4"/>
          </w:tcPr>
          <w:p>
            <w:pPr>
              <w:spacing w:after="50" w:before="50" w:line="252" w:lineRule="auto"/>
            </w:pPr>
            <w:r>
              <w:rPr>
                <w:b/>
                <w:sz w:val="17"/>
              </w:rPr>
              <w:t>Same day</w:t>
            </w:r>
          </w:p>
        </w:tc>
        <w:tc>
          <w:tcPr>
            <w:tcW w:type="dxa" w:w="1769"/>
            <w:shd w:val="clear" w:color="auto" w:fill="EAF1F4"/>
          </w:tcPr>
          <w:p>
            <w:pPr>
              <w:spacing w:after="50" w:before="50" w:line="252" w:lineRule="auto"/>
            </w:pPr>
            <w:r>
              <w:rPr>
                <w:sz w:val="17"/>
              </w:rPr>
              <w:t>Formal incident report; permanent retention</w:t>
            </w:r>
          </w:p>
        </w:tc>
      </w:tr>
    </w:tbl>
    <w:p>
      <w:pPr>
        <w:spacing w:after="80" w:before="0"/>
      </w:pPr>
    </w:p>
    <w:p>
      <w:pPr>
        <w:pStyle w:val="Heading2"/>
      </w:pPr>
      <w:r>
        <w:t>3.1 L4 — immediate actions</w:t>
      </w:r>
    </w:p>
    <w:p>
      <w:pPr>
        <w:pStyle w:val="ListNumber"/>
      </w:pPr>
      <w:r>
        <w:rPr>
          <w:sz w:val="21"/>
        </w:rPr>
        <w:t>Ensure the safety of any person at risk. Nothing else takes priority.</w:t>
      </w:r>
    </w:p>
    <w:p>
      <w:pPr>
        <w:pStyle w:val="ListNumber"/>
      </w:pPr>
      <w:r>
        <w:rPr>
          <w:sz w:val="21"/>
        </w:rPr>
        <w:t xml:space="preserve">Notify the Managing Director and General Counsel </w:t>
      </w:r>
      <w:r>
        <w:rPr>
          <w:b/>
          <w:sz w:val="21"/>
        </w:rPr>
        <w:t>by telephone</w:t>
      </w:r>
      <w:r>
        <w:rPr>
          <w:sz w:val="21"/>
        </w:rPr>
        <w:t>, not email.</w:t>
      </w:r>
    </w:p>
    <w:p>
      <w:pPr>
        <w:pStyle w:val="ListNumber"/>
      </w:pPr>
      <w:r>
        <w:rPr>
          <w:sz w:val="21"/>
        </w:rPr>
        <w:t>Notify the DPO within one hour where personal data is involved.</w:t>
      </w:r>
    </w:p>
    <w:p>
      <w:pPr>
        <w:pStyle w:val="ListNumber"/>
      </w:pPr>
      <w:r>
        <w:rPr>
          <w:sz w:val="21"/>
        </w:rPr>
        <w:t xml:space="preserve">Preserve all evidence; </w:t>
      </w:r>
      <w:r>
        <w:rPr>
          <w:b/>
          <w:sz w:val="21"/>
        </w:rPr>
        <w:t>change nothing</w:t>
      </w:r>
      <w:r>
        <w:rPr>
          <w:sz w:val="21"/>
        </w:rPr>
        <w:t>.</w:t>
      </w:r>
    </w:p>
    <w:p>
      <w:pPr>
        <w:pStyle w:val="ListNumber"/>
      </w:pPr>
      <w:r>
        <w:rPr>
          <w:sz w:val="21"/>
        </w:rPr>
        <w:t>Do not investigate informally; do not interview; do not take a statement.</w:t>
      </w:r>
    </w:p>
    <w:p>
      <w:pPr>
        <w:pStyle w:val="ListNumber"/>
      </w:pPr>
      <w:r>
        <w:rPr>
          <w:sz w:val="21"/>
        </w:rPr>
        <w:t>Do not communicate externally. All communication is by the Managing Director.</w:t>
      </w:r>
    </w:p>
    <w:p>
      <w:pPr>
        <w:pStyle w:val="ListNumber"/>
      </w:pPr>
      <w:r>
        <w:rPr>
          <w:sz w:val="21"/>
        </w:rPr>
        <w:t>Written incident report within 24 hours.</w:t>
      </w:r>
    </w:p>
    <w:p>
      <w:pPr>
        <w:pStyle w:val="ListNumber"/>
      </w:pPr>
      <w:r>
        <w:rPr>
          <w:sz w:val="21"/>
        </w:rPr>
        <w:t>Notify the partner institution within 24 hours where its students or premises are involved.</w:t>
      </w:r>
    </w:p>
    <w:p>
      <w:pPr>
        <w:pStyle w:val="ListNumber"/>
      </w:pPr>
      <w:r>
        <w:rPr>
          <w:sz w:val="21"/>
        </w:rPr>
        <w:t>Notify the insurer where cover may respond.</w:t>
      </w:r>
    </w:p>
    <w:p>
      <w:pPr>
        <w:pStyle w:val="ListNumber"/>
      </w:pPr>
      <w:r>
        <w:rPr>
          <w:sz w:val="21"/>
        </w:rPr>
        <w:t>Post-incident review within 30 days, with actions and owners.</w:t>
      </w:r>
    </w:p>
    <w:p>
      <w:pPr>
        <w:spacing w:before="80" w:after="160"/>
        <w:pBdr>
          <w:bottom w:val="single" w:sz="6" w:space="1" w:color="C9D6DE"/>
        </w:pBdr>
      </w:pPr>
    </w:p>
    <w:p>
      <w:pPr>
        <w:pStyle w:val="Heading1"/>
        <w:pBdr>
          <w:bottom w:val="single" w:sz="8" w:space="4" w:color="C9D6DE"/>
        </w:pBdr>
      </w:pPr>
      <w:r>
        <w:t>4. Review</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5632"/>
            <w:shd w:val="clear" w:color="auto" w:fill="10375C"/>
          </w:tcPr>
          <w:p>
            <w:pPr>
              <w:spacing w:after="50" w:before="50"/>
            </w:pPr>
            <w:r>
              <w:rPr>
                <w:b/>
                <w:color w:val="FFFFFF"/>
                <w:sz w:val="17"/>
              </w:rPr>
              <w:t>Activity</w:t>
            </w:r>
          </w:p>
        </w:tc>
        <w:tc>
          <w:tcPr>
            <w:tcW w:type="dxa" w:w="1935"/>
            <w:shd w:val="clear" w:color="auto" w:fill="10375C"/>
          </w:tcPr>
          <w:p>
            <w:pPr>
              <w:spacing w:after="50" w:before="50"/>
            </w:pPr>
            <w:r>
              <w:rPr>
                <w:b/>
                <w:color w:val="FFFFFF"/>
                <w:sz w:val="17"/>
              </w:rPr>
              <w:t>Frequency</w:t>
            </w:r>
          </w:p>
        </w:tc>
        <w:tc>
          <w:tcPr>
            <w:tcW w:type="dxa" w:w="1901"/>
            <w:shd w:val="clear" w:color="auto" w:fill="10375C"/>
          </w:tcPr>
          <w:p>
            <w:pPr>
              <w:spacing w:after="50" w:before="50"/>
            </w:pPr>
            <w:r>
              <w:rPr>
                <w:b/>
                <w:color w:val="FFFFFF"/>
                <w:sz w:val="17"/>
              </w:rPr>
              <w:t>Owner</w:t>
            </w:r>
          </w:p>
        </w:tc>
      </w:tr>
      <w:tr>
        <w:tc>
          <w:tcPr>
            <w:tcW w:type="dxa" w:w="5632"/>
          </w:tcPr>
          <w:p>
            <w:pPr>
              <w:spacing w:after="50" w:before="50" w:line="252" w:lineRule="auto"/>
            </w:pPr>
            <w:r>
              <w:rPr>
                <w:sz w:val="17"/>
              </w:rPr>
              <w:t>Register reviewed and re-scored</w:t>
            </w:r>
          </w:p>
        </w:tc>
        <w:tc>
          <w:tcPr>
            <w:tcW w:type="dxa" w:w="1935"/>
          </w:tcPr>
          <w:p>
            <w:pPr>
              <w:spacing w:after="50" w:before="50" w:line="252" w:lineRule="auto"/>
            </w:pPr>
            <w:r>
              <w:rPr>
                <w:sz w:val="17"/>
              </w:rPr>
              <w:t>Quarterly</w:t>
            </w:r>
          </w:p>
        </w:tc>
        <w:tc>
          <w:tcPr>
            <w:tcW w:type="dxa" w:w="1901"/>
          </w:tcPr>
          <w:p>
            <w:pPr>
              <w:spacing w:after="50" w:before="50" w:line="252" w:lineRule="auto"/>
            </w:pPr>
            <w:r>
              <w:rPr>
                <w:sz w:val="17"/>
              </w:rPr>
              <w:t>Director</w:t>
            </w:r>
          </w:p>
        </w:tc>
      </w:tr>
      <w:tr>
        <w:tc>
          <w:tcPr>
            <w:tcW w:type="dxa" w:w="5632"/>
            <w:shd w:val="clear" w:color="auto" w:fill="EAF1F4"/>
          </w:tcPr>
          <w:p>
            <w:pPr>
              <w:spacing w:after="50" w:before="50" w:line="252" w:lineRule="auto"/>
            </w:pPr>
            <w:r>
              <w:rPr>
                <w:sz w:val="17"/>
              </w:rPr>
              <w:t>Critical and high risks reviewed</w:t>
            </w:r>
          </w:p>
        </w:tc>
        <w:tc>
          <w:tcPr>
            <w:tcW w:type="dxa" w:w="1935"/>
            <w:shd w:val="clear" w:color="auto" w:fill="EAF1F4"/>
          </w:tcPr>
          <w:p>
            <w:pPr>
              <w:spacing w:after="50" w:before="50" w:line="252" w:lineRule="auto"/>
            </w:pPr>
            <w:r>
              <w:rPr>
                <w:sz w:val="17"/>
              </w:rPr>
              <w:t>Monthly</w:t>
            </w:r>
          </w:p>
        </w:tc>
        <w:tc>
          <w:tcPr>
            <w:tcW w:type="dxa" w:w="1901"/>
            <w:shd w:val="clear" w:color="auto" w:fill="EAF1F4"/>
          </w:tcPr>
          <w:p>
            <w:pPr>
              <w:spacing w:after="50" w:before="50" w:line="252" w:lineRule="auto"/>
            </w:pPr>
            <w:r>
              <w:rPr>
                <w:sz w:val="17"/>
              </w:rPr>
              <w:t>Director</w:t>
            </w:r>
          </w:p>
        </w:tc>
      </w:tr>
      <w:tr>
        <w:tc>
          <w:tcPr>
            <w:tcW w:type="dxa" w:w="5632"/>
          </w:tcPr>
          <w:p>
            <w:pPr>
              <w:spacing w:after="50" w:before="50" w:line="252" w:lineRule="auto"/>
            </w:pPr>
            <w:r>
              <w:rPr>
                <w:sz w:val="17"/>
              </w:rPr>
              <w:t>New risks added</w:t>
            </w:r>
          </w:p>
        </w:tc>
        <w:tc>
          <w:tcPr>
            <w:tcW w:type="dxa" w:w="1935"/>
          </w:tcPr>
          <w:p>
            <w:pPr>
              <w:spacing w:after="50" w:before="50" w:line="252" w:lineRule="auto"/>
            </w:pPr>
            <w:r>
              <w:rPr>
                <w:sz w:val="17"/>
              </w:rPr>
              <w:t>On identification</w:t>
            </w:r>
          </w:p>
        </w:tc>
        <w:tc>
          <w:tcPr>
            <w:tcW w:type="dxa" w:w="1901"/>
          </w:tcPr>
          <w:p>
            <w:pPr>
              <w:spacing w:after="50" w:before="50" w:line="252" w:lineRule="auto"/>
            </w:pPr>
            <w:r>
              <w:rPr>
                <w:sz w:val="17"/>
              </w:rPr>
              <w:t>Any role-holder</w:t>
            </w:r>
          </w:p>
        </w:tc>
      </w:tr>
      <w:tr>
        <w:tc>
          <w:tcPr>
            <w:tcW w:type="dxa" w:w="5632"/>
            <w:shd w:val="clear" w:color="auto" w:fill="EAF1F4"/>
          </w:tcPr>
          <w:p>
            <w:pPr>
              <w:spacing w:after="50" w:before="50" w:line="252" w:lineRule="auto"/>
            </w:pPr>
            <w:r>
              <w:rPr>
                <w:sz w:val="17"/>
              </w:rPr>
              <w:t>Incident log reviewed for emerging risk</w:t>
            </w:r>
          </w:p>
        </w:tc>
        <w:tc>
          <w:tcPr>
            <w:tcW w:type="dxa" w:w="1935"/>
            <w:shd w:val="clear" w:color="auto" w:fill="EAF1F4"/>
          </w:tcPr>
          <w:p>
            <w:pPr>
              <w:spacing w:after="50" w:before="50" w:line="252" w:lineRule="auto"/>
            </w:pPr>
            <w:r>
              <w:rPr>
                <w:sz w:val="17"/>
              </w:rPr>
              <w:t>Monthly</w:t>
            </w:r>
          </w:p>
        </w:tc>
        <w:tc>
          <w:tcPr>
            <w:tcW w:type="dxa" w:w="1901"/>
            <w:shd w:val="clear" w:color="auto" w:fill="EAF1F4"/>
          </w:tcPr>
          <w:p>
            <w:pPr>
              <w:spacing w:after="50" w:before="50" w:line="252" w:lineRule="auto"/>
            </w:pPr>
            <w:r>
              <w:rPr>
                <w:sz w:val="17"/>
              </w:rPr>
              <w:t>Director</w:t>
            </w:r>
          </w:p>
        </w:tc>
      </w:tr>
      <w:tr>
        <w:tc>
          <w:tcPr>
            <w:tcW w:type="dxa" w:w="5632"/>
          </w:tcPr>
          <w:p>
            <w:pPr>
              <w:spacing w:after="50" w:before="50" w:line="252" w:lineRule="auto"/>
            </w:pPr>
            <w:r>
              <w:rPr>
                <w:sz w:val="17"/>
              </w:rPr>
              <w:t>Register presented to the Programme Board</w:t>
            </w:r>
          </w:p>
        </w:tc>
        <w:tc>
          <w:tcPr>
            <w:tcW w:type="dxa" w:w="1935"/>
          </w:tcPr>
          <w:p>
            <w:pPr>
              <w:spacing w:after="50" w:before="50" w:line="252" w:lineRule="auto"/>
            </w:pPr>
            <w:r>
              <w:rPr>
                <w:sz w:val="17"/>
              </w:rPr>
              <w:t>Quarterly</w:t>
            </w:r>
          </w:p>
        </w:tc>
        <w:tc>
          <w:tcPr>
            <w:tcW w:type="dxa" w:w="1901"/>
          </w:tcPr>
          <w:p>
            <w:pPr>
              <w:spacing w:after="50" w:before="50" w:line="252" w:lineRule="auto"/>
            </w:pPr>
            <w:r>
              <w:rPr>
                <w:sz w:val="17"/>
              </w:rPr>
              <w:t>Director</w:t>
            </w:r>
          </w:p>
        </w:tc>
      </w:tr>
      <w:tr>
        <w:tc>
          <w:tcPr>
            <w:tcW w:type="dxa" w:w="5632"/>
            <w:shd w:val="clear" w:color="auto" w:fill="EAF1F4"/>
          </w:tcPr>
          <w:p>
            <w:pPr>
              <w:spacing w:after="50" w:before="50" w:line="252" w:lineRule="auto"/>
            </w:pPr>
            <w:r>
              <w:rPr>
                <w:sz w:val="17"/>
              </w:rPr>
              <w:t>Full review including scoring methodology</w:t>
            </w:r>
          </w:p>
        </w:tc>
        <w:tc>
          <w:tcPr>
            <w:tcW w:type="dxa" w:w="1935"/>
            <w:shd w:val="clear" w:color="auto" w:fill="EAF1F4"/>
          </w:tcPr>
          <w:p>
            <w:pPr>
              <w:spacing w:after="50" w:before="50" w:line="252" w:lineRule="auto"/>
            </w:pPr>
            <w:r>
              <w:rPr>
                <w:sz w:val="17"/>
              </w:rPr>
              <w:t>Annual</w:t>
            </w:r>
          </w:p>
        </w:tc>
        <w:tc>
          <w:tcPr>
            <w:tcW w:type="dxa" w:w="1901"/>
            <w:shd w:val="clear" w:color="auto" w:fill="EAF1F4"/>
          </w:tcPr>
          <w:p>
            <w:pPr>
              <w:spacing w:after="50" w:before="50" w:line="252" w:lineRule="auto"/>
            </w:pPr>
            <w:r>
              <w:rPr>
                <w:sz w:val="17"/>
              </w:rPr>
              <w:t>Programme Board</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EQ-UAP-080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Risk Register &amp; Escalation Matrix</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F6E49C4-9A7A-4017-B2FA-17FE5F1AAC40}"/>
</file>

<file path=customXml/itemProps3.xml><?xml version="1.0" encoding="utf-8"?>
<ds:datastoreItem xmlns:ds="http://schemas.openxmlformats.org/officeDocument/2006/customXml" ds:itemID="{11BCEE53-9063-4CD0-BAA6-B457CD8FA5BB}"/>
</file>

<file path=customXml/itemProps4.xml><?xml version="1.0" encoding="utf-8"?>
<ds:datastoreItem xmlns:ds="http://schemas.openxmlformats.org/officeDocument/2006/customXml" ds:itemID="{BF8D839D-5CD6-4FCD-82AE-010381C4899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