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Code of Conduct, Ethics &amp; Conflict of Interest Policy</w:t>
      </w:r>
    </w:p>
    <w:p>
      <w:pPr>
        <w:spacing w:after="280" w:line="276" w:lineRule="auto"/>
      </w:pPr>
      <w:r>
        <w:rPr>
          <w:rFonts w:ascii="Calibri" w:hAnsi="Calibri"/>
          <w:i/>
          <w:color w:val="3E6B8A"/>
          <w:sz w:val="25"/>
        </w:rPr>
        <w:t>Standards of conduct for staff, trainers, neutrals, assessors, judges, interns and students, and the conflict protocol</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EQ-UAP-081</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Operations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issued to every engaged person</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Application</w:t>
      </w:r>
    </w:p>
    <w:p>
      <w:r>
        <w:t>This Code applies to every person acting for or on behalf of Equator ADR Institute or Equator Resolution in connection with the University Partnership Programme: employees, trainers, resource persons, neutrals, assessors, competition judges and mediators, supervisors, interns and student volunteers.</w:t>
      </w:r>
    </w:p>
    <w:p>
      <w:r>
        <w:t>Acceptance of any engagement constitutes acceptance of this Code.</w:t>
      </w:r>
    </w:p>
    <w:p>
      <w:pPr>
        <w:spacing w:before="80" w:after="160"/>
        <w:pBdr>
          <w:bottom w:val="single" w:sz="6" w:space="1" w:color="C9D6DE"/>
        </w:pBdr>
      </w:pPr>
    </w:p>
    <w:p>
      <w:pPr>
        <w:pStyle w:val="Heading1"/>
        <w:pBdr>
          <w:bottom w:val="single" w:sz="8" w:space="4" w:color="C9D6DE"/>
        </w:pBdr>
      </w:pPr>
      <w:r>
        <w:t>2. Core obligations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t>
            </w:r>
          </w:p>
        </w:tc>
        <w:tc>
          <w:tcPr>
            <w:tcW w:type="dxa" w:w="8607"/>
            <w:shd w:val="clear" w:color="auto" w:fill="10375C"/>
          </w:tcPr>
          <w:p>
            <w:pPr>
              <w:spacing w:after="50" w:before="50"/>
            </w:pPr>
            <w:r>
              <w:rPr>
                <w:b/>
                <w:color w:val="FFFFFF"/>
                <w:sz w:val="17"/>
              </w:rPr>
              <w:t>Obligation</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Act with honesty and integrity in every dealing</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Treat every person with courtesy and respect, irrespective of institution, background, gender, caste, religion, disability or seniority</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Maintain professional competence and prepare properly</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Keep confidences, absolutely and permanently</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Disclose conflicts of interest promptly and fully</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Do not misrepresent Equator, its credentials or its capabilities</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Do not use position for personal advantage</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Protect students, and place their safety and welfare above commercial and reputational considerations</w:t>
            </w:r>
          </w:p>
        </w:tc>
      </w:tr>
      <w:tr>
        <w:tc>
          <w:tcPr>
            <w:tcW w:type="dxa" w:w="861"/>
          </w:tcPr>
          <w:p>
            <w:pPr>
              <w:spacing w:after="50" w:before="50" w:line="252" w:lineRule="auto"/>
            </w:pPr>
            <w:r>
              <w:rPr>
                <w:sz w:val="17"/>
              </w:rPr>
              <w:t>9</w:t>
            </w:r>
          </w:p>
        </w:tc>
        <w:tc>
          <w:tcPr>
            <w:tcW w:type="dxa" w:w="8607"/>
          </w:tcPr>
          <w:p>
            <w:pPr>
              <w:spacing w:after="50" w:before="50" w:line="252" w:lineRule="auto"/>
            </w:pPr>
            <w:r>
              <w:rPr>
                <w:sz w:val="17"/>
              </w:rPr>
              <w:t>Comply with the law and with the policies of any host institution</w:t>
            </w:r>
          </w:p>
        </w:tc>
      </w:tr>
      <w:tr>
        <w:tc>
          <w:tcPr>
            <w:tcW w:type="dxa" w:w="861"/>
            <w:shd w:val="clear" w:color="auto" w:fill="EAF1F4"/>
          </w:tcPr>
          <w:p>
            <w:pPr>
              <w:spacing w:after="50" w:before="50" w:line="252" w:lineRule="auto"/>
            </w:pPr>
            <w:r>
              <w:rPr>
                <w:sz w:val="17"/>
              </w:rPr>
              <w:t>10</w:t>
            </w:r>
          </w:p>
        </w:tc>
        <w:tc>
          <w:tcPr>
            <w:tcW w:type="dxa" w:w="8607"/>
            <w:shd w:val="clear" w:color="auto" w:fill="EAF1F4"/>
          </w:tcPr>
          <w:p>
            <w:pPr>
              <w:spacing w:after="50" w:before="50" w:line="252" w:lineRule="auto"/>
            </w:pPr>
            <w:r>
              <w:rPr>
                <w:sz w:val="17"/>
              </w:rPr>
              <w:t>Report a breach of this Code, including one's own</w:t>
            </w:r>
          </w:p>
        </w:tc>
      </w:tr>
    </w:tbl>
    <w:p>
      <w:pPr>
        <w:spacing w:after="80" w:before="0"/>
      </w:pPr>
    </w:p>
    <w:p>
      <w:pPr>
        <w:spacing w:before="80" w:after="160"/>
        <w:pBdr>
          <w:bottom w:val="single" w:sz="6" w:space="1" w:color="C9D6DE"/>
        </w:pBdr>
      </w:pPr>
    </w:p>
    <w:p>
      <w:pPr>
        <w:pStyle w:val="Heading1"/>
        <w:pBdr>
          <w:bottom w:val="single" w:sz="8" w:space="4" w:color="C9D6DE"/>
        </w:pBdr>
      </w:pPr>
      <w:r>
        <w:t>3. Representations that may never be made</w:t>
      </w:r>
    </w:p>
    <w:p>
      <w:r>
        <w:rPr>
          <w:b/>
        </w:rPr>
        <w:t>These are absolute and are not subject to any discretion.</w:t>
      </w:r>
    </w:p>
    <w:p>
      <w:pPr>
        <w:pStyle w:val="ListNumber"/>
      </w:pPr>
      <w:r>
        <w:rPr>
          <w:sz w:val="21"/>
        </w:rPr>
        <w:t>That any Equator certificate is a degree, diploma or statutory qualification.</w:t>
      </w:r>
    </w:p>
    <w:p>
      <w:pPr>
        <w:pStyle w:val="ListNumber"/>
      </w:pPr>
      <w:r>
        <w:rPr>
          <w:sz w:val="21"/>
        </w:rPr>
        <w:t>That any Equator certification is accredited, recognised or approved by the Mediation Council of India or by any Government authority.</w:t>
      </w:r>
    </w:p>
    <w:p>
      <w:pPr>
        <w:pStyle w:val="ListNumber"/>
      </w:pPr>
      <w:r>
        <w:rPr>
          <w:sz w:val="21"/>
        </w:rPr>
        <w:t>That any participant is assured of employment, placement or empanelment.</w:t>
      </w:r>
    </w:p>
    <w:p>
      <w:pPr>
        <w:pStyle w:val="ListNumber"/>
      </w:pPr>
      <w:r>
        <w:rPr>
          <w:sz w:val="21"/>
        </w:rPr>
        <w:t>That any participant will pass, or that assessment is a formality.</w:t>
      </w:r>
    </w:p>
    <w:p>
      <w:pPr>
        <w:pStyle w:val="ListNumber"/>
      </w:pPr>
      <w:r>
        <w:rPr>
          <w:sz w:val="21"/>
        </w:rPr>
        <w:t>Any statement about settlement rates, outcomes or statistics that has not been verified and approved in writing.</w:t>
      </w:r>
    </w:p>
    <w:p>
      <w:pPr>
        <w:pStyle w:val="ListNumber"/>
      </w:pPr>
      <w:r>
        <w:rPr>
          <w:sz w:val="21"/>
        </w:rPr>
        <w:t>That Equator is an accrediting or affiliating body for any institution.</w:t>
      </w:r>
    </w:p>
    <w:p>
      <w:r>
        <w:t>A person who makes any of these representations, even casually and even in good faith, must correct it in writing immediately and report it to the Programme Director.</w:t>
      </w:r>
    </w:p>
    <w:p>
      <w:pPr>
        <w:spacing w:before="80" w:after="160"/>
        <w:pBdr>
          <w:bottom w:val="single" w:sz="6" w:space="1" w:color="C9D6DE"/>
        </w:pBdr>
      </w:pPr>
    </w:p>
    <w:p>
      <w:pPr>
        <w:pStyle w:val="Heading1"/>
        <w:pBdr>
          <w:bottom w:val="single" w:sz="8" w:space="4" w:color="C9D6DE"/>
        </w:pBdr>
      </w:pPr>
      <w:r>
        <w:t>4. Conflicts of interest</w:t>
      </w:r>
    </w:p>
    <w:p>
      <w:pPr>
        <w:pStyle w:val="Heading2"/>
      </w:pPr>
      <w:r>
        <w:t>4.1 What must be disclosed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345"/>
            <w:shd w:val="clear" w:color="auto" w:fill="10375C"/>
          </w:tcPr>
          <w:p>
            <w:pPr>
              <w:spacing w:after="50" w:before="50"/>
            </w:pPr>
            <w:r>
              <w:rPr>
                <w:b/>
                <w:color w:val="FFFFFF"/>
                <w:sz w:val="17"/>
              </w:rPr>
              <w:t>Situation</w:t>
            </w:r>
          </w:p>
        </w:tc>
        <w:tc>
          <w:tcPr>
            <w:tcW w:type="dxa" w:w="3123"/>
            <w:shd w:val="clear" w:color="auto" w:fill="10375C"/>
          </w:tcPr>
          <w:p>
            <w:pPr>
              <w:spacing w:after="50" w:before="50"/>
            </w:pPr>
            <w:r>
              <w:rPr>
                <w:b/>
                <w:color w:val="FFFFFF"/>
                <w:sz w:val="17"/>
              </w:rPr>
              <w:t>Disclose to</w:t>
            </w:r>
          </w:p>
        </w:tc>
      </w:tr>
      <w:tr>
        <w:tc>
          <w:tcPr>
            <w:tcW w:type="dxa" w:w="6345"/>
          </w:tcPr>
          <w:p>
            <w:pPr>
              <w:spacing w:after="50" w:before="50" w:line="252" w:lineRule="auto"/>
            </w:pPr>
            <w:r>
              <w:rPr>
                <w:sz w:val="17"/>
              </w:rPr>
              <w:t>Any relationship with a participant, institution, party or counterparty</w:t>
            </w:r>
          </w:p>
        </w:tc>
        <w:tc>
          <w:tcPr>
            <w:tcW w:type="dxa" w:w="3123"/>
          </w:tcPr>
          <w:p>
            <w:pPr>
              <w:spacing w:after="50" w:before="50" w:line="252" w:lineRule="auto"/>
            </w:pPr>
            <w:r>
              <w:rPr>
                <w:sz w:val="17"/>
              </w:rPr>
              <w:t>Programme Director</w:t>
            </w:r>
          </w:p>
        </w:tc>
      </w:tr>
      <w:tr>
        <w:tc>
          <w:tcPr>
            <w:tcW w:type="dxa" w:w="6345"/>
            <w:shd w:val="clear" w:color="auto" w:fill="EAF1F4"/>
          </w:tcPr>
          <w:p>
            <w:pPr>
              <w:spacing w:after="50" w:before="50" w:line="252" w:lineRule="auto"/>
            </w:pPr>
            <w:r>
              <w:rPr>
                <w:sz w:val="17"/>
              </w:rPr>
              <w:t>Concurrent engagement with a competing training provider</w:t>
            </w:r>
          </w:p>
        </w:tc>
        <w:tc>
          <w:tcPr>
            <w:tcW w:type="dxa" w:w="3123"/>
            <w:shd w:val="clear" w:color="auto" w:fill="EAF1F4"/>
          </w:tcPr>
          <w:p>
            <w:pPr>
              <w:spacing w:after="50" w:before="50" w:line="252" w:lineRule="auto"/>
            </w:pPr>
            <w:r>
              <w:rPr>
                <w:sz w:val="17"/>
              </w:rPr>
              <w:t>Head of Curriculum</w:t>
            </w:r>
          </w:p>
        </w:tc>
      </w:tr>
      <w:tr>
        <w:tc>
          <w:tcPr>
            <w:tcW w:type="dxa" w:w="6345"/>
          </w:tcPr>
          <w:p>
            <w:pPr>
              <w:spacing w:after="50" w:before="50" w:line="252" w:lineRule="auto"/>
            </w:pPr>
            <w:r>
              <w:rPr>
                <w:sz w:val="17"/>
              </w:rPr>
              <w:t>Coaching a team and being asked to judge in the same edition</w:t>
            </w:r>
          </w:p>
        </w:tc>
        <w:tc>
          <w:tcPr>
            <w:tcW w:type="dxa" w:w="3123"/>
          </w:tcPr>
          <w:p>
            <w:pPr>
              <w:spacing w:after="50" w:before="50" w:line="252" w:lineRule="auto"/>
            </w:pPr>
            <w:r>
              <w:rPr>
                <w:sz w:val="17"/>
              </w:rPr>
              <w:t>Competition Convenor</w:t>
            </w:r>
          </w:p>
        </w:tc>
      </w:tr>
      <w:tr>
        <w:tc>
          <w:tcPr>
            <w:tcW w:type="dxa" w:w="6345"/>
            <w:shd w:val="clear" w:color="auto" w:fill="EAF1F4"/>
          </w:tcPr>
          <w:p>
            <w:pPr>
              <w:spacing w:after="50" w:before="50" w:line="252" w:lineRule="auto"/>
            </w:pPr>
            <w:r>
              <w:rPr>
                <w:sz w:val="17"/>
              </w:rPr>
              <w:t>A financial interest in any counterparty</w:t>
            </w:r>
          </w:p>
        </w:tc>
        <w:tc>
          <w:tcPr>
            <w:tcW w:type="dxa" w:w="3123"/>
            <w:shd w:val="clear" w:color="auto" w:fill="EAF1F4"/>
          </w:tcPr>
          <w:p>
            <w:pPr>
              <w:spacing w:after="50" w:before="50" w:line="252" w:lineRule="auto"/>
            </w:pPr>
            <w:r>
              <w:rPr>
                <w:sz w:val="17"/>
              </w:rPr>
              <w:t>Programme Director</w:t>
            </w:r>
          </w:p>
        </w:tc>
      </w:tr>
      <w:tr>
        <w:tc>
          <w:tcPr>
            <w:tcW w:type="dxa" w:w="6345"/>
          </w:tcPr>
          <w:p>
            <w:pPr>
              <w:spacing w:after="50" w:before="50" w:line="252" w:lineRule="auto"/>
            </w:pPr>
            <w:r>
              <w:rPr>
                <w:sz w:val="17"/>
              </w:rPr>
              <w:t>A family relationship with anyone involved in a decision</w:t>
            </w:r>
          </w:p>
        </w:tc>
        <w:tc>
          <w:tcPr>
            <w:tcW w:type="dxa" w:w="3123"/>
          </w:tcPr>
          <w:p>
            <w:pPr>
              <w:spacing w:after="50" w:before="50" w:line="252" w:lineRule="auto"/>
            </w:pPr>
            <w:r>
              <w:rPr>
                <w:sz w:val="17"/>
              </w:rPr>
              <w:t>Programme Director</w:t>
            </w:r>
          </w:p>
        </w:tc>
      </w:tr>
      <w:tr>
        <w:tc>
          <w:tcPr>
            <w:tcW w:type="dxa" w:w="6345"/>
            <w:shd w:val="clear" w:color="auto" w:fill="EAF1F4"/>
          </w:tcPr>
          <w:p>
            <w:pPr>
              <w:spacing w:after="50" w:before="50" w:line="252" w:lineRule="auto"/>
            </w:pPr>
            <w:r>
              <w:rPr>
                <w:sz w:val="17"/>
              </w:rPr>
              <w:t>Any prior involvement in a matter</w:t>
            </w:r>
          </w:p>
        </w:tc>
        <w:tc>
          <w:tcPr>
            <w:tcW w:type="dxa" w:w="3123"/>
            <w:shd w:val="clear" w:color="auto" w:fill="EAF1F4"/>
          </w:tcPr>
          <w:p>
            <w:pPr>
              <w:spacing w:after="50" w:before="50" w:line="252" w:lineRule="auto"/>
            </w:pPr>
            <w:r>
              <w:rPr>
                <w:sz w:val="17"/>
              </w:rPr>
              <w:t>The neutral and the case manager</w:t>
            </w:r>
          </w:p>
        </w:tc>
      </w:tr>
      <w:tr>
        <w:tc>
          <w:tcPr>
            <w:tcW w:type="dxa" w:w="6345"/>
          </w:tcPr>
          <w:p>
            <w:pPr>
              <w:spacing w:after="50" w:before="50" w:line="252" w:lineRule="auto"/>
            </w:pPr>
            <w:r>
              <w:rPr>
                <w:sz w:val="17"/>
              </w:rPr>
              <w:t>Any gift or hospitality above a token courtesy</w:t>
            </w:r>
          </w:p>
        </w:tc>
        <w:tc>
          <w:tcPr>
            <w:tcW w:type="dxa" w:w="3123"/>
          </w:tcPr>
          <w:p>
            <w:pPr>
              <w:spacing w:after="50" w:before="50" w:line="252" w:lineRule="auto"/>
            </w:pPr>
            <w:r>
              <w:rPr>
                <w:sz w:val="17"/>
              </w:rPr>
              <w:t>Programme Director</w:t>
            </w:r>
          </w:p>
        </w:tc>
      </w:tr>
      <w:tr>
        <w:tc>
          <w:tcPr>
            <w:tcW w:type="dxa" w:w="6345"/>
            <w:shd w:val="clear" w:color="auto" w:fill="EAF1F4"/>
          </w:tcPr>
          <w:p>
            <w:pPr>
              <w:spacing w:after="50" w:before="50" w:line="252" w:lineRule="auto"/>
            </w:pPr>
            <w:r>
              <w:rPr>
                <w:sz w:val="17"/>
              </w:rPr>
              <w:t>Any external role that might be perceived as conflicting</w:t>
            </w:r>
          </w:p>
        </w:tc>
        <w:tc>
          <w:tcPr>
            <w:tcW w:type="dxa" w:w="3123"/>
            <w:shd w:val="clear" w:color="auto" w:fill="EAF1F4"/>
          </w:tcPr>
          <w:p>
            <w:pPr>
              <w:spacing w:after="50" w:before="50" w:line="252" w:lineRule="auto"/>
            </w:pPr>
            <w:r>
              <w:rPr>
                <w:sz w:val="17"/>
              </w:rPr>
              <w:t>Line manager</w:t>
            </w:r>
          </w:p>
        </w:tc>
      </w:tr>
    </w:tbl>
    <w:p>
      <w:pPr>
        <w:spacing w:after="80" w:before="0"/>
      </w:pPr>
    </w:p>
    <w:p>
      <w:r>
        <w:rPr>
          <w:b/>
        </w:rPr>
        <w:t>Disclose early, disclose fully, and disclose anything about which you are uncertain.</w:t>
      </w:r>
      <w:r>
        <w:t xml:space="preserve"> No person has ever been criticised at Equator for disclosing too much.</w:t>
      </w:r>
    </w:p>
    <w:p>
      <w:pPr>
        <w:pStyle w:val="Heading2"/>
      </w:pPr>
      <w:r>
        <w:t>4.2 The partner institution conflict — the one that matters most</w:t>
      </w:r>
    </w:p>
    <w:p>
      <w:r>
        <w:t>Where a partner institution is, or is likely to become, a party to a matter administered by Equator Resolution: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Step</w:t>
            </w:r>
          </w:p>
        </w:tc>
        <w:tc>
          <w:tcPr>
            <w:tcW w:type="dxa" w:w="8607"/>
            <w:shd w:val="clear" w:color="auto" w:fill="10375C"/>
          </w:tcPr>
          <w:p>
            <w:pPr>
              <w:spacing w:after="50" w:before="50"/>
            </w:pPr>
            <w:r>
              <w:rPr>
                <w:b/>
                <w:color w:val="FFFFFF"/>
                <w:sz w:val="17"/>
              </w:rPr>
              <w:t>Requirement</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 xml:space="preserve">The person becoming aware informs the General Counsel </w:t>
            </w:r>
            <w:r>
              <w:rPr>
                <w:b/>
                <w:sz w:val="17"/>
              </w:rPr>
              <w:t>immediately</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The matter is reviewed before any appointment is made</w:t>
            </w:r>
          </w:p>
        </w:tc>
      </w:tr>
      <w:tr>
        <w:tc>
          <w:tcPr>
            <w:tcW w:type="dxa" w:w="861"/>
          </w:tcPr>
          <w:p>
            <w:pPr>
              <w:spacing w:after="50" w:before="50" w:line="252" w:lineRule="auto"/>
            </w:pPr>
            <w:r>
              <w:rPr>
                <w:sz w:val="17"/>
              </w:rPr>
              <w:t>3</w:t>
            </w:r>
          </w:p>
        </w:tc>
        <w:tc>
          <w:tcPr>
            <w:tcW w:type="dxa" w:w="8607"/>
          </w:tcPr>
          <w:p>
            <w:pPr>
              <w:spacing w:after="50" w:before="50" w:line="252" w:lineRule="auto"/>
            </w:pPr>
            <w:r>
              <w:rPr>
                <w:b/>
                <w:sz w:val="17"/>
              </w:rPr>
              <w:t>No Equator neutral who has trained, assessed or coached at that institution accepts the appointment</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No neutral who is a member of that institution's faculty accepts the appointment</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The connection is disclosed to all parties in writing</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Where any party objects, Equator declines the appointment</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Case information is not shared with any person on the academic side</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The academic relationship is not referred to in any communication about the matter</w:t>
            </w:r>
          </w:p>
        </w:tc>
      </w:tr>
      <w:tr>
        <w:tc>
          <w:tcPr>
            <w:tcW w:type="dxa" w:w="861"/>
          </w:tcPr>
          <w:p>
            <w:pPr>
              <w:spacing w:after="50" w:before="50" w:line="252" w:lineRule="auto"/>
            </w:pPr>
            <w:r>
              <w:rPr>
                <w:sz w:val="17"/>
              </w:rPr>
              <w:t>9</w:t>
            </w:r>
          </w:p>
        </w:tc>
        <w:tc>
          <w:tcPr>
            <w:tcW w:type="dxa" w:w="8607"/>
          </w:tcPr>
          <w:p>
            <w:pPr>
              <w:spacing w:after="50" w:before="50" w:line="252" w:lineRule="auto"/>
            </w:pPr>
            <w:r>
              <w:rPr>
                <w:sz w:val="17"/>
              </w:rPr>
              <w:t>The decision and its reasons are recorded</w:t>
            </w:r>
          </w:p>
        </w:tc>
      </w:tr>
    </w:tbl>
    <w:p>
      <w:pPr>
        <w:spacing w:after="80" w:before="0"/>
      </w:pPr>
    </w:p>
    <w:p>
      <w:r>
        <w:rPr>
          <w:b/>
        </w:rPr>
        <w:t>The default is to decline.</w:t>
      </w:r>
      <w:r>
        <w:t xml:space="preserve"> The academic relationship is worth more than a single appointment, and the appearance of partiality would damage both.</w:t>
      </w:r>
    </w:p>
    <w:p>
      <w:pPr>
        <w:pStyle w:val="Heading2"/>
      </w:pPr>
      <w:r>
        <w:t>4.3 Competition conflicts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96"/>
            <w:shd w:val="clear" w:color="auto" w:fill="10375C"/>
          </w:tcPr>
          <w:p>
            <w:pPr>
              <w:spacing w:after="50" w:before="50"/>
            </w:pPr>
            <w:r>
              <w:rPr>
                <w:b/>
                <w:color w:val="FFFFFF"/>
                <w:sz w:val="17"/>
              </w:rPr>
              <w:t>Role</w:t>
            </w:r>
          </w:p>
        </w:tc>
        <w:tc>
          <w:tcPr>
            <w:tcW w:type="dxa" w:w="6872"/>
            <w:shd w:val="clear" w:color="auto" w:fill="10375C"/>
          </w:tcPr>
          <w:p>
            <w:pPr>
              <w:spacing w:after="50" w:before="50"/>
            </w:pPr>
            <w:r>
              <w:rPr>
                <w:b/>
                <w:color w:val="FFFFFF"/>
                <w:sz w:val="17"/>
              </w:rPr>
              <w:t>Rule</w:t>
            </w:r>
          </w:p>
        </w:tc>
      </w:tr>
      <w:tr>
        <w:tc>
          <w:tcPr>
            <w:tcW w:type="dxa" w:w="2596"/>
          </w:tcPr>
          <w:p>
            <w:pPr>
              <w:spacing w:after="50" w:before="50" w:line="252" w:lineRule="auto"/>
            </w:pPr>
            <w:r>
              <w:rPr>
                <w:sz w:val="17"/>
              </w:rPr>
              <w:t>Problem author</w:t>
            </w:r>
          </w:p>
        </w:tc>
        <w:tc>
          <w:tcPr>
            <w:tcW w:type="dxa" w:w="6872"/>
          </w:tcPr>
          <w:p>
            <w:pPr>
              <w:spacing w:after="50" w:before="50" w:line="252" w:lineRule="auto"/>
            </w:pPr>
            <w:r>
              <w:rPr>
                <w:sz w:val="17"/>
              </w:rPr>
              <w:t>Ineligible to judge, coach or attend sessions in that edition</w:t>
            </w:r>
          </w:p>
        </w:tc>
      </w:tr>
      <w:tr>
        <w:tc>
          <w:tcPr>
            <w:tcW w:type="dxa" w:w="2596"/>
            <w:shd w:val="clear" w:color="auto" w:fill="EAF1F4"/>
          </w:tcPr>
          <w:p>
            <w:pPr>
              <w:spacing w:after="50" w:before="50" w:line="252" w:lineRule="auto"/>
            </w:pPr>
            <w:r>
              <w:rPr>
                <w:sz w:val="17"/>
              </w:rPr>
              <w:t>Coach</w:t>
            </w:r>
          </w:p>
        </w:tc>
        <w:tc>
          <w:tcPr>
            <w:tcW w:type="dxa" w:w="6872"/>
            <w:shd w:val="clear" w:color="auto" w:fill="EAF1F4"/>
          </w:tcPr>
          <w:p>
            <w:pPr>
              <w:spacing w:after="50" w:before="50" w:line="252" w:lineRule="auto"/>
            </w:pPr>
            <w:r>
              <w:rPr>
                <w:sz w:val="17"/>
              </w:rPr>
              <w:t>Ineligible to judge in that edition</w:t>
            </w:r>
          </w:p>
        </w:tc>
      </w:tr>
      <w:tr>
        <w:tc>
          <w:tcPr>
            <w:tcW w:type="dxa" w:w="2596"/>
          </w:tcPr>
          <w:p>
            <w:pPr>
              <w:spacing w:after="50" w:before="50" w:line="252" w:lineRule="auto"/>
            </w:pPr>
            <w:r>
              <w:rPr>
                <w:sz w:val="17"/>
              </w:rPr>
              <w:t>Judge</w:t>
            </w:r>
          </w:p>
        </w:tc>
        <w:tc>
          <w:tcPr>
            <w:tcW w:type="dxa" w:w="6872"/>
          </w:tcPr>
          <w:p>
            <w:pPr>
              <w:spacing w:after="50" w:before="50" w:line="252" w:lineRule="auto"/>
            </w:pPr>
            <w:r>
              <w:rPr>
                <w:sz w:val="17"/>
              </w:rPr>
              <w:t>Not allotted to a session involving an associated institution</w:t>
            </w:r>
          </w:p>
        </w:tc>
      </w:tr>
      <w:tr>
        <w:tc>
          <w:tcPr>
            <w:tcW w:type="dxa" w:w="2596"/>
            <w:shd w:val="clear" w:color="auto" w:fill="EAF1F4"/>
          </w:tcPr>
          <w:p>
            <w:pPr>
              <w:spacing w:after="50" w:before="50" w:line="252" w:lineRule="auto"/>
            </w:pPr>
            <w:r>
              <w:rPr>
                <w:sz w:val="17"/>
              </w:rPr>
              <w:t>Committee member from the host</w:t>
            </w:r>
          </w:p>
        </w:tc>
        <w:tc>
          <w:tcPr>
            <w:tcW w:type="dxa" w:w="6872"/>
            <w:shd w:val="clear" w:color="auto" w:fill="EAF1F4"/>
          </w:tcPr>
          <w:p>
            <w:pPr>
              <w:spacing w:after="50" w:before="50" w:line="252" w:lineRule="auto"/>
            </w:pPr>
            <w:r>
              <w:rPr>
                <w:sz w:val="17"/>
              </w:rPr>
              <w:t>Withdraws from any matter concerning the host's teams</w:t>
            </w:r>
          </w:p>
        </w:tc>
      </w:tr>
      <w:tr>
        <w:tc>
          <w:tcPr>
            <w:tcW w:type="dxa" w:w="2596"/>
          </w:tcPr>
          <w:p>
            <w:pPr>
              <w:spacing w:after="50" w:before="50" w:line="252" w:lineRule="auto"/>
            </w:pPr>
            <w:r>
              <w:rPr>
                <w:sz w:val="17"/>
              </w:rPr>
              <w:t>Sponsor nominee</w:t>
            </w:r>
          </w:p>
        </w:tc>
        <w:tc>
          <w:tcPr>
            <w:tcW w:type="dxa" w:w="6872"/>
          </w:tcPr>
          <w:p>
            <w:pPr>
              <w:spacing w:after="50" w:before="50" w:line="252" w:lineRule="auto"/>
            </w:pPr>
            <w:r>
              <w:rPr>
                <w:sz w:val="17"/>
              </w:rPr>
              <w:t>Eligible only on the same terms as any other judge; nomination confers nothing</w:t>
            </w:r>
          </w:p>
        </w:tc>
      </w:tr>
    </w:tbl>
    <w:p>
      <w:pPr>
        <w:spacing w:after="80" w:before="0"/>
      </w:pPr>
    </w:p>
    <w:p>
      <w:pPr>
        <w:spacing w:before="80" w:after="160"/>
        <w:pBdr>
          <w:bottom w:val="single" w:sz="6" w:space="1" w:color="C9D6DE"/>
        </w:pBdr>
      </w:pPr>
    </w:p>
    <w:p>
      <w:pPr>
        <w:pStyle w:val="Heading1"/>
        <w:pBdr>
          <w:bottom w:val="single" w:sz="8" w:space="4" w:color="C9D6DE"/>
        </w:pBdr>
      </w:pPr>
      <w:r>
        <w:t>5. Conduct with students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Maintain professional boundaries at all times, including outside sessions and at social events</w:t>
            </w:r>
          </w:p>
        </w:tc>
      </w:tr>
      <w:tr>
        <w:tc>
          <w:tcPr>
            <w:tcW w:type="dxa" w:w="9468"/>
            <w:shd w:val="clear" w:color="auto" w:fill="EAF1F4"/>
          </w:tcPr>
          <w:p>
            <w:pPr>
              <w:spacing w:after="50" w:before="50" w:line="252" w:lineRule="auto"/>
            </w:pPr>
            <w:r>
              <w:rPr>
                <w:b/>
                <w:sz w:val="17"/>
              </w:rPr>
              <w:t>No romantic or sexual relationship with any student participant.</w:t>
            </w:r>
            <w:r>
              <w:rPr>
                <w:sz w:val="17"/>
              </w:rPr>
              <w:t xml:space="preserve"> This is absolute during the engagement and for the duration of any assessment or supervisory relationship</w:t>
            </w:r>
          </w:p>
        </w:tc>
      </w:tr>
      <w:tr>
        <w:tc>
          <w:tcPr>
            <w:tcW w:type="dxa" w:w="9468"/>
          </w:tcPr>
          <w:p>
            <w:pPr>
              <w:spacing w:after="50" w:before="50" w:line="252" w:lineRule="auto"/>
            </w:pPr>
            <w:r>
              <w:rPr>
                <w:sz w:val="17"/>
              </w:rPr>
              <w:t>Do not meet a student alone in a non-public setting other than for a disclosed academic purpose</w:t>
            </w:r>
          </w:p>
        </w:tc>
      </w:tr>
      <w:tr>
        <w:tc>
          <w:tcPr>
            <w:tcW w:type="dxa" w:w="9468"/>
            <w:shd w:val="clear" w:color="auto" w:fill="EAF1F4"/>
          </w:tcPr>
          <w:p>
            <w:pPr>
              <w:spacing w:after="50" w:before="50" w:line="252" w:lineRule="auto"/>
            </w:pPr>
            <w:r>
              <w:rPr>
                <w:sz w:val="17"/>
              </w:rPr>
              <w:t xml:space="preserve">Where participants under eighteen are present, </w:t>
            </w:r>
            <w:r>
              <w:rPr>
                <w:b/>
                <w:sz w:val="17"/>
              </w:rPr>
              <w:t>the two-adult rule applies without exception</w:t>
            </w:r>
          </w:p>
        </w:tc>
      </w:tr>
      <w:tr>
        <w:tc>
          <w:tcPr>
            <w:tcW w:type="dxa" w:w="9468"/>
          </w:tcPr>
          <w:p>
            <w:pPr>
              <w:spacing w:after="50" w:before="50" w:line="252" w:lineRule="auto"/>
            </w:pPr>
            <w:r>
              <w:rPr>
                <w:sz w:val="17"/>
              </w:rPr>
              <w:t>Do not communicate with a student through personal social media accounts about programme matters</w:t>
            </w:r>
          </w:p>
        </w:tc>
      </w:tr>
      <w:tr>
        <w:tc>
          <w:tcPr>
            <w:tcW w:type="dxa" w:w="9468"/>
            <w:shd w:val="clear" w:color="auto" w:fill="EAF1F4"/>
          </w:tcPr>
          <w:p>
            <w:pPr>
              <w:spacing w:after="50" w:before="50" w:line="252" w:lineRule="auto"/>
            </w:pPr>
            <w:r>
              <w:rPr>
                <w:sz w:val="17"/>
              </w:rPr>
              <w:t>Do not accept a gift beyond a token courtesy</w:t>
            </w:r>
          </w:p>
        </w:tc>
      </w:tr>
      <w:tr>
        <w:tc>
          <w:tcPr>
            <w:tcW w:type="dxa" w:w="9468"/>
          </w:tcPr>
          <w:p>
            <w:pPr>
              <w:spacing w:after="50" w:before="50" w:line="252" w:lineRule="auto"/>
            </w:pPr>
            <w:r>
              <w:rPr>
                <w:sz w:val="17"/>
              </w:rPr>
              <w:t>Do not lend money to, or borrow from, a participant</w:t>
            </w:r>
          </w:p>
        </w:tc>
      </w:tr>
      <w:tr>
        <w:tc>
          <w:tcPr>
            <w:tcW w:type="dxa" w:w="9468"/>
            <w:shd w:val="clear" w:color="auto" w:fill="EAF1F4"/>
          </w:tcPr>
          <w:p>
            <w:pPr>
              <w:spacing w:after="50" w:before="50" w:line="252" w:lineRule="auto"/>
            </w:pPr>
            <w:r>
              <w:rPr>
                <w:sz w:val="17"/>
              </w:rPr>
              <w:t>Do not offer, imply or hint at an internship, job or empanelment</w:t>
            </w:r>
          </w:p>
        </w:tc>
      </w:tr>
      <w:tr>
        <w:tc>
          <w:tcPr>
            <w:tcW w:type="dxa" w:w="9468"/>
          </w:tcPr>
          <w:p>
            <w:pPr>
              <w:spacing w:after="50" w:before="50" w:line="252" w:lineRule="auto"/>
            </w:pPr>
            <w:r>
              <w:rPr>
                <w:sz w:val="17"/>
              </w:rPr>
              <w:t>Do not give legal advice on a student's real dispute; refer them appropriately</w:t>
            </w:r>
          </w:p>
        </w:tc>
      </w:tr>
      <w:tr>
        <w:tc>
          <w:tcPr>
            <w:tcW w:type="dxa" w:w="9468"/>
            <w:shd w:val="clear" w:color="auto" w:fill="EAF1F4"/>
          </w:tcPr>
          <w:p>
            <w:pPr>
              <w:spacing w:after="50" w:before="50" w:line="252" w:lineRule="auto"/>
            </w:pPr>
            <w:r>
              <w:rPr>
                <w:sz w:val="17"/>
              </w:rPr>
              <w:t>Do not use a student's work without attribution and consent</w:t>
            </w:r>
          </w:p>
        </w:tc>
      </w:tr>
    </w:tbl>
    <w:p>
      <w:pPr>
        <w:spacing w:after="80" w:before="0"/>
      </w:pPr>
    </w:p>
    <w:p>
      <w:pPr>
        <w:spacing w:before="80" w:after="160"/>
        <w:pBdr>
          <w:bottom w:val="single" w:sz="6" w:space="1" w:color="C9D6DE"/>
        </w:pBdr>
      </w:pPr>
    </w:p>
    <w:p>
      <w:pPr>
        <w:pStyle w:val="Heading1"/>
        <w:pBdr>
          <w:bottom w:val="single" w:sz="8" w:space="4" w:color="C9D6DE"/>
        </w:pBdr>
      </w:pPr>
      <w:r>
        <w:t>6. Confidentiality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106"/>
            <w:shd w:val="clear" w:color="auto" w:fill="10375C"/>
          </w:tcPr>
          <w:p>
            <w:pPr>
              <w:spacing w:after="50" w:before="50"/>
            </w:pPr>
            <w:r>
              <w:rPr>
                <w:b/>
                <w:color w:val="FFFFFF"/>
                <w:sz w:val="17"/>
              </w:rPr>
              <w:t>Category</w:t>
            </w:r>
          </w:p>
        </w:tc>
        <w:tc>
          <w:tcPr>
            <w:tcW w:type="dxa" w:w="6361"/>
            <w:shd w:val="clear" w:color="auto" w:fill="10375C"/>
          </w:tcPr>
          <w:p>
            <w:pPr>
              <w:spacing w:after="50" w:before="50"/>
            </w:pPr>
            <w:r>
              <w:rPr>
                <w:b/>
                <w:color w:val="FFFFFF"/>
                <w:sz w:val="17"/>
              </w:rPr>
              <w:t>Obligation</w:t>
            </w:r>
          </w:p>
        </w:tc>
      </w:tr>
      <w:tr>
        <w:tc>
          <w:tcPr>
            <w:tcW w:type="dxa" w:w="3106"/>
          </w:tcPr>
          <w:p>
            <w:pPr>
              <w:spacing w:after="50" w:before="50" w:line="252" w:lineRule="auto"/>
            </w:pPr>
            <w:r>
              <w:rPr>
                <w:sz w:val="17"/>
              </w:rPr>
              <w:t>Live matters</w:t>
            </w:r>
          </w:p>
        </w:tc>
        <w:tc>
          <w:tcPr>
            <w:tcW w:type="dxa" w:w="6361"/>
          </w:tcPr>
          <w:p>
            <w:pPr>
              <w:spacing w:after="50" w:before="50" w:line="252" w:lineRule="auto"/>
            </w:pPr>
            <w:r>
              <w:rPr>
                <w:sz w:val="17"/>
              </w:rPr>
              <w:t>Permanent. Statutory under the Mediation Act, 2023. No recording, ever</w:t>
            </w:r>
          </w:p>
        </w:tc>
      </w:tr>
      <w:tr>
        <w:tc>
          <w:tcPr>
            <w:tcW w:type="dxa" w:w="3106"/>
            <w:shd w:val="clear" w:color="auto" w:fill="EAF1F4"/>
          </w:tcPr>
          <w:p>
            <w:pPr>
              <w:spacing w:after="50" w:before="50" w:line="252" w:lineRule="auto"/>
            </w:pPr>
            <w:r>
              <w:rPr>
                <w:sz w:val="17"/>
              </w:rPr>
              <w:t>Participant information</w:t>
            </w:r>
          </w:p>
        </w:tc>
        <w:tc>
          <w:tcPr>
            <w:tcW w:type="dxa" w:w="6361"/>
            <w:shd w:val="clear" w:color="auto" w:fill="EAF1F4"/>
          </w:tcPr>
          <w:p>
            <w:pPr>
              <w:spacing w:after="50" w:before="50" w:line="252" w:lineRule="auto"/>
            </w:pPr>
            <w:r>
              <w:rPr>
                <w:sz w:val="17"/>
              </w:rPr>
              <w:t>Used only for the purpose collected; never disclosed to another participant or institution</w:t>
            </w:r>
          </w:p>
        </w:tc>
      </w:tr>
      <w:tr>
        <w:tc>
          <w:tcPr>
            <w:tcW w:type="dxa" w:w="3106"/>
          </w:tcPr>
          <w:p>
            <w:pPr>
              <w:spacing w:after="50" w:before="50" w:line="252" w:lineRule="auto"/>
            </w:pPr>
            <w:r>
              <w:rPr>
                <w:sz w:val="17"/>
              </w:rPr>
              <w:t>Assessment</w:t>
            </w:r>
          </w:p>
        </w:tc>
        <w:tc>
          <w:tcPr>
            <w:tcW w:type="dxa" w:w="6361"/>
          </w:tcPr>
          <w:p>
            <w:pPr>
              <w:spacing w:after="50" w:before="50" w:line="252" w:lineRule="auto"/>
            </w:pPr>
            <w:r>
              <w:rPr>
                <w:sz w:val="17"/>
              </w:rPr>
              <w:t>Marks, scripts and moderation are confidential to the assessment process</w:t>
            </w:r>
          </w:p>
        </w:tc>
      </w:tr>
      <w:tr>
        <w:tc>
          <w:tcPr>
            <w:tcW w:type="dxa" w:w="3106"/>
            <w:shd w:val="clear" w:color="auto" w:fill="EAF1F4"/>
          </w:tcPr>
          <w:p>
            <w:pPr>
              <w:spacing w:after="50" w:before="50" w:line="252" w:lineRule="auto"/>
            </w:pPr>
            <w:r>
              <w:rPr>
                <w:sz w:val="17"/>
              </w:rPr>
              <w:t>Competition materials</w:t>
            </w:r>
          </w:p>
        </w:tc>
        <w:tc>
          <w:tcPr>
            <w:tcW w:type="dxa" w:w="6361"/>
            <w:shd w:val="clear" w:color="auto" w:fill="EAF1F4"/>
          </w:tcPr>
          <w:p>
            <w:pPr>
              <w:spacing w:after="50" w:before="50" w:line="252" w:lineRule="auto"/>
            </w:pPr>
            <w:r>
              <w:rPr>
                <w:sz w:val="17"/>
              </w:rPr>
              <w:t>Confidential until public release</w:t>
            </w:r>
          </w:p>
        </w:tc>
      </w:tr>
      <w:tr>
        <w:tc>
          <w:tcPr>
            <w:tcW w:type="dxa" w:w="3106"/>
          </w:tcPr>
          <w:p>
            <w:pPr>
              <w:spacing w:after="50" w:before="50" w:line="252" w:lineRule="auto"/>
            </w:pPr>
            <w:r>
              <w:rPr>
                <w:sz w:val="17"/>
              </w:rPr>
              <w:t>Commercial terms</w:t>
            </w:r>
          </w:p>
        </w:tc>
        <w:tc>
          <w:tcPr>
            <w:tcW w:type="dxa" w:w="6361"/>
          </w:tcPr>
          <w:p>
            <w:pPr>
              <w:spacing w:after="50" w:before="50" w:line="252" w:lineRule="auto"/>
            </w:pPr>
            <w:r>
              <w:rPr>
                <w:sz w:val="17"/>
              </w:rPr>
              <w:t>Confidential to the parties</w:t>
            </w:r>
          </w:p>
        </w:tc>
      </w:tr>
      <w:tr>
        <w:tc>
          <w:tcPr>
            <w:tcW w:type="dxa" w:w="3106"/>
            <w:shd w:val="clear" w:color="auto" w:fill="EAF1F4"/>
          </w:tcPr>
          <w:p>
            <w:pPr>
              <w:spacing w:after="50" w:before="50" w:line="252" w:lineRule="auto"/>
            </w:pPr>
            <w:r>
              <w:rPr>
                <w:sz w:val="17"/>
              </w:rPr>
              <w:t>Institute materials</w:t>
            </w:r>
          </w:p>
        </w:tc>
        <w:tc>
          <w:tcPr>
            <w:tcW w:type="dxa" w:w="6361"/>
            <w:shd w:val="clear" w:color="auto" w:fill="EAF1F4"/>
          </w:tcPr>
          <w:p>
            <w:pPr>
              <w:spacing w:after="50" w:before="50" w:line="252" w:lineRule="auto"/>
            </w:pPr>
            <w:r>
              <w:rPr>
                <w:sz w:val="17"/>
              </w:rPr>
              <w:t>Not shared, uploaded or reused outside the engagement</w:t>
            </w:r>
          </w:p>
        </w:tc>
      </w:tr>
      <w:tr>
        <w:tc>
          <w:tcPr>
            <w:tcW w:type="dxa" w:w="3106"/>
          </w:tcPr>
          <w:p>
            <w:pPr>
              <w:spacing w:after="50" w:before="50" w:line="252" w:lineRule="auto"/>
            </w:pPr>
            <w:r>
              <w:rPr>
                <w:sz w:val="17"/>
              </w:rPr>
              <w:t>Another institution's information</w:t>
            </w:r>
          </w:p>
        </w:tc>
        <w:tc>
          <w:tcPr>
            <w:tcW w:type="dxa" w:w="6361"/>
          </w:tcPr>
          <w:p>
            <w:pPr>
              <w:spacing w:after="50" w:before="50" w:line="252" w:lineRule="auto"/>
            </w:pPr>
            <w:r>
              <w:rPr>
                <w:sz w:val="17"/>
              </w:rPr>
              <w:t>Never discussed with a different institution</w:t>
            </w:r>
          </w:p>
        </w:tc>
      </w:tr>
    </w:tbl>
    <w:p>
      <w:pPr>
        <w:spacing w:after="80" w:before="0"/>
      </w:pPr>
    </w:p>
    <w:p>
      <w:pPr>
        <w:spacing w:before="80" w:after="160"/>
        <w:pBdr>
          <w:bottom w:val="single" w:sz="6" w:space="1" w:color="C9D6DE"/>
        </w:pBdr>
      </w:pPr>
    </w:p>
    <w:p>
      <w:pPr>
        <w:pStyle w:val="Heading1"/>
        <w:pBdr>
          <w:bottom w:val="single" w:sz="8" w:space="4" w:color="C9D6DE"/>
        </w:pBdr>
      </w:pPr>
      <w:r>
        <w:t>7. Gifts, hospitality and anti-bribery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No bribe, facilitation payment or improper advantage is offered, given, solicited or accepted, in any form, in any circumstance</w:t>
            </w:r>
          </w:p>
        </w:tc>
      </w:tr>
      <w:tr>
        <w:tc>
          <w:tcPr>
            <w:tcW w:type="dxa" w:w="9468"/>
            <w:shd w:val="clear" w:color="auto" w:fill="EAF1F4"/>
          </w:tcPr>
          <w:p>
            <w:pPr>
              <w:spacing w:after="50" w:before="50" w:line="252" w:lineRule="auto"/>
            </w:pPr>
            <w:r>
              <w:rPr>
                <w:sz w:val="17"/>
              </w:rPr>
              <w:t>Gifts above a token courtesy — indicatively ₹2,500 — are declined or declared and surrendered</w:t>
            </w:r>
          </w:p>
        </w:tc>
      </w:tr>
      <w:tr>
        <w:tc>
          <w:tcPr>
            <w:tcW w:type="dxa" w:w="9468"/>
          </w:tcPr>
          <w:p>
            <w:pPr>
              <w:spacing w:after="50" w:before="50" w:line="252" w:lineRule="auto"/>
            </w:pPr>
            <w:r>
              <w:rPr>
                <w:sz w:val="17"/>
              </w:rPr>
              <w:t>Hospitality is declined from a participating institution during a competition</w:t>
            </w:r>
          </w:p>
        </w:tc>
      </w:tr>
      <w:tr>
        <w:tc>
          <w:tcPr>
            <w:tcW w:type="dxa" w:w="9468"/>
            <w:shd w:val="clear" w:color="auto" w:fill="EAF1F4"/>
          </w:tcPr>
          <w:p>
            <w:pPr>
              <w:spacing w:after="50" w:before="50" w:line="252" w:lineRule="auto"/>
            </w:pPr>
            <w:r>
              <w:rPr>
                <w:b/>
                <w:sz w:val="17"/>
              </w:rPr>
              <w:t>No fee, honorarium or gift is offered to a public official</w:t>
            </w:r>
            <w:r>
              <w:rPr>
                <w:sz w:val="17"/>
              </w:rPr>
              <w:t xml:space="preserve"> except as permitted by law</w:t>
            </w:r>
          </w:p>
        </w:tc>
      </w:tr>
      <w:tr>
        <w:tc>
          <w:tcPr>
            <w:tcW w:type="dxa" w:w="9468"/>
          </w:tcPr>
          <w:p>
            <w:pPr>
              <w:spacing w:after="50" w:before="50" w:line="252" w:lineRule="auto"/>
            </w:pPr>
            <w:r>
              <w:rPr>
                <w:sz w:val="17"/>
              </w:rPr>
              <w:t>No payment is made to secure an MOU, an approval or a decision</w:t>
            </w:r>
          </w:p>
        </w:tc>
      </w:tr>
      <w:tr>
        <w:tc>
          <w:tcPr>
            <w:tcW w:type="dxa" w:w="9468"/>
            <w:shd w:val="clear" w:color="auto" w:fill="EAF1F4"/>
          </w:tcPr>
          <w:p>
            <w:pPr>
              <w:spacing w:after="50" w:before="50" w:line="252" w:lineRule="auto"/>
            </w:pPr>
            <w:r>
              <w:rPr>
                <w:sz w:val="17"/>
              </w:rPr>
              <w:t>Any solicitation of an improper payment is reported to the General Counsel immediately</w:t>
            </w:r>
          </w:p>
        </w:tc>
      </w:tr>
    </w:tbl>
    <w:p>
      <w:pPr>
        <w:spacing w:after="80" w:before="0"/>
      </w:pPr>
    </w:p>
    <w:p>
      <w:pPr>
        <w:spacing w:before="80" w:after="160"/>
        <w:pBdr>
          <w:bottom w:val="single" w:sz="6" w:space="1" w:color="C9D6DE"/>
        </w:pBdr>
      </w:pPr>
    </w:p>
    <w:p>
      <w:pPr>
        <w:pStyle w:val="Heading1"/>
        <w:pBdr>
          <w:bottom w:val="single" w:sz="8" w:space="4" w:color="C9D6DE"/>
        </w:pBdr>
      </w:pPr>
      <w:r>
        <w:t>8. Use of Equator's name and resources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Do not use the Equator name, marks or letterhead for any purpose outside the engagement</w:t>
            </w:r>
          </w:p>
        </w:tc>
      </w:tr>
      <w:tr>
        <w:tc>
          <w:tcPr>
            <w:tcW w:type="dxa" w:w="9468"/>
            <w:shd w:val="clear" w:color="auto" w:fill="EAF1F4"/>
          </w:tcPr>
          <w:p>
            <w:pPr>
              <w:spacing w:after="50" w:before="50" w:line="252" w:lineRule="auto"/>
            </w:pPr>
            <w:r>
              <w:rPr>
                <w:sz w:val="17"/>
              </w:rPr>
              <w:t>Do not represent yourself as an employee or officer unless you are one</w:t>
            </w:r>
          </w:p>
        </w:tc>
      </w:tr>
      <w:tr>
        <w:tc>
          <w:tcPr>
            <w:tcW w:type="dxa" w:w="9468"/>
          </w:tcPr>
          <w:p>
            <w:pPr>
              <w:spacing w:after="50" w:before="50" w:line="252" w:lineRule="auto"/>
            </w:pPr>
            <w:r>
              <w:rPr>
                <w:sz w:val="17"/>
              </w:rPr>
              <w:t>Do not speak to media on Equator's behalf; refer enquiries to the Programme Director</w:t>
            </w:r>
          </w:p>
        </w:tc>
      </w:tr>
      <w:tr>
        <w:tc>
          <w:tcPr>
            <w:tcW w:type="dxa" w:w="9468"/>
            <w:shd w:val="clear" w:color="auto" w:fill="EAF1F4"/>
          </w:tcPr>
          <w:p>
            <w:pPr>
              <w:spacing w:after="50" w:before="50" w:line="252" w:lineRule="auto"/>
            </w:pPr>
            <w:r>
              <w:rPr>
                <w:sz w:val="17"/>
              </w:rPr>
              <w:t>Do not post about Equator's work on personal social media without approval</w:t>
            </w:r>
          </w:p>
        </w:tc>
      </w:tr>
      <w:tr>
        <w:tc>
          <w:tcPr>
            <w:tcW w:type="dxa" w:w="9468"/>
          </w:tcPr>
          <w:p>
            <w:pPr>
              <w:spacing w:after="50" w:before="50" w:line="252" w:lineRule="auto"/>
            </w:pPr>
            <w:r>
              <w:rPr>
                <w:sz w:val="17"/>
              </w:rPr>
              <w:t>Do not use Equator materials in any other engagement</w:t>
            </w:r>
          </w:p>
        </w:tc>
      </w:tr>
      <w:tr>
        <w:tc>
          <w:tcPr>
            <w:tcW w:type="dxa" w:w="9468"/>
            <w:shd w:val="clear" w:color="auto" w:fill="EAF1F4"/>
          </w:tcPr>
          <w:p>
            <w:pPr>
              <w:spacing w:after="50" w:before="50" w:line="252" w:lineRule="auto"/>
            </w:pPr>
            <w:r>
              <w:rPr>
                <w:sz w:val="17"/>
              </w:rPr>
              <w:t>Do not use Equator systems or data for personal purposes</w:t>
            </w:r>
          </w:p>
        </w:tc>
      </w:tr>
    </w:tbl>
    <w:p>
      <w:pPr>
        <w:spacing w:after="80" w:before="0"/>
      </w:pPr>
    </w:p>
    <w:p>
      <w:pPr>
        <w:spacing w:before="80" w:after="160"/>
        <w:pBdr>
          <w:bottom w:val="single" w:sz="6" w:space="1" w:color="C9D6DE"/>
        </w:pBdr>
      </w:pPr>
    </w:p>
    <w:p>
      <w:pPr>
        <w:pStyle w:val="Heading1"/>
        <w:pBdr>
          <w:bottom w:val="single" w:sz="8" w:space="4" w:color="C9D6DE"/>
        </w:pBdr>
      </w:pPr>
      <w:r>
        <w:t>9. Reporting a breach</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523"/>
            <w:shd w:val="clear" w:color="auto" w:fill="10375C"/>
          </w:tcPr>
          <w:p>
            <w:pPr>
              <w:spacing w:after="50" w:before="50"/>
            </w:pPr>
            <w:r>
              <w:rPr>
                <w:b/>
                <w:color w:val="FFFFFF"/>
                <w:sz w:val="17"/>
              </w:rPr>
              <w:t>Route</w:t>
            </w:r>
          </w:p>
        </w:tc>
        <w:tc>
          <w:tcPr>
            <w:tcW w:type="dxa" w:w="3945"/>
            <w:shd w:val="clear" w:color="auto" w:fill="10375C"/>
          </w:tcPr>
          <w:p>
            <w:pPr>
              <w:spacing w:after="50" w:before="50"/>
            </w:pPr>
            <w:r>
              <w:rPr>
                <w:b/>
                <w:color w:val="FFFFFF"/>
                <w:sz w:val="17"/>
              </w:rPr>
              <w:t>Detail</w:t>
            </w:r>
          </w:p>
        </w:tc>
      </w:tr>
      <w:tr>
        <w:tc>
          <w:tcPr>
            <w:tcW w:type="dxa" w:w="5523"/>
          </w:tcPr>
          <w:p>
            <w:pPr>
              <w:spacing w:after="50" w:before="50" w:line="252" w:lineRule="auto"/>
            </w:pPr>
            <w:r>
              <w:rPr>
                <w:sz w:val="17"/>
              </w:rPr>
              <w:t>Ordinary</w:t>
            </w:r>
          </w:p>
        </w:tc>
        <w:tc>
          <w:tcPr>
            <w:tcW w:type="dxa" w:w="3945"/>
          </w:tcPr>
          <w:p>
            <w:pPr>
              <w:spacing w:after="50" w:before="50" w:line="252" w:lineRule="auto"/>
            </w:pPr>
            <w:r>
              <w:rPr>
                <w:sz w:val="17"/>
              </w:rPr>
              <w:t>Line manager, or the Programme Director</w:t>
            </w:r>
          </w:p>
        </w:tc>
      </w:tr>
      <w:tr>
        <w:tc>
          <w:tcPr>
            <w:tcW w:type="dxa" w:w="5523"/>
            <w:shd w:val="clear" w:color="auto" w:fill="EAF1F4"/>
          </w:tcPr>
          <w:p>
            <w:pPr>
              <w:spacing w:after="50" w:before="50" w:line="252" w:lineRule="auto"/>
            </w:pPr>
            <w:r>
              <w:rPr>
                <w:sz w:val="17"/>
              </w:rPr>
              <w:t>Where the concern is about a line manager</w:t>
            </w:r>
          </w:p>
        </w:tc>
        <w:tc>
          <w:tcPr>
            <w:tcW w:type="dxa" w:w="3945"/>
            <w:shd w:val="clear" w:color="auto" w:fill="EAF1F4"/>
          </w:tcPr>
          <w:p>
            <w:pPr>
              <w:spacing w:after="50" w:before="50" w:line="252" w:lineRule="auto"/>
            </w:pPr>
            <w:r>
              <w:rPr>
                <w:sz w:val="17"/>
              </w:rPr>
              <w:t>Programme Director</w:t>
            </w:r>
          </w:p>
        </w:tc>
      </w:tr>
      <w:tr>
        <w:tc>
          <w:tcPr>
            <w:tcW w:type="dxa" w:w="5523"/>
          </w:tcPr>
          <w:p>
            <w:pPr>
              <w:spacing w:after="50" w:before="50" w:line="252" w:lineRule="auto"/>
            </w:pPr>
            <w:r>
              <w:rPr>
                <w:sz w:val="17"/>
              </w:rPr>
              <w:t>Where the concern is about the Programme Director</w:t>
            </w:r>
          </w:p>
        </w:tc>
        <w:tc>
          <w:tcPr>
            <w:tcW w:type="dxa" w:w="3945"/>
          </w:tcPr>
          <w:p>
            <w:pPr>
              <w:spacing w:after="50" w:before="50" w:line="252" w:lineRule="auto"/>
            </w:pPr>
            <w:r>
              <w:rPr>
                <w:sz w:val="17"/>
              </w:rPr>
              <w:t>Managing Director</w:t>
            </w:r>
          </w:p>
        </w:tc>
      </w:tr>
      <w:tr>
        <w:tc>
          <w:tcPr>
            <w:tcW w:type="dxa" w:w="5523"/>
            <w:shd w:val="clear" w:color="auto" w:fill="EAF1F4"/>
          </w:tcPr>
          <w:p>
            <w:pPr>
              <w:spacing w:after="50" w:before="50" w:line="252" w:lineRule="auto"/>
            </w:pPr>
            <w:r>
              <w:rPr>
                <w:sz w:val="17"/>
              </w:rPr>
              <w:t>Safeguarding, harassment, data or confidentiality</w:t>
            </w:r>
          </w:p>
        </w:tc>
        <w:tc>
          <w:tcPr>
            <w:tcW w:type="dxa" w:w="3945"/>
            <w:shd w:val="clear" w:color="auto" w:fill="EAF1F4"/>
          </w:tcPr>
          <w:p>
            <w:pPr>
              <w:spacing w:after="50" w:before="50" w:line="252" w:lineRule="auto"/>
            </w:pPr>
            <w:r>
              <w:rPr>
                <w:b/>
                <w:sz w:val="17"/>
              </w:rPr>
              <w:t>Escalate to L4 immediately</w:t>
            </w:r>
          </w:p>
        </w:tc>
      </w:tr>
      <w:tr>
        <w:tc>
          <w:tcPr>
            <w:tcW w:type="dxa" w:w="5523"/>
          </w:tcPr>
          <w:p>
            <w:pPr>
              <w:spacing w:after="50" w:before="50" w:line="252" w:lineRule="auto"/>
            </w:pPr>
            <w:r>
              <w:rPr>
                <w:sz w:val="17"/>
              </w:rPr>
              <w:t>Confidential route</w:t>
            </w:r>
          </w:p>
        </w:tc>
        <w:tc>
          <w:tcPr>
            <w:tcW w:type="dxa" w:w="3945"/>
          </w:tcPr>
          <w:p>
            <w:pPr>
              <w:spacing w:after="50" w:before="50" w:line="252" w:lineRule="auto"/>
            </w:pPr>
            <w:r>
              <w:rPr>
                <w:sz w:val="17"/>
              </w:rPr>
              <w:t>[●]</w:t>
            </w:r>
          </w:p>
        </w:tc>
      </w:tr>
    </w:tbl>
    <w:p>
      <w:pPr>
        <w:spacing w:after="80" w:before="0"/>
      </w:pPr>
    </w:p>
    <w:p>
      <w:r>
        <w:rPr>
          <w:b/>
        </w:rPr>
        <w:t>Protection.</w:t>
      </w:r>
      <w:r>
        <w:t xml:space="preserve"> No person is disadvantaged for raising a concern in good faith. Retaliation is itself a serious breach. A report may be made anonymously, though this limits what can be investigated.</w:t>
      </w:r>
    </w:p>
    <w:p>
      <w:pPr>
        <w:spacing w:before="80" w:after="160"/>
        <w:pBdr>
          <w:bottom w:val="single" w:sz="6" w:space="1" w:color="C9D6DE"/>
        </w:pBdr>
      </w:pPr>
    </w:p>
    <w:p>
      <w:pPr>
        <w:pStyle w:val="Heading1"/>
        <w:pBdr>
          <w:bottom w:val="single" w:sz="8" w:space="4" w:color="C9D6DE"/>
        </w:pBdr>
      </w:pPr>
      <w:r>
        <w:t>10. Consequences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Breach</w:t>
            </w:r>
          </w:p>
        </w:tc>
        <w:tc>
          <w:tcPr>
            <w:tcW w:type="dxa" w:w="4734"/>
            <w:shd w:val="clear" w:color="auto" w:fill="10375C"/>
          </w:tcPr>
          <w:p>
            <w:pPr>
              <w:spacing w:after="50" w:before="50"/>
            </w:pPr>
            <w:r>
              <w:rPr>
                <w:b/>
                <w:color w:val="FFFFFF"/>
                <w:sz w:val="17"/>
              </w:rPr>
              <w:t>Consequence</w:t>
            </w:r>
          </w:p>
        </w:tc>
      </w:tr>
      <w:tr>
        <w:tc>
          <w:tcPr>
            <w:tcW w:type="dxa" w:w="4734"/>
          </w:tcPr>
          <w:p>
            <w:pPr>
              <w:spacing w:after="50" w:before="50" w:line="252" w:lineRule="auto"/>
            </w:pPr>
            <w:r>
              <w:rPr>
                <w:sz w:val="17"/>
              </w:rPr>
              <w:t>Minor, first occurrence</w:t>
            </w:r>
          </w:p>
        </w:tc>
        <w:tc>
          <w:tcPr>
            <w:tcW w:type="dxa" w:w="4734"/>
          </w:tcPr>
          <w:p>
            <w:pPr>
              <w:spacing w:after="50" w:before="50" w:line="252" w:lineRule="auto"/>
            </w:pPr>
            <w:r>
              <w:rPr>
                <w:sz w:val="17"/>
              </w:rPr>
              <w:t>Counselling; recorded</w:t>
            </w:r>
          </w:p>
        </w:tc>
      </w:tr>
      <w:tr>
        <w:tc>
          <w:tcPr>
            <w:tcW w:type="dxa" w:w="4734"/>
            <w:shd w:val="clear" w:color="auto" w:fill="EAF1F4"/>
          </w:tcPr>
          <w:p>
            <w:pPr>
              <w:spacing w:after="50" w:before="50" w:line="252" w:lineRule="auto"/>
            </w:pPr>
            <w:r>
              <w:rPr>
                <w:sz w:val="17"/>
              </w:rPr>
              <w:t>Repeated or moderate</w:t>
            </w:r>
          </w:p>
        </w:tc>
        <w:tc>
          <w:tcPr>
            <w:tcW w:type="dxa" w:w="4734"/>
            <w:shd w:val="clear" w:color="auto" w:fill="EAF1F4"/>
          </w:tcPr>
          <w:p>
            <w:pPr>
              <w:spacing w:after="50" w:before="50" w:line="252" w:lineRule="auto"/>
            </w:pPr>
            <w:r>
              <w:rPr>
                <w:sz w:val="17"/>
              </w:rPr>
              <w:t>Written warning; development plan; removal from certain duties</w:t>
            </w:r>
          </w:p>
        </w:tc>
      </w:tr>
      <w:tr>
        <w:tc>
          <w:tcPr>
            <w:tcW w:type="dxa" w:w="4734"/>
          </w:tcPr>
          <w:p>
            <w:pPr>
              <w:spacing w:after="50" w:before="50" w:line="252" w:lineRule="auto"/>
            </w:pPr>
            <w:r>
              <w:rPr>
                <w:sz w:val="17"/>
              </w:rPr>
              <w:t>Serious — confidentiality, safeguarding, dishonesty, harassment, undisclosed conflict, prohibited representation</w:t>
            </w:r>
          </w:p>
        </w:tc>
        <w:tc>
          <w:tcPr>
            <w:tcW w:type="dxa" w:w="4734"/>
          </w:tcPr>
          <w:p>
            <w:pPr>
              <w:spacing w:after="50" w:before="50" w:line="252" w:lineRule="auto"/>
            </w:pPr>
            <w:r>
              <w:rPr>
                <w:sz w:val="17"/>
              </w:rPr>
              <w:t>Immediate termination of engagement; institution and, where applicable, professional body informed; legal action considered</w:t>
            </w:r>
          </w:p>
        </w:tc>
      </w:tr>
      <w:tr>
        <w:tc>
          <w:tcPr>
            <w:tcW w:type="dxa" w:w="4734"/>
            <w:shd w:val="clear" w:color="auto" w:fill="EAF1F4"/>
          </w:tcPr>
          <w:p>
            <w:pPr>
              <w:spacing w:after="50" w:before="50" w:line="252" w:lineRule="auto"/>
            </w:pPr>
            <w:r>
              <w:rPr>
                <w:sz w:val="17"/>
              </w:rPr>
              <w:t>Any conduct endangering a person</w:t>
            </w:r>
          </w:p>
        </w:tc>
        <w:tc>
          <w:tcPr>
            <w:tcW w:type="dxa" w:w="4734"/>
            <w:shd w:val="clear" w:color="auto" w:fill="EAF1F4"/>
          </w:tcPr>
          <w:p>
            <w:pPr>
              <w:spacing w:after="50" w:before="50" w:line="252" w:lineRule="auto"/>
            </w:pPr>
            <w:r>
              <w:rPr>
                <w:sz w:val="17"/>
              </w:rPr>
              <w:t>Immediate removal; statutory reporting where required</w:t>
            </w:r>
          </w:p>
        </w:tc>
      </w:tr>
    </w:tbl>
    <w:p>
      <w:pPr>
        <w:spacing w:after="80" w:before="0"/>
      </w:pPr>
    </w:p>
    <w:p>
      <w:pPr>
        <w:spacing w:before="80" w:after="160"/>
        <w:pBdr>
          <w:bottom w:val="single" w:sz="6" w:space="1" w:color="C9D6DE"/>
        </w:pBdr>
      </w:pPr>
    </w:p>
    <w:p>
      <w:pPr>
        <w:pStyle w:val="Heading1"/>
        <w:pBdr>
          <w:bottom w:val="single" w:sz="8" w:space="4" w:color="C9D6DE"/>
        </w:pBdr>
      </w:pPr>
      <w:r>
        <w:t>11. Acknowledgement</w:t>
      </w:r>
    </w:p>
    <w:p>
      <w:r>
        <w:rPr>
          <w:i/>
        </w:rPr>
        <w:t>To be signed by every person on engagement and annually thereafter.</w:t>
      </w:r>
    </w:p>
    <w:p>
      <w:r>
        <w:t>I have read the Code of Conduct, Ethics and Conflict of Interest Policy. I understand it and I agree to be bound by it. I have disclosed every conflict of interest known to me, and I undertake to disclose any that arises. I understand that breach may result in termination of my engagement and in my institution or professional body being informed.</w:t>
      </w:r>
    </w:p>
    <w:p>
      <w:r>
        <w:t>Signature: _______________________  Name: [●]  Role: [●]  Date: [●]</w:t>
      </w:r>
    </w:p>
    <w:p>
      <w:r>
        <w:rPr>
          <w:b/>
        </w:rPr>
        <w:t>Conflicts disclosed:</w:t>
      </w:r>
      <w:r>
        <w:t xml:space="preserve"> [●]</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EQ-UAP-081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Code of Conduct, Ethics &amp; Conflict of Interest Policy</w:t>
    </w:r>
    <w:r>
      <w:rPr>
        <w:rFonts w:ascii="Calibri" w:hAnsi="Calibri"/>
        <w:color w:val="595959"/>
        <w:sz w:val="16"/>
      </w:rPr>
      <w:tab/>
      <w:t>Confidential — Internal; issued to every engaged person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594B0FA-55AD-42A4-89CC-40A5521D56D9}"/>
</file>

<file path=customXml/itemProps3.xml><?xml version="1.0" encoding="utf-8"?>
<ds:datastoreItem xmlns:ds="http://schemas.openxmlformats.org/officeDocument/2006/customXml" ds:itemID="{71CD134F-E0AF-4521-A606-A7F4A74536B5}"/>
</file>

<file path=customXml/itemProps4.xml><?xml version="1.0" encoding="utf-8"?>
<ds:datastoreItem xmlns:ds="http://schemas.openxmlformats.org/officeDocument/2006/customXml" ds:itemID="{BA0CE9D7-D02A-4678-BC92-FAD7226EC41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