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Research Collaboration Framework</w:t>
      </w:r>
    </w:p>
    <w:p>
      <w:pPr>
        <w:spacing w:after="280" w:line="276" w:lineRule="auto"/>
      </w:pPr>
      <w:r>
        <w:rPr>
          <w:rFonts w:ascii="Calibri" w:hAnsi="Calibri"/>
          <w:i/>
          <w:color w:val="3E6B8A"/>
          <w:sz w:val="25"/>
        </w:rPr>
        <w:t>How Equator and partner institutions undertake joint research — governance, data access, project design and outputs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Research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research is strategically central</w:t>
      </w:r>
    </w:p>
    <w:p>
      <w:r>
        <w:t>India has almost no reliable empirical evidence about how mediation actually works — settlement rates by sector, time to resolution, what predicts settlement, what the process costs parties compared with litigation. The reason is simple: the data sits inside institutions that administer disputes, and those institutions do not publish.</w:t>
      </w:r>
    </w:p>
    <w:p>
      <w:r>
        <w:rPr>
          <w:b/>
        </w:rPr>
        <w:t>Equator administers matters across five verticals and therefore holds exactly the data the field lacks.</w:t>
      </w:r>
      <w:r>
        <w:t xml:space="preserve"> Combined with a partner university's research capability, that is a defensible and durable source of authority which no competitor can buy.</w:t>
      </w:r>
    </w:p>
    <w:p>
      <w:r>
        <w:t>It is also the credibility asset that matters most when the Mediation Council of India is eventually constituted and begins to set standards. Bodies that have published are consulted; bodies that have advertised are not.</w:t>
      </w:r>
    </w:p>
    <w:p>
      <w:pPr>
        <w:pStyle w:val="Heading2"/>
      </w:pPr>
      <w:r>
        <w:t>1.1 The constraint that shapes everything</w:t>
      </w:r>
    </w:p>
    <w:p>
      <w:r>
        <w:t xml:space="preserve">Mediation proceedings are confidential by statute. </w:t>
      </w:r>
      <w:r>
        <w:rPr>
          <w:b/>
        </w:rPr>
        <w:t>No research output may disclose, or permit inference of, anything protected by the Mediation Act, 2023 or by any obligation owed to a party.</w:t>
      </w:r>
      <w:r>
        <w:t xml:space="preserve"> Every design decision in this framework follows from that, and where there is any doubt, data is not released.</w:t>
      </w:r>
    </w:p>
    <w:p>
      <w:pPr>
        <w:spacing w:before="80" w:after="160"/>
        <w:pBdr>
          <w:bottom w:val="single" w:sz="6" w:space="1" w:color="C9D6DE"/>
        </w:pBdr>
      </w:pPr>
    </w:p>
    <w:p>
      <w:pPr>
        <w:pStyle w:val="Heading1"/>
        <w:pBdr>
          <w:bottom w:val="single" w:sz="8" w:space="4" w:color="C9D6DE"/>
        </w:pBdr>
      </w:pPr>
      <w:r>
        <w:t>2. Forms of collaboration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197"/>
            <w:shd w:val="clear" w:color="auto" w:fill="10375C"/>
          </w:tcPr>
          <w:p>
            <w:pPr>
              <w:spacing w:after="50" w:before="50"/>
            </w:pPr>
            <w:r>
              <w:rPr>
                <w:b/>
                <w:color w:val="FFFFFF"/>
                <w:sz w:val="17"/>
              </w:rPr>
              <w:t>Form</w:t>
            </w:r>
          </w:p>
        </w:tc>
        <w:tc>
          <w:tcPr>
            <w:tcW w:type="dxa" w:w="3838"/>
            <w:shd w:val="clear" w:color="auto" w:fill="10375C"/>
          </w:tcPr>
          <w:p>
            <w:pPr>
              <w:spacing w:after="50" w:before="50"/>
            </w:pPr>
            <w:r>
              <w:rPr>
                <w:b/>
                <w:color w:val="FFFFFF"/>
                <w:sz w:val="17"/>
              </w:rPr>
              <w:t>Description</w:t>
            </w:r>
          </w:p>
        </w:tc>
        <w:tc>
          <w:tcPr>
            <w:tcW w:type="dxa" w:w="3433"/>
            <w:shd w:val="clear" w:color="auto" w:fill="10375C"/>
          </w:tcPr>
          <w:p>
            <w:pPr>
              <w:spacing w:after="50" w:before="50"/>
            </w:pPr>
            <w:r>
              <w:rPr>
                <w:b/>
                <w:color w:val="FFFFFF"/>
                <w:sz w:val="17"/>
              </w:rPr>
              <w:t>Governance</w:t>
            </w:r>
          </w:p>
        </w:tc>
      </w:tr>
      <w:tr>
        <w:tc>
          <w:tcPr>
            <w:tcW w:type="dxa" w:w="2197"/>
          </w:tcPr>
          <w:p>
            <w:pPr>
              <w:spacing w:after="50" w:before="50" w:line="252" w:lineRule="auto"/>
            </w:pPr>
            <w:r>
              <w:rPr>
                <w:b/>
                <w:sz w:val="17"/>
              </w:rPr>
              <w:t>Joint research project</w:t>
            </w:r>
          </w:p>
        </w:tc>
        <w:tc>
          <w:tcPr>
            <w:tcW w:type="dxa" w:w="3838"/>
          </w:tcPr>
          <w:p>
            <w:pPr>
              <w:spacing w:after="50" w:before="50" w:line="252" w:lineRule="auto"/>
            </w:pPr>
            <w:r>
              <w:rPr>
                <w:sz w:val="17"/>
              </w:rPr>
              <w:t>Defined scope, budget, timeline and outputs</w:t>
            </w:r>
          </w:p>
        </w:tc>
        <w:tc>
          <w:tcPr>
            <w:tcW w:type="dxa" w:w="3433"/>
          </w:tcPr>
          <w:p>
            <w:pPr>
              <w:spacing w:after="50" w:before="50" w:line="252" w:lineRule="auto"/>
            </w:pPr>
            <w:r>
              <w:rPr>
                <w:sz w:val="17"/>
              </w:rPr>
              <w:t>Project note signed by both Nodal Officers</w:t>
            </w:r>
          </w:p>
        </w:tc>
      </w:tr>
      <w:tr>
        <w:tc>
          <w:tcPr>
            <w:tcW w:type="dxa" w:w="2197"/>
            <w:shd w:val="clear" w:color="auto" w:fill="EAF1F4"/>
          </w:tcPr>
          <w:p>
            <w:pPr>
              <w:spacing w:after="50" w:before="50" w:line="252" w:lineRule="auto"/>
            </w:pPr>
            <w:r>
              <w:rPr>
                <w:b/>
                <w:sz w:val="17"/>
              </w:rPr>
              <w:t>Research chair or joint centre</w:t>
            </w:r>
          </w:p>
        </w:tc>
        <w:tc>
          <w:tcPr>
            <w:tcW w:type="dxa" w:w="3838"/>
            <w:shd w:val="clear" w:color="auto" w:fill="EAF1F4"/>
          </w:tcPr>
          <w:p>
            <w:pPr>
              <w:spacing w:after="50" w:before="50" w:line="252" w:lineRule="auto"/>
            </w:pPr>
            <w:r>
              <w:rPr>
                <w:sz w:val="17"/>
              </w:rPr>
              <w:t>Co-branded position or centre at a Tier 1 anchor</w:t>
            </w:r>
          </w:p>
        </w:tc>
        <w:tc>
          <w:tcPr>
            <w:tcW w:type="dxa" w:w="3433"/>
            <w:shd w:val="clear" w:color="auto" w:fill="EAF1F4"/>
          </w:tcPr>
          <w:p>
            <w:pPr>
              <w:spacing w:after="50" w:before="50" w:line="252" w:lineRule="auto"/>
            </w:pPr>
            <w:r>
              <w:rPr>
                <w:sz w:val="17"/>
              </w:rPr>
              <w:t>Separate agreement; Programme Board approval</w:t>
            </w:r>
          </w:p>
        </w:tc>
      </w:tr>
      <w:tr>
        <w:tc>
          <w:tcPr>
            <w:tcW w:type="dxa" w:w="2197"/>
          </w:tcPr>
          <w:p>
            <w:pPr>
              <w:spacing w:after="50" w:before="50" w:line="252" w:lineRule="auto"/>
            </w:pPr>
            <w:r>
              <w:rPr>
                <w:b/>
                <w:sz w:val="17"/>
              </w:rPr>
              <w:t>Research internship</w:t>
            </w:r>
          </w:p>
        </w:tc>
        <w:tc>
          <w:tcPr>
            <w:tcW w:type="dxa" w:w="3838"/>
          </w:tcPr>
          <w:p>
            <w:pPr>
              <w:spacing w:after="50" w:before="50" w:line="252" w:lineRule="auto"/>
            </w:pPr>
            <w:r>
              <w:rPr>
                <w:sz w:val="17"/>
              </w:rPr>
              <w:t>Level IV placement under Schedule A</w:t>
            </w:r>
          </w:p>
        </w:tc>
        <w:tc>
          <w:tcPr>
            <w:tcW w:type="dxa" w:w="3433"/>
          </w:tcPr>
          <w:p>
            <w:pPr>
              <w:spacing w:after="50" w:before="50" w:line="252" w:lineRule="auto"/>
            </w:pPr>
            <w:r>
              <w:rPr>
                <w:sz w:val="17"/>
              </w:rPr>
              <w:t>Internship agreement plus researcher undertaking</w:t>
            </w:r>
          </w:p>
        </w:tc>
      </w:tr>
      <w:tr>
        <w:tc>
          <w:tcPr>
            <w:tcW w:type="dxa" w:w="2197"/>
            <w:shd w:val="clear" w:color="auto" w:fill="EAF1F4"/>
          </w:tcPr>
          <w:p>
            <w:pPr>
              <w:spacing w:after="50" w:before="50" w:line="252" w:lineRule="auto"/>
            </w:pPr>
            <w:r>
              <w:rPr>
                <w:b/>
                <w:sz w:val="17"/>
              </w:rPr>
              <w:t>Doctoral support</w:t>
            </w:r>
          </w:p>
        </w:tc>
        <w:tc>
          <w:tcPr>
            <w:tcW w:type="dxa" w:w="3838"/>
            <w:shd w:val="clear" w:color="auto" w:fill="EAF1F4"/>
          </w:tcPr>
          <w:p>
            <w:pPr>
              <w:spacing w:after="50" w:before="50" w:line="252" w:lineRule="auto"/>
            </w:pPr>
            <w:r>
              <w:rPr>
                <w:sz w:val="17"/>
              </w:rPr>
              <w:t>Equator practitioners as co-supervisors or external examiners, at the institution's request</w:t>
            </w:r>
          </w:p>
        </w:tc>
        <w:tc>
          <w:tcPr>
            <w:tcW w:type="dxa" w:w="3433"/>
            <w:shd w:val="clear" w:color="auto" w:fill="EAF1F4"/>
          </w:tcPr>
          <w:p>
            <w:pPr>
              <w:spacing w:after="50" w:before="50" w:line="252" w:lineRule="auto"/>
            </w:pPr>
            <w:r>
              <w:rPr>
                <w:sz w:val="17"/>
              </w:rPr>
              <w:t>Institution's own regulations govern</w:t>
            </w:r>
          </w:p>
        </w:tc>
      </w:tr>
      <w:tr>
        <w:tc>
          <w:tcPr>
            <w:tcW w:type="dxa" w:w="2197"/>
          </w:tcPr>
          <w:p>
            <w:pPr>
              <w:spacing w:after="50" w:before="50" w:line="252" w:lineRule="auto"/>
            </w:pPr>
            <w:r>
              <w:rPr>
                <w:b/>
                <w:sz w:val="17"/>
              </w:rPr>
              <w:t>Annual national report</w:t>
            </w:r>
          </w:p>
        </w:tc>
        <w:tc>
          <w:tcPr>
            <w:tcW w:type="dxa" w:w="3838"/>
          </w:tcPr>
          <w:p>
            <w:pPr>
              <w:spacing w:after="50" w:before="50" w:line="252" w:lineRule="auto"/>
            </w:pPr>
            <w:r>
              <w:rPr>
                <w:sz w:val="17"/>
              </w:rPr>
              <w:t>Contribution to Equator's annual report on mediation practice</w:t>
            </w:r>
          </w:p>
        </w:tc>
        <w:tc>
          <w:tcPr>
            <w:tcW w:type="dxa" w:w="3433"/>
          </w:tcPr>
          <w:p>
            <w:pPr>
              <w:spacing w:after="50" w:before="50" w:line="252" w:lineRule="auto"/>
            </w:pPr>
            <w:r>
              <w:rPr>
                <w:sz w:val="17"/>
              </w:rPr>
              <w:t>Editorial control with Equator; contributors credited</w:t>
            </w:r>
          </w:p>
        </w:tc>
      </w:tr>
      <w:tr>
        <w:tc>
          <w:tcPr>
            <w:tcW w:type="dxa" w:w="2197"/>
            <w:shd w:val="clear" w:color="auto" w:fill="EAF1F4"/>
          </w:tcPr>
          <w:p>
            <w:pPr>
              <w:spacing w:after="50" w:before="50" w:line="252" w:lineRule="auto"/>
            </w:pPr>
            <w:r>
              <w:rPr>
                <w:b/>
                <w:sz w:val="17"/>
              </w:rPr>
              <w:t>Working paper series</w:t>
            </w:r>
          </w:p>
        </w:tc>
        <w:tc>
          <w:tcPr>
            <w:tcW w:type="dxa" w:w="3838"/>
            <w:shd w:val="clear" w:color="auto" w:fill="EAF1F4"/>
          </w:tcPr>
          <w:p>
            <w:pPr>
              <w:spacing w:after="50" w:before="50" w:line="252" w:lineRule="auto"/>
            </w:pPr>
            <w:r>
              <w:rPr>
                <w:sz w:val="17"/>
              </w:rPr>
              <w:t>Co-published papers, lightly reviewed, rapid</w:t>
            </w:r>
          </w:p>
        </w:tc>
        <w:tc>
          <w:tcPr>
            <w:tcW w:type="dxa" w:w="3433"/>
            <w:shd w:val="clear" w:color="auto" w:fill="EAF1F4"/>
          </w:tcPr>
          <w:p>
            <w:pPr>
              <w:spacing w:after="50" w:before="50" w:line="252" w:lineRule="auto"/>
            </w:pPr>
            <w:r>
              <w:rPr>
                <w:sz w:val="17"/>
              </w:rPr>
              <w:t>Research Lead approves</w:t>
            </w:r>
          </w:p>
        </w:tc>
      </w:tr>
      <w:tr>
        <w:tc>
          <w:tcPr>
            <w:tcW w:type="dxa" w:w="2197"/>
          </w:tcPr>
          <w:p>
            <w:pPr>
              <w:spacing w:after="50" w:before="50" w:line="252" w:lineRule="auto"/>
            </w:pPr>
            <w:r>
              <w:rPr>
                <w:b/>
                <w:sz w:val="17"/>
              </w:rPr>
              <w:t>Journal and law review</w:t>
            </w:r>
          </w:p>
        </w:tc>
        <w:tc>
          <w:tcPr>
            <w:tcW w:type="dxa" w:w="3838"/>
          </w:tcPr>
          <w:p>
            <w:pPr>
              <w:spacing w:after="50" w:before="50" w:line="252" w:lineRule="auto"/>
            </w:pPr>
            <w:r>
              <w:rPr>
                <w:sz w:val="17"/>
              </w:rPr>
              <w:t>Practitioner content; peer review support</w:t>
            </w:r>
          </w:p>
        </w:tc>
        <w:tc>
          <w:tcPr>
            <w:tcW w:type="dxa" w:w="3433"/>
          </w:tcPr>
          <w:p>
            <w:pPr>
              <w:spacing w:after="50" w:before="50" w:line="252" w:lineRule="auto"/>
            </w:pPr>
            <w:r>
              <w:rPr>
                <w:sz w:val="17"/>
              </w:rPr>
              <w:t>Institution's editorial process governs</w:t>
            </w:r>
          </w:p>
        </w:tc>
      </w:tr>
      <w:tr>
        <w:tc>
          <w:tcPr>
            <w:tcW w:type="dxa" w:w="2197"/>
            <w:shd w:val="clear" w:color="auto" w:fill="EAF1F4"/>
          </w:tcPr>
          <w:p>
            <w:pPr>
              <w:spacing w:after="50" w:before="50" w:line="252" w:lineRule="auto"/>
            </w:pPr>
            <w:r>
              <w:rPr>
                <w:b/>
                <w:sz w:val="17"/>
              </w:rPr>
              <w:t>Data commentary</w:t>
            </w:r>
          </w:p>
        </w:tc>
        <w:tc>
          <w:tcPr>
            <w:tcW w:type="dxa" w:w="3838"/>
            <w:shd w:val="clear" w:color="auto" w:fill="EAF1F4"/>
          </w:tcPr>
          <w:p>
            <w:pPr>
              <w:spacing w:after="50" w:before="50" w:line="252" w:lineRule="auto"/>
            </w:pPr>
            <w:r>
              <w:rPr>
                <w:sz w:val="17"/>
              </w:rPr>
              <w:t>Short evidence notes on a single question</w:t>
            </w:r>
          </w:p>
        </w:tc>
        <w:tc>
          <w:tcPr>
            <w:tcW w:type="dxa" w:w="3433"/>
            <w:shd w:val="clear" w:color="auto" w:fill="EAF1F4"/>
          </w:tcPr>
          <w:p>
            <w:pPr>
              <w:spacing w:after="50" w:before="50" w:line="252" w:lineRule="auto"/>
            </w:pPr>
            <w:r>
              <w:rPr>
                <w:sz w:val="17"/>
              </w:rPr>
              <w:t>Research Lead approves</w:t>
            </w:r>
          </w:p>
        </w:tc>
      </w:tr>
    </w:tbl>
    <w:p>
      <w:pPr>
        <w:spacing w:after="80" w:before="0"/>
      </w:pPr>
    </w:p>
    <w:p>
      <w:pPr>
        <w:spacing w:before="80" w:after="160"/>
        <w:pBdr>
          <w:bottom w:val="single" w:sz="6" w:space="1" w:color="C9D6DE"/>
        </w:pBdr>
      </w:pPr>
    </w:p>
    <w:p>
      <w:pPr>
        <w:pStyle w:val="Heading1"/>
        <w:pBdr>
          <w:bottom w:val="single" w:sz="8" w:space="4" w:color="C9D6DE"/>
        </w:pBdr>
      </w:pPr>
      <w:r>
        <w:t>3. Research agenda</w:t>
      </w:r>
    </w:p>
    <w:p>
      <w:r>
        <w:t>The questions Equator most wants answered, because they are commercially and institutionally useful as well as academically interesting: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3937"/>
            <w:shd w:val="clear" w:color="auto" w:fill="10375C"/>
          </w:tcPr>
          <w:p>
            <w:pPr>
              <w:spacing w:after="50" w:before="50"/>
            </w:pPr>
            <w:r>
              <w:rPr>
                <w:b/>
                <w:color w:val="FFFFFF"/>
                <w:sz w:val="17"/>
              </w:rPr>
              <w:t>Question</w:t>
            </w:r>
          </w:p>
        </w:tc>
        <w:tc>
          <w:tcPr>
            <w:tcW w:type="dxa" w:w="2189"/>
            <w:shd w:val="clear" w:color="auto" w:fill="10375C"/>
          </w:tcPr>
          <w:p>
            <w:pPr>
              <w:spacing w:after="50" w:before="50"/>
            </w:pPr>
            <w:r>
              <w:rPr>
                <w:b/>
                <w:color w:val="FFFFFF"/>
                <w:sz w:val="17"/>
              </w:rPr>
              <w:t>Data source</w:t>
            </w:r>
          </w:p>
        </w:tc>
        <w:tc>
          <w:tcPr>
            <w:tcW w:type="dxa" w:w="2949"/>
            <w:shd w:val="clear" w:color="auto" w:fill="10375C"/>
          </w:tcPr>
          <w:p>
            <w:pPr>
              <w:spacing w:after="50" w:before="50"/>
            </w:pPr>
            <w:r>
              <w:rPr>
                <w:b/>
                <w:color w:val="FFFFFF"/>
                <w:sz w:val="17"/>
              </w:rPr>
              <w:t>Output</w:t>
            </w:r>
          </w:p>
        </w:tc>
      </w:tr>
      <w:tr>
        <w:tc>
          <w:tcPr>
            <w:tcW w:type="dxa" w:w="850"/>
          </w:tcPr>
          <w:p>
            <w:pPr>
              <w:spacing w:after="50" w:before="50" w:line="252" w:lineRule="auto"/>
            </w:pPr>
            <w:r>
              <w:rPr>
                <w:sz w:val="17"/>
              </w:rPr>
              <w:t>Q1</w:t>
            </w:r>
          </w:p>
        </w:tc>
        <w:tc>
          <w:tcPr>
            <w:tcW w:type="dxa" w:w="3937"/>
          </w:tcPr>
          <w:p>
            <w:pPr>
              <w:spacing w:after="50" w:before="50" w:line="252" w:lineRule="auto"/>
            </w:pPr>
            <w:r>
              <w:rPr>
                <w:sz w:val="17"/>
              </w:rPr>
              <w:t>What proportion of pre-institution mediation references under section 12A result in settlement, and what predicts settlement?</w:t>
            </w:r>
          </w:p>
        </w:tc>
        <w:tc>
          <w:tcPr>
            <w:tcW w:type="dxa" w:w="2189"/>
          </w:tcPr>
          <w:p>
            <w:pPr>
              <w:spacing w:after="50" w:before="50" w:line="252" w:lineRule="auto"/>
            </w:pPr>
            <w:r>
              <w:rPr>
                <w:sz w:val="17"/>
              </w:rPr>
              <w:t>Anonymised case records</w:t>
            </w:r>
          </w:p>
        </w:tc>
        <w:tc>
          <w:tcPr>
            <w:tcW w:type="dxa" w:w="2949"/>
          </w:tcPr>
          <w:p>
            <w:pPr>
              <w:spacing w:after="50" w:before="50" w:line="252" w:lineRule="auto"/>
            </w:pPr>
            <w:r>
              <w:rPr>
                <w:sz w:val="17"/>
              </w:rPr>
              <w:t>Annual report; journal article</w:t>
            </w:r>
          </w:p>
        </w:tc>
      </w:tr>
      <w:tr>
        <w:tc>
          <w:tcPr>
            <w:tcW w:type="dxa" w:w="850"/>
            <w:shd w:val="clear" w:color="auto" w:fill="EAF1F4"/>
          </w:tcPr>
          <w:p>
            <w:pPr>
              <w:spacing w:after="50" w:before="50" w:line="252" w:lineRule="auto"/>
            </w:pPr>
            <w:r>
              <w:rPr>
                <w:sz w:val="17"/>
              </w:rPr>
              <w:t>Q2</w:t>
            </w:r>
          </w:p>
        </w:tc>
        <w:tc>
          <w:tcPr>
            <w:tcW w:type="dxa" w:w="3937"/>
            <w:shd w:val="clear" w:color="auto" w:fill="EAF1F4"/>
          </w:tcPr>
          <w:p>
            <w:pPr>
              <w:spacing w:after="50" w:before="50" w:line="252" w:lineRule="auto"/>
            </w:pPr>
            <w:r>
              <w:rPr>
                <w:sz w:val="17"/>
              </w:rPr>
              <w:t>How does time to resolution in mediation compare with the litigation alternative, by sector?</w:t>
            </w:r>
          </w:p>
        </w:tc>
        <w:tc>
          <w:tcPr>
            <w:tcW w:type="dxa" w:w="2189"/>
            <w:shd w:val="clear" w:color="auto" w:fill="EAF1F4"/>
          </w:tcPr>
          <w:p>
            <w:pPr>
              <w:spacing w:after="50" w:before="50" w:line="252" w:lineRule="auto"/>
            </w:pPr>
            <w:r>
              <w:rPr>
                <w:sz w:val="17"/>
              </w:rPr>
              <w:t>Case records; published court data</w:t>
            </w:r>
          </w:p>
        </w:tc>
        <w:tc>
          <w:tcPr>
            <w:tcW w:type="dxa" w:w="2949"/>
            <w:shd w:val="clear" w:color="auto" w:fill="EAF1F4"/>
          </w:tcPr>
          <w:p>
            <w:pPr>
              <w:spacing w:after="50" w:before="50" w:line="252" w:lineRule="auto"/>
            </w:pPr>
            <w:r>
              <w:rPr>
                <w:sz w:val="17"/>
              </w:rPr>
              <w:t>Annual report</w:t>
            </w:r>
          </w:p>
        </w:tc>
      </w:tr>
      <w:tr>
        <w:tc>
          <w:tcPr>
            <w:tcW w:type="dxa" w:w="850"/>
          </w:tcPr>
          <w:p>
            <w:pPr>
              <w:spacing w:after="50" w:before="50" w:line="252" w:lineRule="auto"/>
            </w:pPr>
            <w:r>
              <w:rPr>
                <w:sz w:val="17"/>
              </w:rPr>
              <w:t>Q3</w:t>
            </w:r>
          </w:p>
        </w:tc>
        <w:tc>
          <w:tcPr>
            <w:tcW w:type="dxa" w:w="3937"/>
          </w:tcPr>
          <w:p>
            <w:pPr>
              <w:spacing w:after="50" w:before="50" w:line="252" w:lineRule="auto"/>
            </w:pPr>
            <w:r>
              <w:rPr>
                <w:sz w:val="17"/>
              </w:rPr>
              <w:t>What is the cost to parties of mediation compared with litigation, including indirect cost?</w:t>
            </w:r>
          </w:p>
        </w:tc>
        <w:tc>
          <w:tcPr>
            <w:tcW w:type="dxa" w:w="2189"/>
          </w:tcPr>
          <w:p>
            <w:pPr>
              <w:spacing w:after="50" w:before="50" w:line="252" w:lineRule="auto"/>
            </w:pPr>
            <w:r>
              <w:rPr>
                <w:sz w:val="17"/>
              </w:rPr>
              <w:t>Case records; party survey</w:t>
            </w:r>
          </w:p>
        </w:tc>
        <w:tc>
          <w:tcPr>
            <w:tcW w:type="dxa" w:w="2949"/>
          </w:tcPr>
          <w:p>
            <w:pPr>
              <w:spacing w:after="50" w:before="50" w:line="252" w:lineRule="auto"/>
            </w:pPr>
            <w:r>
              <w:rPr>
                <w:sz w:val="17"/>
              </w:rPr>
              <w:t>Working paper</w:t>
            </w:r>
          </w:p>
        </w:tc>
      </w:tr>
      <w:tr>
        <w:tc>
          <w:tcPr>
            <w:tcW w:type="dxa" w:w="850"/>
            <w:shd w:val="clear" w:color="auto" w:fill="EAF1F4"/>
          </w:tcPr>
          <w:p>
            <w:pPr>
              <w:spacing w:after="50" w:before="50" w:line="252" w:lineRule="auto"/>
            </w:pPr>
            <w:r>
              <w:rPr>
                <w:sz w:val="17"/>
              </w:rPr>
              <w:t>Q4</w:t>
            </w:r>
          </w:p>
        </w:tc>
        <w:tc>
          <w:tcPr>
            <w:tcW w:type="dxa" w:w="3937"/>
            <w:shd w:val="clear" w:color="auto" w:fill="EAF1F4"/>
          </w:tcPr>
          <w:p>
            <w:pPr>
              <w:spacing w:after="50" w:before="50" w:line="252" w:lineRule="auto"/>
            </w:pPr>
            <w:r>
              <w:rPr>
                <w:sz w:val="17"/>
              </w:rPr>
              <w:t>Does the presence of legal representation change mediation outcomes, and how?</w:t>
            </w:r>
          </w:p>
        </w:tc>
        <w:tc>
          <w:tcPr>
            <w:tcW w:type="dxa" w:w="2189"/>
            <w:shd w:val="clear" w:color="auto" w:fill="EAF1F4"/>
          </w:tcPr>
          <w:p>
            <w:pPr>
              <w:spacing w:after="50" w:before="50" w:line="252" w:lineRule="auto"/>
            </w:pPr>
            <w:r>
              <w:rPr>
                <w:sz w:val="17"/>
              </w:rPr>
              <w:t>Case records</w:t>
            </w:r>
          </w:p>
        </w:tc>
        <w:tc>
          <w:tcPr>
            <w:tcW w:type="dxa" w:w="2949"/>
            <w:shd w:val="clear" w:color="auto" w:fill="EAF1F4"/>
          </w:tcPr>
          <w:p>
            <w:pPr>
              <w:spacing w:after="50" w:before="50" w:line="252" w:lineRule="auto"/>
            </w:pPr>
            <w:r>
              <w:rPr>
                <w:sz w:val="17"/>
              </w:rPr>
              <w:t>Journal article</w:t>
            </w:r>
          </w:p>
        </w:tc>
      </w:tr>
      <w:tr>
        <w:tc>
          <w:tcPr>
            <w:tcW w:type="dxa" w:w="850"/>
          </w:tcPr>
          <w:p>
            <w:pPr>
              <w:spacing w:after="50" w:before="50" w:line="252" w:lineRule="auto"/>
            </w:pPr>
            <w:r>
              <w:rPr>
                <w:sz w:val="17"/>
              </w:rPr>
              <w:t>Q5</w:t>
            </w:r>
          </w:p>
        </w:tc>
        <w:tc>
          <w:tcPr>
            <w:tcW w:type="dxa" w:w="3937"/>
          </w:tcPr>
          <w:p>
            <w:pPr>
              <w:spacing w:after="50" w:before="50" w:line="252" w:lineRule="auto"/>
            </w:pPr>
            <w:r>
              <w:rPr>
                <w:sz w:val="17"/>
              </w:rPr>
              <w:t>What are the characteristics of disputes that do not settle?</w:t>
            </w:r>
          </w:p>
        </w:tc>
        <w:tc>
          <w:tcPr>
            <w:tcW w:type="dxa" w:w="2189"/>
          </w:tcPr>
          <w:p>
            <w:pPr>
              <w:spacing w:after="50" w:before="50" w:line="252" w:lineRule="auto"/>
            </w:pPr>
            <w:r>
              <w:rPr>
                <w:sz w:val="17"/>
              </w:rPr>
              <w:t>Case records</w:t>
            </w:r>
          </w:p>
        </w:tc>
        <w:tc>
          <w:tcPr>
            <w:tcW w:type="dxa" w:w="2949"/>
          </w:tcPr>
          <w:p>
            <w:pPr>
              <w:spacing w:after="50" w:before="50" w:line="252" w:lineRule="auto"/>
            </w:pPr>
            <w:r>
              <w:rPr>
                <w:sz w:val="17"/>
              </w:rPr>
              <w:t>Working paper</w:t>
            </w:r>
          </w:p>
        </w:tc>
      </w:tr>
      <w:tr>
        <w:tc>
          <w:tcPr>
            <w:tcW w:type="dxa" w:w="850"/>
            <w:shd w:val="clear" w:color="auto" w:fill="EAF1F4"/>
          </w:tcPr>
          <w:p>
            <w:pPr>
              <w:spacing w:after="50" w:before="50" w:line="252" w:lineRule="auto"/>
            </w:pPr>
            <w:r>
              <w:rPr>
                <w:sz w:val="17"/>
              </w:rPr>
              <w:t>Q6</w:t>
            </w:r>
          </w:p>
        </w:tc>
        <w:tc>
          <w:tcPr>
            <w:tcW w:type="dxa" w:w="3937"/>
            <w:shd w:val="clear" w:color="auto" w:fill="EAF1F4"/>
          </w:tcPr>
          <w:p>
            <w:pPr>
              <w:spacing w:after="50" w:before="50" w:line="252" w:lineRule="auto"/>
            </w:pPr>
            <w:r>
              <w:rPr>
                <w:sz w:val="17"/>
              </w:rPr>
              <w:t>How effective is the UGC student grievance machinery in practice, and what would improve it?</w:t>
            </w:r>
          </w:p>
        </w:tc>
        <w:tc>
          <w:tcPr>
            <w:tcW w:type="dxa" w:w="2189"/>
            <w:shd w:val="clear" w:color="auto" w:fill="EAF1F4"/>
          </w:tcPr>
          <w:p>
            <w:pPr>
              <w:spacing w:after="50" w:before="50" w:line="252" w:lineRule="auto"/>
            </w:pPr>
            <w:r>
              <w:rPr>
                <w:sz w:val="17"/>
              </w:rPr>
              <w:t>Institutional survey</w:t>
            </w:r>
          </w:p>
        </w:tc>
        <w:tc>
          <w:tcPr>
            <w:tcW w:type="dxa" w:w="2949"/>
            <w:shd w:val="clear" w:color="auto" w:fill="EAF1F4"/>
          </w:tcPr>
          <w:p>
            <w:pPr>
              <w:spacing w:after="50" w:before="50" w:line="252" w:lineRule="auto"/>
            </w:pPr>
            <w:r>
              <w:rPr>
                <w:sz w:val="17"/>
              </w:rPr>
              <w:t xml:space="preserve">Policy note; </w:t>
            </w:r>
            <w:r>
              <w:rPr>
                <w:b/>
                <w:sz w:val="17"/>
              </w:rPr>
              <w:t>commercially useful for the advisory line</w:t>
            </w:r>
          </w:p>
        </w:tc>
      </w:tr>
      <w:tr>
        <w:tc>
          <w:tcPr>
            <w:tcW w:type="dxa" w:w="850"/>
          </w:tcPr>
          <w:p>
            <w:pPr>
              <w:spacing w:after="50" w:before="50" w:line="252" w:lineRule="auto"/>
            </w:pPr>
            <w:r>
              <w:rPr>
                <w:sz w:val="17"/>
              </w:rPr>
              <w:t>Q7</w:t>
            </w:r>
          </w:p>
        </w:tc>
        <w:tc>
          <w:tcPr>
            <w:tcW w:type="dxa" w:w="3937"/>
          </w:tcPr>
          <w:p>
            <w:pPr>
              <w:spacing w:after="50" w:before="50" w:line="252" w:lineRule="auto"/>
            </w:pPr>
            <w:r>
              <w:rPr>
                <w:sz w:val="17"/>
              </w:rPr>
              <w:t>Does mediation training change behaviour, measured after twelve months?</w:t>
            </w:r>
          </w:p>
        </w:tc>
        <w:tc>
          <w:tcPr>
            <w:tcW w:type="dxa" w:w="2189"/>
          </w:tcPr>
          <w:p>
            <w:pPr>
              <w:spacing w:after="50" w:before="50" w:line="252" w:lineRule="auto"/>
            </w:pPr>
            <w:r>
              <w:rPr>
                <w:sz w:val="17"/>
              </w:rPr>
              <w:t>Participant longitudinal survey</w:t>
            </w:r>
          </w:p>
        </w:tc>
        <w:tc>
          <w:tcPr>
            <w:tcW w:type="dxa" w:w="2949"/>
          </w:tcPr>
          <w:p>
            <w:pPr>
              <w:spacing w:after="50" w:before="50" w:line="252" w:lineRule="auto"/>
            </w:pPr>
            <w:r>
              <w:rPr>
                <w:sz w:val="17"/>
              </w:rPr>
              <w:t xml:space="preserve">Journal article; </w:t>
            </w:r>
            <w:r>
              <w:rPr>
                <w:b/>
                <w:sz w:val="17"/>
              </w:rPr>
              <w:t>validates the curriculum</w:t>
            </w:r>
          </w:p>
        </w:tc>
      </w:tr>
      <w:tr>
        <w:tc>
          <w:tcPr>
            <w:tcW w:type="dxa" w:w="850"/>
            <w:shd w:val="clear" w:color="auto" w:fill="EAF1F4"/>
          </w:tcPr>
          <w:p>
            <w:pPr>
              <w:spacing w:after="50" w:before="50" w:line="252" w:lineRule="auto"/>
            </w:pPr>
            <w:r>
              <w:rPr>
                <w:sz w:val="17"/>
              </w:rPr>
              <w:t>Q8</w:t>
            </w:r>
          </w:p>
        </w:tc>
        <w:tc>
          <w:tcPr>
            <w:tcW w:type="dxa" w:w="3937"/>
            <w:shd w:val="clear" w:color="auto" w:fill="EAF1F4"/>
          </w:tcPr>
          <w:p>
            <w:pPr>
              <w:spacing w:after="50" w:before="50" w:line="252" w:lineRule="auto"/>
            </w:pPr>
            <w:r>
              <w:rPr>
                <w:sz w:val="17"/>
              </w:rPr>
              <w:t>What do Indian commercial parties actually believe about mediation, and what would change their behaviour?</w:t>
            </w:r>
          </w:p>
        </w:tc>
        <w:tc>
          <w:tcPr>
            <w:tcW w:type="dxa" w:w="2189"/>
            <w:shd w:val="clear" w:color="auto" w:fill="EAF1F4"/>
          </w:tcPr>
          <w:p>
            <w:pPr>
              <w:spacing w:after="50" w:before="50" w:line="252" w:lineRule="auto"/>
            </w:pPr>
            <w:r>
              <w:rPr>
                <w:sz w:val="17"/>
              </w:rPr>
              <w:t>Survey of in-house counsel</w:t>
            </w:r>
          </w:p>
        </w:tc>
        <w:tc>
          <w:tcPr>
            <w:tcW w:type="dxa" w:w="2949"/>
            <w:shd w:val="clear" w:color="auto" w:fill="EAF1F4"/>
          </w:tcPr>
          <w:p>
            <w:pPr>
              <w:spacing w:after="50" w:before="50" w:line="252" w:lineRule="auto"/>
            </w:pPr>
            <w:r>
              <w:rPr>
                <w:sz w:val="17"/>
              </w:rPr>
              <w:t>Annual report</w:t>
            </w:r>
          </w:p>
        </w:tc>
      </w:tr>
      <w:tr>
        <w:tc>
          <w:tcPr>
            <w:tcW w:type="dxa" w:w="850"/>
          </w:tcPr>
          <w:p>
            <w:pPr>
              <w:spacing w:after="50" w:before="50" w:line="252" w:lineRule="auto"/>
            </w:pPr>
            <w:r>
              <w:rPr>
                <w:sz w:val="17"/>
              </w:rPr>
              <w:t>Q9</w:t>
            </w:r>
          </w:p>
        </w:tc>
        <w:tc>
          <w:tcPr>
            <w:tcW w:type="dxa" w:w="3937"/>
          </w:tcPr>
          <w:p>
            <w:pPr>
              <w:spacing w:after="50" w:before="50" w:line="252" w:lineRule="auto"/>
            </w:pPr>
            <w:r>
              <w:rPr>
                <w:sz w:val="17"/>
              </w:rPr>
              <w:t>How is ODR performing in India, and for which dispute types?</w:t>
            </w:r>
          </w:p>
        </w:tc>
        <w:tc>
          <w:tcPr>
            <w:tcW w:type="dxa" w:w="2189"/>
          </w:tcPr>
          <w:p>
            <w:pPr>
              <w:spacing w:after="50" w:before="50" w:line="252" w:lineRule="auto"/>
            </w:pPr>
            <w:r>
              <w:rPr>
                <w:sz w:val="17"/>
              </w:rPr>
              <w:t>Platform data; survey</w:t>
            </w:r>
          </w:p>
        </w:tc>
        <w:tc>
          <w:tcPr>
            <w:tcW w:type="dxa" w:w="2949"/>
          </w:tcPr>
          <w:p>
            <w:pPr>
              <w:spacing w:after="50" w:before="50" w:line="252" w:lineRule="auto"/>
            </w:pPr>
            <w:r>
              <w:rPr>
                <w:sz w:val="17"/>
              </w:rPr>
              <w:t>Working paper</w:t>
            </w:r>
          </w:p>
        </w:tc>
      </w:tr>
      <w:tr>
        <w:tc>
          <w:tcPr>
            <w:tcW w:type="dxa" w:w="850"/>
            <w:shd w:val="clear" w:color="auto" w:fill="EAF1F4"/>
          </w:tcPr>
          <w:p>
            <w:pPr>
              <w:spacing w:after="50" w:before="50" w:line="252" w:lineRule="auto"/>
            </w:pPr>
            <w:r>
              <w:rPr>
                <w:sz w:val="17"/>
              </w:rPr>
              <w:t>Q10</w:t>
            </w:r>
          </w:p>
        </w:tc>
        <w:tc>
          <w:tcPr>
            <w:tcW w:type="dxa" w:w="3937"/>
            <w:shd w:val="clear" w:color="auto" w:fill="EAF1F4"/>
          </w:tcPr>
          <w:p>
            <w:pPr>
              <w:spacing w:after="50" w:before="50" w:line="252" w:lineRule="auto"/>
            </w:pPr>
            <w:r>
              <w:rPr>
                <w:sz w:val="17"/>
              </w:rPr>
              <w:t>What is the state of ADR teaching in Indian law schools?</w:t>
            </w:r>
          </w:p>
        </w:tc>
        <w:tc>
          <w:tcPr>
            <w:tcW w:type="dxa" w:w="2189"/>
            <w:shd w:val="clear" w:color="auto" w:fill="EAF1F4"/>
          </w:tcPr>
          <w:p>
            <w:pPr>
              <w:spacing w:after="50" w:before="50" w:line="252" w:lineRule="auto"/>
            </w:pPr>
            <w:r>
              <w:rPr>
                <w:sz w:val="17"/>
              </w:rPr>
              <w:t>Institutional survey</w:t>
            </w:r>
          </w:p>
        </w:tc>
        <w:tc>
          <w:tcPr>
            <w:tcW w:type="dxa" w:w="2949"/>
            <w:shd w:val="clear" w:color="auto" w:fill="EAF1F4"/>
          </w:tcPr>
          <w:p>
            <w:pPr>
              <w:spacing w:after="50" w:before="50" w:line="252" w:lineRule="auto"/>
            </w:pPr>
            <w:r>
              <w:rPr>
                <w:sz w:val="17"/>
              </w:rPr>
              <w:t xml:space="preserve">Annual report; </w:t>
            </w:r>
            <w:r>
              <w:rPr>
                <w:b/>
                <w:sz w:val="17"/>
              </w:rPr>
              <w:t>useful in partnership development</w:t>
            </w:r>
          </w:p>
        </w:tc>
      </w:tr>
    </w:tbl>
    <w:p>
      <w:pPr>
        <w:spacing w:after="80" w:before="0"/>
      </w:pPr>
    </w:p>
    <w:p>
      <w:r>
        <w:t>Q6, Q7 and Q10 are marked because they produce evidence that is directly usable in the commercial programme. This is legitimate, provided the research is conducted honestly and the findings are published whether or not they are favourable.</w:t>
      </w:r>
    </w:p>
    <w:p>
      <w:pPr>
        <w:spacing w:before="80" w:after="160"/>
        <w:pBdr>
          <w:bottom w:val="single" w:sz="6" w:space="1" w:color="C9D6DE"/>
        </w:pBdr>
      </w:pPr>
    </w:p>
    <w:p>
      <w:pPr>
        <w:pStyle w:val="Heading1"/>
        <w:pBdr>
          <w:bottom w:val="single" w:sz="8" w:space="4" w:color="C9D6DE"/>
        </w:pBdr>
      </w:pPr>
      <w:r>
        <w:t>4. Project governance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318"/>
            <w:shd w:val="clear" w:color="auto" w:fill="10375C"/>
          </w:tcPr>
          <w:p>
            <w:pPr>
              <w:spacing w:after="50" w:before="50"/>
            </w:pPr>
            <w:r>
              <w:rPr>
                <w:b/>
                <w:color w:val="FFFFFF"/>
                <w:sz w:val="17"/>
              </w:rPr>
              <w:t>Stage</w:t>
            </w:r>
          </w:p>
        </w:tc>
        <w:tc>
          <w:tcPr>
            <w:tcW w:type="dxa" w:w="4727"/>
            <w:shd w:val="clear" w:color="auto" w:fill="10375C"/>
          </w:tcPr>
          <w:p>
            <w:pPr>
              <w:spacing w:after="50" w:before="50"/>
            </w:pPr>
            <w:r>
              <w:rPr>
                <w:b/>
                <w:color w:val="FFFFFF"/>
                <w:sz w:val="17"/>
              </w:rPr>
              <w:t>Requirement</w:t>
            </w:r>
          </w:p>
        </w:tc>
        <w:tc>
          <w:tcPr>
            <w:tcW w:type="dxa" w:w="2423"/>
            <w:shd w:val="clear" w:color="auto" w:fill="10375C"/>
          </w:tcPr>
          <w:p>
            <w:pPr>
              <w:spacing w:after="50" w:before="50"/>
            </w:pPr>
            <w:r>
              <w:rPr>
                <w:b/>
                <w:color w:val="FFFFFF"/>
                <w:sz w:val="17"/>
              </w:rPr>
              <w:t>Approval</w:t>
            </w:r>
          </w:p>
        </w:tc>
      </w:tr>
      <w:tr>
        <w:tc>
          <w:tcPr>
            <w:tcW w:type="dxa" w:w="2318"/>
          </w:tcPr>
          <w:p>
            <w:pPr>
              <w:spacing w:after="50" w:before="50" w:line="252" w:lineRule="auto"/>
            </w:pPr>
            <w:r>
              <w:rPr>
                <w:sz w:val="17"/>
              </w:rPr>
              <w:t>1. Proposal</w:t>
            </w:r>
          </w:p>
        </w:tc>
        <w:tc>
          <w:tcPr>
            <w:tcW w:type="dxa" w:w="4727"/>
          </w:tcPr>
          <w:p>
            <w:pPr>
              <w:spacing w:after="50" w:before="50" w:line="252" w:lineRule="auto"/>
            </w:pPr>
            <w:r>
              <w:rPr>
                <w:sz w:val="17"/>
              </w:rPr>
              <w:t>Question, method, data required, ethics, outputs, timeline, budget, team</w:t>
            </w:r>
          </w:p>
        </w:tc>
        <w:tc>
          <w:tcPr>
            <w:tcW w:type="dxa" w:w="2423"/>
          </w:tcPr>
          <w:p>
            <w:pPr>
              <w:spacing w:after="50" w:before="50" w:line="252" w:lineRule="auto"/>
            </w:pPr>
            <w:r>
              <w:rPr>
                <w:sz w:val="17"/>
              </w:rPr>
              <w:t>Research Lead</w:t>
            </w:r>
          </w:p>
        </w:tc>
      </w:tr>
      <w:tr>
        <w:tc>
          <w:tcPr>
            <w:tcW w:type="dxa" w:w="2318"/>
            <w:shd w:val="clear" w:color="auto" w:fill="EAF1F4"/>
          </w:tcPr>
          <w:p>
            <w:pPr>
              <w:spacing w:after="50" w:before="50" w:line="252" w:lineRule="auto"/>
            </w:pPr>
            <w:r>
              <w:rPr>
                <w:sz w:val="17"/>
              </w:rPr>
              <w:t>2. Data assessment</w:t>
            </w:r>
          </w:p>
        </w:tc>
        <w:tc>
          <w:tcPr>
            <w:tcW w:type="dxa" w:w="4727"/>
            <w:shd w:val="clear" w:color="auto" w:fill="EAF1F4"/>
          </w:tcPr>
          <w:p>
            <w:pPr>
              <w:spacing w:after="50" w:before="50" w:line="252" w:lineRule="auto"/>
            </w:pPr>
            <w:r>
              <w:rPr>
                <w:sz w:val="17"/>
              </w:rPr>
              <w:t>What data is required; whether it can be anonymised effectively; disclosure risk</w:t>
            </w:r>
          </w:p>
        </w:tc>
        <w:tc>
          <w:tcPr>
            <w:tcW w:type="dxa" w:w="2423"/>
            <w:shd w:val="clear" w:color="auto" w:fill="EAF1F4"/>
          </w:tcPr>
          <w:p>
            <w:pPr>
              <w:spacing w:after="50" w:before="50" w:line="252" w:lineRule="auto"/>
            </w:pPr>
            <w:r>
              <w:rPr>
                <w:sz w:val="17"/>
              </w:rPr>
              <w:t xml:space="preserve">Research Lead </w:t>
            </w:r>
            <w:r>
              <w:rPr>
                <w:b/>
                <w:sz w:val="17"/>
              </w:rPr>
              <w:t>and DPO</w:t>
            </w:r>
          </w:p>
        </w:tc>
      </w:tr>
      <w:tr>
        <w:tc>
          <w:tcPr>
            <w:tcW w:type="dxa" w:w="2318"/>
          </w:tcPr>
          <w:p>
            <w:pPr>
              <w:spacing w:after="50" w:before="50" w:line="252" w:lineRule="auto"/>
            </w:pPr>
            <w:r>
              <w:rPr>
                <w:sz w:val="17"/>
              </w:rPr>
              <w:t>3. Ethics review</w:t>
            </w:r>
          </w:p>
        </w:tc>
        <w:tc>
          <w:tcPr>
            <w:tcW w:type="dxa" w:w="4727"/>
          </w:tcPr>
          <w:p>
            <w:pPr>
              <w:spacing w:after="50" w:before="50" w:line="252" w:lineRule="auto"/>
            </w:pPr>
            <w:r>
              <w:rPr>
                <w:sz w:val="17"/>
              </w:rPr>
              <w:t>Per 08.3; institution's own ethics approval where required</w:t>
            </w:r>
          </w:p>
        </w:tc>
        <w:tc>
          <w:tcPr>
            <w:tcW w:type="dxa" w:w="2423"/>
          </w:tcPr>
          <w:p>
            <w:pPr>
              <w:spacing w:after="50" w:before="50" w:line="252" w:lineRule="auto"/>
            </w:pPr>
            <w:r>
              <w:rPr>
                <w:sz w:val="17"/>
              </w:rPr>
              <w:t>Research Lead; institution's committee</w:t>
            </w:r>
          </w:p>
        </w:tc>
      </w:tr>
      <w:tr>
        <w:tc>
          <w:tcPr>
            <w:tcW w:type="dxa" w:w="2318"/>
            <w:shd w:val="clear" w:color="auto" w:fill="EAF1F4"/>
          </w:tcPr>
          <w:p>
            <w:pPr>
              <w:spacing w:after="50" w:before="50" w:line="252" w:lineRule="auto"/>
            </w:pPr>
            <w:r>
              <w:rPr>
                <w:sz w:val="17"/>
              </w:rPr>
              <w:t>4. Project note</w:t>
            </w:r>
          </w:p>
        </w:tc>
        <w:tc>
          <w:tcPr>
            <w:tcW w:type="dxa" w:w="4727"/>
            <w:shd w:val="clear" w:color="auto" w:fill="EAF1F4"/>
          </w:tcPr>
          <w:p>
            <w:pPr>
              <w:spacing w:after="50" w:before="50" w:line="252" w:lineRule="auto"/>
            </w:pPr>
            <w:r>
              <w:rPr>
                <w:sz w:val="17"/>
              </w:rPr>
              <w:t>Signed by both Nodal Officers; records scope, roles, authorship principles, IP, data terms, timeline</w:t>
            </w:r>
          </w:p>
        </w:tc>
        <w:tc>
          <w:tcPr>
            <w:tcW w:type="dxa" w:w="2423"/>
            <w:shd w:val="clear" w:color="auto" w:fill="EAF1F4"/>
          </w:tcPr>
          <w:p>
            <w:pPr>
              <w:spacing w:after="50" w:before="50" w:line="252" w:lineRule="auto"/>
            </w:pPr>
            <w:r>
              <w:rPr>
                <w:sz w:val="17"/>
              </w:rPr>
              <w:t>Nodal Officers</w:t>
            </w:r>
          </w:p>
        </w:tc>
      </w:tr>
      <w:tr>
        <w:tc>
          <w:tcPr>
            <w:tcW w:type="dxa" w:w="2318"/>
          </w:tcPr>
          <w:p>
            <w:pPr>
              <w:spacing w:after="50" w:before="50" w:line="252" w:lineRule="auto"/>
            </w:pPr>
            <w:r>
              <w:rPr>
                <w:sz w:val="17"/>
              </w:rPr>
              <w:t>5. Data release</w:t>
            </w:r>
          </w:p>
        </w:tc>
        <w:tc>
          <w:tcPr>
            <w:tcW w:type="dxa" w:w="4727"/>
          </w:tcPr>
          <w:p>
            <w:pPr>
              <w:spacing w:after="50" w:before="50" w:line="252" w:lineRule="auto"/>
            </w:pPr>
            <w:r>
              <w:rPr>
                <w:sz w:val="17"/>
              </w:rPr>
              <w:t>Release note specifying the data set, recipients, storage, retention and deletion date</w:t>
            </w:r>
          </w:p>
        </w:tc>
        <w:tc>
          <w:tcPr>
            <w:tcW w:type="dxa" w:w="2423"/>
          </w:tcPr>
          <w:p>
            <w:pPr>
              <w:spacing w:after="50" w:before="50" w:line="252" w:lineRule="auto"/>
            </w:pPr>
            <w:r>
              <w:rPr>
                <w:sz w:val="17"/>
              </w:rPr>
              <w:t xml:space="preserve">Research Lead </w:t>
            </w:r>
            <w:r>
              <w:rPr>
                <w:b/>
                <w:sz w:val="17"/>
              </w:rPr>
              <w:t>and DPO</w:t>
            </w:r>
          </w:p>
        </w:tc>
      </w:tr>
      <w:tr>
        <w:tc>
          <w:tcPr>
            <w:tcW w:type="dxa" w:w="2318"/>
            <w:shd w:val="clear" w:color="auto" w:fill="EAF1F4"/>
          </w:tcPr>
          <w:p>
            <w:pPr>
              <w:spacing w:after="50" w:before="50" w:line="252" w:lineRule="auto"/>
            </w:pPr>
            <w:r>
              <w:rPr>
                <w:sz w:val="17"/>
              </w:rPr>
              <w:t>6. Researcher undertakings</w:t>
            </w:r>
          </w:p>
        </w:tc>
        <w:tc>
          <w:tcPr>
            <w:tcW w:type="dxa" w:w="4727"/>
            <w:shd w:val="clear" w:color="auto" w:fill="EAF1F4"/>
          </w:tcPr>
          <w:p>
            <w:pPr>
              <w:spacing w:after="50" w:before="50" w:line="252" w:lineRule="auto"/>
            </w:pPr>
            <w:r>
              <w:rPr>
                <w:sz w:val="17"/>
              </w:rPr>
              <w:t>F-09 from every person with access</w:t>
            </w:r>
          </w:p>
        </w:tc>
        <w:tc>
          <w:tcPr>
            <w:tcW w:type="dxa" w:w="2423"/>
            <w:shd w:val="clear" w:color="auto" w:fill="EAF1F4"/>
          </w:tcPr>
          <w:p>
            <w:pPr>
              <w:spacing w:after="50" w:before="50" w:line="252" w:lineRule="auto"/>
            </w:pPr>
            <w:r>
              <w:rPr>
                <w:sz w:val="17"/>
              </w:rPr>
              <w:t>Research Lead</w:t>
            </w:r>
          </w:p>
        </w:tc>
      </w:tr>
      <w:tr>
        <w:tc>
          <w:tcPr>
            <w:tcW w:type="dxa" w:w="2318"/>
          </w:tcPr>
          <w:p>
            <w:pPr>
              <w:spacing w:after="50" w:before="50" w:line="252" w:lineRule="auto"/>
            </w:pPr>
            <w:r>
              <w:rPr>
                <w:sz w:val="17"/>
              </w:rPr>
              <w:t>7. Conduct</w:t>
            </w:r>
          </w:p>
        </w:tc>
        <w:tc>
          <w:tcPr>
            <w:tcW w:type="dxa" w:w="4727"/>
          </w:tcPr>
          <w:p>
            <w:pPr>
              <w:spacing w:after="50" w:before="50" w:line="252" w:lineRule="auto"/>
            </w:pPr>
            <w:r>
              <w:rPr>
                <w:sz w:val="17"/>
              </w:rPr>
              <w:t>Per the protocol at 08.3</w:t>
            </w:r>
          </w:p>
        </w:tc>
        <w:tc>
          <w:tcPr>
            <w:tcW w:type="dxa" w:w="2423"/>
          </w:tcPr>
          <w:p>
            <w:pPr>
              <w:spacing w:after="50" w:before="50" w:line="252" w:lineRule="auto"/>
            </w:pPr>
            <w:r>
              <w:rPr>
                <w:sz w:val="17"/>
              </w:rPr>
              <w:t>Project lead</w:t>
            </w:r>
          </w:p>
        </w:tc>
      </w:tr>
      <w:tr>
        <w:tc>
          <w:tcPr>
            <w:tcW w:type="dxa" w:w="2318"/>
            <w:shd w:val="clear" w:color="auto" w:fill="EAF1F4"/>
          </w:tcPr>
          <w:p>
            <w:pPr>
              <w:spacing w:after="50" w:before="50" w:line="252" w:lineRule="auto"/>
            </w:pPr>
            <w:r>
              <w:rPr>
                <w:sz w:val="17"/>
              </w:rPr>
              <w:t>8. Pre-submission review</w:t>
            </w:r>
          </w:p>
        </w:tc>
        <w:tc>
          <w:tcPr>
            <w:tcW w:type="dxa" w:w="4727"/>
            <w:shd w:val="clear" w:color="auto" w:fill="EAF1F4"/>
          </w:tcPr>
          <w:p>
            <w:pPr>
              <w:spacing w:after="50" w:before="50" w:line="252" w:lineRule="auto"/>
            </w:pPr>
            <w:r>
              <w:rPr>
                <w:sz w:val="17"/>
              </w:rPr>
              <w:t>30 days for a confidentiality check only</w:t>
            </w:r>
          </w:p>
        </w:tc>
        <w:tc>
          <w:tcPr>
            <w:tcW w:type="dxa" w:w="2423"/>
            <w:shd w:val="clear" w:color="auto" w:fill="EAF1F4"/>
          </w:tcPr>
          <w:p>
            <w:pPr>
              <w:spacing w:after="50" w:before="50" w:line="252" w:lineRule="auto"/>
            </w:pPr>
            <w:r>
              <w:rPr>
                <w:sz w:val="17"/>
              </w:rPr>
              <w:t>Research Lead</w:t>
            </w:r>
          </w:p>
        </w:tc>
      </w:tr>
      <w:tr>
        <w:tc>
          <w:tcPr>
            <w:tcW w:type="dxa" w:w="2318"/>
          </w:tcPr>
          <w:p>
            <w:pPr>
              <w:spacing w:after="50" w:before="50" w:line="252" w:lineRule="auto"/>
            </w:pPr>
            <w:r>
              <w:rPr>
                <w:sz w:val="17"/>
              </w:rPr>
              <w:t>9. Publication</w:t>
            </w:r>
          </w:p>
        </w:tc>
        <w:tc>
          <w:tcPr>
            <w:tcW w:type="dxa" w:w="4727"/>
          </w:tcPr>
          <w:p>
            <w:pPr>
              <w:spacing w:after="50" w:before="50" w:line="252" w:lineRule="auto"/>
            </w:pPr>
            <w:r>
              <w:rPr>
                <w:sz w:val="17"/>
              </w:rPr>
              <w:t>Per 08.2</w:t>
            </w:r>
          </w:p>
        </w:tc>
        <w:tc>
          <w:tcPr>
            <w:tcW w:type="dxa" w:w="2423"/>
          </w:tcPr>
          <w:p>
            <w:pPr>
              <w:spacing w:after="50" w:before="50" w:line="252" w:lineRule="auto"/>
            </w:pPr>
            <w:r>
              <w:rPr>
                <w:sz w:val="17"/>
              </w:rPr>
              <w:t>—</w:t>
            </w:r>
          </w:p>
        </w:tc>
      </w:tr>
      <w:tr>
        <w:tc>
          <w:tcPr>
            <w:tcW w:type="dxa" w:w="2318"/>
            <w:shd w:val="clear" w:color="auto" w:fill="EAF1F4"/>
          </w:tcPr>
          <w:p>
            <w:pPr>
              <w:spacing w:after="50" w:before="50" w:line="252" w:lineRule="auto"/>
            </w:pPr>
            <w:r>
              <w:rPr>
                <w:sz w:val="17"/>
              </w:rPr>
              <w:t>10. Data deletion and certification</w:t>
            </w:r>
          </w:p>
        </w:tc>
        <w:tc>
          <w:tcPr>
            <w:tcW w:type="dxa" w:w="4727"/>
            <w:shd w:val="clear" w:color="auto" w:fill="EAF1F4"/>
          </w:tcPr>
          <w:p>
            <w:pPr>
              <w:spacing w:after="50" w:before="50" w:line="252" w:lineRule="auto"/>
            </w:pPr>
            <w:r>
              <w:rPr>
                <w:sz w:val="17"/>
              </w:rPr>
              <w:t>On the date in the release note</w:t>
            </w:r>
          </w:p>
        </w:tc>
        <w:tc>
          <w:tcPr>
            <w:tcW w:type="dxa" w:w="2423"/>
            <w:shd w:val="clear" w:color="auto" w:fill="EAF1F4"/>
          </w:tcPr>
          <w:p>
            <w:pPr>
              <w:spacing w:after="50" w:before="50" w:line="252" w:lineRule="auto"/>
            </w:pPr>
            <w:r>
              <w:rPr>
                <w:sz w:val="17"/>
              </w:rPr>
              <w:t>Project lead; certified to DPO</w:t>
            </w:r>
          </w:p>
        </w:tc>
      </w:tr>
    </w:tbl>
    <w:p>
      <w:pPr>
        <w:spacing w:after="80" w:before="0"/>
      </w:pPr>
    </w:p>
    <w:p>
      <w:r>
        <w:rPr>
          <w:b/>
        </w:rPr>
        <w:t>No stage may be skipped, and stage 5 may not precede stage 4.</w:t>
      </w:r>
    </w:p>
    <w:p>
      <w:pPr>
        <w:spacing w:before="80" w:after="160"/>
        <w:pBdr>
          <w:bottom w:val="single" w:sz="6" w:space="1" w:color="C9D6DE"/>
        </w:pBdr>
      </w:pPr>
    </w:p>
    <w:p>
      <w:pPr>
        <w:pStyle w:val="Heading1"/>
        <w:pBdr>
          <w:bottom w:val="single" w:sz="8" w:space="4" w:color="C9D6DE"/>
        </w:pBdr>
      </w:pPr>
      <w:r>
        <w:t>5. Data access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73"/>
            <w:shd w:val="clear" w:color="auto" w:fill="10375C"/>
          </w:tcPr>
          <w:p>
            <w:pPr>
              <w:spacing w:after="50" w:before="50"/>
            </w:pPr>
            <w:r>
              <w:rPr>
                <w:b/>
                <w:color w:val="FFFFFF"/>
                <w:sz w:val="17"/>
              </w:rPr>
              <w:t>Principle</w:t>
            </w:r>
          </w:p>
        </w:tc>
        <w:tc>
          <w:tcPr>
            <w:tcW w:type="dxa" w:w="6994"/>
            <w:shd w:val="clear" w:color="auto" w:fill="10375C"/>
          </w:tcPr>
          <w:p>
            <w:pPr>
              <w:spacing w:after="50" w:before="50"/>
            </w:pPr>
            <w:r>
              <w:rPr>
                <w:b/>
                <w:color w:val="FFFFFF"/>
                <w:sz w:val="17"/>
              </w:rPr>
              <w:t>Application</w:t>
            </w:r>
          </w:p>
        </w:tc>
      </w:tr>
      <w:tr>
        <w:tc>
          <w:tcPr>
            <w:tcW w:type="dxa" w:w="2473"/>
          </w:tcPr>
          <w:p>
            <w:pPr>
              <w:spacing w:after="50" w:before="50" w:line="252" w:lineRule="auto"/>
            </w:pPr>
            <w:r>
              <w:rPr>
                <w:sz w:val="17"/>
              </w:rPr>
              <w:t>Minimum necessary</w:t>
            </w:r>
          </w:p>
        </w:tc>
        <w:tc>
          <w:tcPr>
            <w:tcW w:type="dxa" w:w="6994"/>
          </w:tcPr>
          <w:p>
            <w:pPr>
              <w:spacing w:after="50" w:before="50" w:line="252" w:lineRule="auto"/>
            </w:pPr>
            <w:r>
              <w:rPr>
                <w:sz w:val="17"/>
              </w:rPr>
              <w:t>Only the fields the research question requires are released</w:t>
            </w:r>
          </w:p>
        </w:tc>
      </w:tr>
      <w:tr>
        <w:tc>
          <w:tcPr>
            <w:tcW w:type="dxa" w:w="2473"/>
            <w:shd w:val="clear" w:color="auto" w:fill="EAF1F4"/>
          </w:tcPr>
          <w:p>
            <w:pPr>
              <w:spacing w:after="50" w:before="50" w:line="252" w:lineRule="auto"/>
            </w:pPr>
            <w:r>
              <w:rPr>
                <w:sz w:val="17"/>
              </w:rPr>
              <w:t>Anonymisation at source</w:t>
            </w:r>
          </w:p>
        </w:tc>
        <w:tc>
          <w:tcPr>
            <w:tcW w:type="dxa" w:w="6994"/>
            <w:shd w:val="clear" w:color="auto" w:fill="EAF1F4"/>
          </w:tcPr>
          <w:p>
            <w:pPr>
              <w:spacing w:after="50" w:before="50" w:line="252" w:lineRule="auto"/>
            </w:pPr>
            <w:r>
              <w:rPr>
                <w:sz w:val="17"/>
              </w:rPr>
              <w:t>Identifiers removed before release, not by the researcher afterwards</w:t>
            </w:r>
          </w:p>
        </w:tc>
      </w:tr>
      <w:tr>
        <w:tc>
          <w:tcPr>
            <w:tcW w:type="dxa" w:w="2473"/>
          </w:tcPr>
          <w:p>
            <w:pPr>
              <w:spacing w:after="50" w:before="50" w:line="252" w:lineRule="auto"/>
            </w:pPr>
            <w:r>
              <w:rPr>
                <w:sz w:val="17"/>
              </w:rPr>
              <w:t>Aggregation</w:t>
            </w:r>
          </w:p>
        </w:tc>
        <w:tc>
          <w:tcPr>
            <w:tcW w:type="dxa" w:w="6994"/>
          </w:tcPr>
          <w:p>
            <w:pPr>
              <w:spacing w:after="50" w:before="50" w:line="252" w:lineRule="auto"/>
            </w:pPr>
            <w:r>
              <w:rPr>
                <w:sz w:val="17"/>
              </w:rPr>
              <w:t>Where a question can be answered from aggregates, aggregates are released rather than record-level data</w:t>
            </w:r>
          </w:p>
        </w:tc>
      </w:tr>
      <w:tr>
        <w:tc>
          <w:tcPr>
            <w:tcW w:type="dxa" w:w="2473"/>
            <w:shd w:val="clear" w:color="auto" w:fill="EAF1F4"/>
          </w:tcPr>
          <w:p>
            <w:pPr>
              <w:spacing w:after="50" w:before="50" w:line="252" w:lineRule="auto"/>
            </w:pPr>
            <w:r>
              <w:rPr>
                <w:sz w:val="17"/>
              </w:rPr>
              <w:t>Small-cell suppression</w:t>
            </w:r>
          </w:p>
        </w:tc>
        <w:tc>
          <w:tcPr>
            <w:tcW w:type="dxa" w:w="6994"/>
            <w:shd w:val="clear" w:color="auto" w:fill="EAF1F4"/>
          </w:tcPr>
          <w:p>
            <w:pPr>
              <w:spacing w:after="50" w:before="50" w:line="252" w:lineRule="auto"/>
            </w:pPr>
            <w:r>
              <w:rPr>
                <w:sz w:val="17"/>
              </w:rPr>
              <w:t xml:space="preserve">Cells below </w:t>
            </w:r>
            <w:r>
              <w:rPr>
                <w:b/>
                <w:sz w:val="17"/>
              </w:rPr>
              <w:t>[●]</w:t>
            </w:r>
            <w:r>
              <w:rPr>
                <w:sz w:val="17"/>
              </w:rPr>
              <w:t xml:space="preserve"> observations are suppressed, and secondary suppression is applied to prevent back-calculation</w:t>
            </w:r>
          </w:p>
        </w:tc>
      </w:tr>
      <w:tr>
        <w:tc>
          <w:tcPr>
            <w:tcW w:type="dxa" w:w="2473"/>
          </w:tcPr>
          <w:p>
            <w:pPr>
              <w:spacing w:after="50" w:before="50" w:line="252" w:lineRule="auto"/>
            </w:pPr>
            <w:r>
              <w:rPr>
                <w:sz w:val="17"/>
              </w:rPr>
              <w:t>Sector and geography</w:t>
            </w:r>
          </w:p>
        </w:tc>
        <w:tc>
          <w:tcPr>
            <w:tcW w:type="dxa" w:w="6994"/>
          </w:tcPr>
          <w:p>
            <w:pPr>
              <w:spacing w:after="50" w:before="50" w:line="252" w:lineRule="auto"/>
            </w:pPr>
            <w:r>
              <w:rPr>
                <w:sz w:val="17"/>
              </w:rPr>
              <w:t>Released at a level of generality that does not permit identification</w:t>
            </w:r>
          </w:p>
        </w:tc>
      </w:tr>
      <w:tr>
        <w:tc>
          <w:tcPr>
            <w:tcW w:type="dxa" w:w="2473"/>
            <w:shd w:val="clear" w:color="auto" w:fill="EAF1F4"/>
          </w:tcPr>
          <w:p>
            <w:pPr>
              <w:spacing w:after="50" w:before="50" w:line="252" w:lineRule="auto"/>
            </w:pPr>
            <w:r>
              <w:rPr>
                <w:sz w:val="17"/>
              </w:rPr>
              <w:t>Dates</w:t>
            </w:r>
          </w:p>
        </w:tc>
        <w:tc>
          <w:tcPr>
            <w:tcW w:type="dxa" w:w="6994"/>
            <w:shd w:val="clear" w:color="auto" w:fill="EAF1F4"/>
          </w:tcPr>
          <w:p>
            <w:pPr>
              <w:spacing w:after="50" w:before="50" w:line="252" w:lineRule="auto"/>
            </w:pPr>
            <w:r>
              <w:rPr>
                <w:sz w:val="17"/>
              </w:rPr>
              <w:t>Released as month and year, never as an exact date</w:t>
            </w:r>
          </w:p>
        </w:tc>
      </w:tr>
      <w:tr>
        <w:tc>
          <w:tcPr>
            <w:tcW w:type="dxa" w:w="2473"/>
          </w:tcPr>
          <w:p>
            <w:pPr>
              <w:spacing w:after="50" w:before="50" w:line="252" w:lineRule="auto"/>
            </w:pPr>
            <w:r>
              <w:rPr>
                <w:sz w:val="17"/>
              </w:rPr>
              <w:t>Amounts</w:t>
            </w:r>
          </w:p>
        </w:tc>
        <w:tc>
          <w:tcPr>
            <w:tcW w:type="dxa" w:w="6994"/>
          </w:tcPr>
          <w:p>
            <w:pPr>
              <w:spacing w:after="50" w:before="50" w:line="252" w:lineRule="auto"/>
            </w:pPr>
            <w:r>
              <w:rPr>
                <w:sz w:val="17"/>
              </w:rPr>
              <w:t>Banded, not exact</w:t>
            </w:r>
          </w:p>
        </w:tc>
      </w:tr>
      <w:tr>
        <w:tc>
          <w:tcPr>
            <w:tcW w:type="dxa" w:w="2473"/>
            <w:shd w:val="clear" w:color="auto" w:fill="EAF1F4"/>
          </w:tcPr>
          <w:p>
            <w:pPr>
              <w:spacing w:after="50" w:before="50" w:line="252" w:lineRule="auto"/>
            </w:pPr>
            <w:r>
              <w:rPr>
                <w:sz w:val="17"/>
              </w:rPr>
              <w:t>No free text</w:t>
            </w:r>
          </w:p>
        </w:tc>
        <w:tc>
          <w:tcPr>
            <w:tcW w:type="dxa" w:w="6994"/>
            <w:shd w:val="clear" w:color="auto" w:fill="EAF1F4"/>
          </w:tcPr>
          <w:p>
            <w:pPr>
              <w:spacing w:after="50" w:before="50" w:line="252" w:lineRule="auto"/>
            </w:pPr>
            <w:r>
              <w:rPr>
                <w:sz w:val="17"/>
              </w:rPr>
              <w:t>Narrative fields are never released</w:t>
            </w:r>
          </w:p>
        </w:tc>
      </w:tr>
      <w:tr>
        <w:tc>
          <w:tcPr>
            <w:tcW w:type="dxa" w:w="2473"/>
          </w:tcPr>
          <w:p>
            <w:pPr>
              <w:spacing w:after="50" w:before="50" w:line="252" w:lineRule="auto"/>
            </w:pPr>
            <w:r>
              <w:rPr>
                <w:sz w:val="17"/>
              </w:rPr>
              <w:t>Storage</w:t>
            </w:r>
          </w:p>
        </w:tc>
        <w:tc>
          <w:tcPr>
            <w:tcW w:type="dxa" w:w="6994"/>
          </w:tcPr>
          <w:p>
            <w:pPr>
              <w:spacing w:after="50" w:before="50" w:line="252" w:lineRule="auto"/>
            </w:pPr>
            <w:r>
              <w:rPr>
                <w:sz w:val="17"/>
              </w:rPr>
              <w:t>Access-controlled, encrypted, within India, on approved systems only</w:t>
            </w:r>
          </w:p>
        </w:tc>
      </w:tr>
      <w:tr>
        <w:tc>
          <w:tcPr>
            <w:tcW w:type="dxa" w:w="2473"/>
            <w:shd w:val="clear" w:color="auto" w:fill="EAF1F4"/>
          </w:tcPr>
          <w:p>
            <w:pPr>
              <w:spacing w:after="50" w:before="50" w:line="252" w:lineRule="auto"/>
            </w:pPr>
            <w:r>
              <w:rPr>
                <w:sz w:val="17"/>
              </w:rPr>
              <w:t>Re-identification</w:t>
            </w:r>
          </w:p>
        </w:tc>
        <w:tc>
          <w:tcPr>
            <w:tcW w:type="dxa" w:w="6994"/>
            <w:shd w:val="clear" w:color="auto" w:fill="EAF1F4"/>
          </w:tcPr>
          <w:p>
            <w:pPr>
              <w:spacing w:after="50" w:before="50" w:line="252" w:lineRule="auto"/>
            </w:pPr>
            <w:r>
              <w:rPr>
                <w:sz w:val="17"/>
              </w:rPr>
              <w:t>Prohibited absolutely by undertaking; any attempt is reported</w:t>
            </w:r>
          </w:p>
        </w:tc>
      </w:tr>
      <w:tr>
        <w:tc>
          <w:tcPr>
            <w:tcW w:type="dxa" w:w="2473"/>
          </w:tcPr>
          <w:p>
            <w:pPr>
              <w:spacing w:after="50" w:before="50" w:line="252" w:lineRule="auto"/>
            </w:pPr>
            <w:r>
              <w:rPr>
                <w:sz w:val="17"/>
              </w:rPr>
              <w:t>Deletion</w:t>
            </w:r>
          </w:p>
        </w:tc>
        <w:tc>
          <w:tcPr>
            <w:tcW w:type="dxa" w:w="6994"/>
          </w:tcPr>
          <w:p>
            <w:pPr>
              <w:spacing w:after="50" w:before="50" w:line="252" w:lineRule="auto"/>
            </w:pPr>
            <w:r>
              <w:rPr>
                <w:sz w:val="17"/>
              </w:rPr>
              <w:t>On the date stated; certified</w:t>
            </w:r>
          </w:p>
        </w:tc>
      </w:tr>
    </w:tbl>
    <w:p>
      <w:pPr>
        <w:spacing w:after="80" w:before="0"/>
      </w:pPr>
    </w:p>
    <w:p>
      <w:r>
        <w:rPr>
          <w:b/>
        </w:rPr>
        <w:t>The test applied before any release:</w:t>
      </w:r>
      <w:r>
        <w:t xml:space="preserve"> </w:t>
      </w:r>
      <w:r>
        <w:rPr>
          <w:i/>
        </w:rPr>
        <w:t>could a person with knowledge of the sector, reading this output, work out which matter this is?</w:t>
      </w:r>
      <w:r>
        <w:t xml:space="preserve"> If the answer is anything other than a confident no, the data is not released.</w:t>
      </w:r>
    </w:p>
    <w:p>
      <w:pPr>
        <w:spacing w:before="80" w:after="160"/>
        <w:pBdr>
          <w:bottom w:val="single" w:sz="6" w:space="1" w:color="C9D6DE"/>
        </w:pBdr>
      </w:pPr>
    </w:p>
    <w:p>
      <w:pPr>
        <w:pStyle w:val="Heading1"/>
        <w:pBdr>
          <w:bottom w:val="single" w:sz="8" w:space="4" w:color="C9D6DE"/>
        </w:pBdr>
      </w:pPr>
      <w:r>
        <w:t>6. Roles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408"/>
            <w:shd w:val="clear" w:color="auto" w:fill="10375C"/>
          </w:tcPr>
          <w:p>
            <w:pPr>
              <w:spacing w:after="50" w:before="50"/>
            </w:pPr>
            <w:r>
              <w:rPr>
                <w:b/>
                <w:color w:val="FFFFFF"/>
                <w:sz w:val="17"/>
              </w:rPr>
              <w:t>Role</w:t>
            </w:r>
          </w:p>
        </w:tc>
        <w:tc>
          <w:tcPr>
            <w:tcW w:type="dxa" w:w="6060"/>
            <w:shd w:val="clear" w:color="auto" w:fill="10375C"/>
          </w:tcPr>
          <w:p>
            <w:pPr>
              <w:spacing w:after="50" w:before="50"/>
            </w:pPr>
            <w:r>
              <w:rPr>
                <w:b/>
                <w:color w:val="FFFFFF"/>
                <w:sz w:val="17"/>
              </w:rPr>
              <w:t>Responsibility</w:t>
            </w:r>
          </w:p>
        </w:tc>
      </w:tr>
      <w:tr>
        <w:tc>
          <w:tcPr>
            <w:tcW w:type="dxa" w:w="3408"/>
          </w:tcPr>
          <w:p>
            <w:pPr>
              <w:spacing w:after="50" w:before="50" w:line="252" w:lineRule="auto"/>
            </w:pPr>
            <w:r>
              <w:rPr>
                <w:sz w:val="17"/>
              </w:rPr>
              <w:t>Research Lead, Equator</w:t>
            </w:r>
          </w:p>
        </w:tc>
        <w:tc>
          <w:tcPr>
            <w:tcW w:type="dxa" w:w="6060"/>
          </w:tcPr>
          <w:p>
            <w:pPr>
              <w:spacing w:after="50" w:before="50" w:line="252" w:lineRule="auto"/>
            </w:pPr>
            <w:r>
              <w:rPr>
                <w:sz w:val="17"/>
              </w:rPr>
              <w:t>Agenda; approvals; data releases jointly with the DPO; quality; the annual report</w:t>
            </w:r>
          </w:p>
        </w:tc>
      </w:tr>
      <w:tr>
        <w:tc>
          <w:tcPr>
            <w:tcW w:type="dxa" w:w="3408"/>
            <w:shd w:val="clear" w:color="auto" w:fill="EAF1F4"/>
          </w:tcPr>
          <w:p>
            <w:pPr>
              <w:spacing w:after="50" w:before="50" w:line="252" w:lineRule="auto"/>
            </w:pPr>
            <w:r>
              <w:rPr>
                <w:sz w:val="17"/>
              </w:rPr>
              <w:t>Data Protection Officer</w:t>
            </w:r>
          </w:p>
        </w:tc>
        <w:tc>
          <w:tcPr>
            <w:tcW w:type="dxa" w:w="6060"/>
            <w:shd w:val="clear" w:color="auto" w:fill="EAF1F4"/>
          </w:tcPr>
          <w:p>
            <w:pPr>
              <w:spacing w:after="50" w:before="50" w:line="252" w:lineRule="auto"/>
            </w:pPr>
            <w:r>
              <w:rPr>
                <w:sz w:val="17"/>
              </w:rPr>
              <w:t>Anonymisation adequacy; disclosure risk; release approval; deletion verification</w:t>
            </w:r>
          </w:p>
        </w:tc>
      </w:tr>
      <w:tr>
        <w:tc>
          <w:tcPr>
            <w:tcW w:type="dxa" w:w="3408"/>
          </w:tcPr>
          <w:p>
            <w:pPr>
              <w:spacing w:after="50" w:before="50" w:line="252" w:lineRule="auto"/>
            </w:pPr>
            <w:r>
              <w:rPr>
                <w:sz w:val="17"/>
              </w:rPr>
              <w:t>Institution's principal investigator</w:t>
            </w:r>
          </w:p>
        </w:tc>
        <w:tc>
          <w:tcPr>
            <w:tcW w:type="dxa" w:w="6060"/>
          </w:tcPr>
          <w:p>
            <w:pPr>
              <w:spacing w:after="50" w:before="50" w:line="252" w:lineRule="auto"/>
            </w:pPr>
            <w:r>
              <w:rPr>
                <w:sz w:val="17"/>
              </w:rPr>
              <w:t>Method; conduct; supervision of researchers; institutional ethics approval</w:t>
            </w:r>
          </w:p>
        </w:tc>
      </w:tr>
      <w:tr>
        <w:tc>
          <w:tcPr>
            <w:tcW w:type="dxa" w:w="3408"/>
            <w:shd w:val="clear" w:color="auto" w:fill="EAF1F4"/>
          </w:tcPr>
          <w:p>
            <w:pPr>
              <w:spacing w:after="50" w:before="50" w:line="252" w:lineRule="auto"/>
            </w:pPr>
            <w:r>
              <w:rPr>
                <w:sz w:val="17"/>
              </w:rPr>
              <w:t>Researchers</w:t>
            </w:r>
          </w:p>
        </w:tc>
        <w:tc>
          <w:tcPr>
            <w:tcW w:type="dxa" w:w="6060"/>
            <w:shd w:val="clear" w:color="auto" w:fill="EAF1F4"/>
          </w:tcPr>
          <w:p>
            <w:pPr>
              <w:spacing w:after="50" w:before="50" w:line="252" w:lineRule="auto"/>
            </w:pPr>
            <w:r>
              <w:rPr>
                <w:sz w:val="17"/>
              </w:rPr>
              <w:t>Conduct; undertaking at F-09; data handling</w:t>
            </w:r>
          </w:p>
        </w:tc>
      </w:tr>
      <w:tr>
        <w:tc>
          <w:tcPr>
            <w:tcW w:type="dxa" w:w="3408"/>
          </w:tcPr>
          <w:p>
            <w:pPr>
              <w:spacing w:after="50" w:before="50" w:line="252" w:lineRule="auto"/>
            </w:pPr>
            <w:r>
              <w:rPr>
                <w:sz w:val="17"/>
              </w:rPr>
              <w:t>Research interns</w:t>
            </w:r>
          </w:p>
        </w:tc>
        <w:tc>
          <w:tcPr>
            <w:tcW w:type="dxa" w:w="6060"/>
          </w:tcPr>
          <w:p>
            <w:pPr>
              <w:spacing w:after="50" w:before="50" w:line="252" w:lineRule="auto"/>
            </w:pPr>
            <w:r>
              <w:rPr>
                <w:sz w:val="17"/>
              </w:rPr>
              <w:t>Supervised tasks; no independent data access</w:t>
            </w:r>
          </w:p>
        </w:tc>
      </w:tr>
      <w:tr>
        <w:tc>
          <w:tcPr>
            <w:tcW w:type="dxa" w:w="3408"/>
            <w:shd w:val="clear" w:color="auto" w:fill="EAF1F4"/>
          </w:tcPr>
          <w:p>
            <w:pPr>
              <w:spacing w:after="50" w:before="50" w:line="252" w:lineRule="auto"/>
            </w:pPr>
            <w:r>
              <w:rPr>
                <w:sz w:val="17"/>
              </w:rPr>
              <w:t>Curriculum &amp; Certification Committee</w:t>
            </w:r>
          </w:p>
        </w:tc>
        <w:tc>
          <w:tcPr>
            <w:tcW w:type="dxa" w:w="6060"/>
            <w:shd w:val="clear" w:color="auto" w:fill="EAF1F4"/>
          </w:tcPr>
          <w:p>
            <w:pPr>
              <w:spacing w:after="50" w:before="50" w:line="252" w:lineRule="auto"/>
            </w:pPr>
            <w:r>
              <w:rPr>
                <w:sz w:val="17"/>
              </w:rPr>
              <w:t>Where findings bear on curriculum, considers whether change is required</w:t>
            </w:r>
          </w:p>
        </w:tc>
      </w:tr>
    </w:tbl>
    <w:p>
      <w:pPr>
        <w:spacing w:after="80" w:before="0"/>
      </w:pPr>
    </w:p>
    <w:p>
      <w:pPr>
        <w:spacing w:before="80" w:after="160"/>
        <w:pBdr>
          <w:bottom w:val="single" w:sz="6" w:space="1" w:color="C9D6DE"/>
        </w:pBdr>
      </w:pPr>
    </w:p>
    <w:p>
      <w:pPr>
        <w:pStyle w:val="Heading1"/>
        <w:pBdr>
          <w:bottom w:val="single" w:sz="8" w:space="4" w:color="C9D6DE"/>
        </w:pBdr>
      </w:pPr>
      <w:r>
        <w:t>7. Funding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55"/>
            <w:shd w:val="clear" w:color="auto" w:fill="10375C"/>
          </w:tcPr>
          <w:p>
            <w:pPr>
              <w:spacing w:after="50" w:before="50"/>
            </w:pPr>
            <w:r>
              <w:rPr>
                <w:b/>
                <w:color w:val="FFFFFF"/>
                <w:sz w:val="17"/>
              </w:rPr>
              <w:t>Source</w:t>
            </w:r>
          </w:p>
        </w:tc>
        <w:tc>
          <w:tcPr>
            <w:tcW w:type="dxa" w:w="7013"/>
            <w:shd w:val="clear" w:color="auto" w:fill="10375C"/>
          </w:tcPr>
          <w:p>
            <w:pPr>
              <w:spacing w:after="50" w:before="50"/>
            </w:pPr>
            <w:r>
              <w:rPr>
                <w:b/>
                <w:color w:val="FFFFFF"/>
                <w:sz w:val="17"/>
              </w:rPr>
              <w:t>Notes</w:t>
            </w:r>
          </w:p>
        </w:tc>
      </w:tr>
      <w:tr>
        <w:tc>
          <w:tcPr>
            <w:tcW w:type="dxa" w:w="2455"/>
          </w:tcPr>
          <w:p>
            <w:pPr>
              <w:spacing w:after="50" w:before="50" w:line="252" w:lineRule="auto"/>
            </w:pPr>
            <w:r>
              <w:rPr>
                <w:sz w:val="17"/>
              </w:rPr>
              <w:t>Equator's own budget</w:t>
            </w:r>
          </w:p>
        </w:tc>
        <w:tc>
          <w:tcPr>
            <w:tcW w:type="dxa" w:w="7013"/>
          </w:tcPr>
          <w:p>
            <w:pPr>
              <w:spacing w:after="50" w:before="50" w:line="252" w:lineRule="auto"/>
            </w:pPr>
            <w:r>
              <w:rPr>
                <w:sz w:val="17"/>
              </w:rPr>
              <w:t>For agenda items Q1 to Q5 and the annual report</w:t>
            </w:r>
          </w:p>
        </w:tc>
      </w:tr>
      <w:tr>
        <w:tc>
          <w:tcPr>
            <w:tcW w:type="dxa" w:w="2455"/>
            <w:shd w:val="clear" w:color="auto" w:fill="EAF1F4"/>
          </w:tcPr>
          <w:p>
            <w:pPr>
              <w:spacing w:after="50" w:before="50" w:line="252" w:lineRule="auto"/>
            </w:pPr>
            <w:r>
              <w:rPr>
                <w:sz w:val="17"/>
              </w:rPr>
              <w:t>Institutional funds</w:t>
            </w:r>
          </w:p>
        </w:tc>
        <w:tc>
          <w:tcPr>
            <w:tcW w:type="dxa" w:w="7013"/>
            <w:shd w:val="clear" w:color="auto" w:fill="EAF1F4"/>
          </w:tcPr>
          <w:p>
            <w:pPr>
              <w:spacing w:after="50" w:before="50" w:line="252" w:lineRule="auto"/>
            </w:pPr>
            <w:r>
              <w:rPr>
                <w:sz w:val="17"/>
              </w:rPr>
              <w:t>Where the institution has a research grant scheme</w:t>
            </w:r>
          </w:p>
        </w:tc>
      </w:tr>
      <w:tr>
        <w:tc>
          <w:tcPr>
            <w:tcW w:type="dxa" w:w="2455"/>
          </w:tcPr>
          <w:p>
            <w:pPr>
              <w:spacing w:after="50" w:before="50" w:line="252" w:lineRule="auto"/>
            </w:pPr>
            <w:r>
              <w:rPr>
                <w:sz w:val="17"/>
              </w:rPr>
              <w:t>External grant</w:t>
            </w:r>
          </w:p>
        </w:tc>
        <w:tc>
          <w:tcPr>
            <w:tcW w:type="dxa" w:w="7013"/>
          </w:tcPr>
          <w:p>
            <w:pPr>
              <w:spacing w:after="50" w:before="50" w:line="252" w:lineRule="auto"/>
            </w:pPr>
            <w:r>
              <w:rPr>
                <w:sz w:val="17"/>
              </w:rPr>
              <w:t>Either party may apply, on written notice to the other; the data terms of this framework apply regardless of funder</w:t>
            </w:r>
          </w:p>
        </w:tc>
      </w:tr>
      <w:tr>
        <w:tc>
          <w:tcPr>
            <w:tcW w:type="dxa" w:w="2455"/>
            <w:shd w:val="clear" w:color="auto" w:fill="EAF1F4"/>
          </w:tcPr>
          <w:p>
            <w:pPr>
              <w:spacing w:after="50" w:before="50" w:line="252" w:lineRule="auto"/>
            </w:pPr>
            <w:r>
              <w:rPr>
                <w:sz w:val="17"/>
              </w:rPr>
              <w:t>Sponsorship</w:t>
            </w:r>
          </w:p>
        </w:tc>
        <w:tc>
          <w:tcPr>
            <w:tcW w:type="dxa" w:w="7013"/>
            <w:shd w:val="clear" w:color="auto" w:fill="EAF1F4"/>
          </w:tcPr>
          <w:p>
            <w:pPr>
              <w:spacing w:after="50" w:before="50" w:line="252" w:lineRule="auto"/>
            </w:pPr>
            <w:r>
              <w:rPr>
                <w:sz w:val="17"/>
              </w:rPr>
              <w:t xml:space="preserve">Permitted, but a sponsor has </w:t>
            </w:r>
            <w:r>
              <w:rPr>
                <w:b/>
                <w:sz w:val="17"/>
              </w:rPr>
              <w:t>no</w:t>
            </w:r>
            <w:r>
              <w:rPr>
                <w:sz w:val="17"/>
              </w:rPr>
              <w:t xml:space="preserve"> influence over method, findings or publication, and this is stated in the output</w:t>
            </w:r>
          </w:p>
        </w:tc>
      </w:tr>
    </w:tbl>
    <w:p>
      <w:pPr>
        <w:spacing w:after="80" w:before="0"/>
      </w:pPr>
    </w:p>
    <w:p>
      <w:pPr>
        <w:spacing w:before="80" w:after="160"/>
        <w:pBdr>
          <w:bottom w:val="single" w:sz="6" w:space="1" w:color="C9D6DE"/>
        </w:pBdr>
      </w:pPr>
    </w:p>
    <w:p>
      <w:pPr>
        <w:pStyle w:val="Heading1"/>
        <w:pBdr>
          <w:bottom w:val="single" w:sz="8" w:space="4" w:color="C9D6DE"/>
        </w:pBdr>
      </w:pPr>
      <w:r>
        <w:t>8. Outputs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000"/>
            <w:shd w:val="clear" w:color="auto" w:fill="10375C"/>
          </w:tcPr>
          <w:p>
            <w:pPr>
              <w:spacing w:after="50" w:before="50"/>
            </w:pPr>
            <w:r>
              <w:rPr>
                <w:b/>
                <w:color w:val="FFFFFF"/>
                <w:sz w:val="17"/>
              </w:rPr>
              <w:t>Output</w:t>
            </w:r>
          </w:p>
        </w:tc>
        <w:tc>
          <w:tcPr>
            <w:tcW w:type="dxa" w:w="1602"/>
            <w:shd w:val="clear" w:color="auto" w:fill="10375C"/>
          </w:tcPr>
          <w:p>
            <w:pPr>
              <w:spacing w:after="50" w:before="50"/>
            </w:pPr>
            <w:r>
              <w:rPr>
                <w:b/>
                <w:color w:val="FFFFFF"/>
                <w:sz w:val="17"/>
              </w:rPr>
              <w:t>Cadence</w:t>
            </w:r>
          </w:p>
        </w:tc>
        <w:tc>
          <w:tcPr>
            <w:tcW w:type="dxa" w:w="3865"/>
            <w:shd w:val="clear" w:color="auto" w:fill="10375C"/>
          </w:tcPr>
          <w:p>
            <w:pPr>
              <w:spacing w:after="50" w:before="50"/>
            </w:pPr>
            <w:r>
              <w:rPr>
                <w:b/>
                <w:color w:val="FFFFFF"/>
                <w:sz w:val="17"/>
              </w:rPr>
              <w:t>Editorial control</w:t>
            </w:r>
          </w:p>
        </w:tc>
      </w:tr>
      <w:tr>
        <w:tc>
          <w:tcPr>
            <w:tcW w:type="dxa" w:w="4000"/>
          </w:tcPr>
          <w:p>
            <w:pPr>
              <w:spacing w:after="50" w:before="50" w:line="252" w:lineRule="auto"/>
            </w:pPr>
            <w:r>
              <w:rPr>
                <w:b/>
                <w:sz w:val="17"/>
              </w:rPr>
              <w:t>Annual report on mediation practice in India</w:t>
            </w:r>
          </w:p>
        </w:tc>
        <w:tc>
          <w:tcPr>
            <w:tcW w:type="dxa" w:w="1602"/>
          </w:tcPr>
          <w:p>
            <w:pPr>
              <w:spacing w:after="50" w:before="50" w:line="252" w:lineRule="auto"/>
            </w:pPr>
            <w:r>
              <w:rPr>
                <w:sz w:val="17"/>
              </w:rPr>
              <w:t>Annual</w:t>
            </w:r>
          </w:p>
        </w:tc>
        <w:tc>
          <w:tcPr>
            <w:tcW w:type="dxa" w:w="3865"/>
          </w:tcPr>
          <w:p>
            <w:pPr>
              <w:spacing w:after="50" w:before="50" w:line="252" w:lineRule="auto"/>
            </w:pPr>
            <w:r>
              <w:rPr>
                <w:sz w:val="17"/>
              </w:rPr>
              <w:t>Equator, with named contributors</w:t>
            </w:r>
          </w:p>
        </w:tc>
      </w:tr>
      <w:tr>
        <w:tc>
          <w:tcPr>
            <w:tcW w:type="dxa" w:w="4000"/>
            <w:shd w:val="clear" w:color="auto" w:fill="EAF1F4"/>
          </w:tcPr>
          <w:p>
            <w:pPr>
              <w:spacing w:after="50" w:before="50" w:line="252" w:lineRule="auto"/>
            </w:pPr>
            <w:r>
              <w:rPr>
                <w:sz w:val="17"/>
              </w:rPr>
              <w:t>Journal articles</w:t>
            </w:r>
          </w:p>
        </w:tc>
        <w:tc>
          <w:tcPr>
            <w:tcW w:type="dxa" w:w="1602"/>
            <w:shd w:val="clear" w:color="auto" w:fill="EAF1F4"/>
          </w:tcPr>
          <w:p>
            <w:pPr>
              <w:spacing w:after="50" w:before="50" w:line="252" w:lineRule="auto"/>
            </w:pPr>
            <w:r>
              <w:rPr>
                <w:sz w:val="17"/>
              </w:rPr>
              <w:t>As produced</w:t>
            </w:r>
          </w:p>
        </w:tc>
        <w:tc>
          <w:tcPr>
            <w:tcW w:type="dxa" w:w="3865"/>
            <w:shd w:val="clear" w:color="auto" w:fill="EAF1F4"/>
          </w:tcPr>
          <w:p>
            <w:pPr>
              <w:spacing w:after="50" w:before="50" w:line="252" w:lineRule="auto"/>
            </w:pPr>
            <w:r>
              <w:rPr>
                <w:sz w:val="17"/>
              </w:rPr>
              <w:t>Author team; peer review by the journal</w:t>
            </w:r>
          </w:p>
        </w:tc>
      </w:tr>
      <w:tr>
        <w:tc>
          <w:tcPr>
            <w:tcW w:type="dxa" w:w="4000"/>
          </w:tcPr>
          <w:p>
            <w:pPr>
              <w:spacing w:after="50" w:before="50" w:line="252" w:lineRule="auto"/>
            </w:pPr>
            <w:r>
              <w:rPr>
                <w:sz w:val="17"/>
              </w:rPr>
              <w:t>Working papers</w:t>
            </w:r>
          </w:p>
        </w:tc>
        <w:tc>
          <w:tcPr>
            <w:tcW w:type="dxa" w:w="1602"/>
          </w:tcPr>
          <w:p>
            <w:pPr>
              <w:spacing w:after="50" w:before="50" w:line="252" w:lineRule="auto"/>
            </w:pPr>
            <w:r>
              <w:rPr>
                <w:sz w:val="17"/>
              </w:rPr>
              <w:t>Quarterly target</w:t>
            </w:r>
          </w:p>
        </w:tc>
        <w:tc>
          <w:tcPr>
            <w:tcW w:type="dxa" w:w="3865"/>
          </w:tcPr>
          <w:p>
            <w:pPr>
              <w:spacing w:after="50" w:before="50" w:line="252" w:lineRule="auto"/>
            </w:pPr>
            <w:r>
              <w:rPr>
                <w:sz w:val="17"/>
              </w:rPr>
              <w:t>Research Lead</w:t>
            </w:r>
          </w:p>
        </w:tc>
      </w:tr>
      <w:tr>
        <w:tc>
          <w:tcPr>
            <w:tcW w:type="dxa" w:w="4000"/>
            <w:shd w:val="clear" w:color="auto" w:fill="EAF1F4"/>
          </w:tcPr>
          <w:p>
            <w:pPr>
              <w:spacing w:after="50" w:before="50" w:line="252" w:lineRule="auto"/>
            </w:pPr>
            <w:r>
              <w:rPr>
                <w:sz w:val="17"/>
              </w:rPr>
              <w:t>Policy notes</w:t>
            </w:r>
          </w:p>
        </w:tc>
        <w:tc>
          <w:tcPr>
            <w:tcW w:type="dxa" w:w="1602"/>
            <w:shd w:val="clear" w:color="auto" w:fill="EAF1F4"/>
          </w:tcPr>
          <w:p>
            <w:pPr>
              <w:spacing w:after="50" w:before="50" w:line="252" w:lineRule="auto"/>
            </w:pPr>
            <w:r>
              <w:rPr>
                <w:sz w:val="17"/>
              </w:rPr>
              <w:t>As required</w:t>
            </w:r>
          </w:p>
        </w:tc>
        <w:tc>
          <w:tcPr>
            <w:tcW w:type="dxa" w:w="3865"/>
            <w:shd w:val="clear" w:color="auto" w:fill="EAF1F4"/>
          </w:tcPr>
          <w:p>
            <w:pPr>
              <w:spacing w:after="50" w:before="50" w:line="252" w:lineRule="auto"/>
            </w:pPr>
            <w:r>
              <w:rPr>
                <w:sz w:val="17"/>
              </w:rPr>
              <w:t>Research Lead and General Counsel</w:t>
            </w:r>
          </w:p>
        </w:tc>
      </w:tr>
      <w:tr>
        <w:tc>
          <w:tcPr>
            <w:tcW w:type="dxa" w:w="4000"/>
          </w:tcPr>
          <w:p>
            <w:pPr>
              <w:spacing w:after="50" w:before="50" w:line="252" w:lineRule="auto"/>
            </w:pPr>
            <w:r>
              <w:rPr>
                <w:sz w:val="17"/>
              </w:rPr>
              <w:t>Conference presentations</w:t>
            </w:r>
          </w:p>
        </w:tc>
        <w:tc>
          <w:tcPr>
            <w:tcW w:type="dxa" w:w="1602"/>
          </w:tcPr>
          <w:p>
            <w:pPr>
              <w:spacing w:after="50" w:before="50" w:line="252" w:lineRule="auto"/>
            </w:pPr>
            <w:r>
              <w:rPr>
                <w:sz w:val="17"/>
              </w:rPr>
              <w:t>As arranged</w:t>
            </w:r>
          </w:p>
        </w:tc>
        <w:tc>
          <w:tcPr>
            <w:tcW w:type="dxa" w:w="3865"/>
          </w:tcPr>
          <w:p>
            <w:pPr>
              <w:spacing w:after="50" w:before="50" w:line="252" w:lineRule="auto"/>
            </w:pPr>
            <w:r>
              <w:rPr>
                <w:sz w:val="17"/>
              </w:rPr>
              <w:t>Author team</w:t>
            </w:r>
          </w:p>
        </w:tc>
      </w:tr>
      <w:tr>
        <w:tc>
          <w:tcPr>
            <w:tcW w:type="dxa" w:w="4000"/>
            <w:shd w:val="clear" w:color="auto" w:fill="EAF1F4"/>
          </w:tcPr>
          <w:p>
            <w:pPr>
              <w:spacing w:after="50" w:before="50" w:line="252" w:lineRule="auto"/>
            </w:pPr>
            <w:r>
              <w:rPr>
                <w:sz w:val="17"/>
              </w:rPr>
              <w:t>Casebook and teaching material</w:t>
            </w:r>
          </w:p>
        </w:tc>
        <w:tc>
          <w:tcPr>
            <w:tcW w:type="dxa" w:w="1602"/>
            <w:shd w:val="clear" w:color="auto" w:fill="EAF1F4"/>
          </w:tcPr>
          <w:p>
            <w:pPr>
              <w:spacing w:after="50" w:before="50" w:line="252" w:lineRule="auto"/>
            </w:pPr>
            <w:r>
              <w:rPr>
                <w:sz w:val="17"/>
              </w:rPr>
              <w:t>Annual</w:t>
            </w:r>
          </w:p>
        </w:tc>
        <w:tc>
          <w:tcPr>
            <w:tcW w:type="dxa" w:w="3865"/>
            <w:shd w:val="clear" w:color="auto" w:fill="EAF1F4"/>
          </w:tcPr>
          <w:p>
            <w:pPr>
              <w:spacing w:after="50" w:before="50" w:line="252" w:lineRule="auto"/>
            </w:pPr>
            <w:r>
              <w:rPr>
                <w:sz w:val="17"/>
              </w:rPr>
              <w:t>Head of Curriculum</w:t>
            </w:r>
          </w:p>
        </w:tc>
      </w:tr>
    </w:tbl>
    <w:p>
      <w:pPr>
        <w:spacing w:after="80" w:before="0"/>
      </w:pPr>
    </w:p>
    <w:p>
      <w:pPr>
        <w:pStyle w:val="Heading2"/>
      </w:pPr>
      <w:r>
        <w:t>8.1 The annual report</w:t>
      </w:r>
    </w:p>
    <w:p>
      <w:r>
        <w:t>The single most valuable research output, because it is citable, recurring and creates an expectation. Target structure: the year in ADR; empirical findings from Equator's caseload; a special study; a survey of practice; the state of ADR education; and a data appendix with method fully stated.</w:t>
      </w:r>
    </w:p>
    <w:p>
      <w:r>
        <w:rPr>
          <w:b/>
        </w:rPr>
        <w:t>It must be published even in a year when the findings are uninteresting.</w:t>
      </w:r>
      <w:r>
        <w:t xml:space="preserve"> A report that appears every year has authority; one that appears when there is good news does not.</w:t>
      </w:r>
    </w:p>
    <w:p>
      <w:pPr>
        <w:spacing w:before="80" w:after="160"/>
        <w:pBdr>
          <w:bottom w:val="single" w:sz="6" w:space="1" w:color="C9D6DE"/>
        </w:pBdr>
      </w:pPr>
    </w:p>
    <w:p>
      <w:pPr>
        <w:pStyle w:val="Heading1"/>
        <w:pBdr>
          <w:bottom w:val="single" w:sz="8" w:space="4" w:color="C9D6DE"/>
        </w:pBdr>
      </w:pPr>
      <w:r>
        <w:t>9. Academic freedom</w:t>
      </w:r>
    </w:p>
    <w:p>
      <w:r>
        <w:t xml:space="preserve">Equator's right of pre-publication review is </w:t>
      </w:r>
      <w:r>
        <w:rPr>
          <w:b/>
        </w:rPr>
        <w:t>limited to a confidentiality check</w:t>
      </w:r>
      <w:r>
        <w:t>. It extends to requiring the removal of confidential or identifying material, and to correcting a factual misstatement about Equator's own practice.</w:t>
      </w:r>
    </w:p>
    <w:p>
      <w:r>
        <w:rPr>
          <w:b/>
        </w:rPr>
        <w:t>It does not extend to requiring the alteration or suppression of any finding, conclusion or opinion on the ground that it is unfavourable to Equator.</w:t>
      </w:r>
      <w:r>
        <w:t xml:space="preserve"> This limitation is recorded expressly in Schedule E, in every project note and in this framework, because a research collaboration in which the data holder can suppress findings produces work that nobody will cite.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Research Collaboration Framework</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5896214-73A0-42E0-93A8-FE008718CC82}"/>
</file>

<file path=customXml/itemProps3.xml><?xml version="1.0" encoding="utf-8"?>
<ds:datastoreItem xmlns:ds="http://schemas.openxmlformats.org/officeDocument/2006/customXml" ds:itemID="{49C6CE71-D01C-414D-8C9B-CC4D322EDE95}"/>
</file>

<file path=customXml/itemProps4.xml><?xml version="1.0" encoding="utf-8"?>
<ds:datastoreItem xmlns:ds="http://schemas.openxmlformats.org/officeDocument/2006/customXml" ds:itemID="{8BB83750-D0AB-46E5-ABDB-CF2C7067C83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