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Authorship, IP &amp; Publication Policy</w:t>
      </w:r>
    </w:p>
    <w:p>
      <w:pPr>
        <w:spacing w:after="280" w:line="276" w:lineRule="auto"/>
      </w:pPr>
      <w:r>
        <w:rPr>
          <w:rFonts w:ascii="Calibri" w:hAnsi="Calibri"/>
          <w:i/>
          <w:color w:val="3E6B8A"/>
          <w:sz w:val="25"/>
        </w:rPr>
        <w:t>Who is an author, who owns what, and how joint work is published</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EQ-UAP-084</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Research</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Authorship</w:t>
      </w:r>
    </w:p>
    <w:p>
      <w:pPr>
        <w:pStyle w:val="Heading2"/>
      </w:pPr>
      <w:r>
        <w:t>1.1 The test</w:t>
      </w:r>
    </w:p>
    <w:p>
      <w:r>
        <w:t xml:space="preserve">A person is an author if, and only if, they have made a </w:t>
      </w:r>
      <w:r>
        <w:rPr>
          <w:b/>
        </w:rPr>
        <w:t>substantive intellectual contribution</w:t>
      </w:r>
      <w:r>
        <w:t xml:space="preserve"> to the work, and they approve the final manuscript and accept responsibility for it.</w:t>
      </w:r>
    </w:p>
    <w:p>
      <w:r>
        <w:t>Substantive intellectual contribution means one or more of: conception or design of the study; acquisition of data in a way requiring judgement; analysis or interpretation; drafting or substantively revising the text.</w:t>
      </w:r>
    </w:p>
    <w:p>
      <w:pPr>
        <w:pStyle w:val="Heading2"/>
      </w:pPr>
      <w:r>
        <w:t>1.2 What does not confer authorship</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Not authorship</w:t>
            </w:r>
          </w:p>
        </w:tc>
      </w:tr>
      <w:tr>
        <w:tc>
          <w:tcPr>
            <w:tcW w:type="dxa" w:w="9468"/>
          </w:tcPr>
          <w:p>
            <w:pPr>
              <w:spacing w:after="50" w:before="50" w:line="252" w:lineRule="auto"/>
            </w:pPr>
            <w:r>
              <w:rPr>
                <w:sz w:val="17"/>
              </w:rPr>
              <w:t>Seniority, position or headship of a department or institution</w:t>
            </w:r>
          </w:p>
        </w:tc>
      </w:tr>
      <w:tr>
        <w:tc>
          <w:tcPr>
            <w:tcW w:type="dxa" w:w="9468"/>
            <w:shd w:val="clear" w:color="auto" w:fill="EAF1F4"/>
          </w:tcPr>
          <w:p>
            <w:pPr>
              <w:spacing w:after="50" w:before="50" w:line="252" w:lineRule="auto"/>
            </w:pPr>
            <w:r>
              <w:rPr>
                <w:sz w:val="17"/>
              </w:rPr>
              <w:t>Providing funding, facilities or data access without intellectual contribution</w:t>
            </w:r>
          </w:p>
        </w:tc>
      </w:tr>
      <w:tr>
        <w:tc>
          <w:tcPr>
            <w:tcW w:type="dxa" w:w="9468"/>
          </w:tcPr>
          <w:p>
            <w:pPr>
              <w:spacing w:after="50" w:before="50" w:line="252" w:lineRule="auto"/>
            </w:pPr>
            <w:r>
              <w:rPr>
                <w:sz w:val="17"/>
              </w:rPr>
              <w:t>General supervision of the research group</w:t>
            </w:r>
          </w:p>
        </w:tc>
      </w:tr>
      <w:tr>
        <w:tc>
          <w:tcPr>
            <w:tcW w:type="dxa" w:w="9468"/>
            <w:shd w:val="clear" w:color="auto" w:fill="EAF1F4"/>
          </w:tcPr>
          <w:p>
            <w:pPr>
              <w:spacing w:after="50" w:before="50" w:line="252" w:lineRule="auto"/>
            </w:pPr>
            <w:r>
              <w:rPr>
                <w:sz w:val="17"/>
              </w:rPr>
              <w:t>Technical assistance, data entry or routine collection</w:t>
            </w:r>
          </w:p>
        </w:tc>
      </w:tr>
      <w:tr>
        <w:tc>
          <w:tcPr>
            <w:tcW w:type="dxa" w:w="9468"/>
          </w:tcPr>
          <w:p>
            <w:pPr>
              <w:spacing w:after="50" w:before="50" w:line="252" w:lineRule="auto"/>
            </w:pPr>
            <w:r>
              <w:rPr>
                <w:sz w:val="17"/>
              </w:rPr>
              <w:t>Reading and commenting on a draft</w:t>
            </w:r>
          </w:p>
        </w:tc>
      </w:tr>
      <w:tr>
        <w:tc>
          <w:tcPr>
            <w:tcW w:type="dxa" w:w="9468"/>
            <w:shd w:val="clear" w:color="auto" w:fill="EAF1F4"/>
          </w:tcPr>
          <w:p>
            <w:pPr>
              <w:spacing w:after="50" w:before="50" w:line="252" w:lineRule="auto"/>
            </w:pPr>
            <w:r>
              <w:rPr>
                <w:sz w:val="17"/>
              </w:rPr>
              <w:t>Being the person who introduced the collaborators</w:t>
            </w:r>
          </w:p>
        </w:tc>
      </w:tr>
    </w:tbl>
    <w:p>
      <w:pPr>
        <w:spacing w:after="80" w:before="0"/>
      </w:pPr>
    </w:p>
    <w:p>
      <w:r>
        <w:rPr>
          <w:b/>
        </w:rPr>
        <w:t>Gift, guest and honorary authorship are not permitted</w:t>
      </w:r>
      <w:r>
        <w:t>, however customary they may be in a particular setting, and however senior the person suggesting it. Contributions falling short of authorship are acknowledged.</w:t>
      </w:r>
    </w:p>
    <w:p>
      <w:pPr>
        <w:pStyle w:val="Heading2"/>
      </w:pPr>
      <w:r>
        <w:t>1.3 Order and disputes</w:t>
      </w:r>
    </w:p>
    <w:p>
      <w:r>
        <w:t xml:space="preserve">Author order is agreed </w:t>
      </w:r>
      <w:r>
        <w:rPr>
          <w:b/>
        </w:rPr>
        <w:t>at the outset</w:t>
      </w:r>
      <w:r>
        <w:t xml:space="preserve"> and recorded in the project note; it is revisited only if contributions change materially. A corresponding author is named.</w:t>
      </w:r>
    </w:p>
    <w:p>
      <w:r>
        <w:t xml:space="preserve">Where authorship is disputed: the project lead attempts resolution; failing that, the Research Lead and the institution's principal investigator decide jointly; failing that, the matter goes to the Programme Director and the institution's research authority. </w:t>
      </w:r>
      <w:r>
        <w:rPr>
          <w:b/>
        </w:rPr>
        <w:t>Publication is suspended until resolved.</w:t>
      </w:r>
    </w:p>
    <w:p>
      <w:pPr>
        <w:pStyle w:val="Heading2"/>
      </w:pPr>
      <w:r>
        <w:t>1.4 Students and interns</w:t>
      </w:r>
    </w:p>
    <w:p>
      <w:r>
        <w:t xml:space="preserve">A student or intern who makes a substantive intellectual contribution </w:t>
      </w:r>
      <w:r>
        <w:rPr>
          <w:b/>
        </w:rPr>
        <w:t>is</w:t>
      </w:r>
      <w:r>
        <w:t xml:space="preserve"> an author. Where the contribution falls short, they are acknowledged by name. A student's work is not published under another person's name in any circumstance.</w:t>
      </w:r>
    </w:p>
    <w:p>
      <w:pPr>
        <w:spacing w:before="80" w:after="160"/>
        <w:pBdr>
          <w:bottom w:val="single" w:sz="6" w:space="1" w:color="C9D6DE"/>
        </w:pBdr>
      </w:pPr>
    </w:p>
    <w:p>
      <w:pPr>
        <w:pStyle w:val="Heading1"/>
        <w:pBdr>
          <w:bottom w:val="single" w:sz="8" w:space="4" w:color="C9D6DE"/>
        </w:pBdr>
      </w:pPr>
      <w:r>
        <w:t>2. Intellectual property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Category</w:t>
            </w:r>
          </w:p>
        </w:tc>
        <w:tc>
          <w:tcPr>
            <w:tcW w:type="dxa" w:w="4734"/>
            <w:shd w:val="clear" w:color="auto" w:fill="10375C"/>
          </w:tcPr>
          <w:p>
            <w:pPr>
              <w:spacing w:after="50" w:before="50"/>
            </w:pPr>
            <w:r>
              <w:rPr>
                <w:b/>
                <w:color w:val="FFFFFF"/>
                <w:sz w:val="17"/>
              </w:rPr>
              <w:t>Ownership</w:t>
            </w:r>
          </w:p>
        </w:tc>
      </w:tr>
      <w:tr>
        <w:tc>
          <w:tcPr>
            <w:tcW w:type="dxa" w:w="4734"/>
          </w:tcPr>
          <w:p>
            <w:pPr>
              <w:spacing w:after="50" w:before="50" w:line="252" w:lineRule="auto"/>
            </w:pPr>
            <w:r>
              <w:rPr>
                <w:b/>
                <w:sz w:val="17"/>
              </w:rPr>
              <w:t>Equator's curriculum, materials, assessment instruments, competition problems and confidential briefs</w:t>
            </w:r>
          </w:p>
        </w:tc>
        <w:tc>
          <w:tcPr>
            <w:tcW w:type="dxa" w:w="4734"/>
          </w:tcPr>
          <w:p>
            <w:pPr>
              <w:spacing w:after="50" w:before="50" w:line="252" w:lineRule="auto"/>
            </w:pPr>
            <w:r>
              <w:rPr>
                <w:sz w:val="17"/>
              </w:rPr>
              <w:t>Equator, absolutely. No licence beyond programme use</w:t>
            </w:r>
          </w:p>
        </w:tc>
      </w:tr>
      <w:tr>
        <w:tc>
          <w:tcPr>
            <w:tcW w:type="dxa" w:w="4734"/>
            <w:shd w:val="clear" w:color="auto" w:fill="EAF1F4"/>
          </w:tcPr>
          <w:p>
            <w:pPr>
              <w:spacing w:after="50" w:before="50" w:line="252" w:lineRule="auto"/>
            </w:pPr>
            <w:r>
              <w:rPr>
                <w:b/>
                <w:sz w:val="17"/>
              </w:rPr>
              <w:t>Equator's case data</w:t>
            </w:r>
          </w:p>
        </w:tc>
        <w:tc>
          <w:tcPr>
            <w:tcW w:type="dxa" w:w="4734"/>
            <w:shd w:val="clear" w:color="auto" w:fill="EAF1F4"/>
          </w:tcPr>
          <w:p>
            <w:pPr>
              <w:spacing w:after="50" w:before="50" w:line="252" w:lineRule="auto"/>
            </w:pPr>
            <w:r>
              <w:rPr>
                <w:sz w:val="17"/>
              </w:rPr>
              <w:t>Equator, subject to the obligations owed to parties</w:t>
            </w:r>
          </w:p>
        </w:tc>
      </w:tr>
      <w:tr>
        <w:tc>
          <w:tcPr>
            <w:tcW w:type="dxa" w:w="4734"/>
          </w:tcPr>
          <w:p>
            <w:pPr>
              <w:spacing w:after="50" w:before="50" w:line="252" w:lineRule="auto"/>
            </w:pPr>
            <w:r>
              <w:rPr>
                <w:sz w:val="17"/>
              </w:rPr>
              <w:t>Institution's teaching materials</w:t>
            </w:r>
          </w:p>
        </w:tc>
        <w:tc>
          <w:tcPr>
            <w:tcW w:type="dxa" w:w="4734"/>
          </w:tcPr>
          <w:p>
            <w:pPr>
              <w:spacing w:after="50" w:before="50" w:line="252" w:lineRule="auto"/>
            </w:pPr>
            <w:r>
              <w:rPr>
                <w:sz w:val="17"/>
              </w:rPr>
              <w:t>The institution</w:t>
            </w:r>
          </w:p>
        </w:tc>
      </w:tr>
      <w:tr>
        <w:tc>
          <w:tcPr>
            <w:tcW w:type="dxa" w:w="4734"/>
            <w:shd w:val="clear" w:color="auto" w:fill="EAF1F4"/>
          </w:tcPr>
          <w:p>
            <w:pPr>
              <w:spacing w:after="50" w:before="50" w:line="252" w:lineRule="auto"/>
            </w:pPr>
            <w:r>
              <w:rPr>
                <w:b/>
                <w:sz w:val="17"/>
              </w:rPr>
              <w:t>Research outputs created jointly</w:t>
            </w:r>
          </w:p>
        </w:tc>
        <w:tc>
          <w:tcPr>
            <w:tcW w:type="dxa" w:w="4734"/>
            <w:shd w:val="clear" w:color="auto" w:fill="EAF1F4"/>
          </w:tcPr>
          <w:p>
            <w:pPr>
              <w:spacing w:after="50" w:before="50" w:line="252" w:lineRule="auto"/>
            </w:pPr>
            <w:r>
              <w:rPr>
                <w:sz w:val="17"/>
              </w:rPr>
              <w:t>Joint, in proportion to contribution as recorded in the project note; each party may use them for internal academic and non-commercial purposes with attribution</w:t>
            </w:r>
          </w:p>
        </w:tc>
      </w:tr>
      <w:tr>
        <w:tc>
          <w:tcPr>
            <w:tcW w:type="dxa" w:w="4734"/>
          </w:tcPr>
          <w:p>
            <w:pPr>
              <w:spacing w:after="50" w:before="50" w:line="252" w:lineRule="auto"/>
            </w:pPr>
            <w:r>
              <w:rPr>
                <w:sz w:val="17"/>
              </w:rPr>
              <w:t>Sole-authored outputs</w:t>
            </w:r>
          </w:p>
        </w:tc>
        <w:tc>
          <w:tcPr>
            <w:tcW w:type="dxa" w:w="4734"/>
          </w:tcPr>
          <w:p>
            <w:pPr>
              <w:spacing w:after="50" w:before="50" w:line="252" w:lineRule="auto"/>
            </w:pPr>
            <w:r>
              <w:rPr>
                <w:sz w:val="17"/>
              </w:rPr>
              <w:t>The author, subject to the institution's own regulations</w:t>
            </w:r>
          </w:p>
        </w:tc>
      </w:tr>
      <w:tr>
        <w:tc>
          <w:tcPr>
            <w:tcW w:type="dxa" w:w="4734"/>
            <w:shd w:val="clear" w:color="auto" w:fill="EAF1F4"/>
          </w:tcPr>
          <w:p>
            <w:pPr>
              <w:spacing w:after="50" w:before="50" w:line="252" w:lineRule="auto"/>
            </w:pPr>
            <w:r>
              <w:rPr>
                <w:sz w:val="17"/>
              </w:rPr>
              <w:t>Data sets created in a project</w:t>
            </w:r>
          </w:p>
        </w:tc>
        <w:tc>
          <w:tcPr>
            <w:tcW w:type="dxa" w:w="4734"/>
            <w:shd w:val="clear" w:color="auto" w:fill="EAF1F4"/>
          </w:tcPr>
          <w:p>
            <w:pPr>
              <w:spacing w:after="50" w:before="50" w:line="252" w:lineRule="auto"/>
            </w:pPr>
            <w:r>
              <w:rPr>
                <w:sz w:val="17"/>
              </w:rPr>
              <w:t>Equator where derived from Equator data; joint where newly collected</w:t>
            </w:r>
          </w:p>
        </w:tc>
      </w:tr>
      <w:tr>
        <w:tc>
          <w:tcPr>
            <w:tcW w:type="dxa" w:w="4734"/>
          </w:tcPr>
          <w:p>
            <w:pPr>
              <w:spacing w:after="50" w:before="50" w:line="252" w:lineRule="auto"/>
            </w:pPr>
            <w:r>
              <w:rPr>
                <w:sz w:val="17"/>
              </w:rPr>
              <w:t>Software or instruments created in a project</w:t>
            </w:r>
          </w:p>
        </w:tc>
        <w:tc>
          <w:tcPr>
            <w:tcW w:type="dxa" w:w="4734"/>
          </w:tcPr>
          <w:p>
            <w:pPr>
              <w:spacing w:after="50" w:before="50" w:line="252" w:lineRule="auto"/>
            </w:pPr>
            <w:r>
              <w:rPr>
                <w:sz w:val="17"/>
              </w:rPr>
              <w:t>As stated in the project note; in the absence of provision, joint</w:t>
            </w:r>
          </w:p>
        </w:tc>
      </w:tr>
      <w:tr>
        <w:tc>
          <w:tcPr>
            <w:tcW w:type="dxa" w:w="4734"/>
            <w:shd w:val="clear" w:color="auto" w:fill="EAF1F4"/>
          </w:tcPr>
          <w:p>
            <w:pPr>
              <w:spacing w:after="50" w:before="50" w:line="252" w:lineRule="auto"/>
            </w:pPr>
            <w:r>
              <w:rPr>
                <w:sz w:val="17"/>
              </w:rPr>
              <w:t>Casebooks and teaching material derived from competition problems</w:t>
            </w:r>
          </w:p>
        </w:tc>
        <w:tc>
          <w:tcPr>
            <w:tcW w:type="dxa" w:w="4734"/>
            <w:shd w:val="clear" w:color="auto" w:fill="EAF1F4"/>
          </w:tcPr>
          <w:p>
            <w:pPr>
              <w:spacing w:after="50" w:before="50" w:line="252" w:lineRule="auto"/>
            </w:pPr>
            <w:r>
              <w:rPr>
                <w:sz w:val="17"/>
              </w:rPr>
              <w:t>Equator</w:t>
            </w:r>
          </w:p>
        </w:tc>
      </w:tr>
      <w:tr>
        <w:tc>
          <w:tcPr>
            <w:tcW w:type="dxa" w:w="4734"/>
          </w:tcPr>
          <w:p>
            <w:pPr>
              <w:spacing w:after="50" w:before="50" w:line="252" w:lineRule="auto"/>
            </w:pPr>
            <w:r>
              <w:rPr>
                <w:sz w:val="17"/>
              </w:rPr>
              <w:t>Student work created during an internship</w:t>
            </w:r>
          </w:p>
        </w:tc>
        <w:tc>
          <w:tcPr>
            <w:tcW w:type="dxa" w:w="4734"/>
          </w:tcPr>
          <w:p>
            <w:pPr>
              <w:spacing w:after="50" w:before="50" w:line="252" w:lineRule="auto"/>
            </w:pPr>
            <w:r>
              <w:rPr>
                <w:sz w:val="17"/>
              </w:rPr>
              <w:t>Equator, per the internship agreement, save for the student's own reflective report</w:t>
            </w:r>
          </w:p>
        </w:tc>
      </w:tr>
    </w:tbl>
    <w:p>
      <w:pPr>
        <w:spacing w:after="80" w:before="0"/>
      </w:pPr>
    </w:p>
    <w:p>
      <w:r>
        <w:rPr>
          <w:b/>
        </w:rPr>
        <w:t>Commercialisation</w:t>
      </w:r>
      <w:r>
        <w:t xml:space="preserve"> of any jointly owned output requires the written consent of both parties, and any revenue is shared as agreed in the project note or, in default, in proportion to ownership.</w:t>
      </w:r>
    </w:p>
    <w:p>
      <w:pPr>
        <w:spacing w:before="80" w:after="160"/>
        <w:pBdr>
          <w:bottom w:val="single" w:sz="6" w:space="1" w:color="C9D6DE"/>
        </w:pBdr>
      </w:pPr>
    </w:p>
    <w:p>
      <w:pPr>
        <w:pStyle w:val="Heading1"/>
        <w:pBdr>
          <w:bottom w:val="single" w:sz="8" w:space="4" w:color="C9D6DE"/>
        </w:pBdr>
      </w:pPr>
      <w:r>
        <w:t>3. Publication process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Step</w:t>
            </w:r>
          </w:p>
        </w:tc>
        <w:tc>
          <w:tcPr>
            <w:tcW w:type="dxa" w:w="6729"/>
            <w:shd w:val="clear" w:color="auto" w:fill="10375C"/>
          </w:tcPr>
          <w:p>
            <w:pPr>
              <w:spacing w:after="50" w:before="50"/>
            </w:pPr>
            <w:r>
              <w:rPr>
                <w:b/>
                <w:color w:val="FFFFFF"/>
                <w:sz w:val="17"/>
              </w:rPr>
              <w:t>Requirement</w:t>
            </w:r>
          </w:p>
        </w:tc>
        <w:tc>
          <w:tcPr>
            <w:tcW w:type="dxa" w:w="2066"/>
            <w:shd w:val="clear" w:color="auto" w:fill="10375C"/>
          </w:tcPr>
          <w:p>
            <w:pPr>
              <w:spacing w:after="50" w:before="50"/>
            </w:pPr>
            <w:r>
              <w:rPr>
                <w:b/>
                <w:color w:val="FFFFFF"/>
                <w:sz w:val="17"/>
              </w:rPr>
              <w:t>Time</w:t>
            </w:r>
          </w:p>
        </w:tc>
      </w:tr>
      <w:tr>
        <w:tc>
          <w:tcPr>
            <w:tcW w:type="dxa" w:w="850"/>
          </w:tcPr>
          <w:p>
            <w:pPr>
              <w:spacing w:after="50" w:before="50" w:line="252" w:lineRule="auto"/>
            </w:pPr>
            <w:r>
              <w:rPr>
                <w:sz w:val="17"/>
              </w:rPr>
              <w:t>1</w:t>
            </w:r>
          </w:p>
        </w:tc>
        <w:tc>
          <w:tcPr>
            <w:tcW w:type="dxa" w:w="6729"/>
          </w:tcPr>
          <w:p>
            <w:pPr>
              <w:spacing w:after="50" w:before="50" w:line="252" w:lineRule="auto"/>
            </w:pPr>
            <w:r>
              <w:rPr>
                <w:sz w:val="17"/>
              </w:rPr>
              <w:t>Draft circulated to all authors</w:t>
            </w:r>
          </w:p>
        </w:tc>
        <w:tc>
          <w:tcPr>
            <w:tcW w:type="dxa" w:w="2066"/>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2</w:t>
            </w:r>
          </w:p>
        </w:tc>
        <w:tc>
          <w:tcPr>
            <w:tcW w:type="dxa" w:w="6729"/>
            <w:shd w:val="clear" w:color="auto" w:fill="EAF1F4"/>
          </w:tcPr>
          <w:p>
            <w:pPr>
              <w:spacing w:after="50" w:before="50" w:line="252" w:lineRule="auto"/>
            </w:pPr>
            <w:r>
              <w:rPr>
                <w:sz w:val="17"/>
              </w:rPr>
              <w:t>Every author approves the final manuscript in writing</w:t>
            </w:r>
          </w:p>
        </w:tc>
        <w:tc>
          <w:tcPr>
            <w:tcW w:type="dxa" w:w="2066"/>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3</w:t>
            </w:r>
          </w:p>
        </w:tc>
        <w:tc>
          <w:tcPr>
            <w:tcW w:type="dxa" w:w="6729"/>
          </w:tcPr>
          <w:p>
            <w:pPr>
              <w:spacing w:after="50" w:before="50" w:line="252" w:lineRule="auto"/>
            </w:pPr>
            <w:r>
              <w:rPr>
                <w:b/>
                <w:sz w:val="17"/>
              </w:rPr>
              <w:t>Submitted to Equator's Research Lead for confidentiality review</w:t>
            </w:r>
          </w:p>
        </w:tc>
        <w:tc>
          <w:tcPr>
            <w:tcW w:type="dxa" w:w="2066"/>
          </w:tcPr>
          <w:p>
            <w:pPr>
              <w:spacing w:after="50" w:before="50" w:line="252" w:lineRule="auto"/>
            </w:pPr>
            <w:r>
              <w:rPr>
                <w:sz w:val="17"/>
              </w:rPr>
              <w:t>30 days before submission</w:t>
            </w:r>
          </w:p>
        </w:tc>
      </w:tr>
      <w:tr>
        <w:tc>
          <w:tcPr>
            <w:tcW w:type="dxa" w:w="850"/>
            <w:shd w:val="clear" w:color="auto" w:fill="EAF1F4"/>
          </w:tcPr>
          <w:p>
            <w:pPr>
              <w:spacing w:after="50" w:before="50" w:line="252" w:lineRule="auto"/>
            </w:pPr>
            <w:r>
              <w:rPr>
                <w:sz w:val="17"/>
              </w:rPr>
              <w:t>4</w:t>
            </w:r>
          </w:p>
        </w:tc>
        <w:tc>
          <w:tcPr>
            <w:tcW w:type="dxa" w:w="6729"/>
            <w:shd w:val="clear" w:color="auto" w:fill="EAF1F4"/>
          </w:tcPr>
          <w:p>
            <w:pPr>
              <w:spacing w:after="50" w:before="50" w:line="252" w:lineRule="auto"/>
            </w:pPr>
            <w:r>
              <w:rPr>
                <w:sz w:val="17"/>
              </w:rPr>
              <w:t>Research Lead and DPO check for confidential or identifying material and for factual accuracy about Equator's practice</w:t>
            </w:r>
          </w:p>
        </w:tc>
        <w:tc>
          <w:tcPr>
            <w:tcW w:type="dxa" w:w="2066"/>
            <w:shd w:val="clear" w:color="auto" w:fill="EAF1F4"/>
          </w:tcPr>
          <w:p>
            <w:pPr>
              <w:spacing w:after="50" w:before="50" w:line="252" w:lineRule="auto"/>
            </w:pPr>
            <w:r>
              <w:rPr>
                <w:sz w:val="17"/>
              </w:rPr>
              <w:t>Within 30 days</w:t>
            </w:r>
          </w:p>
        </w:tc>
      </w:tr>
      <w:tr>
        <w:tc>
          <w:tcPr>
            <w:tcW w:type="dxa" w:w="850"/>
          </w:tcPr>
          <w:p>
            <w:pPr>
              <w:spacing w:after="50" w:before="50" w:line="252" w:lineRule="auto"/>
            </w:pPr>
            <w:r>
              <w:rPr>
                <w:sz w:val="17"/>
              </w:rPr>
              <w:t>5</w:t>
            </w:r>
          </w:p>
        </w:tc>
        <w:tc>
          <w:tcPr>
            <w:tcW w:type="dxa" w:w="6729"/>
          </w:tcPr>
          <w:p>
            <w:pPr>
              <w:spacing w:after="50" w:before="50" w:line="252" w:lineRule="auto"/>
            </w:pPr>
            <w:r>
              <w:rPr>
                <w:sz w:val="17"/>
              </w:rPr>
              <w:t>Any required removal notified in writing with reasons</w:t>
            </w:r>
          </w:p>
        </w:tc>
        <w:tc>
          <w:tcPr>
            <w:tcW w:type="dxa" w:w="2066"/>
          </w:tcPr>
          <w:p>
            <w:pPr>
              <w:spacing w:after="50" w:before="50" w:line="252" w:lineRule="auto"/>
            </w:pPr>
            <w:r>
              <w:rPr>
                <w:sz w:val="17"/>
              </w:rPr>
              <w:t>Within 30 days</w:t>
            </w:r>
          </w:p>
        </w:tc>
      </w:tr>
      <w:tr>
        <w:tc>
          <w:tcPr>
            <w:tcW w:type="dxa" w:w="850"/>
            <w:shd w:val="clear" w:color="auto" w:fill="EAF1F4"/>
          </w:tcPr>
          <w:p>
            <w:pPr>
              <w:spacing w:after="50" w:before="50" w:line="252" w:lineRule="auto"/>
            </w:pPr>
            <w:r>
              <w:rPr>
                <w:sz w:val="17"/>
              </w:rPr>
              <w:t>6</w:t>
            </w:r>
          </w:p>
        </w:tc>
        <w:tc>
          <w:tcPr>
            <w:tcW w:type="dxa" w:w="6729"/>
            <w:shd w:val="clear" w:color="auto" w:fill="EAF1F4"/>
          </w:tcPr>
          <w:p>
            <w:pPr>
              <w:spacing w:after="50" w:before="50" w:line="252" w:lineRule="auto"/>
            </w:pPr>
            <w:r>
              <w:rPr>
                <w:sz w:val="17"/>
              </w:rPr>
              <w:t>Submission</w:t>
            </w:r>
          </w:p>
        </w:tc>
        <w:tc>
          <w:tcPr>
            <w:tcW w:type="dxa" w:w="2066"/>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7</w:t>
            </w:r>
          </w:p>
        </w:tc>
        <w:tc>
          <w:tcPr>
            <w:tcW w:type="dxa" w:w="6729"/>
          </w:tcPr>
          <w:p>
            <w:pPr>
              <w:spacing w:after="50" w:before="50" w:line="252" w:lineRule="auto"/>
            </w:pPr>
            <w:r>
              <w:rPr>
                <w:sz w:val="17"/>
              </w:rPr>
              <w:t>Accepted version and publication reference notified to both parties</w:t>
            </w:r>
          </w:p>
        </w:tc>
        <w:tc>
          <w:tcPr>
            <w:tcW w:type="dxa" w:w="2066"/>
          </w:tcPr>
          <w:p>
            <w:pPr>
              <w:spacing w:after="50" w:before="50" w:line="252" w:lineRule="auto"/>
            </w:pPr>
            <w:r>
              <w:rPr>
                <w:sz w:val="17"/>
              </w:rPr>
              <w:t>On acceptance</w:t>
            </w:r>
          </w:p>
        </w:tc>
      </w:tr>
      <w:tr>
        <w:tc>
          <w:tcPr>
            <w:tcW w:type="dxa" w:w="850"/>
            <w:shd w:val="clear" w:color="auto" w:fill="EAF1F4"/>
          </w:tcPr>
          <w:p>
            <w:pPr>
              <w:spacing w:after="50" w:before="50" w:line="252" w:lineRule="auto"/>
            </w:pPr>
            <w:r>
              <w:rPr>
                <w:sz w:val="17"/>
              </w:rPr>
              <w:t>8</w:t>
            </w:r>
          </w:p>
        </w:tc>
        <w:tc>
          <w:tcPr>
            <w:tcW w:type="dxa" w:w="6729"/>
            <w:shd w:val="clear" w:color="auto" w:fill="EAF1F4"/>
          </w:tcPr>
          <w:p>
            <w:pPr>
              <w:spacing w:after="50" w:before="50" w:line="252" w:lineRule="auto"/>
            </w:pPr>
            <w:r>
              <w:rPr>
                <w:sz w:val="17"/>
              </w:rPr>
              <w:t>Repository deposit where the publisher permits</w:t>
            </w:r>
          </w:p>
        </w:tc>
        <w:tc>
          <w:tcPr>
            <w:tcW w:type="dxa" w:w="2066"/>
            <w:shd w:val="clear" w:color="auto" w:fill="EAF1F4"/>
          </w:tcPr>
          <w:p>
            <w:pPr>
              <w:spacing w:after="50" w:before="50" w:line="252" w:lineRule="auto"/>
            </w:pPr>
            <w:r>
              <w:rPr>
                <w:sz w:val="17"/>
              </w:rPr>
              <w:t>On publication</w:t>
            </w:r>
          </w:p>
        </w:tc>
      </w:tr>
    </w:tbl>
    <w:p>
      <w:pPr>
        <w:spacing w:after="80" w:before="0"/>
      </w:pPr>
    </w:p>
    <w:p>
      <w:r>
        <w:rPr>
          <w:b/>
        </w:rPr>
        <w:t>Silence is not approval.</w:t>
      </w:r>
      <w:r>
        <w:t xml:space="preserve"> If the Research Lead does not respond within 30 days, the authors may proceed.</w:t>
      </w:r>
    </w:p>
    <w:p>
      <w:pPr>
        <w:pStyle w:val="Heading2"/>
      </w:pPr>
      <w:r>
        <w:t>3.1 What the review may and may not require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031"/>
            <w:shd w:val="clear" w:color="auto" w:fill="10375C"/>
          </w:tcPr>
          <w:p>
            <w:pPr>
              <w:spacing w:after="50" w:before="50"/>
            </w:pPr>
            <w:r>
              <w:rPr>
                <w:b/>
                <w:color w:val="FFFFFF"/>
                <w:sz w:val="17"/>
              </w:rPr>
              <w:t>May require</w:t>
            </w:r>
          </w:p>
        </w:tc>
        <w:tc>
          <w:tcPr>
            <w:tcW w:type="dxa" w:w="3436"/>
            <w:shd w:val="clear" w:color="auto" w:fill="10375C"/>
          </w:tcPr>
          <w:p>
            <w:pPr>
              <w:spacing w:after="50" w:before="50"/>
            </w:pPr>
            <w:r>
              <w:rPr>
                <w:b/>
                <w:color w:val="FFFFFF"/>
                <w:sz w:val="17"/>
              </w:rPr>
              <w:t>May not require</w:t>
            </w:r>
          </w:p>
        </w:tc>
      </w:tr>
      <w:tr>
        <w:tc>
          <w:tcPr>
            <w:tcW w:type="dxa" w:w="6031"/>
          </w:tcPr>
          <w:p>
            <w:pPr>
              <w:spacing w:after="50" w:before="50" w:line="252" w:lineRule="auto"/>
            </w:pPr>
            <w:r>
              <w:rPr>
                <w:sz w:val="17"/>
              </w:rPr>
              <w:t>Removal of information identifying a party, matter or neutral</w:t>
            </w:r>
          </w:p>
        </w:tc>
        <w:tc>
          <w:tcPr>
            <w:tcW w:type="dxa" w:w="3436"/>
          </w:tcPr>
          <w:p>
            <w:pPr>
              <w:spacing w:after="50" w:before="50" w:line="252" w:lineRule="auto"/>
            </w:pPr>
            <w:r>
              <w:rPr>
                <w:sz w:val="17"/>
              </w:rPr>
              <w:t>Alteration of a finding</w:t>
            </w:r>
          </w:p>
        </w:tc>
      </w:tr>
      <w:tr>
        <w:tc>
          <w:tcPr>
            <w:tcW w:type="dxa" w:w="6031"/>
            <w:shd w:val="clear" w:color="auto" w:fill="EAF1F4"/>
          </w:tcPr>
          <w:p>
            <w:pPr>
              <w:spacing w:after="50" w:before="50" w:line="252" w:lineRule="auto"/>
            </w:pPr>
            <w:r>
              <w:rPr>
                <w:sz w:val="17"/>
              </w:rPr>
              <w:t>Removal of information protected by statutory confidentiality</w:t>
            </w:r>
          </w:p>
        </w:tc>
        <w:tc>
          <w:tcPr>
            <w:tcW w:type="dxa" w:w="3436"/>
            <w:shd w:val="clear" w:color="auto" w:fill="EAF1F4"/>
          </w:tcPr>
          <w:p>
            <w:pPr>
              <w:spacing w:after="50" w:before="50" w:line="252" w:lineRule="auto"/>
            </w:pPr>
            <w:r>
              <w:rPr>
                <w:sz w:val="17"/>
              </w:rPr>
              <w:t>Suppression of a conclusion</w:t>
            </w:r>
          </w:p>
        </w:tc>
      </w:tr>
      <w:tr>
        <w:tc>
          <w:tcPr>
            <w:tcW w:type="dxa" w:w="6031"/>
          </w:tcPr>
          <w:p>
            <w:pPr>
              <w:spacing w:after="50" w:before="50" w:line="252" w:lineRule="auto"/>
            </w:pPr>
            <w:r>
              <w:rPr>
                <w:sz w:val="17"/>
              </w:rPr>
              <w:t>Correction of a factual error about Equator's own processes</w:t>
            </w:r>
          </w:p>
        </w:tc>
        <w:tc>
          <w:tcPr>
            <w:tcW w:type="dxa" w:w="3436"/>
          </w:tcPr>
          <w:p>
            <w:pPr>
              <w:spacing w:after="50" w:before="50" w:line="252" w:lineRule="auto"/>
            </w:pPr>
            <w:r>
              <w:rPr>
                <w:sz w:val="17"/>
              </w:rPr>
              <w:t>Removal of criticism of Equator</w:t>
            </w:r>
          </w:p>
        </w:tc>
      </w:tr>
      <w:tr>
        <w:tc>
          <w:tcPr>
            <w:tcW w:type="dxa" w:w="6031"/>
            <w:shd w:val="clear" w:color="auto" w:fill="EAF1F4"/>
          </w:tcPr>
          <w:p>
            <w:pPr>
              <w:spacing w:after="50" w:before="50" w:line="252" w:lineRule="auto"/>
            </w:pPr>
            <w:r>
              <w:rPr>
                <w:sz w:val="17"/>
              </w:rPr>
              <w:t>Addition of a method caveat where a limitation is material</w:t>
            </w:r>
          </w:p>
        </w:tc>
        <w:tc>
          <w:tcPr>
            <w:tcW w:type="dxa" w:w="3436"/>
            <w:shd w:val="clear" w:color="auto" w:fill="EAF1F4"/>
          </w:tcPr>
          <w:p>
            <w:pPr>
              <w:spacing w:after="50" w:before="50" w:line="252" w:lineRule="auto"/>
            </w:pPr>
            <w:r>
              <w:rPr>
                <w:sz w:val="17"/>
              </w:rPr>
              <w:t>Change of interpretation</w:t>
            </w:r>
          </w:p>
        </w:tc>
      </w:tr>
      <w:tr>
        <w:tc>
          <w:tcPr>
            <w:tcW w:type="dxa" w:w="6031"/>
          </w:tcPr>
          <w:p>
            <w:pPr>
              <w:spacing w:after="50" w:before="50" w:line="252" w:lineRule="auto"/>
            </w:pPr>
            <w:r>
              <w:rPr>
                <w:sz w:val="17"/>
              </w:rPr>
              <w:t>Removal of an unverified statistic attributed to Equator</w:t>
            </w:r>
          </w:p>
        </w:tc>
        <w:tc>
          <w:tcPr>
            <w:tcW w:type="dxa" w:w="3436"/>
          </w:tcPr>
          <w:p>
            <w:pPr>
              <w:spacing w:after="50" w:before="50" w:line="252" w:lineRule="auto"/>
            </w:pPr>
            <w:r>
              <w:rPr>
                <w:sz w:val="17"/>
              </w:rPr>
              <w:t>Delay beyond 30 days</w:t>
            </w:r>
          </w:p>
        </w:tc>
      </w:tr>
    </w:tbl>
    <w:p>
      <w:pPr>
        <w:spacing w:after="80" w:before="0"/>
      </w:pPr>
    </w:p>
    <w:p>
      <w:pPr>
        <w:spacing w:before="80" w:after="160"/>
        <w:pBdr>
          <w:bottom w:val="single" w:sz="6" w:space="1" w:color="C9D6DE"/>
        </w:pBdr>
      </w:pPr>
    </w:p>
    <w:p>
      <w:pPr>
        <w:pStyle w:val="Heading1"/>
        <w:pBdr>
          <w:bottom w:val="single" w:sz="8" w:space="4" w:color="C9D6DE"/>
        </w:pBdr>
      </w:pPr>
      <w:r>
        <w:t>4. Attribution and disclosure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Requirement</w:t>
            </w:r>
          </w:p>
        </w:tc>
      </w:tr>
      <w:tr>
        <w:tc>
          <w:tcPr>
            <w:tcW w:type="dxa" w:w="9468"/>
          </w:tcPr>
          <w:p>
            <w:pPr>
              <w:spacing w:after="50" w:before="50" w:line="252" w:lineRule="auto"/>
            </w:pPr>
            <w:r>
              <w:rPr>
                <w:sz w:val="17"/>
              </w:rPr>
              <w:t>Every joint output carries the affiliations of both institutions</w:t>
            </w:r>
          </w:p>
        </w:tc>
      </w:tr>
      <w:tr>
        <w:tc>
          <w:tcPr>
            <w:tcW w:type="dxa" w:w="9468"/>
            <w:shd w:val="clear" w:color="auto" w:fill="EAF1F4"/>
          </w:tcPr>
          <w:p>
            <w:pPr>
              <w:spacing w:after="50" w:before="50" w:line="252" w:lineRule="auto"/>
            </w:pPr>
            <w:r>
              <w:rPr>
                <w:sz w:val="17"/>
              </w:rPr>
              <w:t>The collaboration is acknowledged in a standard form of words</w:t>
            </w:r>
          </w:p>
        </w:tc>
      </w:tr>
      <w:tr>
        <w:tc>
          <w:tcPr>
            <w:tcW w:type="dxa" w:w="9468"/>
          </w:tcPr>
          <w:p>
            <w:pPr>
              <w:spacing w:after="50" w:before="50" w:line="252" w:lineRule="auto"/>
            </w:pPr>
            <w:r>
              <w:rPr>
                <w:sz w:val="17"/>
              </w:rPr>
              <w:t>Funding is disclosed, including sponsorship</w:t>
            </w:r>
          </w:p>
        </w:tc>
      </w:tr>
      <w:tr>
        <w:tc>
          <w:tcPr>
            <w:tcW w:type="dxa" w:w="9468"/>
            <w:shd w:val="clear" w:color="auto" w:fill="EAF1F4"/>
          </w:tcPr>
          <w:p>
            <w:pPr>
              <w:spacing w:after="50" w:before="50" w:line="252" w:lineRule="auto"/>
            </w:pPr>
            <w:r>
              <w:rPr>
                <w:sz w:val="17"/>
              </w:rPr>
              <w:t>Conflicts of interest are disclosed, including that an author is employed or engaged by Equator</w:t>
            </w:r>
          </w:p>
        </w:tc>
      </w:tr>
      <w:tr>
        <w:tc>
          <w:tcPr>
            <w:tcW w:type="dxa" w:w="9468"/>
          </w:tcPr>
          <w:p>
            <w:pPr>
              <w:spacing w:after="50" w:before="50" w:line="252" w:lineRule="auto"/>
            </w:pPr>
            <w:r>
              <w:rPr>
                <w:sz w:val="17"/>
              </w:rPr>
              <w:t>Where Equator's data is used, the source is described accurately, including its limitations</w:t>
            </w:r>
          </w:p>
        </w:tc>
      </w:tr>
      <w:tr>
        <w:tc>
          <w:tcPr>
            <w:tcW w:type="dxa" w:w="9468"/>
            <w:shd w:val="clear" w:color="auto" w:fill="EAF1F4"/>
          </w:tcPr>
          <w:p>
            <w:pPr>
              <w:spacing w:after="50" w:before="50" w:line="252" w:lineRule="auto"/>
            </w:pPr>
            <w:r>
              <w:rPr>
                <w:sz w:val="17"/>
              </w:rPr>
              <w:t>Where a sponsor funded the work, the output states that the sponsor had no role in design, analysis or the decision to publish</w:t>
            </w:r>
          </w:p>
        </w:tc>
      </w:tr>
    </w:tbl>
    <w:p>
      <w:pPr>
        <w:spacing w:after="80" w:before="0"/>
      </w:pPr>
    </w:p>
    <w:p>
      <w:r>
        <w:rPr>
          <w:b/>
        </w:rPr>
        <w:t>Standard acknowledgement:</w:t>
      </w:r>
      <w:r>
        <w:t xml:space="preserve"> </w:t>
      </w:r>
      <w:r>
        <w:rPr>
          <w:i/>
        </w:rPr>
        <w:t>This work was undertaken as part of a research collaboration between [●] University and Equator ADR Institute. The data on which it draws was provided by Equator Resolution in anonymised form under a data release protocol. Equator's right of review was limited to verifying that no confidential or identifying information was disclosed, and did not extend to the findings.</w:t>
      </w:r>
    </w:p>
    <w:p>
      <w:pPr>
        <w:spacing w:before="80" w:after="160"/>
        <w:pBdr>
          <w:bottom w:val="single" w:sz="6" w:space="1" w:color="C9D6DE"/>
        </w:pBdr>
      </w:pPr>
    </w:p>
    <w:p>
      <w:pPr>
        <w:pStyle w:val="Heading1"/>
        <w:pBdr>
          <w:bottom w:val="single" w:sz="8" w:space="4" w:color="C9D6DE"/>
        </w:pBdr>
      </w:pPr>
      <w:r>
        <w:t>5. Use of outputs in marketing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A finding may be quoted in marketing only as published, in context, without exaggeration</w:t>
            </w:r>
          </w:p>
        </w:tc>
      </w:tr>
      <w:tr>
        <w:tc>
          <w:tcPr>
            <w:tcW w:type="dxa" w:w="9468"/>
            <w:shd w:val="clear" w:color="auto" w:fill="EAF1F4"/>
          </w:tcPr>
          <w:p>
            <w:pPr>
              <w:spacing w:after="50" w:before="50" w:line="252" w:lineRule="auto"/>
            </w:pPr>
            <w:r>
              <w:rPr>
                <w:sz w:val="17"/>
              </w:rPr>
              <w:t>Statistical findings are quoted with the sample size and the limitation</w:t>
            </w:r>
          </w:p>
        </w:tc>
      </w:tr>
      <w:tr>
        <w:tc>
          <w:tcPr>
            <w:tcW w:type="dxa" w:w="9468"/>
          </w:tcPr>
          <w:p>
            <w:pPr>
              <w:spacing w:after="50" w:before="50" w:line="252" w:lineRule="auto"/>
            </w:pPr>
            <w:r>
              <w:rPr>
                <w:sz w:val="17"/>
              </w:rPr>
              <w:t>A working paper is described as a working paper, not as a study or as research showing X</w:t>
            </w:r>
          </w:p>
        </w:tc>
      </w:tr>
      <w:tr>
        <w:tc>
          <w:tcPr>
            <w:tcW w:type="dxa" w:w="9468"/>
            <w:shd w:val="clear" w:color="auto" w:fill="EAF1F4"/>
          </w:tcPr>
          <w:p>
            <w:pPr>
              <w:spacing w:after="50" w:before="50" w:line="252" w:lineRule="auto"/>
            </w:pPr>
            <w:r>
              <w:rPr>
                <w:sz w:val="17"/>
              </w:rPr>
              <w:t>Nothing is described as proving anything</w:t>
            </w:r>
          </w:p>
        </w:tc>
      </w:tr>
      <w:tr>
        <w:tc>
          <w:tcPr>
            <w:tcW w:type="dxa" w:w="9468"/>
          </w:tcPr>
          <w:p>
            <w:pPr>
              <w:spacing w:after="50" w:before="50" w:line="252" w:lineRule="auto"/>
            </w:pPr>
            <w:r>
              <w:rPr>
                <w:sz w:val="17"/>
              </w:rPr>
              <w:t>A partner institution's name is used in connection with an output only within the Schedule G licence</w:t>
            </w:r>
          </w:p>
        </w:tc>
      </w:tr>
      <w:tr>
        <w:tc>
          <w:tcPr>
            <w:tcW w:type="dxa" w:w="9468"/>
            <w:shd w:val="clear" w:color="auto" w:fill="EAF1F4"/>
          </w:tcPr>
          <w:p>
            <w:pPr>
              <w:spacing w:after="50" w:before="50" w:line="252" w:lineRule="auto"/>
            </w:pPr>
            <w:r>
              <w:rPr>
                <w:sz w:val="17"/>
              </w:rPr>
              <w:t>A finding unfavourable to Equator is not concealed if a related favourable finding is quoted</w:t>
            </w:r>
          </w:p>
        </w:tc>
      </w:tr>
      <w:tr>
        <w:tc>
          <w:tcPr>
            <w:tcW w:type="dxa" w:w="9468"/>
          </w:tcPr>
          <w:p>
            <w:pPr>
              <w:spacing w:after="50" w:before="50" w:line="252" w:lineRule="auto"/>
            </w:pPr>
            <w:r>
              <w:rPr>
                <w:sz w:val="17"/>
              </w:rPr>
              <w:t>Marketing use of any output is approved by the Research Lead</w:t>
            </w:r>
          </w:p>
        </w:tc>
      </w:tr>
    </w:tbl>
    <w:p>
      <w:pPr>
        <w:spacing w:after="80" w:before="0"/>
      </w:pPr>
    </w:p>
    <w:p>
      <w:pPr>
        <w:spacing w:before="80" w:after="160"/>
        <w:pBdr>
          <w:bottom w:val="single" w:sz="6" w:space="1" w:color="C9D6DE"/>
        </w:pBdr>
      </w:pPr>
    </w:p>
    <w:p>
      <w:pPr>
        <w:pStyle w:val="Heading1"/>
        <w:pBdr>
          <w:bottom w:val="single" w:sz="8" w:space="4" w:color="C9D6DE"/>
        </w:pBdr>
      </w:pPr>
      <w:r>
        <w:t>6. Research misconduct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766"/>
            <w:shd w:val="clear" w:color="auto" w:fill="10375C"/>
          </w:tcPr>
          <w:p>
            <w:pPr>
              <w:spacing w:after="50" w:before="50"/>
            </w:pPr>
            <w:r>
              <w:rPr>
                <w:b/>
                <w:color w:val="FFFFFF"/>
                <w:sz w:val="17"/>
              </w:rPr>
              <w:t>Conduct</w:t>
            </w:r>
          </w:p>
        </w:tc>
        <w:tc>
          <w:tcPr>
            <w:tcW w:type="dxa" w:w="5701"/>
            <w:shd w:val="clear" w:color="auto" w:fill="10375C"/>
          </w:tcPr>
          <w:p>
            <w:pPr>
              <w:spacing w:after="50" w:before="50"/>
            </w:pPr>
            <w:r>
              <w:rPr>
                <w:b/>
                <w:color w:val="FFFFFF"/>
                <w:sz w:val="17"/>
              </w:rPr>
              <w:t>Response</w:t>
            </w:r>
          </w:p>
        </w:tc>
      </w:tr>
      <w:tr>
        <w:tc>
          <w:tcPr>
            <w:tcW w:type="dxa" w:w="3766"/>
          </w:tcPr>
          <w:p>
            <w:pPr>
              <w:spacing w:after="50" w:before="50" w:line="252" w:lineRule="auto"/>
            </w:pPr>
            <w:r>
              <w:rPr>
                <w:sz w:val="17"/>
              </w:rPr>
              <w:t>Fabrication or falsification of data</w:t>
            </w:r>
          </w:p>
        </w:tc>
        <w:tc>
          <w:tcPr>
            <w:tcW w:type="dxa" w:w="5701"/>
          </w:tcPr>
          <w:p>
            <w:pPr>
              <w:spacing w:after="50" w:before="50" w:line="252" w:lineRule="auto"/>
            </w:pPr>
            <w:r>
              <w:rPr>
                <w:sz w:val="17"/>
              </w:rPr>
              <w:t>Immediate suspension; investigation; publication withdrawn; institution and, where relevant, funder informed</w:t>
            </w:r>
          </w:p>
        </w:tc>
      </w:tr>
      <w:tr>
        <w:tc>
          <w:tcPr>
            <w:tcW w:type="dxa" w:w="3766"/>
            <w:shd w:val="clear" w:color="auto" w:fill="EAF1F4"/>
          </w:tcPr>
          <w:p>
            <w:pPr>
              <w:spacing w:after="50" w:before="50" w:line="252" w:lineRule="auto"/>
            </w:pPr>
            <w:r>
              <w:rPr>
                <w:sz w:val="17"/>
              </w:rPr>
              <w:t>Plagiarism</w:t>
            </w:r>
          </w:p>
        </w:tc>
        <w:tc>
          <w:tcPr>
            <w:tcW w:type="dxa" w:w="5701"/>
            <w:shd w:val="clear" w:color="auto" w:fill="EAF1F4"/>
          </w:tcPr>
          <w:p>
            <w:pPr>
              <w:spacing w:after="50" w:before="50" w:line="252" w:lineRule="auto"/>
            </w:pPr>
            <w:r>
              <w:rPr>
                <w:sz w:val="17"/>
              </w:rPr>
              <w:t>As above</w:t>
            </w:r>
          </w:p>
        </w:tc>
      </w:tr>
      <w:tr>
        <w:tc>
          <w:tcPr>
            <w:tcW w:type="dxa" w:w="3766"/>
          </w:tcPr>
          <w:p>
            <w:pPr>
              <w:spacing w:after="50" w:before="50" w:line="252" w:lineRule="auto"/>
            </w:pPr>
            <w:r>
              <w:rPr>
                <w:sz w:val="17"/>
              </w:rPr>
              <w:t>Re-identification of an anonymised record</w:t>
            </w:r>
          </w:p>
        </w:tc>
        <w:tc>
          <w:tcPr>
            <w:tcW w:type="dxa" w:w="5701"/>
          </w:tcPr>
          <w:p>
            <w:pPr>
              <w:spacing w:after="50" w:before="50" w:line="252" w:lineRule="auto"/>
            </w:pPr>
            <w:r>
              <w:rPr>
                <w:sz w:val="17"/>
              </w:rPr>
              <w:t>Immediate suspension; DPO informed; treated as a data breach</w:t>
            </w:r>
          </w:p>
        </w:tc>
      </w:tr>
      <w:tr>
        <w:tc>
          <w:tcPr>
            <w:tcW w:type="dxa" w:w="3766"/>
            <w:shd w:val="clear" w:color="auto" w:fill="EAF1F4"/>
          </w:tcPr>
          <w:p>
            <w:pPr>
              <w:spacing w:after="50" w:before="50" w:line="252" w:lineRule="auto"/>
            </w:pPr>
            <w:r>
              <w:rPr>
                <w:sz w:val="17"/>
              </w:rPr>
              <w:t>Breach of the researcher undertaking</w:t>
            </w:r>
          </w:p>
        </w:tc>
        <w:tc>
          <w:tcPr>
            <w:tcW w:type="dxa" w:w="5701"/>
            <w:shd w:val="clear" w:color="auto" w:fill="EAF1F4"/>
          </w:tcPr>
          <w:p>
            <w:pPr>
              <w:spacing w:after="50" w:before="50" w:line="252" w:lineRule="auto"/>
            </w:pPr>
            <w:r>
              <w:rPr>
                <w:sz w:val="17"/>
              </w:rPr>
              <w:t>Access revoked; investigation; institution informed</w:t>
            </w:r>
          </w:p>
        </w:tc>
      </w:tr>
      <w:tr>
        <w:tc>
          <w:tcPr>
            <w:tcW w:type="dxa" w:w="3766"/>
          </w:tcPr>
          <w:p>
            <w:pPr>
              <w:spacing w:after="50" w:before="50" w:line="252" w:lineRule="auto"/>
            </w:pPr>
            <w:r>
              <w:rPr>
                <w:sz w:val="17"/>
              </w:rPr>
              <w:t>Undisclosed conflict of interest</w:t>
            </w:r>
          </w:p>
        </w:tc>
        <w:tc>
          <w:tcPr>
            <w:tcW w:type="dxa" w:w="5701"/>
          </w:tcPr>
          <w:p>
            <w:pPr>
              <w:spacing w:after="50" w:before="50" w:line="252" w:lineRule="auto"/>
            </w:pPr>
            <w:r>
              <w:rPr>
                <w:sz w:val="17"/>
              </w:rPr>
              <w:t>Correction issued; disclosure required</w:t>
            </w:r>
          </w:p>
        </w:tc>
      </w:tr>
      <w:tr>
        <w:tc>
          <w:tcPr>
            <w:tcW w:type="dxa" w:w="3766"/>
            <w:shd w:val="clear" w:color="auto" w:fill="EAF1F4"/>
          </w:tcPr>
          <w:p>
            <w:pPr>
              <w:spacing w:after="50" w:before="50" w:line="252" w:lineRule="auto"/>
            </w:pPr>
            <w:r>
              <w:rPr>
                <w:sz w:val="17"/>
              </w:rPr>
              <w:t>Gift authorship</w:t>
            </w:r>
          </w:p>
        </w:tc>
        <w:tc>
          <w:tcPr>
            <w:tcW w:type="dxa" w:w="5701"/>
            <w:shd w:val="clear" w:color="auto" w:fill="EAF1F4"/>
          </w:tcPr>
          <w:p>
            <w:pPr>
              <w:spacing w:after="50" w:before="50" w:line="252" w:lineRule="auto"/>
            </w:pPr>
            <w:r>
              <w:rPr>
                <w:sz w:val="17"/>
              </w:rPr>
              <w:t>Correction to the publisher; recorded</w:t>
            </w:r>
          </w:p>
        </w:tc>
      </w:tr>
    </w:tbl>
    <w:p>
      <w:pPr>
        <w:spacing w:after="80" w:before="0"/>
      </w:pPr>
    </w:p>
    <w:p>
      <w:r>
        <w:t>Allegations are investigated jointly by Equator's Research Lead and the institution's research integrity authority, and neither may conclude the matter alone.</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EQ-UAP-084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Authorship, IP &amp; Publication Policy</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E9C398F-9A4B-43BD-9A53-76907E4C25F2}"/>
</file>

<file path=customXml/itemProps3.xml><?xml version="1.0" encoding="utf-8"?>
<ds:datastoreItem xmlns:ds="http://schemas.openxmlformats.org/officeDocument/2006/customXml" ds:itemID="{E9B7DFA1-1674-4522-A9C4-6DDD564982BF}"/>
</file>

<file path=customXml/itemProps4.xml><?xml version="1.0" encoding="utf-8"?>
<ds:datastoreItem xmlns:ds="http://schemas.openxmlformats.org/officeDocument/2006/customXml" ds:itemID="{28EC06F8-AE36-40C8-B267-D1900DB2850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