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Research Ethics &amp; Data Protocol</w:t>
      </w:r>
    </w:p>
    <w:p>
      <w:pPr>
        <w:spacing w:after="280" w:line="276" w:lineRule="auto"/>
      </w:pPr>
      <w:r>
        <w:rPr>
          <w:rFonts w:ascii="Calibri" w:hAnsi="Calibri"/>
          <w:i/>
          <w:color w:val="3E6B8A"/>
          <w:sz w:val="25"/>
        </w:rPr>
        <w:t>Ethical approval, consent, anonymisation, disclosure control, storage and deletion for research using Equator data</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EQ-UAP-085</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Research</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Internal · DPO controlled</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1. The two constraints</w:t>
      </w:r>
    </w:p>
    <w:p>
      <w:r>
        <w:t>Every research project touching Equator's data operates under two constraints simultaneously:</w:t>
      </w:r>
    </w:p>
    <w:p>
      <w:pPr>
        <w:pStyle w:val="ListNumber"/>
      </w:pPr>
      <w:r>
        <w:rPr>
          <w:b/>
          <w:sz w:val="21"/>
        </w:rPr>
        <w:t>Statutory confidentiality.</w:t>
      </w:r>
      <w:r>
        <w:rPr>
          <w:sz w:val="21"/>
        </w:rPr>
        <w:t xml:space="preserve"> Mediation proceedings are confidential under the Mediation Act, 2023, and the obligation binds the mediator, the service provider and the parties. Information from mediation is inadmissible elsewhere. Recording is prohibited.</w:t>
      </w:r>
    </w:p>
    <w:p>
      <w:pPr>
        <w:pStyle w:val="ListNumber"/>
      </w:pPr>
      <w:r>
        <w:rPr>
          <w:b/>
          <w:sz w:val="21"/>
        </w:rPr>
        <w:t>Data protection.</w:t>
      </w:r>
      <w:r>
        <w:rPr>
          <w:sz w:val="21"/>
        </w:rPr>
        <w:t xml:space="preserve"> The Digital Personal Data Protection Act, 2023 and the Rules of 2025 govern any processing of personal data.</w:t>
      </w:r>
    </w:p>
    <w:p>
      <w:r>
        <w:rPr>
          <w:b/>
        </w:rPr>
        <w:t>Where the two point in different directions, the more restrictive prevails.</w:t>
      </w:r>
      <w:r>
        <w:t xml:space="preserve"> Where either is in doubt, the data is not released.</w:t>
      </w:r>
    </w:p>
    <w:p>
      <w:pPr>
        <w:spacing w:before="80" w:after="160"/>
        <w:pBdr>
          <w:bottom w:val="single" w:sz="6" w:space="1" w:color="C9D6DE"/>
        </w:pBdr>
      </w:pPr>
    </w:p>
    <w:p>
      <w:pPr>
        <w:pStyle w:val="Heading1"/>
        <w:pBdr>
          <w:bottom w:val="single" w:sz="8" w:space="4" w:color="C9D6DE"/>
        </w:pBdr>
      </w:pPr>
      <w:r>
        <w:t>2. Ethical approval</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4362"/>
            <w:shd w:val="clear" w:color="auto" w:fill="10375C"/>
          </w:tcPr>
          <w:p>
            <w:pPr>
              <w:spacing w:after="50" w:before="50"/>
            </w:pPr>
            <w:r>
              <w:rPr>
                <w:b/>
                <w:color w:val="FFFFFF"/>
                <w:sz w:val="17"/>
              </w:rPr>
              <w:t>Project type</w:t>
            </w:r>
          </w:p>
        </w:tc>
        <w:tc>
          <w:tcPr>
            <w:tcW w:type="dxa" w:w="5106"/>
            <w:shd w:val="clear" w:color="auto" w:fill="10375C"/>
          </w:tcPr>
          <w:p>
            <w:pPr>
              <w:spacing w:after="50" w:before="50"/>
            </w:pPr>
            <w:r>
              <w:rPr>
                <w:b/>
                <w:color w:val="FFFFFF"/>
                <w:sz w:val="17"/>
              </w:rPr>
              <w:t>Approval required</w:t>
            </w:r>
          </w:p>
        </w:tc>
      </w:tr>
      <w:tr>
        <w:tc>
          <w:tcPr>
            <w:tcW w:type="dxa" w:w="4362"/>
          </w:tcPr>
          <w:p>
            <w:pPr>
              <w:spacing w:after="50" w:before="50" w:line="252" w:lineRule="auto"/>
            </w:pPr>
            <w:r>
              <w:rPr>
                <w:sz w:val="17"/>
              </w:rPr>
              <w:t>Analysis of anonymised, aggregated case data</w:t>
            </w:r>
          </w:p>
        </w:tc>
        <w:tc>
          <w:tcPr>
            <w:tcW w:type="dxa" w:w="5106"/>
          </w:tcPr>
          <w:p>
            <w:pPr>
              <w:spacing w:after="50" w:before="50" w:line="252" w:lineRule="auto"/>
            </w:pPr>
            <w:r>
              <w:rPr>
                <w:sz w:val="17"/>
              </w:rPr>
              <w:t>Research Lead and DPO</w:t>
            </w:r>
          </w:p>
        </w:tc>
      </w:tr>
      <w:tr>
        <w:tc>
          <w:tcPr>
            <w:tcW w:type="dxa" w:w="4362"/>
            <w:shd w:val="clear" w:color="auto" w:fill="EAF1F4"/>
          </w:tcPr>
          <w:p>
            <w:pPr>
              <w:spacing w:after="50" w:before="50" w:line="252" w:lineRule="auto"/>
            </w:pPr>
            <w:r>
              <w:rPr>
                <w:sz w:val="17"/>
              </w:rPr>
              <w:t>Analysis of record-level anonymised case data</w:t>
            </w:r>
          </w:p>
        </w:tc>
        <w:tc>
          <w:tcPr>
            <w:tcW w:type="dxa" w:w="5106"/>
            <w:shd w:val="clear" w:color="auto" w:fill="EAF1F4"/>
          </w:tcPr>
          <w:p>
            <w:pPr>
              <w:spacing w:after="50" w:before="50" w:line="252" w:lineRule="auto"/>
            </w:pPr>
            <w:r>
              <w:rPr>
                <w:sz w:val="17"/>
              </w:rPr>
              <w:t xml:space="preserve">Research Lead, DPO, </w:t>
            </w:r>
            <w:r>
              <w:rPr>
                <w:b/>
                <w:sz w:val="17"/>
              </w:rPr>
              <w:t>and the institution's ethics committee</w:t>
            </w:r>
          </w:p>
        </w:tc>
      </w:tr>
      <w:tr>
        <w:tc>
          <w:tcPr>
            <w:tcW w:type="dxa" w:w="4362"/>
          </w:tcPr>
          <w:p>
            <w:pPr>
              <w:spacing w:after="50" w:before="50" w:line="252" w:lineRule="auto"/>
            </w:pPr>
            <w:r>
              <w:rPr>
                <w:sz w:val="17"/>
              </w:rPr>
              <w:t>Survey of participants or students</w:t>
            </w:r>
          </w:p>
        </w:tc>
        <w:tc>
          <w:tcPr>
            <w:tcW w:type="dxa" w:w="5106"/>
          </w:tcPr>
          <w:p>
            <w:pPr>
              <w:spacing w:after="50" w:before="50" w:line="252" w:lineRule="auto"/>
            </w:pPr>
            <w:r>
              <w:rPr>
                <w:sz w:val="17"/>
              </w:rPr>
              <w:t>Research Lead, DPO, and the institution's ethics committee</w:t>
            </w:r>
          </w:p>
        </w:tc>
      </w:tr>
      <w:tr>
        <w:tc>
          <w:tcPr>
            <w:tcW w:type="dxa" w:w="4362"/>
            <w:shd w:val="clear" w:color="auto" w:fill="EAF1F4"/>
          </w:tcPr>
          <w:p>
            <w:pPr>
              <w:spacing w:after="50" w:before="50" w:line="252" w:lineRule="auto"/>
            </w:pPr>
            <w:r>
              <w:rPr>
                <w:sz w:val="17"/>
              </w:rPr>
              <w:t>Survey or interview of parties to disputes</w:t>
            </w:r>
          </w:p>
        </w:tc>
        <w:tc>
          <w:tcPr>
            <w:tcW w:type="dxa" w:w="5106"/>
            <w:shd w:val="clear" w:color="auto" w:fill="EAF1F4"/>
          </w:tcPr>
          <w:p>
            <w:pPr>
              <w:spacing w:after="50" w:before="50" w:line="252" w:lineRule="auto"/>
            </w:pPr>
            <w:r>
              <w:rPr>
                <w:b/>
                <w:sz w:val="17"/>
              </w:rPr>
              <w:t>Programme Board, Research Lead, DPO and ethics committee.</w:t>
            </w:r>
            <w:r>
              <w:rPr>
                <w:sz w:val="17"/>
              </w:rPr>
              <w:t xml:space="preserve"> Presumption against</w:t>
            </w:r>
          </w:p>
        </w:tc>
      </w:tr>
      <w:tr>
        <w:tc>
          <w:tcPr>
            <w:tcW w:type="dxa" w:w="4362"/>
          </w:tcPr>
          <w:p>
            <w:pPr>
              <w:spacing w:after="50" w:before="50" w:line="252" w:lineRule="auto"/>
            </w:pPr>
            <w:r>
              <w:rPr>
                <w:sz w:val="17"/>
              </w:rPr>
              <w:t>Interview of neutrals</w:t>
            </w:r>
          </w:p>
        </w:tc>
        <w:tc>
          <w:tcPr>
            <w:tcW w:type="dxa" w:w="5106"/>
          </w:tcPr>
          <w:p>
            <w:pPr>
              <w:spacing w:after="50" w:before="50" w:line="252" w:lineRule="auto"/>
            </w:pPr>
            <w:r>
              <w:rPr>
                <w:sz w:val="17"/>
              </w:rPr>
              <w:t>Research Lead and DPO; neutral's consent</w:t>
            </w:r>
          </w:p>
        </w:tc>
      </w:tr>
      <w:tr>
        <w:tc>
          <w:tcPr>
            <w:tcW w:type="dxa" w:w="4362"/>
            <w:shd w:val="clear" w:color="auto" w:fill="EAF1F4"/>
          </w:tcPr>
          <w:p>
            <w:pPr>
              <w:spacing w:after="50" w:before="50" w:line="252" w:lineRule="auto"/>
            </w:pPr>
            <w:r>
              <w:rPr>
                <w:sz w:val="17"/>
              </w:rPr>
              <w:t>Observation of live proceedings for research</w:t>
            </w:r>
          </w:p>
        </w:tc>
        <w:tc>
          <w:tcPr>
            <w:tcW w:type="dxa" w:w="5106"/>
            <w:shd w:val="clear" w:color="auto" w:fill="EAF1F4"/>
          </w:tcPr>
          <w:p>
            <w:pPr>
              <w:spacing w:after="50" w:before="50" w:line="252" w:lineRule="auto"/>
            </w:pPr>
            <w:r>
              <w:rPr>
                <w:b/>
                <w:sz w:val="17"/>
              </w:rPr>
              <w:t>Presumption against.</w:t>
            </w:r>
            <w:r>
              <w:rPr>
                <w:sz w:val="17"/>
              </w:rPr>
              <w:t xml:space="preserve"> Where contemplated, Programme Board, all parties' informed consent, and the live clinic protocol</w:t>
            </w:r>
          </w:p>
        </w:tc>
      </w:tr>
      <w:tr>
        <w:tc>
          <w:tcPr>
            <w:tcW w:type="dxa" w:w="4362"/>
          </w:tcPr>
          <w:p>
            <w:pPr>
              <w:spacing w:after="50" w:before="50" w:line="252" w:lineRule="auto"/>
            </w:pPr>
            <w:r>
              <w:rPr>
                <w:sz w:val="17"/>
              </w:rPr>
              <w:t>Longitudinal study of trained participants</w:t>
            </w:r>
          </w:p>
        </w:tc>
        <w:tc>
          <w:tcPr>
            <w:tcW w:type="dxa" w:w="5106"/>
          </w:tcPr>
          <w:p>
            <w:pPr>
              <w:spacing w:after="50" w:before="50" w:line="252" w:lineRule="auto"/>
            </w:pPr>
            <w:r>
              <w:rPr>
                <w:sz w:val="17"/>
              </w:rPr>
              <w:t>Research Lead, DPO, ethics committee, participants' consent at the point of training</w:t>
            </w:r>
          </w:p>
        </w:tc>
      </w:tr>
    </w:tbl>
    <w:p>
      <w:pPr>
        <w:spacing w:after="80" w:before="0"/>
      </w:pPr>
    </w:p>
    <w:p>
      <w:pPr>
        <w:spacing w:before="80" w:after="160"/>
        <w:pBdr>
          <w:bottom w:val="single" w:sz="6" w:space="1" w:color="C9D6DE"/>
        </w:pBdr>
      </w:pPr>
    </w:p>
    <w:p>
      <w:pPr>
        <w:pStyle w:val="Heading1"/>
        <w:pBdr>
          <w:bottom w:val="single" w:sz="8" w:space="4" w:color="C9D6DE"/>
        </w:pBdr>
      </w:pPr>
      <w:r>
        <w:t>3. Consent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3958"/>
            <w:shd w:val="clear" w:color="auto" w:fill="10375C"/>
          </w:tcPr>
          <w:p>
            <w:pPr>
              <w:spacing w:after="50" w:before="50"/>
            </w:pPr>
            <w:r>
              <w:rPr>
                <w:b/>
                <w:color w:val="FFFFFF"/>
                <w:sz w:val="17"/>
              </w:rPr>
              <w:t>Data</w:t>
            </w:r>
          </w:p>
        </w:tc>
        <w:tc>
          <w:tcPr>
            <w:tcW w:type="dxa" w:w="5510"/>
            <w:shd w:val="clear" w:color="auto" w:fill="10375C"/>
          </w:tcPr>
          <w:p>
            <w:pPr>
              <w:spacing w:after="50" w:before="50"/>
            </w:pPr>
            <w:r>
              <w:rPr>
                <w:b/>
                <w:color w:val="FFFFFF"/>
                <w:sz w:val="17"/>
              </w:rPr>
              <w:t>Basis</w:t>
            </w:r>
          </w:p>
        </w:tc>
      </w:tr>
      <w:tr>
        <w:tc>
          <w:tcPr>
            <w:tcW w:type="dxa" w:w="3958"/>
          </w:tcPr>
          <w:p>
            <w:pPr>
              <w:spacing w:after="50" w:before="50" w:line="252" w:lineRule="auto"/>
            </w:pPr>
            <w:r>
              <w:rPr>
                <w:sz w:val="17"/>
              </w:rPr>
              <w:t>Case data, effectively anonymised</w:t>
            </w:r>
          </w:p>
        </w:tc>
        <w:tc>
          <w:tcPr>
            <w:tcW w:type="dxa" w:w="5510"/>
          </w:tcPr>
          <w:p>
            <w:pPr>
              <w:spacing w:after="50" w:before="50" w:line="252" w:lineRule="auto"/>
            </w:pPr>
            <w:r>
              <w:rPr>
                <w:sz w:val="17"/>
              </w:rPr>
              <w:t xml:space="preserve">Outside the personal data regime once effectively anonymised. </w:t>
            </w:r>
            <w:r>
              <w:rPr>
                <w:b/>
                <w:sz w:val="17"/>
              </w:rPr>
              <w:t>The adequacy of anonymisation is the whole question</w:t>
            </w:r>
          </w:p>
        </w:tc>
      </w:tr>
      <w:tr>
        <w:tc>
          <w:tcPr>
            <w:tcW w:type="dxa" w:w="3958"/>
            <w:shd w:val="clear" w:color="auto" w:fill="EAF1F4"/>
          </w:tcPr>
          <w:p>
            <w:pPr>
              <w:spacing w:after="50" w:before="50" w:line="252" w:lineRule="auto"/>
            </w:pPr>
            <w:r>
              <w:rPr>
                <w:sz w:val="17"/>
              </w:rPr>
              <w:t>Case data, record-level with any residual identifiability</w:t>
            </w:r>
          </w:p>
        </w:tc>
        <w:tc>
          <w:tcPr>
            <w:tcW w:type="dxa" w:w="5510"/>
            <w:shd w:val="clear" w:color="auto" w:fill="EAF1F4"/>
          </w:tcPr>
          <w:p>
            <w:pPr>
              <w:spacing w:after="50" w:before="50" w:line="252" w:lineRule="auto"/>
            </w:pPr>
            <w:r>
              <w:rPr>
                <w:sz w:val="17"/>
              </w:rPr>
              <w:t>Requires a lawful basis; in practice, not released</w:t>
            </w:r>
          </w:p>
        </w:tc>
      </w:tr>
      <w:tr>
        <w:tc>
          <w:tcPr>
            <w:tcW w:type="dxa" w:w="3958"/>
          </w:tcPr>
          <w:p>
            <w:pPr>
              <w:spacing w:after="50" w:before="50" w:line="252" w:lineRule="auto"/>
            </w:pPr>
            <w:r>
              <w:rPr>
                <w:sz w:val="17"/>
              </w:rPr>
              <w:t>Participant survey</w:t>
            </w:r>
          </w:p>
        </w:tc>
        <w:tc>
          <w:tcPr>
            <w:tcW w:type="dxa" w:w="5510"/>
          </w:tcPr>
          <w:p>
            <w:pPr>
              <w:spacing w:after="50" w:before="50" w:line="252" w:lineRule="auto"/>
            </w:pPr>
            <w:r>
              <w:rPr>
                <w:sz w:val="17"/>
              </w:rPr>
              <w:t>Specific consent, obtained for research, separate from programme consent</w:t>
            </w:r>
          </w:p>
        </w:tc>
      </w:tr>
      <w:tr>
        <w:tc>
          <w:tcPr>
            <w:tcW w:type="dxa" w:w="3958"/>
            <w:shd w:val="clear" w:color="auto" w:fill="EAF1F4"/>
          </w:tcPr>
          <w:p>
            <w:pPr>
              <w:spacing w:after="50" w:before="50" w:line="252" w:lineRule="auto"/>
            </w:pPr>
            <w:r>
              <w:rPr>
                <w:sz w:val="17"/>
              </w:rPr>
              <w:t>Longitudinal follow-up</w:t>
            </w:r>
          </w:p>
        </w:tc>
        <w:tc>
          <w:tcPr>
            <w:tcW w:type="dxa" w:w="5510"/>
            <w:shd w:val="clear" w:color="auto" w:fill="EAF1F4"/>
          </w:tcPr>
          <w:p>
            <w:pPr>
              <w:spacing w:after="50" w:before="50" w:line="252" w:lineRule="auto"/>
            </w:pPr>
            <w:r>
              <w:rPr>
                <w:sz w:val="17"/>
              </w:rPr>
              <w:t>Consent obtained at the point of training, with a clear statement of what will be asked and when</w:t>
            </w:r>
          </w:p>
        </w:tc>
      </w:tr>
      <w:tr>
        <w:tc>
          <w:tcPr>
            <w:tcW w:type="dxa" w:w="3958"/>
          </w:tcPr>
          <w:p>
            <w:pPr>
              <w:spacing w:after="50" w:before="50" w:line="252" w:lineRule="auto"/>
            </w:pPr>
            <w:r>
              <w:rPr>
                <w:sz w:val="17"/>
              </w:rPr>
              <w:t>Neutral interviews</w:t>
            </w:r>
          </w:p>
        </w:tc>
        <w:tc>
          <w:tcPr>
            <w:tcW w:type="dxa" w:w="5510"/>
          </w:tcPr>
          <w:p>
            <w:pPr>
              <w:spacing w:after="50" w:before="50" w:line="252" w:lineRule="auto"/>
            </w:pPr>
            <w:r>
              <w:rPr>
                <w:sz w:val="17"/>
              </w:rPr>
              <w:t>Specific written consent; right to withdraw; right to review quotations</w:t>
            </w:r>
          </w:p>
        </w:tc>
      </w:tr>
      <w:tr>
        <w:tc>
          <w:tcPr>
            <w:tcW w:type="dxa" w:w="3958"/>
            <w:shd w:val="clear" w:color="auto" w:fill="EAF1F4"/>
          </w:tcPr>
          <w:p>
            <w:pPr>
              <w:spacing w:after="50" w:before="50" w:line="252" w:lineRule="auto"/>
            </w:pPr>
            <w:r>
              <w:rPr>
                <w:sz w:val="17"/>
              </w:rPr>
              <w:t>Party data</w:t>
            </w:r>
          </w:p>
        </w:tc>
        <w:tc>
          <w:tcPr>
            <w:tcW w:type="dxa" w:w="5510"/>
            <w:shd w:val="clear" w:color="auto" w:fill="EAF1F4"/>
          </w:tcPr>
          <w:p>
            <w:pPr>
              <w:spacing w:after="50" w:before="50" w:line="252" w:lineRule="auto"/>
            </w:pPr>
            <w:r>
              <w:rPr>
                <w:sz w:val="17"/>
              </w:rPr>
              <w:t>Not used for research</w:t>
            </w:r>
          </w:p>
        </w:tc>
      </w:tr>
    </w:tbl>
    <w:p>
      <w:pPr>
        <w:spacing w:after="80" w:before="0"/>
      </w:pPr>
    </w:p>
    <w:p>
      <w:r>
        <w:rPr>
          <w:b/>
        </w:rPr>
        <w:t>Consent for research is never bundled with consent to participate in a programme.</w:t>
      </w:r>
      <w:r>
        <w:t xml:space="preserve"> A student who declines research participation attends the programme on identical terms, and the form says so.</w:t>
      </w:r>
    </w:p>
    <w:p>
      <w:pPr>
        <w:spacing w:before="80" w:after="160"/>
        <w:pBdr>
          <w:bottom w:val="single" w:sz="6" w:space="1" w:color="C9D6DE"/>
        </w:pBdr>
      </w:pPr>
    </w:p>
    <w:p>
      <w:pPr>
        <w:pStyle w:val="Heading1"/>
        <w:pBdr>
          <w:bottom w:val="single" w:sz="8" w:space="4" w:color="C9D6DE"/>
        </w:pBdr>
      </w:pPr>
      <w:r>
        <w:t>4. Anonymisation standard</w:t>
      </w:r>
    </w:p>
    <w:p>
      <w:r>
        <w:t>Anonymisation is effective only if a person with sector knowledge, reading the output and the data, could not identify a matter or a party.</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65"/>
            <w:shd w:val="clear" w:color="auto" w:fill="10375C"/>
          </w:tcPr>
          <w:p>
            <w:pPr>
              <w:spacing w:after="50" w:before="50"/>
            </w:pPr>
            <w:r>
              <w:rPr>
                <w:b/>
                <w:color w:val="FFFFFF"/>
                <w:sz w:val="17"/>
              </w:rPr>
              <w:t>Field</w:t>
            </w:r>
          </w:p>
        </w:tc>
        <w:tc>
          <w:tcPr>
            <w:tcW w:type="dxa" w:w="6803"/>
            <w:shd w:val="clear" w:color="auto" w:fill="10375C"/>
          </w:tcPr>
          <w:p>
            <w:pPr>
              <w:spacing w:after="50" w:before="50"/>
            </w:pPr>
            <w:r>
              <w:rPr>
                <w:b/>
                <w:color w:val="FFFFFF"/>
                <w:sz w:val="17"/>
              </w:rPr>
              <w:t>Treatment</w:t>
            </w:r>
          </w:p>
        </w:tc>
      </w:tr>
      <w:tr>
        <w:tc>
          <w:tcPr>
            <w:tcW w:type="dxa" w:w="2665"/>
          </w:tcPr>
          <w:p>
            <w:pPr>
              <w:spacing w:after="50" w:before="50" w:line="252" w:lineRule="auto"/>
            </w:pPr>
            <w:r>
              <w:rPr>
                <w:sz w:val="17"/>
              </w:rPr>
              <w:t>Party names, counsel, neutrals</w:t>
            </w:r>
          </w:p>
        </w:tc>
        <w:tc>
          <w:tcPr>
            <w:tcW w:type="dxa" w:w="6803"/>
          </w:tcPr>
          <w:p>
            <w:pPr>
              <w:spacing w:after="50" w:before="50" w:line="252" w:lineRule="auto"/>
            </w:pPr>
            <w:r>
              <w:rPr>
                <w:sz w:val="17"/>
              </w:rPr>
              <w:t>Removed</w:t>
            </w:r>
          </w:p>
        </w:tc>
      </w:tr>
      <w:tr>
        <w:tc>
          <w:tcPr>
            <w:tcW w:type="dxa" w:w="2665"/>
            <w:shd w:val="clear" w:color="auto" w:fill="EAF1F4"/>
          </w:tcPr>
          <w:p>
            <w:pPr>
              <w:spacing w:after="50" w:before="50" w:line="252" w:lineRule="auto"/>
            </w:pPr>
            <w:r>
              <w:rPr>
                <w:sz w:val="17"/>
              </w:rPr>
              <w:t>Matter reference</w:t>
            </w:r>
          </w:p>
        </w:tc>
        <w:tc>
          <w:tcPr>
            <w:tcW w:type="dxa" w:w="6803"/>
            <w:shd w:val="clear" w:color="auto" w:fill="EAF1F4"/>
          </w:tcPr>
          <w:p>
            <w:pPr>
              <w:spacing w:after="50" w:before="50" w:line="252" w:lineRule="auto"/>
            </w:pPr>
            <w:r>
              <w:rPr>
                <w:sz w:val="17"/>
              </w:rPr>
              <w:t>Replaced with a random study identifier; the key held separately by the DPO and not released</w:t>
            </w:r>
          </w:p>
        </w:tc>
      </w:tr>
      <w:tr>
        <w:tc>
          <w:tcPr>
            <w:tcW w:type="dxa" w:w="2665"/>
          </w:tcPr>
          <w:p>
            <w:pPr>
              <w:spacing w:after="50" w:before="50" w:line="252" w:lineRule="auto"/>
            </w:pPr>
            <w:r>
              <w:rPr>
                <w:sz w:val="17"/>
              </w:rPr>
              <w:t>Dates</w:t>
            </w:r>
          </w:p>
        </w:tc>
        <w:tc>
          <w:tcPr>
            <w:tcW w:type="dxa" w:w="6803"/>
          </w:tcPr>
          <w:p>
            <w:pPr>
              <w:spacing w:after="50" w:before="50" w:line="252" w:lineRule="auto"/>
            </w:pPr>
            <w:r>
              <w:rPr>
                <w:sz w:val="17"/>
              </w:rPr>
              <w:t>Month and year only</w:t>
            </w:r>
          </w:p>
        </w:tc>
      </w:tr>
      <w:tr>
        <w:tc>
          <w:tcPr>
            <w:tcW w:type="dxa" w:w="2665"/>
            <w:shd w:val="clear" w:color="auto" w:fill="EAF1F4"/>
          </w:tcPr>
          <w:p>
            <w:pPr>
              <w:spacing w:after="50" w:before="50" w:line="252" w:lineRule="auto"/>
            </w:pPr>
            <w:r>
              <w:rPr>
                <w:sz w:val="17"/>
              </w:rPr>
              <w:t>Amounts</w:t>
            </w:r>
          </w:p>
        </w:tc>
        <w:tc>
          <w:tcPr>
            <w:tcW w:type="dxa" w:w="6803"/>
            <w:shd w:val="clear" w:color="auto" w:fill="EAF1F4"/>
          </w:tcPr>
          <w:p>
            <w:pPr>
              <w:spacing w:after="50" w:before="50" w:line="252" w:lineRule="auto"/>
            </w:pPr>
            <w:r>
              <w:rPr>
                <w:sz w:val="17"/>
              </w:rPr>
              <w:t>Banded — bands specified in the release note</w:t>
            </w:r>
          </w:p>
        </w:tc>
      </w:tr>
      <w:tr>
        <w:tc>
          <w:tcPr>
            <w:tcW w:type="dxa" w:w="2665"/>
          </w:tcPr>
          <w:p>
            <w:pPr>
              <w:spacing w:after="50" w:before="50" w:line="252" w:lineRule="auto"/>
            </w:pPr>
            <w:r>
              <w:rPr>
                <w:sz w:val="17"/>
              </w:rPr>
              <w:t>Sector</w:t>
            </w:r>
          </w:p>
        </w:tc>
        <w:tc>
          <w:tcPr>
            <w:tcW w:type="dxa" w:w="6803"/>
          </w:tcPr>
          <w:p>
            <w:pPr>
              <w:spacing w:after="50" w:before="50" w:line="252" w:lineRule="auto"/>
            </w:pPr>
            <w:r>
              <w:rPr>
                <w:sz w:val="17"/>
              </w:rPr>
              <w:t>Released at a level of generality; narrow sub-sectors merged</w:t>
            </w:r>
          </w:p>
        </w:tc>
      </w:tr>
      <w:tr>
        <w:tc>
          <w:tcPr>
            <w:tcW w:type="dxa" w:w="2665"/>
            <w:shd w:val="clear" w:color="auto" w:fill="EAF1F4"/>
          </w:tcPr>
          <w:p>
            <w:pPr>
              <w:spacing w:after="50" w:before="50" w:line="252" w:lineRule="auto"/>
            </w:pPr>
            <w:r>
              <w:rPr>
                <w:sz w:val="17"/>
              </w:rPr>
              <w:t>Geography</w:t>
            </w:r>
          </w:p>
        </w:tc>
        <w:tc>
          <w:tcPr>
            <w:tcW w:type="dxa" w:w="6803"/>
            <w:shd w:val="clear" w:color="auto" w:fill="EAF1F4"/>
          </w:tcPr>
          <w:p>
            <w:pPr>
              <w:spacing w:after="50" w:before="50" w:line="252" w:lineRule="auto"/>
            </w:pPr>
            <w:r>
              <w:rPr>
                <w:sz w:val="17"/>
              </w:rPr>
              <w:t>State level; city only where the city is large and the cell size permits</w:t>
            </w:r>
          </w:p>
        </w:tc>
      </w:tr>
      <w:tr>
        <w:tc>
          <w:tcPr>
            <w:tcW w:type="dxa" w:w="2665"/>
          </w:tcPr>
          <w:p>
            <w:pPr>
              <w:spacing w:after="50" w:before="50" w:line="252" w:lineRule="auto"/>
            </w:pPr>
            <w:r>
              <w:rPr>
                <w:sz w:val="17"/>
              </w:rPr>
              <w:t>Free text and narrative</w:t>
            </w:r>
          </w:p>
        </w:tc>
        <w:tc>
          <w:tcPr>
            <w:tcW w:type="dxa" w:w="6803"/>
          </w:tcPr>
          <w:p>
            <w:pPr>
              <w:spacing w:after="50" w:before="50" w:line="252" w:lineRule="auto"/>
            </w:pPr>
            <w:r>
              <w:rPr>
                <w:b/>
                <w:sz w:val="17"/>
              </w:rPr>
              <w:t>Never released</w:t>
            </w:r>
          </w:p>
        </w:tc>
      </w:tr>
      <w:tr>
        <w:tc>
          <w:tcPr>
            <w:tcW w:type="dxa" w:w="2665"/>
            <w:shd w:val="clear" w:color="auto" w:fill="EAF1F4"/>
          </w:tcPr>
          <w:p>
            <w:pPr>
              <w:spacing w:after="50" w:before="50" w:line="252" w:lineRule="auto"/>
            </w:pPr>
            <w:r>
              <w:rPr>
                <w:sz w:val="17"/>
              </w:rPr>
              <w:t>Unusual features</w:t>
            </w:r>
          </w:p>
        </w:tc>
        <w:tc>
          <w:tcPr>
            <w:tcW w:type="dxa" w:w="6803"/>
            <w:shd w:val="clear" w:color="auto" w:fill="EAF1F4"/>
          </w:tcPr>
          <w:p>
            <w:pPr>
              <w:spacing w:after="50" w:before="50" w:line="252" w:lineRule="auto"/>
            </w:pPr>
            <w:r>
              <w:rPr>
                <w:sz w:val="17"/>
              </w:rPr>
              <w:t>Any feature making a matter distinctive is removed or generalised, even if not an identifier</w:t>
            </w:r>
          </w:p>
        </w:tc>
      </w:tr>
    </w:tbl>
    <w:p>
      <w:pPr>
        <w:spacing w:after="80" w:before="0"/>
      </w:pPr>
    </w:p>
    <w:p>
      <w:pPr>
        <w:pStyle w:val="Heading2"/>
      </w:pPr>
      <w:r>
        <w:t>4.1 Disclosure control</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515"/>
            <w:shd w:val="clear" w:color="auto" w:fill="10375C"/>
          </w:tcPr>
          <w:p>
            <w:pPr>
              <w:spacing w:after="50" w:before="50"/>
            </w:pPr>
            <w:r>
              <w:rPr>
                <w:b/>
                <w:color w:val="FFFFFF"/>
                <w:sz w:val="17"/>
              </w:rPr>
              <w:t>Control</w:t>
            </w:r>
          </w:p>
        </w:tc>
        <w:tc>
          <w:tcPr>
            <w:tcW w:type="dxa" w:w="6953"/>
            <w:shd w:val="clear" w:color="auto" w:fill="10375C"/>
          </w:tcPr>
          <w:p>
            <w:pPr>
              <w:spacing w:after="50" w:before="50"/>
            </w:pPr>
            <w:r>
              <w:rPr>
                <w:b/>
                <w:color w:val="FFFFFF"/>
                <w:sz w:val="17"/>
              </w:rPr>
              <w:t>Rule</w:t>
            </w:r>
          </w:p>
        </w:tc>
      </w:tr>
      <w:tr>
        <w:tc>
          <w:tcPr>
            <w:tcW w:type="dxa" w:w="2515"/>
          </w:tcPr>
          <w:p>
            <w:pPr>
              <w:spacing w:after="50" w:before="50" w:line="252" w:lineRule="auto"/>
            </w:pPr>
            <w:r>
              <w:rPr>
                <w:sz w:val="17"/>
              </w:rPr>
              <w:t>Small-cell suppression</w:t>
            </w:r>
          </w:p>
        </w:tc>
        <w:tc>
          <w:tcPr>
            <w:tcW w:type="dxa" w:w="6953"/>
          </w:tcPr>
          <w:p>
            <w:pPr>
              <w:spacing w:after="50" w:before="50" w:line="252" w:lineRule="auto"/>
            </w:pPr>
            <w:r>
              <w:rPr>
                <w:sz w:val="17"/>
              </w:rPr>
              <w:t xml:space="preserve">Cells below </w:t>
            </w:r>
            <w:r>
              <w:rPr>
                <w:b/>
                <w:sz w:val="17"/>
              </w:rPr>
              <w:t>[●]</w:t>
            </w:r>
            <w:r>
              <w:rPr>
                <w:sz w:val="17"/>
              </w:rPr>
              <w:t xml:space="preserve"> observations suppressed</w:t>
            </w:r>
          </w:p>
        </w:tc>
      </w:tr>
      <w:tr>
        <w:tc>
          <w:tcPr>
            <w:tcW w:type="dxa" w:w="2515"/>
            <w:shd w:val="clear" w:color="auto" w:fill="EAF1F4"/>
          </w:tcPr>
          <w:p>
            <w:pPr>
              <w:spacing w:after="50" w:before="50" w:line="252" w:lineRule="auto"/>
            </w:pPr>
            <w:r>
              <w:rPr>
                <w:sz w:val="17"/>
              </w:rPr>
              <w:t>Secondary suppression</w:t>
            </w:r>
          </w:p>
        </w:tc>
        <w:tc>
          <w:tcPr>
            <w:tcW w:type="dxa" w:w="6953"/>
            <w:shd w:val="clear" w:color="auto" w:fill="EAF1F4"/>
          </w:tcPr>
          <w:p>
            <w:pPr>
              <w:spacing w:after="50" w:before="50" w:line="252" w:lineRule="auto"/>
            </w:pPr>
            <w:r>
              <w:rPr>
                <w:sz w:val="17"/>
              </w:rPr>
              <w:t>Applied so that suppressed cells cannot be derived from totals</w:t>
            </w:r>
          </w:p>
        </w:tc>
      </w:tr>
      <w:tr>
        <w:tc>
          <w:tcPr>
            <w:tcW w:type="dxa" w:w="2515"/>
          </w:tcPr>
          <w:p>
            <w:pPr>
              <w:spacing w:after="50" w:before="50" w:line="252" w:lineRule="auto"/>
            </w:pPr>
            <w:r>
              <w:rPr>
                <w:sz w:val="17"/>
              </w:rPr>
              <w:t>Dominance</w:t>
            </w:r>
          </w:p>
        </w:tc>
        <w:tc>
          <w:tcPr>
            <w:tcW w:type="dxa" w:w="6953"/>
          </w:tcPr>
          <w:p>
            <w:pPr>
              <w:spacing w:after="50" w:before="50" w:line="252" w:lineRule="auto"/>
            </w:pPr>
            <w:r>
              <w:rPr>
                <w:sz w:val="17"/>
              </w:rPr>
              <w:t xml:space="preserve">Where one matter accounts for more than </w:t>
            </w:r>
            <w:r>
              <w:rPr>
                <w:b/>
                <w:sz w:val="17"/>
              </w:rPr>
              <w:t>[●]%</w:t>
            </w:r>
            <w:r>
              <w:rPr>
                <w:sz w:val="17"/>
              </w:rPr>
              <w:t xml:space="preserve"> of a cell's value, the cell is suppressed</w:t>
            </w:r>
          </w:p>
        </w:tc>
      </w:tr>
      <w:tr>
        <w:tc>
          <w:tcPr>
            <w:tcW w:type="dxa" w:w="2515"/>
            <w:shd w:val="clear" w:color="auto" w:fill="EAF1F4"/>
          </w:tcPr>
          <w:p>
            <w:pPr>
              <w:spacing w:after="50" w:before="50" w:line="252" w:lineRule="auto"/>
            </w:pPr>
            <w:r>
              <w:rPr>
                <w:sz w:val="17"/>
              </w:rPr>
              <w:t>Cross-tabulation</w:t>
            </w:r>
          </w:p>
        </w:tc>
        <w:tc>
          <w:tcPr>
            <w:tcW w:type="dxa" w:w="6953"/>
            <w:shd w:val="clear" w:color="auto" w:fill="EAF1F4"/>
          </w:tcPr>
          <w:p>
            <w:pPr>
              <w:spacing w:after="50" w:before="50" w:line="252" w:lineRule="auto"/>
            </w:pPr>
            <w:r>
              <w:rPr>
                <w:sz w:val="17"/>
              </w:rPr>
              <w:t>Limited to the dimensions specified in the release note; researchers may not create further cross-tabulations without approval</w:t>
            </w:r>
          </w:p>
        </w:tc>
      </w:tr>
      <w:tr>
        <w:tc>
          <w:tcPr>
            <w:tcW w:type="dxa" w:w="2515"/>
          </w:tcPr>
          <w:p>
            <w:pPr>
              <w:spacing w:after="50" w:before="50" w:line="252" w:lineRule="auto"/>
            </w:pPr>
            <w:r>
              <w:rPr>
                <w:sz w:val="17"/>
              </w:rPr>
              <w:t>Outliers</w:t>
            </w:r>
          </w:p>
        </w:tc>
        <w:tc>
          <w:tcPr>
            <w:tcW w:type="dxa" w:w="6953"/>
          </w:tcPr>
          <w:p>
            <w:pPr>
              <w:spacing w:after="50" w:before="50" w:line="252" w:lineRule="auto"/>
            </w:pPr>
            <w:r>
              <w:rPr>
                <w:sz w:val="17"/>
              </w:rPr>
              <w:t>Removed or top-coded</w:t>
            </w:r>
          </w:p>
        </w:tc>
      </w:tr>
      <w:tr>
        <w:tc>
          <w:tcPr>
            <w:tcW w:type="dxa" w:w="2515"/>
            <w:shd w:val="clear" w:color="auto" w:fill="EAF1F4"/>
          </w:tcPr>
          <w:p>
            <w:pPr>
              <w:spacing w:after="50" w:before="50" w:line="252" w:lineRule="auto"/>
            </w:pPr>
            <w:r>
              <w:rPr>
                <w:sz w:val="17"/>
              </w:rPr>
              <w:t>Output checking</w:t>
            </w:r>
          </w:p>
        </w:tc>
        <w:tc>
          <w:tcPr>
            <w:tcW w:type="dxa" w:w="6953"/>
            <w:shd w:val="clear" w:color="auto" w:fill="EAF1F4"/>
          </w:tcPr>
          <w:p>
            <w:pPr>
              <w:spacing w:after="50" w:before="50" w:line="252" w:lineRule="auto"/>
            </w:pPr>
            <w:r>
              <w:rPr>
                <w:sz w:val="17"/>
              </w:rPr>
              <w:t>Every table and figure checked by the Research Lead before publication</w:t>
            </w:r>
          </w:p>
        </w:tc>
      </w:tr>
    </w:tbl>
    <w:p>
      <w:pPr>
        <w:spacing w:after="80" w:before="0"/>
      </w:pPr>
    </w:p>
    <w:p>
      <w:pPr>
        <w:spacing w:before="80" w:after="160"/>
        <w:pBdr>
          <w:bottom w:val="single" w:sz="6" w:space="1" w:color="C9D6DE"/>
        </w:pBdr>
      </w:pPr>
    </w:p>
    <w:p>
      <w:pPr>
        <w:pStyle w:val="Heading1"/>
        <w:pBdr>
          <w:bottom w:val="single" w:sz="8" w:space="4" w:color="C9D6DE"/>
        </w:pBdr>
      </w:pPr>
      <w:r>
        <w:t>5. Data release</w:t>
      </w:r>
    </w:p>
    <w:p>
      <w:r>
        <w:t xml:space="preserve">No data moves without a </w:t>
      </w:r>
      <w:r>
        <w:rPr>
          <w:b/>
        </w:rPr>
        <w:t>data release note</w:t>
      </w:r>
      <w:r>
        <w:t xml:space="preserve">, approved by the Research Lead </w:t>
      </w:r>
      <w:r>
        <w:rPr>
          <w:b/>
        </w:rPr>
        <w:t>and</w:t>
      </w:r>
      <w:r>
        <w:t xml:space="preserve"> the DPO, recording:</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6489"/>
            <w:shd w:val="clear" w:color="auto" w:fill="10375C"/>
          </w:tcPr>
          <w:p>
            <w:pPr>
              <w:spacing w:after="50" w:before="50"/>
            </w:pPr>
            <w:r>
              <w:rPr>
                <w:b/>
                <w:color w:val="FFFFFF"/>
                <w:sz w:val="17"/>
              </w:rPr>
              <w:t>Field</w:t>
            </w:r>
          </w:p>
        </w:tc>
        <w:tc>
          <w:tcPr>
            <w:tcW w:type="dxa" w:w="2979"/>
            <w:shd w:val="clear" w:color="auto" w:fill="10375C"/>
          </w:tcPr>
          <w:p>
            <w:pPr>
              <w:spacing w:after="50" w:before="50"/>
            </w:pPr>
            <w:r>
              <w:rPr>
                <w:b/>
                <w:color w:val="FFFFFF"/>
                <w:sz w:val="17"/>
              </w:rPr>
              <w:t>Content</w:t>
            </w:r>
          </w:p>
        </w:tc>
      </w:tr>
      <w:tr>
        <w:tc>
          <w:tcPr>
            <w:tcW w:type="dxa" w:w="6489"/>
          </w:tcPr>
          <w:p>
            <w:pPr>
              <w:spacing w:after="50" w:before="50" w:line="252" w:lineRule="auto"/>
            </w:pPr>
            <w:r>
              <w:rPr>
                <w:sz w:val="17"/>
              </w:rPr>
              <w:t>Project and approval references</w:t>
            </w:r>
          </w:p>
        </w:tc>
        <w:tc>
          <w:tcPr>
            <w:tcW w:type="dxa" w:w="2979"/>
          </w:tcPr>
          <w:p>
            <w:pPr>
              <w:spacing w:after="50" w:before="50" w:line="252" w:lineRule="auto"/>
            </w:pPr>
          </w:p>
        </w:tc>
      </w:tr>
      <w:tr>
        <w:tc>
          <w:tcPr>
            <w:tcW w:type="dxa" w:w="6489"/>
            <w:shd w:val="clear" w:color="auto" w:fill="EAF1F4"/>
          </w:tcPr>
          <w:p>
            <w:pPr>
              <w:spacing w:after="50" w:before="50" w:line="252" w:lineRule="auto"/>
            </w:pPr>
            <w:r>
              <w:rPr>
                <w:sz w:val="17"/>
              </w:rPr>
              <w:t>Research question the data answers</w:t>
            </w:r>
          </w:p>
        </w:tc>
        <w:tc>
          <w:tcPr>
            <w:tcW w:type="dxa" w:w="2979"/>
            <w:shd w:val="clear" w:color="auto" w:fill="EAF1F4"/>
          </w:tcPr>
          <w:p>
            <w:pPr>
              <w:spacing w:after="50" w:before="50" w:line="252" w:lineRule="auto"/>
            </w:pPr>
          </w:p>
        </w:tc>
      </w:tr>
      <w:tr>
        <w:tc>
          <w:tcPr>
            <w:tcW w:type="dxa" w:w="6489"/>
          </w:tcPr>
          <w:p>
            <w:pPr>
              <w:spacing w:after="50" w:before="50" w:line="252" w:lineRule="auto"/>
            </w:pPr>
            <w:r>
              <w:rPr>
                <w:sz w:val="17"/>
              </w:rPr>
              <w:t>Exact fields released, and why each is necessary</w:t>
            </w:r>
          </w:p>
        </w:tc>
        <w:tc>
          <w:tcPr>
            <w:tcW w:type="dxa" w:w="2979"/>
          </w:tcPr>
          <w:p>
            <w:pPr>
              <w:spacing w:after="50" w:before="50" w:line="252" w:lineRule="auto"/>
            </w:pPr>
          </w:p>
        </w:tc>
      </w:tr>
      <w:tr>
        <w:tc>
          <w:tcPr>
            <w:tcW w:type="dxa" w:w="6489"/>
            <w:shd w:val="clear" w:color="auto" w:fill="EAF1F4"/>
          </w:tcPr>
          <w:p>
            <w:pPr>
              <w:spacing w:after="50" w:before="50" w:line="252" w:lineRule="auto"/>
            </w:pPr>
            <w:r>
              <w:rPr>
                <w:sz w:val="17"/>
              </w:rPr>
              <w:t>Anonymisation applied</w:t>
            </w:r>
          </w:p>
        </w:tc>
        <w:tc>
          <w:tcPr>
            <w:tcW w:type="dxa" w:w="2979"/>
            <w:shd w:val="clear" w:color="auto" w:fill="EAF1F4"/>
          </w:tcPr>
          <w:p>
            <w:pPr>
              <w:spacing w:after="50" w:before="50" w:line="252" w:lineRule="auto"/>
            </w:pPr>
          </w:p>
        </w:tc>
      </w:tr>
      <w:tr>
        <w:tc>
          <w:tcPr>
            <w:tcW w:type="dxa" w:w="6489"/>
          </w:tcPr>
          <w:p>
            <w:pPr>
              <w:spacing w:after="50" w:before="50" w:line="252" w:lineRule="auto"/>
            </w:pPr>
            <w:r>
              <w:rPr>
                <w:sz w:val="17"/>
              </w:rPr>
              <w:t>Disclosure controls applied</w:t>
            </w:r>
          </w:p>
        </w:tc>
        <w:tc>
          <w:tcPr>
            <w:tcW w:type="dxa" w:w="2979"/>
          </w:tcPr>
          <w:p>
            <w:pPr>
              <w:spacing w:after="50" w:before="50" w:line="252" w:lineRule="auto"/>
            </w:pPr>
          </w:p>
        </w:tc>
      </w:tr>
      <w:tr>
        <w:tc>
          <w:tcPr>
            <w:tcW w:type="dxa" w:w="6489"/>
            <w:shd w:val="clear" w:color="auto" w:fill="EAF1F4"/>
          </w:tcPr>
          <w:p>
            <w:pPr>
              <w:spacing w:after="50" w:before="50" w:line="252" w:lineRule="auto"/>
            </w:pPr>
            <w:r>
              <w:rPr>
                <w:sz w:val="17"/>
              </w:rPr>
              <w:t>Named recipients, each holding a current F-09 undertaking</w:t>
            </w:r>
          </w:p>
        </w:tc>
        <w:tc>
          <w:tcPr>
            <w:tcW w:type="dxa" w:w="2979"/>
            <w:shd w:val="clear" w:color="auto" w:fill="EAF1F4"/>
          </w:tcPr>
          <w:p>
            <w:pPr>
              <w:spacing w:after="50" w:before="50" w:line="252" w:lineRule="auto"/>
            </w:pPr>
          </w:p>
        </w:tc>
      </w:tr>
      <w:tr>
        <w:tc>
          <w:tcPr>
            <w:tcW w:type="dxa" w:w="6489"/>
          </w:tcPr>
          <w:p>
            <w:pPr>
              <w:spacing w:after="50" w:before="50" w:line="252" w:lineRule="auto"/>
            </w:pPr>
            <w:r>
              <w:rPr>
                <w:sz w:val="17"/>
              </w:rPr>
              <w:t>Transfer method</w:t>
            </w:r>
          </w:p>
        </w:tc>
        <w:tc>
          <w:tcPr>
            <w:tcW w:type="dxa" w:w="2979"/>
          </w:tcPr>
          <w:p>
            <w:pPr>
              <w:spacing w:after="50" w:before="50" w:line="252" w:lineRule="auto"/>
            </w:pPr>
            <w:r>
              <w:rPr>
                <w:sz w:val="17"/>
              </w:rPr>
              <w:t>Encrypted; never by email attachment</w:t>
            </w:r>
          </w:p>
        </w:tc>
      </w:tr>
      <w:tr>
        <w:tc>
          <w:tcPr>
            <w:tcW w:type="dxa" w:w="6489"/>
            <w:shd w:val="clear" w:color="auto" w:fill="EAF1F4"/>
          </w:tcPr>
          <w:p>
            <w:pPr>
              <w:spacing w:after="50" w:before="50" w:line="252" w:lineRule="auto"/>
            </w:pPr>
            <w:r>
              <w:rPr>
                <w:sz w:val="17"/>
              </w:rPr>
              <w:t>Storage location and controls</w:t>
            </w:r>
          </w:p>
        </w:tc>
        <w:tc>
          <w:tcPr>
            <w:tcW w:type="dxa" w:w="2979"/>
            <w:shd w:val="clear" w:color="auto" w:fill="EAF1F4"/>
          </w:tcPr>
          <w:p>
            <w:pPr>
              <w:spacing w:after="50" w:before="50" w:line="252" w:lineRule="auto"/>
            </w:pPr>
            <w:r>
              <w:rPr>
                <w:sz w:val="17"/>
              </w:rPr>
              <w:t>Within India; access-controlled; encrypted</w:t>
            </w:r>
          </w:p>
        </w:tc>
      </w:tr>
      <w:tr>
        <w:tc>
          <w:tcPr>
            <w:tcW w:type="dxa" w:w="6489"/>
          </w:tcPr>
          <w:p>
            <w:pPr>
              <w:spacing w:after="50" w:before="50" w:line="252" w:lineRule="auto"/>
            </w:pPr>
            <w:r>
              <w:rPr>
                <w:sz w:val="17"/>
              </w:rPr>
              <w:t>Permitted analyses</w:t>
            </w:r>
          </w:p>
        </w:tc>
        <w:tc>
          <w:tcPr>
            <w:tcW w:type="dxa" w:w="2979"/>
          </w:tcPr>
          <w:p>
            <w:pPr>
              <w:spacing w:after="50" w:before="50" w:line="252" w:lineRule="auto"/>
            </w:pPr>
          </w:p>
        </w:tc>
      </w:tr>
      <w:tr>
        <w:tc>
          <w:tcPr>
            <w:tcW w:type="dxa" w:w="6489"/>
            <w:shd w:val="clear" w:color="auto" w:fill="EAF1F4"/>
          </w:tcPr>
          <w:p>
            <w:pPr>
              <w:spacing w:after="50" w:before="50" w:line="252" w:lineRule="auto"/>
            </w:pPr>
            <w:r>
              <w:rPr>
                <w:b/>
                <w:sz w:val="17"/>
              </w:rPr>
              <w:t>Deletion date</w:t>
            </w:r>
          </w:p>
        </w:tc>
        <w:tc>
          <w:tcPr>
            <w:tcW w:type="dxa" w:w="2979"/>
            <w:shd w:val="clear" w:color="auto" w:fill="EAF1F4"/>
          </w:tcPr>
          <w:p>
            <w:pPr>
              <w:spacing w:after="50" w:before="50" w:line="252" w:lineRule="auto"/>
            </w:pPr>
          </w:p>
        </w:tc>
      </w:tr>
      <w:tr>
        <w:tc>
          <w:tcPr>
            <w:tcW w:type="dxa" w:w="6489"/>
          </w:tcPr>
          <w:p>
            <w:pPr>
              <w:spacing w:after="50" w:before="50" w:line="252" w:lineRule="auto"/>
            </w:pPr>
            <w:r>
              <w:rPr>
                <w:sz w:val="17"/>
              </w:rPr>
              <w:t>Output checking arrangements</w:t>
            </w:r>
          </w:p>
        </w:tc>
        <w:tc>
          <w:tcPr>
            <w:tcW w:type="dxa" w:w="2979"/>
          </w:tcPr>
          <w:p>
            <w:pPr>
              <w:spacing w:after="50" w:before="50" w:line="252" w:lineRule="auto"/>
            </w:pPr>
          </w:p>
        </w:tc>
      </w:tr>
    </w:tbl>
    <w:p>
      <w:pPr>
        <w:spacing w:after="80" w:before="0"/>
      </w:pPr>
    </w:p>
    <w:p>
      <w:pPr>
        <w:spacing w:before="80" w:after="160"/>
        <w:pBdr>
          <w:bottom w:val="single" w:sz="6" w:space="1" w:color="C9D6DE"/>
        </w:pBdr>
      </w:pPr>
    </w:p>
    <w:p>
      <w:pPr>
        <w:pStyle w:val="Heading1"/>
        <w:pBdr>
          <w:bottom w:val="single" w:sz="8" w:space="4" w:color="C9D6DE"/>
        </w:pBdr>
      </w:pPr>
      <w:r>
        <w:t>6. Storage and handling</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9468"/>
      </w:tblGrid>
      <w:tr>
        <w:trPr>
          <w:tblHeader w:val="true"/>
        </w:trPr>
        <w:tc>
          <w:tcPr>
            <w:tcW w:type="dxa" w:w="9468"/>
            <w:shd w:val="clear" w:color="auto" w:fill="10375C"/>
          </w:tcPr>
          <w:p>
            <w:pPr>
              <w:spacing w:after="50" w:before="50"/>
            </w:pPr>
            <w:r>
              <w:rPr>
                <w:b/>
                <w:color w:val="FFFFFF"/>
                <w:sz w:val="17"/>
              </w:rPr>
              <w:t>Rule</w:t>
            </w:r>
          </w:p>
        </w:tc>
      </w:tr>
      <w:tr>
        <w:tc>
          <w:tcPr>
            <w:tcW w:type="dxa" w:w="9468"/>
          </w:tcPr>
          <w:p>
            <w:pPr>
              <w:spacing w:after="50" w:before="50" w:line="252" w:lineRule="auto"/>
            </w:pPr>
            <w:r>
              <w:rPr>
                <w:sz w:val="17"/>
              </w:rPr>
              <w:t>Data held only on approved systems, within India</w:t>
            </w:r>
          </w:p>
        </w:tc>
      </w:tr>
      <w:tr>
        <w:tc>
          <w:tcPr>
            <w:tcW w:type="dxa" w:w="9468"/>
            <w:shd w:val="clear" w:color="auto" w:fill="EAF1F4"/>
          </w:tcPr>
          <w:p>
            <w:pPr>
              <w:spacing w:after="50" w:before="50" w:line="252" w:lineRule="auto"/>
            </w:pPr>
            <w:r>
              <w:rPr>
                <w:sz w:val="17"/>
              </w:rPr>
              <w:t>Encrypted at rest and in transit</w:t>
            </w:r>
          </w:p>
        </w:tc>
      </w:tr>
      <w:tr>
        <w:tc>
          <w:tcPr>
            <w:tcW w:type="dxa" w:w="9468"/>
          </w:tcPr>
          <w:p>
            <w:pPr>
              <w:spacing w:after="50" w:before="50" w:line="252" w:lineRule="auto"/>
            </w:pPr>
            <w:r>
              <w:rPr>
                <w:sz w:val="17"/>
              </w:rPr>
              <w:t>Access limited to named recipients; individual accounts; no sharing</w:t>
            </w:r>
          </w:p>
        </w:tc>
      </w:tr>
      <w:tr>
        <w:tc>
          <w:tcPr>
            <w:tcW w:type="dxa" w:w="9468"/>
            <w:shd w:val="clear" w:color="auto" w:fill="EAF1F4"/>
          </w:tcPr>
          <w:p>
            <w:pPr>
              <w:spacing w:after="50" w:before="50" w:line="252" w:lineRule="auto"/>
            </w:pPr>
            <w:r>
              <w:rPr>
                <w:b/>
                <w:sz w:val="17"/>
              </w:rPr>
              <w:t>No copies on personal devices, personal cloud accounts or personal email</w:t>
            </w:r>
          </w:p>
        </w:tc>
      </w:tr>
      <w:tr>
        <w:tc>
          <w:tcPr>
            <w:tcW w:type="dxa" w:w="9468"/>
          </w:tcPr>
          <w:p>
            <w:pPr>
              <w:spacing w:after="50" w:before="50" w:line="252" w:lineRule="auto"/>
            </w:pPr>
            <w:r>
              <w:rPr>
                <w:sz w:val="17"/>
              </w:rPr>
              <w:t>No printing except where necessary, and printed material destroyed securely</w:t>
            </w:r>
          </w:p>
        </w:tc>
      </w:tr>
      <w:tr>
        <w:tc>
          <w:tcPr>
            <w:tcW w:type="dxa" w:w="9468"/>
            <w:shd w:val="clear" w:color="auto" w:fill="EAF1F4"/>
          </w:tcPr>
          <w:p>
            <w:pPr>
              <w:spacing w:after="50" w:before="50" w:line="252" w:lineRule="auto"/>
            </w:pPr>
            <w:r>
              <w:rPr>
                <w:sz w:val="17"/>
              </w:rPr>
              <w:t>Access log maintained and available to the DPO</w:t>
            </w:r>
          </w:p>
        </w:tc>
      </w:tr>
      <w:tr>
        <w:tc>
          <w:tcPr>
            <w:tcW w:type="dxa" w:w="9468"/>
          </w:tcPr>
          <w:p>
            <w:pPr>
              <w:spacing w:after="50" w:before="50" w:line="252" w:lineRule="auto"/>
            </w:pPr>
            <w:r>
              <w:rPr>
                <w:sz w:val="17"/>
              </w:rPr>
              <w:t>No transfer to any third party, including a co-author not named in the release note</w:t>
            </w:r>
          </w:p>
        </w:tc>
      </w:tr>
      <w:tr>
        <w:tc>
          <w:tcPr>
            <w:tcW w:type="dxa" w:w="9468"/>
            <w:shd w:val="clear" w:color="auto" w:fill="EAF1F4"/>
          </w:tcPr>
          <w:p>
            <w:pPr>
              <w:spacing w:after="50" w:before="50" w:line="252" w:lineRule="auto"/>
            </w:pPr>
            <w:r>
              <w:rPr>
                <w:sz w:val="17"/>
              </w:rPr>
              <w:t>No use of a third-party analytical service, including any cloud-hosted model, without DPO approval</w:t>
            </w:r>
          </w:p>
        </w:tc>
      </w:tr>
    </w:tbl>
    <w:p>
      <w:pPr>
        <w:spacing w:after="80" w:before="0"/>
      </w:pPr>
    </w:p>
    <w:p>
      <w:r>
        <w:t>The last rule is stated expressly because uploading a data extract to an external analytical or language model is a transfer to a third party, and is not permitted without approval.</w:t>
      </w:r>
    </w:p>
    <w:p>
      <w:pPr>
        <w:spacing w:before="80" w:after="160"/>
        <w:pBdr>
          <w:bottom w:val="single" w:sz="6" w:space="1" w:color="C9D6DE"/>
        </w:pBdr>
      </w:pPr>
    </w:p>
    <w:p>
      <w:pPr>
        <w:pStyle w:val="Heading1"/>
        <w:pBdr>
          <w:bottom w:val="single" w:sz="8" w:space="4" w:color="C9D6DE"/>
        </w:pBdr>
      </w:pPr>
      <w:r>
        <w:t>7. Prohibited</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9468"/>
      </w:tblGrid>
      <w:tr>
        <w:trPr>
          <w:tblHeader w:val="true"/>
        </w:trPr>
        <w:tc>
          <w:tcPr>
            <w:tcW w:type="dxa" w:w="9468"/>
            <w:shd w:val="clear" w:color="auto" w:fill="10375C"/>
          </w:tcPr>
          <w:p>
            <w:pPr>
              <w:spacing w:after="50" w:before="50"/>
            </w:pPr>
            <w:r>
              <w:rPr>
                <w:b/>
                <w:color w:val="FFFFFF"/>
                <w:sz w:val="17"/>
              </w:rPr>
              <w:t>Absolutely prohibited</w:t>
            </w:r>
          </w:p>
        </w:tc>
      </w:tr>
      <w:tr>
        <w:tc>
          <w:tcPr>
            <w:tcW w:type="dxa" w:w="9468"/>
          </w:tcPr>
          <w:p>
            <w:pPr>
              <w:spacing w:after="50" w:before="50" w:line="252" w:lineRule="auto"/>
            </w:pPr>
            <w:r>
              <w:rPr>
                <w:sz w:val="17"/>
              </w:rPr>
              <w:t>Any attempt to re-identify an individual, party, neutral or matter</w:t>
            </w:r>
          </w:p>
        </w:tc>
      </w:tr>
      <w:tr>
        <w:tc>
          <w:tcPr>
            <w:tcW w:type="dxa" w:w="9468"/>
            <w:shd w:val="clear" w:color="auto" w:fill="EAF1F4"/>
          </w:tcPr>
          <w:p>
            <w:pPr>
              <w:spacing w:after="50" w:before="50" w:line="252" w:lineRule="auto"/>
            </w:pPr>
            <w:r>
              <w:rPr>
                <w:sz w:val="17"/>
              </w:rPr>
              <w:t>Linking the data to any external data set without approval</w:t>
            </w:r>
          </w:p>
        </w:tc>
      </w:tr>
      <w:tr>
        <w:tc>
          <w:tcPr>
            <w:tcW w:type="dxa" w:w="9468"/>
          </w:tcPr>
          <w:p>
            <w:pPr>
              <w:spacing w:after="50" w:before="50" w:line="252" w:lineRule="auto"/>
            </w:pPr>
            <w:r>
              <w:rPr>
                <w:sz w:val="17"/>
              </w:rPr>
              <w:t>Publishing a case description, however anonymised, that permits identification</w:t>
            </w:r>
          </w:p>
        </w:tc>
      </w:tr>
      <w:tr>
        <w:tc>
          <w:tcPr>
            <w:tcW w:type="dxa" w:w="9468"/>
            <w:shd w:val="clear" w:color="auto" w:fill="EAF1F4"/>
          </w:tcPr>
          <w:p>
            <w:pPr>
              <w:spacing w:after="50" w:before="50" w:line="252" w:lineRule="auto"/>
            </w:pPr>
            <w:r>
              <w:rPr>
                <w:sz w:val="17"/>
              </w:rPr>
              <w:t>Quoting anything said in a mediation</w:t>
            </w:r>
          </w:p>
        </w:tc>
      </w:tr>
      <w:tr>
        <w:tc>
          <w:tcPr>
            <w:tcW w:type="dxa" w:w="9468"/>
          </w:tcPr>
          <w:p>
            <w:pPr>
              <w:spacing w:after="50" w:before="50" w:line="252" w:lineRule="auto"/>
            </w:pPr>
            <w:r>
              <w:rPr>
                <w:sz w:val="17"/>
              </w:rPr>
              <w:t>Using any recording of any proceeding — none exists, and none may be made</w:t>
            </w:r>
          </w:p>
        </w:tc>
      </w:tr>
      <w:tr>
        <w:tc>
          <w:tcPr>
            <w:tcW w:type="dxa" w:w="9468"/>
            <w:shd w:val="clear" w:color="auto" w:fill="EAF1F4"/>
          </w:tcPr>
          <w:p>
            <w:pPr>
              <w:spacing w:after="50" w:before="50" w:line="252" w:lineRule="auto"/>
            </w:pPr>
            <w:r>
              <w:rPr>
                <w:sz w:val="17"/>
              </w:rPr>
              <w:t>Approaching a party to a matter</w:t>
            </w:r>
          </w:p>
        </w:tc>
      </w:tr>
      <w:tr>
        <w:tc>
          <w:tcPr>
            <w:tcW w:type="dxa" w:w="9468"/>
          </w:tcPr>
          <w:p>
            <w:pPr>
              <w:spacing w:after="50" w:before="50" w:line="252" w:lineRule="auto"/>
            </w:pPr>
            <w:r>
              <w:rPr>
                <w:sz w:val="17"/>
              </w:rPr>
              <w:t>Retaining data beyond the deletion date</w:t>
            </w:r>
          </w:p>
        </w:tc>
      </w:tr>
      <w:tr>
        <w:tc>
          <w:tcPr>
            <w:tcW w:type="dxa" w:w="9468"/>
            <w:shd w:val="clear" w:color="auto" w:fill="EAF1F4"/>
          </w:tcPr>
          <w:p>
            <w:pPr>
              <w:spacing w:after="50" w:before="50" w:line="252" w:lineRule="auto"/>
            </w:pPr>
            <w:r>
              <w:rPr>
                <w:sz w:val="17"/>
              </w:rPr>
              <w:t>Using the data for any purpose other than the approved project, including a subsequent paper</w:t>
            </w:r>
          </w:p>
        </w:tc>
      </w:tr>
    </w:tbl>
    <w:p>
      <w:pPr>
        <w:spacing w:after="80" w:before="0"/>
      </w:pPr>
    </w:p>
    <w:p>
      <w:pPr>
        <w:spacing w:before="80" w:after="160"/>
        <w:pBdr>
          <w:bottom w:val="single" w:sz="6" w:space="1" w:color="C9D6DE"/>
        </w:pBdr>
      </w:pPr>
    </w:p>
    <w:p>
      <w:pPr>
        <w:pStyle w:val="Heading1"/>
        <w:pBdr>
          <w:bottom w:val="single" w:sz="8" w:space="4" w:color="C9D6DE"/>
        </w:pBdr>
      </w:pPr>
      <w:r>
        <w:t>8. Deletion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861"/>
            <w:shd w:val="clear" w:color="auto" w:fill="10375C"/>
          </w:tcPr>
          <w:p>
            <w:pPr>
              <w:spacing w:after="50" w:before="50"/>
            </w:pPr>
            <w:r>
              <w:rPr>
                <w:b/>
                <w:color w:val="FFFFFF"/>
                <w:sz w:val="17"/>
              </w:rPr>
              <w:t>Step</w:t>
            </w:r>
          </w:p>
        </w:tc>
        <w:tc>
          <w:tcPr>
            <w:tcW w:type="dxa" w:w="8607"/>
            <w:shd w:val="clear" w:color="auto" w:fill="10375C"/>
          </w:tcPr>
          <w:p>
            <w:pPr>
              <w:spacing w:after="50" w:before="50"/>
            </w:pPr>
            <w:r>
              <w:rPr>
                <w:b/>
                <w:color w:val="FFFFFF"/>
                <w:sz w:val="17"/>
              </w:rPr>
              <w:t>Requirement</w:t>
            </w:r>
          </w:p>
        </w:tc>
      </w:tr>
      <w:tr>
        <w:tc>
          <w:tcPr>
            <w:tcW w:type="dxa" w:w="861"/>
          </w:tcPr>
          <w:p>
            <w:pPr>
              <w:spacing w:after="50" w:before="50" w:line="252" w:lineRule="auto"/>
            </w:pPr>
            <w:r>
              <w:rPr>
                <w:sz w:val="17"/>
              </w:rPr>
              <w:t>1</w:t>
            </w:r>
          </w:p>
        </w:tc>
        <w:tc>
          <w:tcPr>
            <w:tcW w:type="dxa" w:w="8607"/>
          </w:tcPr>
          <w:p>
            <w:pPr>
              <w:spacing w:after="50" w:before="50" w:line="252" w:lineRule="auto"/>
            </w:pPr>
            <w:r>
              <w:rPr>
                <w:sz w:val="17"/>
              </w:rPr>
              <w:t>Deletion on the date in the release note, or on project completion, whichever is earlier</w:t>
            </w:r>
          </w:p>
        </w:tc>
      </w:tr>
      <w:tr>
        <w:tc>
          <w:tcPr>
            <w:tcW w:type="dxa" w:w="861"/>
            <w:shd w:val="clear" w:color="auto" w:fill="EAF1F4"/>
          </w:tcPr>
          <w:p>
            <w:pPr>
              <w:spacing w:after="50" w:before="50" w:line="252" w:lineRule="auto"/>
            </w:pPr>
            <w:r>
              <w:rPr>
                <w:sz w:val="17"/>
              </w:rPr>
              <w:t>2</w:t>
            </w:r>
          </w:p>
        </w:tc>
        <w:tc>
          <w:tcPr>
            <w:tcW w:type="dxa" w:w="8607"/>
            <w:shd w:val="clear" w:color="auto" w:fill="EAF1F4"/>
          </w:tcPr>
          <w:p>
            <w:pPr>
              <w:spacing w:after="50" w:before="50" w:line="252" w:lineRule="auto"/>
            </w:pPr>
            <w:r>
              <w:rPr>
                <w:sz w:val="17"/>
              </w:rPr>
              <w:t>All copies, including working files, derived data sets and backups within the researcher's control</w:t>
            </w:r>
          </w:p>
        </w:tc>
      </w:tr>
      <w:tr>
        <w:tc>
          <w:tcPr>
            <w:tcW w:type="dxa" w:w="861"/>
          </w:tcPr>
          <w:p>
            <w:pPr>
              <w:spacing w:after="50" w:before="50" w:line="252" w:lineRule="auto"/>
            </w:pPr>
            <w:r>
              <w:rPr>
                <w:sz w:val="17"/>
              </w:rPr>
              <w:t>3</w:t>
            </w:r>
          </w:p>
        </w:tc>
        <w:tc>
          <w:tcPr>
            <w:tcW w:type="dxa" w:w="8607"/>
          </w:tcPr>
          <w:p>
            <w:pPr>
              <w:spacing w:after="50" w:before="50" w:line="252" w:lineRule="auto"/>
            </w:pPr>
            <w:r>
              <w:rPr>
                <w:b/>
                <w:sz w:val="17"/>
              </w:rPr>
              <w:t>Written certification of deletion</w:t>
            </w:r>
            <w:r>
              <w:rPr>
                <w:sz w:val="17"/>
              </w:rPr>
              <w:t xml:space="preserve"> by each named recipient</w:t>
            </w:r>
          </w:p>
        </w:tc>
      </w:tr>
      <w:tr>
        <w:tc>
          <w:tcPr>
            <w:tcW w:type="dxa" w:w="861"/>
            <w:shd w:val="clear" w:color="auto" w:fill="EAF1F4"/>
          </w:tcPr>
          <w:p>
            <w:pPr>
              <w:spacing w:after="50" w:before="50" w:line="252" w:lineRule="auto"/>
            </w:pPr>
            <w:r>
              <w:rPr>
                <w:sz w:val="17"/>
              </w:rPr>
              <w:t>4</w:t>
            </w:r>
          </w:p>
        </w:tc>
        <w:tc>
          <w:tcPr>
            <w:tcW w:type="dxa" w:w="8607"/>
            <w:shd w:val="clear" w:color="auto" w:fill="EAF1F4"/>
          </w:tcPr>
          <w:p>
            <w:pPr>
              <w:spacing w:after="50" w:before="50" w:line="252" w:lineRule="auto"/>
            </w:pPr>
            <w:r>
              <w:rPr>
                <w:sz w:val="17"/>
              </w:rPr>
              <w:t>Verification by the DPO</w:t>
            </w:r>
          </w:p>
        </w:tc>
      </w:tr>
      <w:tr>
        <w:tc>
          <w:tcPr>
            <w:tcW w:type="dxa" w:w="861"/>
          </w:tcPr>
          <w:p>
            <w:pPr>
              <w:spacing w:after="50" w:before="50" w:line="252" w:lineRule="auto"/>
            </w:pPr>
            <w:r>
              <w:rPr>
                <w:sz w:val="17"/>
              </w:rPr>
              <w:t>5</w:t>
            </w:r>
          </w:p>
        </w:tc>
        <w:tc>
          <w:tcPr>
            <w:tcW w:type="dxa" w:w="8607"/>
          </w:tcPr>
          <w:p>
            <w:pPr>
              <w:spacing w:after="50" w:before="50" w:line="252" w:lineRule="auto"/>
            </w:pPr>
            <w:r>
              <w:rPr>
                <w:sz w:val="17"/>
              </w:rPr>
              <w:t>Extension only by a written variation to the release note</w:t>
            </w:r>
          </w:p>
        </w:tc>
      </w:tr>
    </w:tbl>
    <w:p>
      <w:pPr>
        <w:spacing w:after="80" w:before="0"/>
      </w:pPr>
    </w:p>
    <w:p>
      <w:r>
        <w:t>Analysis outputs — tables, figures, code — may be retained after deletion of the underlying data, provided they contain no identifying material and have passed output checking.</w:t>
      </w:r>
    </w:p>
    <w:p>
      <w:pPr>
        <w:spacing w:before="80" w:after="160"/>
        <w:pBdr>
          <w:bottom w:val="single" w:sz="6" w:space="1" w:color="C9D6DE"/>
        </w:pBdr>
      </w:pPr>
    </w:p>
    <w:p>
      <w:pPr>
        <w:pStyle w:val="Heading1"/>
        <w:pBdr>
          <w:bottom w:val="single" w:sz="8" w:space="4" w:color="C9D6DE"/>
        </w:pBdr>
      </w:pPr>
      <w:r>
        <w:t>9. Breach</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7377"/>
            <w:shd w:val="clear" w:color="auto" w:fill="10375C"/>
          </w:tcPr>
          <w:p>
            <w:pPr>
              <w:spacing w:after="50" w:before="50"/>
            </w:pPr>
            <w:r>
              <w:rPr>
                <w:b/>
                <w:color w:val="FFFFFF"/>
                <w:sz w:val="17"/>
              </w:rPr>
              <w:t>Step</w:t>
            </w:r>
          </w:p>
        </w:tc>
        <w:tc>
          <w:tcPr>
            <w:tcW w:type="dxa" w:w="2090"/>
            <w:shd w:val="clear" w:color="auto" w:fill="10375C"/>
          </w:tcPr>
          <w:p>
            <w:pPr>
              <w:spacing w:after="50" w:before="50"/>
            </w:pPr>
            <w:r>
              <w:rPr>
                <w:b/>
                <w:color w:val="FFFFFF"/>
                <w:sz w:val="17"/>
              </w:rPr>
              <w:t>Timing</w:t>
            </w:r>
          </w:p>
        </w:tc>
      </w:tr>
      <w:tr>
        <w:tc>
          <w:tcPr>
            <w:tcW w:type="dxa" w:w="7377"/>
          </w:tcPr>
          <w:p>
            <w:pPr>
              <w:spacing w:after="50" w:before="50" w:line="252" w:lineRule="auto"/>
            </w:pPr>
            <w:r>
              <w:rPr>
                <w:sz w:val="17"/>
              </w:rPr>
              <w:t>Report to the Research Lead and DPO</w:t>
            </w:r>
          </w:p>
        </w:tc>
        <w:tc>
          <w:tcPr>
            <w:tcW w:type="dxa" w:w="2090"/>
          </w:tcPr>
          <w:p>
            <w:pPr>
              <w:spacing w:after="50" w:before="50" w:line="252" w:lineRule="auto"/>
            </w:pPr>
            <w:r>
              <w:rPr>
                <w:sz w:val="17"/>
              </w:rPr>
              <w:t>Within 24 hours</w:t>
            </w:r>
          </w:p>
        </w:tc>
      </w:tr>
      <w:tr>
        <w:tc>
          <w:tcPr>
            <w:tcW w:type="dxa" w:w="7377"/>
            <w:shd w:val="clear" w:color="auto" w:fill="EAF1F4"/>
          </w:tcPr>
          <w:p>
            <w:pPr>
              <w:spacing w:after="50" w:before="50" w:line="252" w:lineRule="auto"/>
            </w:pPr>
            <w:r>
              <w:rPr>
                <w:sz w:val="17"/>
              </w:rPr>
              <w:t>Assess whether personal data is affected</w:t>
            </w:r>
          </w:p>
        </w:tc>
        <w:tc>
          <w:tcPr>
            <w:tcW w:type="dxa" w:w="2090"/>
            <w:shd w:val="clear" w:color="auto" w:fill="EAF1F4"/>
          </w:tcPr>
          <w:p>
            <w:pPr>
              <w:spacing w:after="50" w:before="50" w:line="252" w:lineRule="auto"/>
            </w:pPr>
            <w:r>
              <w:rPr>
                <w:sz w:val="17"/>
              </w:rPr>
              <w:t>Immediately</w:t>
            </w:r>
          </w:p>
        </w:tc>
      </w:tr>
      <w:tr>
        <w:tc>
          <w:tcPr>
            <w:tcW w:type="dxa" w:w="7377"/>
          </w:tcPr>
          <w:p>
            <w:pPr>
              <w:spacing w:after="50" w:before="50" w:line="252" w:lineRule="auto"/>
            </w:pPr>
            <w:r>
              <w:rPr>
                <w:sz w:val="17"/>
              </w:rPr>
              <w:t>Where personal data is affected, follow the breach protocol in the Data Addendum</w:t>
            </w:r>
          </w:p>
        </w:tc>
        <w:tc>
          <w:tcPr>
            <w:tcW w:type="dxa" w:w="2090"/>
          </w:tcPr>
          <w:p>
            <w:pPr>
              <w:spacing w:after="50" w:before="50" w:line="252" w:lineRule="auto"/>
            </w:pPr>
            <w:r>
              <w:rPr>
                <w:sz w:val="17"/>
              </w:rPr>
              <w:t>Immediately</w:t>
            </w:r>
          </w:p>
        </w:tc>
      </w:tr>
      <w:tr>
        <w:tc>
          <w:tcPr>
            <w:tcW w:type="dxa" w:w="7377"/>
            <w:shd w:val="clear" w:color="auto" w:fill="EAF1F4"/>
          </w:tcPr>
          <w:p>
            <w:pPr>
              <w:spacing w:after="50" w:before="50" w:line="252" w:lineRule="auto"/>
            </w:pPr>
            <w:r>
              <w:rPr>
                <w:sz w:val="17"/>
              </w:rPr>
              <w:t>Suspend access; secure remaining data</w:t>
            </w:r>
          </w:p>
        </w:tc>
        <w:tc>
          <w:tcPr>
            <w:tcW w:type="dxa" w:w="2090"/>
            <w:shd w:val="clear" w:color="auto" w:fill="EAF1F4"/>
          </w:tcPr>
          <w:p>
            <w:pPr>
              <w:spacing w:after="50" w:before="50" w:line="252" w:lineRule="auto"/>
            </w:pPr>
            <w:r>
              <w:rPr>
                <w:sz w:val="17"/>
              </w:rPr>
              <w:t>Immediately</w:t>
            </w:r>
          </w:p>
        </w:tc>
      </w:tr>
      <w:tr>
        <w:tc>
          <w:tcPr>
            <w:tcW w:type="dxa" w:w="7377"/>
          </w:tcPr>
          <w:p>
            <w:pPr>
              <w:spacing w:after="50" w:before="50" w:line="252" w:lineRule="auto"/>
            </w:pPr>
            <w:r>
              <w:rPr>
                <w:sz w:val="17"/>
              </w:rPr>
              <w:t>Notify the institution</w:t>
            </w:r>
          </w:p>
        </w:tc>
        <w:tc>
          <w:tcPr>
            <w:tcW w:type="dxa" w:w="2090"/>
          </w:tcPr>
          <w:p>
            <w:pPr>
              <w:spacing w:after="50" w:before="50" w:line="252" w:lineRule="auto"/>
            </w:pPr>
            <w:r>
              <w:rPr>
                <w:sz w:val="17"/>
              </w:rPr>
              <w:t>Within 24 hours</w:t>
            </w:r>
          </w:p>
        </w:tc>
      </w:tr>
      <w:tr>
        <w:tc>
          <w:tcPr>
            <w:tcW w:type="dxa" w:w="7377"/>
            <w:shd w:val="clear" w:color="auto" w:fill="EAF1F4"/>
          </w:tcPr>
          <w:p>
            <w:pPr>
              <w:spacing w:after="50" w:before="50" w:line="252" w:lineRule="auto"/>
            </w:pPr>
            <w:r>
              <w:rPr>
                <w:sz w:val="17"/>
              </w:rPr>
              <w:t>Notify affected parties, and the Data Protection Board where required</w:t>
            </w:r>
          </w:p>
        </w:tc>
        <w:tc>
          <w:tcPr>
            <w:tcW w:type="dxa" w:w="2090"/>
            <w:shd w:val="clear" w:color="auto" w:fill="EAF1F4"/>
          </w:tcPr>
          <w:p>
            <w:pPr>
              <w:spacing w:after="50" w:before="50" w:line="252" w:lineRule="auto"/>
            </w:pPr>
            <w:r>
              <w:rPr>
                <w:sz w:val="17"/>
              </w:rPr>
              <w:t>Per statute</w:t>
            </w:r>
          </w:p>
        </w:tc>
      </w:tr>
      <w:tr>
        <w:tc>
          <w:tcPr>
            <w:tcW w:type="dxa" w:w="7377"/>
          </w:tcPr>
          <w:p>
            <w:pPr>
              <w:spacing w:after="50" w:before="50" w:line="252" w:lineRule="auto"/>
            </w:pPr>
            <w:r>
              <w:rPr>
                <w:sz w:val="17"/>
              </w:rPr>
              <w:t>Written post-incident review</w:t>
            </w:r>
          </w:p>
        </w:tc>
        <w:tc>
          <w:tcPr>
            <w:tcW w:type="dxa" w:w="2090"/>
          </w:tcPr>
          <w:p>
            <w:pPr>
              <w:spacing w:after="50" w:before="50" w:line="252" w:lineRule="auto"/>
            </w:pPr>
            <w:r>
              <w:rPr>
                <w:sz w:val="17"/>
              </w:rPr>
              <w:t>Within 30 days</w:t>
            </w:r>
          </w:p>
        </w:tc>
      </w:tr>
    </w:tbl>
    <w:p>
      <w:pPr>
        <w:spacing w:after="80" w:before="0"/>
      </w:pPr>
    </w:p>
    <w:p>
      <w:pPr>
        <w:spacing w:before="80" w:after="160"/>
        <w:pBdr>
          <w:bottom w:val="single" w:sz="6" w:space="1" w:color="C9D6DE"/>
        </w:pBdr>
      </w:pPr>
    </w:p>
    <w:p>
      <w:pPr>
        <w:pStyle w:val="Heading1"/>
        <w:pBdr>
          <w:bottom w:val="single" w:sz="8" w:space="4" w:color="C9D6DE"/>
        </w:pBdr>
      </w:pPr>
      <w:r>
        <w:t>10. Checklist before any data leaves Equator</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852"/>
            <w:shd w:val="clear" w:color="auto" w:fill="10375C"/>
          </w:tcPr>
          <w:p>
            <w:pPr>
              <w:spacing w:after="50" w:before="50"/>
            </w:pPr>
            <w:r>
              <w:rPr>
                <w:b/>
                <w:color w:val="FFFFFF"/>
                <w:sz w:val="17"/>
              </w:rPr>
              <w:t>#</w:t>
            </w:r>
          </w:p>
        </w:tc>
        <w:tc>
          <w:tcPr>
            <w:tcW w:type="dxa" w:w="7764"/>
            <w:shd w:val="clear" w:color="auto" w:fill="10375C"/>
          </w:tcPr>
          <w:p>
            <w:pPr>
              <w:spacing w:after="50" w:before="50"/>
            </w:pPr>
            <w:r>
              <w:rPr>
                <w:b/>
                <w:color w:val="FFFFFF"/>
                <w:sz w:val="17"/>
              </w:rPr>
              <w:t>Item</w:t>
            </w:r>
          </w:p>
        </w:tc>
        <w:tc>
          <w:tcPr>
            <w:tcW w:type="dxa" w:w="852"/>
            <w:shd w:val="clear" w:color="auto" w:fill="10375C"/>
          </w:tcPr>
          <w:p>
            <w:pPr>
              <w:spacing w:after="50" w:before="50"/>
            </w:pPr>
            <w:r>
              <w:rPr>
                <w:b/>
                <w:color w:val="FFFFFF"/>
                <w:sz w:val="17"/>
              </w:rPr>
              <w:t>☐</w:t>
            </w:r>
          </w:p>
        </w:tc>
      </w:tr>
      <w:tr>
        <w:tc>
          <w:tcPr>
            <w:tcW w:type="dxa" w:w="852"/>
          </w:tcPr>
          <w:p>
            <w:pPr>
              <w:spacing w:after="50" w:before="50" w:line="252" w:lineRule="auto"/>
            </w:pPr>
            <w:r>
              <w:rPr>
                <w:sz w:val="17"/>
              </w:rPr>
              <w:t>1</w:t>
            </w:r>
          </w:p>
        </w:tc>
        <w:tc>
          <w:tcPr>
            <w:tcW w:type="dxa" w:w="7764"/>
          </w:tcPr>
          <w:p>
            <w:pPr>
              <w:spacing w:after="50" w:before="50" w:line="252" w:lineRule="auto"/>
            </w:pPr>
            <w:r>
              <w:rPr>
                <w:sz w:val="17"/>
              </w:rPr>
              <w:t>Project note signed</w:t>
            </w:r>
          </w:p>
        </w:tc>
        <w:tc>
          <w:tcPr>
            <w:tcW w:type="dxa" w:w="852"/>
          </w:tcPr>
          <w:p>
            <w:pPr>
              <w:spacing w:after="50" w:before="50" w:line="252" w:lineRule="auto"/>
            </w:pPr>
            <w:r>
              <w:rPr>
                <w:sz w:val="17"/>
              </w:rPr>
              <w:t>☐</w:t>
            </w:r>
          </w:p>
        </w:tc>
      </w:tr>
      <w:tr>
        <w:tc>
          <w:tcPr>
            <w:tcW w:type="dxa" w:w="852"/>
            <w:shd w:val="clear" w:color="auto" w:fill="EAF1F4"/>
          </w:tcPr>
          <w:p>
            <w:pPr>
              <w:spacing w:after="50" w:before="50" w:line="252" w:lineRule="auto"/>
            </w:pPr>
            <w:r>
              <w:rPr>
                <w:sz w:val="17"/>
              </w:rPr>
              <w:t>2</w:t>
            </w:r>
          </w:p>
        </w:tc>
        <w:tc>
          <w:tcPr>
            <w:tcW w:type="dxa" w:w="7764"/>
            <w:shd w:val="clear" w:color="auto" w:fill="EAF1F4"/>
          </w:tcPr>
          <w:p>
            <w:pPr>
              <w:spacing w:after="50" w:before="50" w:line="252" w:lineRule="auto"/>
            </w:pPr>
            <w:r>
              <w:rPr>
                <w:sz w:val="17"/>
              </w:rPr>
              <w:t>Ethical approval obtained at the correct level</w:t>
            </w:r>
          </w:p>
        </w:tc>
        <w:tc>
          <w:tcPr>
            <w:tcW w:type="dxa" w:w="852"/>
            <w:shd w:val="clear" w:color="auto" w:fill="EAF1F4"/>
          </w:tcPr>
          <w:p>
            <w:pPr>
              <w:spacing w:after="50" w:before="50" w:line="252" w:lineRule="auto"/>
            </w:pPr>
            <w:r>
              <w:rPr>
                <w:sz w:val="17"/>
              </w:rPr>
              <w:t>☐</w:t>
            </w:r>
          </w:p>
        </w:tc>
      </w:tr>
      <w:tr>
        <w:tc>
          <w:tcPr>
            <w:tcW w:type="dxa" w:w="852"/>
          </w:tcPr>
          <w:p>
            <w:pPr>
              <w:spacing w:after="50" w:before="50" w:line="252" w:lineRule="auto"/>
            </w:pPr>
            <w:r>
              <w:rPr>
                <w:sz w:val="17"/>
              </w:rPr>
              <w:t>3</w:t>
            </w:r>
          </w:p>
        </w:tc>
        <w:tc>
          <w:tcPr>
            <w:tcW w:type="dxa" w:w="7764"/>
          </w:tcPr>
          <w:p>
            <w:pPr>
              <w:spacing w:after="50" w:before="50" w:line="252" w:lineRule="auto"/>
            </w:pPr>
            <w:r>
              <w:rPr>
                <w:sz w:val="17"/>
              </w:rPr>
              <w:t>Only the minimum necessary fields specified</w:t>
            </w:r>
          </w:p>
        </w:tc>
        <w:tc>
          <w:tcPr>
            <w:tcW w:type="dxa" w:w="852"/>
          </w:tcPr>
          <w:p>
            <w:pPr>
              <w:spacing w:after="50" w:before="50" w:line="252" w:lineRule="auto"/>
            </w:pPr>
            <w:r>
              <w:rPr>
                <w:sz w:val="17"/>
              </w:rPr>
              <w:t>☐</w:t>
            </w:r>
          </w:p>
        </w:tc>
      </w:tr>
      <w:tr>
        <w:tc>
          <w:tcPr>
            <w:tcW w:type="dxa" w:w="852"/>
            <w:shd w:val="clear" w:color="auto" w:fill="EAF1F4"/>
          </w:tcPr>
          <w:p>
            <w:pPr>
              <w:spacing w:after="50" w:before="50" w:line="252" w:lineRule="auto"/>
            </w:pPr>
            <w:r>
              <w:rPr>
                <w:sz w:val="17"/>
              </w:rPr>
              <w:t>4</w:t>
            </w:r>
          </w:p>
        </w:tc>
        <w:tc>
          <w:tcPr>
            <w:tcW w:type="dxa" w:w="7764"/>
            <w:shd w:val="clear" w:color="auto" w:fill="EAF1F4"/>
          </w:tcPr>
          <w:p>
            <w:pPr>
              <w:spacing w:after="50" w:before="50" w:line="252" w:lineRule="auto"/>
            </w:pPr>
            <w:r>
              <w:rPr>
                <w:sz w:val="17"/>
              </w:rPr>
              <w:t>Anonymisation applied at source</w:t>
            </w:r>
          </w:p>
        </w:tc>
        <w:tc>
          <w:tcPr>
            <w:tcW w:type="dxa" w:w="852"/>
            <w:shd w:val="clear" w:color="auto" w:fill="EAF1F4"/>
          </w:tcPr>
          <w:p>
            <w:pPr>
              <w:spacing w:after="50" w:before="50" w:line="252" w:lineRule="auto"/>
            </w:pPr>
            <w:r>
              <w:rPr>
                <w:sz w:val="17"/>
              </w:rPr>
              <w:t>☐</w:t>
            </w:r>
          </w:p>
        </w:tc>
      </w:tr>
      <w:tr>
        <w:tc>
          <w:tcPr>
            <w:tcW w:type="dxa" w:w="852"/>
          </w:tcPr>
          <w:p>
            <w:pPr>
              <w:spacing w:after="50" w:before="50" w:line="252" w:lineRule="auto"/>
            </w:pPr>
            <w:r>
              <w:rPr>
                <w:sz w:val="17"/>
              </w:rPr>
              <w:t>5</w:t>
            </w:r>
          </w:p>
        </w:tc>
        <w:tc>
          <w:tcPr>
            <w:tcW w:type="dxa" w:w="7764"/>
          </w:tcPr>
          <w:p>
            <w:pPr>
              <w:spacing w:after="50" w:before="50" w:line="252" w:lineRule="auto"/>
            </w:pPr>
            <w:r>
              <w:rPr>
                <w:sz w:val="17"/>
              </w:rPr>
              <w:t>Small-cell and secondary suppression applied</w:t>
            </w:r>
          </w:p>
        </w:tc>
        <w:tc>
          <w:tcPr>
            <w:tcW w:type="dxa" w:w="852"/>
          </w:tcPr>
          <w:p>
            <w:pPr>
              <w:spacing w:after="50" w:before="50" w:line="252" w:lineRule="auto"/>
            </w:pPr>
            <w:r>
              <w:rPr>
                <w:sz w:val="17"/>
              </w:rPr>
              <w:t>☐</w:t>
            </w:r>
          </w:p>
        </w:tc>
      </w:tr>
      <w:tr>
        <w:tc>
          <w:tcPr>
            <w:tcW w:type="dxa" w:w="852"/>
            <w:shd w:val="clear" w:color="auto" w:fill="EAF1F4"/>
          </w:tcPr>
          <w:p>
            <w:pPr>
              <w:spacing w:after="50" w:before="50" w:line="252" w:lineRule="auto"/>
            </w:pPr>
            <w:r>
              <w:rPr>
                <w:sz w:val="17"/>
              </w:rPr>
              <w:t>6</w:t>
            </w:r>
          </w:p>
        </w:tc>
        <w:tc>
          <w:tcPr>
            <w:tcW w:type="dxa" w:w="7764"/>
            <w:shd w:val="clear" w:color="auto" w:fill="EAF1F4"/>
          </w:tcPr>
          <w:p>
            <w:pPr>
              <w:spacing w:after="50" w:before="50" w:line="252" w:lineRule="auto"/>
            </w:pPr>
            <w:r>
              <w:rPr>
                <w:sz w:val="17"/>
              </w:rPr>
              <w:t>Free text removed</w:t>
            </w:r>
          </w:p>
        </w:tc>
        <w:tc>
          <w:tcPr>
            <w:tcW w:type="dxa" w:w="852"/>
            <w:shd w:val="clear" w:color="auto" w:fill="EAF1F4"/>
          </w:tcPr>
          <w:p>
            <w:pPr>
              <w:spacing w:after="50" w:before="50" w:line="252" w:lineRule="auto"/>
            </w:pPr>
            <w:r>
              <w:rPr>
                <w:sz w:val="17"/>
              </w:rPr>
              <w:t>☐</w:t>
            </w:r>
          </w:p>
        </w:tc>
      </w:tr>
      <w:tr>
        <w:tc>
          <w:tcPr>
            <w:tcW w:type="dxa" w:w="852"/>
          </w:tcPr>
          <w:p>
            <w:pPr>
              <w:spacing w:after="50" w:before="50" w:line="252" w:lineRule="auto"/>
            </w:pPr>
            <w:r>
              <w:rPr>
                <w:sz w:val="17"/>
              </w:rPr>
              <w:t>7</w:t>
            </w:r>
          </w:p>
        </w:tc>
        <w:tc>
          <w:tcPr>
            <w:tcW w:type="dxa" w:w="7764"/>
          </w:tcPr>
          <w:p>
            <w:pPr>
              <w:spacing w:after="50" w:before="50" w:line="252" w:lineRule="auto"/>
            </w:pPr>
            <w:r>
              <w:rPr>
                <w:sz w:val="17"/>
              </w:rPr>
              <w:t>Distinctive features generalised</w:t>
            </w:r>
          </w:p>
        </w:tc>
        <w:tc>
          <w:tcPr>
            <w:tcW w:type="dxa" w:w="852"/>
          </w:tcPr>
          <w:p>
            <w:pPr>
              <w:spacing w:after="50" w:before="50" w:line="252" w:lineRule="auto"/>
            </w:pPr>
            <w:r>
              <w:rPr>
                <w:sz w:val="17"/>
              </w:rPr>
              <w:t>☐</w:t>
            </w:r>
          </w:p>
        </w:tc>
      </w:tr>
      <w:tr>
        <w:tc>
          <w:tcPr>
            <w:tcW w:type="dxa" w:w="852"/>
            <w:shd w:val="clear" w:color="auto" w:fill="EAF1F4"/>
          </w:tcPr>
          <w:p>
            <w:pPr>
              <w:spacing w:after="50" w:before="50" w:line="252" w:lineRule="auto"/>
            </w:pPr>
            <w:r>
              <w:rPr>
                <w:sz w:val="17"/>
              </w:rPr>
              <w:t>8</w:t>
            </w:r>
          </w:p>
        </w:tc>
        <w:tc>
          <w:tcPr>
            <w:tcW w:type="dxa" w:w="7764"/>
            <w:shd w:val="clear" w:color="auto" w:fill="EAF1F4"/>
          </w:tcPr>
          <w:p>
            <w:pPr>
              <w:spacing w:after="50" w:before="50" w:line="252" w:lineRule="auto"/>
            </w:pPr>
            <w:r>
              <w:rPr>
                <w:b/>
                <w:sz w:val="17"/>
              </w:rPr>
              <w:t>Re-identification test applied and documented</w:t>
            </w:r>
          </w:p>
        </w:tc>
        <w:tc>
          <w:tcPr>
            <w:tcW w:type="dxa" w:w="852"/>
            <w:shd w:val="clear" w:color="auto" w:fill="EAF1F4"/>
          </w:tcPr>
          <w:p>
            <w:pPr>
              <w:spacing w:after="50" w:before="50" w:line="252" w:lineRule="auto"/>
            </w:pPr>
            <w:r>
              <w:rPr>
                <w:sz w:val="17"/>
              </w:rPr>
              <w:t>☐</w:t>
            </w:r>
          </w:p>
        </w:tc>
      </w:tr>
      <w:tr>
        <w:tc>
          <w:tcPr>
            <w:tcW w:type="dxa" w:w="852"/>
          </w:tcPr>
          <w:p>
            <w:pPr>
              <w:spacing w:after="50" w:before="50" w:line="252" w:lineRule="auto"/>
            </w:pPr>
            <w:r>
              <w:rPr>
                <w:sz w:val="17"/>
              </w:rPr>
              <w:t>9</w:t>
            </w:r>
          </w:p>
        </w:tc>
        <w:tc>
          <w:tcPr>
            <w:tcW w:type="dxa" w:w="7764"/>
          </w:tcPr>
          <w:p>
            <w:pPr>
              <w:spacing w:after="50" w:before="50" w:line="252" w:lineRule="auto"/>
            </w:pPr>
            <w:r>
              <w:rPr>
                <w:sz w:val="17"/>
              </w:rPr>
              <w:t>F-09 undertaking from every named recipient</w:t>
            </w:r>
          </w:p>
        </w:tc>
        <w:tc>
          <w:tcPr>
            <w:tcW w:type="dxa" w:w="852"/>
          </w:tcPr>
          <w:p>
            <w:pPr>
              <w:spacing w:after="50" w:before="50" w:line="252" w:lineRule="auto"/>
            </w:pPr>
            <w:r>
              <w:rPr>
                <w:sz w:val="17"/>
              </w:rPr>
              <w:t>☐</w:t>
            </w:r>
          </w:p>
        </w:tc>
      </w:tr>
      <w:tr>
        <w:tc>
          <w:tcPr>
            <w:tcW w:type="dxa" w:w="852"/>
            <w:shd w:val="clear" w:color="auto" w:fill="EAF1F4"/>
          </w:tcPr>
          <w:p>
            <w:pPr>
              <w:spacing w:after="50" w:before="50" w:line="252" w:lineRule="auto"/>
            </w:pPr>
            <w:r>
              <w:rPr>
                <w:sz w:val="17"/>
              </w:rPr>
              <w:t>10</w:t>
            </w:r>
          </w:p>
        </w:tc>
        <w:tc>
          <w:tcPr>
            <w:tcW w:type="dxa" w:w="7764"/>
            <w:shd w:val="clear" w:color="auto" w:fill="EAF1F4"/>
          </w:tcPr>
          <w:p>
            <w:pPr>
              <w:spacing w:after="50" w:before="50" w:line="252" w:lineRule="auto"/>
            </w:pPr>
            <w:r>
              <w:rPr>
                <w:sz w:val="17"/>
              </w:rPr>
              <w:t>Storage and transfer arrangements approved</w:t>
            </w:r>
          </w:p>
        </w:tc>
        <w:tc>
          <w:tcPr>
            <w:tcW w:type="dxa" w:w="852"/>
            <w:shd w:val="clear" w:color="auto" w:fill="EAF1F4"/>
          </w:tcPr>
          <w:p>
            <w:pPr>
              <w:spacing w:after="50" w:before="50" w:line="252" w:lineRule="auto"/>
            </w:pPr>
            <w:r>
              <w:rPr>
                <w:sz w:val="17"/>
              </w:rPr>
              <w:t>☐</w:t>
            </w:r>
          </w:p>
        </w:tc>
      </w:tr>
      <w:tr>
        <w:tc>
          <w:tcPr>
            <w:tcW w:type="dxa" w:w="852"/>
          </w:tcPr>
          <w:p>
            <w:pPr>
              <w:spacing w:after="50" w:before="50" w:line="252" w:lineRule="auto"/>
            </w:pPr>
            <w:r>
              <w:rPr>
                <w:sz w:val="17"/>
              </w:rPr>
              <w:t>11</w:t>
            </w:r>
          </w:p>
        </w:tc>
        <w:tc>
          <w:tcPr>
            <w:tcW w:type="dxa" w:w="7764"/>
          </w:tcPr>
          <w:p>
            <w:pPr>
              <w:spacing w:after="50" w:before="50" w:line="252" w:lineRule="auto"/>
            </w:pPr>
            <w:r>
              <w:rPr>
                <w:sz w:val="17"/>
              </w:rPr>
              <w:t>Deletion date fixed</w:t>
            </w:r>
          </w:p>
        </w:tc>
        <w:tc>
          <w:tcPr>
            <w:tcW w:type="dxa" w:w="852"/>
          </w:tcPr>
          <w:p>
            <w:pPr>
              <w:spacing w:after="50" w:before="50" w:line="252" w:lineRule="auto"/>
            </w:pPr>
            <w:r>
              <w:rPr>
                <w:sz w:val="17"/>
              </w:rPr>
              <w:t>☐</w:t>
            </w:r>
          </w:p>
        </w:tc>
      </w:tr>
      <w:tr>
        <w:tc>
          <w:tcPr>
            <w:tcW w:type="dxa" w:w="852"/>
            <w:shd w:val="clear" w:color="auto" w:fill="EAF1F4"/>
          </w:tcPr>
          <w:p>
            <w:pPr>
              <w:spacing w:after="50" w:before="50" w:line="252" w:lineRule="auto"/>
            </w:pPr>
            <w:r>
              <w:rPr>
                <w:sz w:val="17"/>
              </w:rPr>
              <w:t>12</w:t>
            </w:r>
          </w:p>
        </w:tc>
        <w:tc>
          <w:tcPr>
            <w:tcW w:type="dxa" w:w="7764"/>
            <w:shd w:val="clear" w:color="auto" w:fill="EAF1F4"/>
          </w:tcPr>
          <w:p>
            <w:pPr>
              <w:spacing w:after="50" w:before="50" w:line="252" w:lineRule="auto"/>
            </w:pPr>
            <w:r>
              <w:rPr>
                <w:sz w:val="17"/>
              </w:rPr>
              <w:t xml:space="preserve">Release note approved by the Research Lead </w:t>
            </w:r>
            <w:r>
              <w:rPr>
                <w:b/>
                <w:sz w:val="17"/>
              </w:rPr>
              <w:t>and</w:t>
            </w:r>
            <w:r>
              <w:rPr>
                <w:sz w:val="17"/>
              </w:rPr>
              <w:t xml:space="preserve"> the DPO</w:t>
            </w:r>
          </w:p>
        </w:tc>
        <w:tc>
          <w:tcPr>
            <w:tcW w:type="dxa" w:w="852"/>
            <w:shd w:val="clear" w:color="auto" w:fill="EAF1F4"/>
          </w:tcPr>
          <w:p>
            <w:pPr>
              <w:spacing w:after="50" w:before="50" w:line="252" w:lineRule="auto"/>
            </w:pPr>
            <w:r>
              <w:rPr>
                <w:sz w:val="17"/>
              </w:rPr>
              <w:t>☐</w:t>
            </w:r>
          </w:p>
        </w:tc>
      </w:tr>
    </w:tbl>
    <w:p>
      <w:pPr>
        <w:spacing w:after="80" w:before="0"/>
      </w:pP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EQ-UAP-085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Research Ethics &amp; Data Protocol</w:t>
    </w:r>
    <w:r>
      <w:rPr>
        <w:rFonts w:ascii="Calibri" w:hAnsi="Calibri"/>
        <w:color w:val="595959"/>
        <w:sz w:val="16"/>
      </w:rPr>
      <w:tab/>
      <w:t>Confidential — Internal · DPO controlled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BE567D5-EE07-4E9B-9B2D-747CBF27A2FC}"/>
</file>

<file path=customXml/itemProps3.xml><?xml version="1.0" encoding="utf-8"?>
<ds:datastoreItem xmlns:ds="http://schemas.openxmlformats.org/officeDocument/2006/customXml" ds:itemID="{EEDFB31F-122C-4CE8-85D3-EE9D5CEA3360}"/>
</file>

<file path=customXml/itemProps4.xml><?xml version="1.0" encoding="utf-8"?>
<ds:datastoreItem xmlns:ds="http://schemas.openxmlformats.org/officeDocument/2006/customXml" ds:itemID="{7014B408-15E8-4799-BC08-BBCE0BD5F03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