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Co-Branding &amp; Brand Usage Guidelines</w:t>
      </w:r>
    </w:p>
    <w:p>
      <w:pPr>
        <w:spacing w:after="280" w:line="276" w:lineRule="auto"/>
      </w:pPr>
      <w:r>
        <w:rPr>
          <w:rFonts w:ascii="Calibri" w:hAnsi="Calibri"/>
          <w:i/>
          <w:color w:val="3E6B8A"/>
          <w:sz w:val="25"/>
        </w:rPr>
        <w:t>How Equator's and a partner's marks are used together, what may be said, and what may never be said</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EQ-UAP-086</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Brand</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 and partner institution</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Principles</w:t>
      </w:r>
    </w:p>
    <w:p>
      <w:pPr>
        <w:pStyle w:val="ListNumber"/>
      </w:pPr>
      <w:r>
        <w:rPr>
          <w:b/>
          <w:sz w:val="21"/>
        </w:rPr>
        <w:t>Marks are licensed, not given.</w:t>
      </w:r>
      <w:r>
        <w:rPr>
          <w:sz w:val="21"/>
        </w:rPr>
        <w:t xml:space="preserve"> The licence in Schedule G is non-exclusive, revocable and time-limited, and it ends thirty days after the partnership does.</w:t>
      </w:r>
    </w:p>
    <w:p>
      <w:pPr>
        <w:pStyle w:val="ListNumber"/>
      </w:pPr>
      <w:r>
        <w:rPr>
          <w:b/>
          <w:sz w:val="21"/>
        </w:rPr>
        <w:t>Approval before use</w:t>
      </w:r>
      <w:r>
        <w:rPr>
          <w:sz w:val="21"/>
        </w:rPr>
        <w:t>, except for the four pre-approved uses in section 3.</w:t>
      </w:r>
    </w:p>
    <w:p>
      <w:pPr>
        <w:pStyle w:val="ListNumber"/>
      </w:pPr>
      <w:r>
        <w:rPr>
          <w:b/>
          <w:sz w:val="21"/>
        </w:rPr>
        <w:t>Accuracy above all.</w:t>
      </w:r>
      <w:r>
        <w:rPr>
          <w:sz w:val="21"/>
        </w:rPr>
        <w:t xml:space="preserve"> The prohibited statements in section 6 are not stylistic preferences; they are the licence to operate.</w:t>
      </w:r>
    </w:p>
    <w:p>
      <w:pPr>
        <w:pStyle w:val="ListNumber"/>
      </w:pPr>
      <w:r>
        <w:rPr>
          <w:b/>
          <w:sz w:val="21"/>
        </w:rPr>
        <w:t>One voice.</w:t>
      </w:r>
      <w:r>
        <w:rPr>
          <w:sz w:val="21"/>
        </w:rPr>
        <w:t xml:space="preserve"> Equator's institutional voice is measured, precise and unshowy. It does not overclaim, because in this sector overclaiming is what everyone else does.</w:t>
      </w:r>
    </w:p>
    <w:p>
      <w:pPr>
        <w:spacing w:before="80" w:after="160"/>
        <w:pBdr>
          <w:bottom w:val="single" w:sz="6" w:space="1" w:color="C9D6DE"/>
        </w:pBdr>
      </w:pPr>
    </w:p>
    <w:p>
      <w:pPr>
        <w:pStyle w:val="Heading1"/>
        <w:pBdr>
          <w:bottom w:val="single" w:sz="8" w:space="4" w:color="C9D6DE"/>
        </w:pBdr>
      </w:pPr>
      <w:r>
        <w:t>2. The brand architecture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19"/>
            <w:shd w:val="clear" w:color="auto" w:fill="10375C"/>
          </w:tcPr>
          <w:p>
            <w:pPr>
              <w:spacing w:after="50" w:before="50"/>
            </w:pPr>
            <w:r>
              <w:rPr>
                <w:b/>
                <w:color w:val="FFFFFF"/>
                <w:sz w:val="17"/>
              </w:rPr>
              <w:t>Element</w:t>
            </w:r>
          </w:p>
        </w:tc>
        <w:tc>
          <w:tcPr>
            <w:tcW w:type="dxa" w:w="6848"/>
            <w:shd w:val="clear" w:color="auto" w:fill="10375C"/>
          </w:tcPr>
          <w:p>
            <w:pPr>
              <w:spacing w:after="50" w:before="50"/>
            </w:pPr>
            <w:r>
              <w:rPr>
                <w:b/>
                <w:color w:val="FFFFFF"/>
                <w:sz w:val="17"/>
              </w:rPr>
              <w:t>Usage</w:t>
            </w:r>
          </w:p>
        </w:tc>
      </w:tr>
      <w:tr>
        <w:tc>
          <w:tcPr>
            <w:tcW w:type="dxa" w:w="2619"/>
          </w:tcPr>
          <w:p>
            <w:pPr>
              <w:spacing w:after="50" w:before="50" w:line="252" w:lineRule="auto"/>
            </w:pPr>
            <w:r>
              <w:rPr>
                <w:b/>
                <w:sz w:val="17"/>
              </w:rPr>
              <w:t>Equator Resolution</w:t>
            </w:r>
          </w:p>
        </w:tc>
        <w:tc>
          <w:tcPr>
            <w:tcW w:type="dxa" w:w="6848"/>
          </w:tcPr>
          <w:p>
            <w:pPr>
              <w:spacing w:after="50" w:before="50" w:line="252" w:lineRule="auto"/>
            </w:pPr>
            <w:r>
              <w:rPr>
                <w:sz w:val="17"/>
              </w:rPr>
              <w:t>The dispute-resolution services platform. Used for case referrals, advisory services, neutral appointments</w:t>
            </w:r>
          </w:p>
        </w:tc>
      </w:tr>
      <w:tr>
        <w:tc>
          <w:tcPr>
            <w:tcW w:type="dxa" w:w="2619"/>
            <w:shd w:val="clear" w:color="auto" w:fill="EAF1F4"/>
          </w:tcPr>
          <w:p>
            <w:pPr>
              <w:spacing w:after="50" w:before="50" w:line="252" w:lineRule="auto"/>
            </w:pPr>
            <w:r>
              <w:rPr>
                <w:b/>
                <w:sz w:val="17"/>
              </w:rPr>
              <w:t>Equator ADR Institute</w:t>
            </w:r>
          </w:p>
        </w:tc>
        <w:tc>
          <w:tcPr>
            <w:tcW w:type="dxa" w:w="6848"/>
            <w:shd w:val="clear" w:color="auto" w:fill="EAF1F4"/>
          </w:tcPr>
          <w:p>
            <w:pPr>
              <w:spacing w:after="50" w:before="50" w:line="252" w:lineRule="auto"/>
            </w:pPr>
            <w:r>
              <w:rPr>
                <w:sz w:val="17"/>
              </w:rPr>
              <w:t xml:space="preserve">The academic, training and certification arm. </w:t>
            </w:r>
            <w:r>
              <w:rPr>
                <w:b/>
                <w:sz w:val="17"/>
              </w:rPr>
              <w:t>The face of all academic partnerships</w:t>
            </w:r>
          </w:p>
        </w:tc>
      </w:tr>
      <w:tr>
        <w:tc>
          <w:tcPr>
            <w:tcW w:type="dxa" w:w="2619"/>
          </w:tcPr>
          <w:p>
            <w:pPr>
              <w:spacing w:after="50" w:before="50" w:line="252" w:lineRule="auto"/>
            </w:pPr>
            <w:r>
              <w:rPr>
                <w:sz w:val="17"/>
              </w:rPr>
              <w:t>Group line</w:t>
            </w:r>
          </w:p>
        </w:tc>
        <w:tc>
          <w:tcPr>
            <w:tcW w:type="dxa" w:w="6848"/>
          </w:tcPr>
          <w:p>
            <w:pPr>
              <w:spacing w:after="50" w:before="50" w:line="252" w:lineRule="auto"/>
            </w:pPr>
            <w:r>
              <w:rPr>
                <w:i/>
                <w:sz w:val="17"/>
              </w:rPr>
              <w:t>An Infrabyx Group venture</w:t>
            </w:r>
          </w:p>
        </w:tc>
      </w:tr>
      <w:tr>
        <w:tc>
          <w:tcPr>
            <w:tcW w:type="dxa" w:w="2619"/>
            <w:shd w:val="clear" w:color="auto" w:fill="EAF1F4"/>
          </w:tcPr>
          <w:p>
            <w:pPr>
              <w:spacing w:after="50" w:before="50" w:line="252" w:lineRule="auto"/>
            </w:pPr>
            <w:r>
              <w:rPr>
                <w:sz w:val="17"/>
              </w:rPr>
              <w:t>Website</w:t>
            </w:r>
          </w:p>
        </w:tc>
        <w:tc>
          <w:tcPr>
            <w:tcW w:type="dxa" w:w="6848"/>
            <w:shd w:val="clear" w:color="auto" w:fill="EAF1F4"/>
          </w:tcPr>
          <w:p>
            <w:pPr>
              <w:spacing w:after="50" w:before="50" w:line="252" w:lineRule="auto"/>
            </w:pPr>
            <w:r>
              <w:rPr>
                <w:sz w:val="17"/>
              </w:rPr>
              <w:t>www.equatorresolution.com</w:t>
            </w:r>
          </w:p>
        </w:tc>
      </w:tr>
    </w:tbl>
    <w:p>
      <w:pPr>
        <w:spacing w:after="80" w:before="0"/>
      </w:pPr>
    </w:p>
    <w:p>
      <w:r>
        <w:rPr>
          <w:b/>
        </w:rPr>
        <w:t>The Institute leads in an academic context.</w:t>
      </w:r>
      <w:r>
        <w:t xml:space="preserve"> A university engages more readily with an institute than with a services company, and the separation protects neutrality when a partner institution later becomes connected to a matter.</w:t>
      </w:r>
    </w:p>
    <w:p>
      <w:pPr>
        <w:pStyle w:val="Heading2"/>
      </w:pPr>
      <w:r>
        <w:t>2.1 Lock-up</w:t>
      </w:r>
    </w:p>
    <w:p>
      <w:r>
        <w:t>In co-branded material the marks appear side by side, separated by a vertical rule, with equal visual weight and equal clear space. Neither mark is placed inside the other's shape, altered in colour or proportion, rotated, or given effects.</w:t>
      </w:r>
    </w:p>
    <w:p>
      <w:r>
        <w:t xml:space="preserve">Standard descriptor: </w:t>
      </w:r>
      <w:r>
        <w:rPr>
          <w:b/>
        </w:rPr>
        <w:t>An initiative of Equator ADR Institute in collaboration with [●] University.</w:t>
      </w:r>
    </w:p>
    <w:p>
      <w:pPr>
        <w:spacing w:before="80" w:after="160"/>
        <w:pBdr>
          <w:bottom w:val="single" w:sz="6" w:space="1" w:color="C9D6DE"/>
        </w:pBdr>
      </w:pPr>
    </w:p>
    <w:p>
      <w:pPr>
        <w:pStyle w:val="Heading1"/>
        <w:pBdr>
          <w:bottom w:val="single" w:sz="8" w:space="4" w:color="C9D6DE"/>
        </w:pBdr>
      </w:pPr>
      <w:r>
        <w:t>3. Pre-approved uses — no further approval needed</w:t>
      </w:r>
    </w:p>
    <w:p>
      <w:pPr>
        <w:pStyle w:val="ListNumber"/>
      </w:pPr>
      <w:r>
        <w:rPr>
          <w:sz w:val="21"/>
        </w:rPr>
        <w:t>Factual identification of the other party as a collaborator on a webpage listing collaborations.</w:t>
      </w:r>
    </w:p>
    <w:p>
      <w:pPr>
        <w:pStyle w:val="ListNumber"/>
      </w:pPr>
      <w:r>
        <w:rPr>
          <w:sz w:val="21"/>
        </w:rPr>
        <w:t>Event collateral for an activity in the agreed Activity Calendar, in a form previously approved.</w:t>
      </w:r>
    </w:p>
    <w:p>
      <w:pPr>
        <w:pStyle w:val="ListNumber"/>
      </w:pPr>
      <w:r>
        <w:rPr>
          <w:sz w:val="21"/>
        </w:rPr>
        <w:t>Certificates for an activity, in a form previously approved.</w:t>
      </w:r>
    </w:p>
    <w:p>
      <w:pPr>
        <w:pStyle w:val="ListNumber"/>
      </w:pPr>
      <w:r>
        <w:rPr>
          <w:sz w:val="21"/>
        </w:rPr>
        <w:t>Internal presentations not published externally.</w:t>
      </w:r>
    </w:p>
    <w:p>
      <w:r>
        <w:rPr>
          <w:b/>
        </w:rPr>
        <w:t>Everything else requires approval</w:t>
      </w:r>
      <w:r>
        <w:t>, to be given or withheld within the timescales at section 4. Silence is not approval.</w:t>
      </w:r>
    </w:p>
    <w:p>
      <w:pPr>
        <w:spacing w:before="80" w:after="160"/>
        <w:pBdr>
          <w:bottom w:val="single" w:sz="6" w:space="1" w:color="C9D6DE"/>
        </w:pBdr>
      </w:pPr>
    </w:p>
    <w:p>
      <w:pPr>
        <w:pStyle w:val="Heading1"/>
        <w:pBdr>
          <w:bottom w:val="single" w:sz="8" w:space="4" w:color="C9D6DE"/>
        </w:pBdr>
      </w:pPr>
      <w:r>
        <w:t>4. Approval routes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3377"/>
            <w:shd w:val="clear" w:color="auto" w:fill="10375C"/>
          </w:tcPr>
          <w:p>
            <w:pPr>
              <w:spacing w:after="50" w:before="50"/>
            </w:pPr>
            <w:r>
              <w:rPr>
                <w:b/>
                <w:color w:val="FFFFFF"/>
                <w:sz w:val="17"/>
              </w:rPr>
              <w:t>Content</w:t>
            </w:r>
          </w:p>
        </w:tc>
        <w:tc>
          <w:tcPr>
            <w:tcW w:type="dxa" w:w="1912"/>
            <w:shd w:val="clear" w:color="auto" w:fill="10375C"/>
          </w:tcPr>
          <w:p>
            <w:pPr>
              <w:spacing w:after="50" w:before="50"/>
            </w:pPr>
            <w:r>
              <w:rPr>
                <w:b/>
                <w:color w:val="FFFFFF"/>
                <w:sz w:val="17"/>
              </w:rPr>
              <w:t>University approver</w:t>
            </w:r>
          </w:p>
        </w:tc>
        <w:tc>
          <w:tcPr>
            <w:tcW w:type="dxa" w:w="2769"/>
            <w:shd w:val="clear" w:color="auto" w:fill="10375C"/>
          </w:tcPr>
          <w:p>
            <w:pPr>
              <w:spacing w:after="50" w:before="50"/>
            </w:pPr>
            <w:r>
              <w:rPr>
                <w:b/>
                <w:color w:val="FFFFFF"/>
                <w:sz w:val="17"/>
              </w:rPr>
              <w:t>Equator approver</w:t>
            </w:r>
          </w:p>
        </w:tc>
        <w:tc>
          <w:tcPr>
            <w:tcW w:type="dxa" w:w="1410"/>
            <w:shd w:val="clear" w:color="auto" w:fill="10375C"/>
          </w:tcPr>
          <w:p>
            <w:pPr>
              <w:spacing w:after="50" w:before="50"/>
            </w:pPr>
            <w:r>
              <w:rPr>
                <w:b/>
                <w:color w:val="FFFFFF"/>
                <w:sz w:val="17"/>
              </w:rPr>
              <w:t>Turnaround</w:t>
            </w:r>
          </w:p>
        </w:tc>
      </w:tr>
      <w:tr>
        <w:tc>
          <w:tcPr>
            <w:tcW w:type="dxa" w:w="3377"/>
          </w:tcPr>
          <w:p>
            <w:pPr>
              <w:spacing w:after="50" w:before="50" w:line="252" w:lineRule="auto"/>
            </w:pPr>
            <w:r>
              <w:rPr>
                <w:sz w:val="17"/>
              </w:rPr>
              <w:t>Joint press release</w:t>
            </w:r>
          </w:p>
        </w:tc>
        <w:tc>
          <w:tcPr>
            <w:tcW w:type="dxa" w:w="1912"/>
          </w:tcPr>
          <w:p>
            <w:pPr>
              <w:spacing w:after="50" w:before="50" w:line="252" w:lineRule="auto"/>
            </w:pPr>
            <w:r>
              <w:rPr>
                <w:sz w:val="17"/>
              </w:rPr>
              <w:t>Registrar or nominee</w:t>
            </w:r>
          </w:p>
        </w:tc>
        <w:tc>
          <w:tcPr>
            <w:tcW w:type="dxa" w:w="2769"/>
          </w:tcPr>
          <w:p>
            <w:pPr>
              <w:spacing w:after="50" w:before="50" w:line="252" w:lineRule="auto"/>
            </w:pPr>
            <w:r>
              <w:rPr>
                <w:sz w:val="17"/>
              </w:rPr>
              <w:t>Programme Director</w:t>
            </w:r>
          </w:p>
        </w:tc>
        <w:tc>
          <w:tcPr>
            <w:tcW w:type="dxa" w:w="1410"/>
          </w:tcPr>
          <w:p>
            <w:pPr>
              <w:spacing w:after="50" w:before="50" w:line="252" w:lineRule="auto"/>
            </w:pPr>
            <w:r>
              <w:rPr>
                <w:sz w:val="17"/>
              </w:rPr>
              <w:t>5 working days</w:t>
            </w:r>
          </w:p>
        </w:tc>
      </w:tr>
      <w:tr>
        <w:tc>
          <w:tcPr>
            <w:tcW w:type="dxa" w:w="3377"/>
            <w:shd w:val="clear" w:color="auto" w:fill="EAF1F4"/>
          </w:tcPr>
          <w:p>
            <w:pPr>
              <w:spacing w:after="50" w:before="50" w:line="252" w:lineRule="auto"/>
            </w:pPr>
            <w:r>
              <w:rPr>
                <w:sz w:val="17"/>
              </w:rPr>
              <w:t>Event creative, posters, standees</w:t>
            </w:r>
          </w:p>
        </w:tc>
        <w:tc>
          <w:tcPr>
            <w:tcW w:type="dxa" w:w="1912"/>
            <w:shd w:val="clear" w:color="auto" w:fill="EAF1F4"/>
          </w:tcPr>
          <w:p>
            <w:pPr>
              <w:spacing w:after="50" w:before="50" w:line="252" w:lineRule="auto"/>
            </w:pPr>
            <w:r>
              <w:rPr>
                <w:sz w:val="17"/>
              </w:rPr>
              <w:t>Nodal Officer</w:t>
            </w:r>
          </w:p>
        </w:tc>
        <w:tc>
          <w:tcPr>
            <w:tcW w:type="dxa" w:w="2769"/>
            <w:shd w:val="clear" w:color="auto" w:fill="EAF1F4"/>
          </w:tcPr>
          <w:p>
            <w:pPr>
              <w:spacing w:after="50" w:before="50" w:line="252" w:lineRule="auto"/>
            </w:pPr>
            <w:r>
              <w:rPr>
                <w:sz w:val="17"/>
              </w:rPr>
              <w:t>Marketing, countersigned by Nodal Officer</w:t>
            </w:r>
          </w:p>
        </w:tc>
        <w:tc>
          <w:tcPr>
            <w:tcW w:type="dxa" w:w="1410"/>
            <w:shd w:val="clear" w:color="auto" w:fill="EAF1F4"/>
          </w:tcPr>
          <w:p>
            <w:pPr>
              <w:spacing w:after="50" w:before="50" w:line="252" w:lineRule="auto"/>
            </w:pPr>
            <w:r>
              <w:rPr>
                <w:sz w:val="17"/>
              </w:rPr>
              <w:t>3 working days</w:t>
            </w:r>
          </w:p>
        </w:tc>
      </w:tr>
      <w:tr>
        <w:tc>
          <w:tcPr>
            <w:tcW w:type="dxa" w:w="3377"/>
          </w:tcPr>
          <w:p>
            <w:pPr>
              <w:spacing w:after="50" w:before="50" w:line="252" w:lineRule="auto"/>
            </w:pPr>
            <w:r>
              <w:rPr>
                <w:sz w:val="17"/>
              </w:rPr>
              <w:t>Social media post naming the other party</w:t>
            </w:r>
          </w:p>
        </w:tc>
        <w:tc>
          <w:tcPr>
            <w:tcW w:type="dxa" w:w="1912"/>
          </w:tcPr>
          <w:p>
            <w:pPr>
              <w:spacing w:after="50" w:before="50" w:line="252" w:lineRule="auto"/>
            </w:pPr>
            <w:r>
              <w:rPr>
                <w:sz w:val="17"/>
              </w:rPr>
              <w:t>Nodal Officer</w:t>
            </w:r>
          </w:p>
        </w:tc>
        <w:tc>
          <w:tcPr>
            <w:tcW w:type="dxa" w:w="2769"/>
          </w:tcPr>
          <w:p>
            <w:pPr>
              <w:spacing w:after="50" w:before="50" w:line="252" w:lineRule="auto"/>
            </w:pPr>
            <w:r>
              <w:rPr>
                <w:sz w:val="17"/>
              </w:rPr>
              <w:t>Nodal Officer</w:t>
            </w:r>
          </w:p>
        </w:tc>
        <w:tc>
          <w:tcPr>
            <w:tcW w:type="dxa" w:w="1410"/>
          </w:tcPr>
          <w:p>
            <w:pPr>
              <w:spacing w:after="50" w:before="50" w:line="252" w:lineRule="auto"/>
            </w:pPr>
            <w:r>
              <w:rPr>
                <w:sz w:val="17"/>
              </w:rPr>
              <w:t>2 working days</w:t>
            </w:r>
          </w:p>
        </w:tc>
      </w:tr>
      <w:tr>
        <w:tc>
          <w:tcPr>
            <w:tcW w:type="dxa" w:w="3377"/>
            <w:shd w:val="clear" w:color="auto" w:fill="EAF1F4"/>
          </w:tcPr>
          <w:p>
            <w:pPr>
              <w:spacing w:after="50" w:before="50" w:line="252" w:lineRule="auto"/>
            </w:pPr>
            <w:r>
              <w:rPr>
                <w:sz w:val="17"/>
              </w:rPr>
              <w:t>Website listing</w:t>
            </w:r>
          </w:p>
        </w:tc>
        <w:tc>
          <w:tcPr>
            <w:tcW w:type="dxa" w:w="1912"/>
            <w:shd w:val="clear" w:color="auto" w:fill="EAF1F4"/>
          </w:tcPr>
          <w:p>
            <w:pPr>
              <w:spacing w:after="50" w:before="50" w:line="252" w:lineRule="auto"/>
            </w:pPr>
            <w:r>
              <w:rPr>
                <w:sz w:val="17"/>
              </w:rPr>
              <w:t>Nodal Officer</w:t>
            </w:r>
          </w:p>
        </w:tc>
        <w:tc>
          <w:tcPr>
            <w:tcW w:type="dxa" w:w="2769"/>
            <w:shd w:val="clear" w:color="auto" w:fill="EAF1F4"/>
          </w:tcPr>
          <w:p>
            <w:pPr>
              <w:spacing w:after="50" w:before="50" w:line="252" w:lineRule="auto"/>
            </w:pPr>
            <w:r>
              <w:rPr>
                <w:sz w:val="17"/>
              </w:rPr>
              <w:t>Nodal Officer</w:t>
            </w:r>
          </w:p>
        </w:tc>
        <w:tc>
          <w:tcPr>
            <w:tcW w:type="dxa" w:w="1410"/>
            <w:shd w:val="clear" w:color="auto" w:fill="EAF1F4"/>
          </w:tcPr>
          <w:p>
            <w:pPr>
              <w:spacing w:after="50" w:before="50" w:line="252" w:lineRule="auto"/>
            </w:pPr>
            <w:r>
              <w:rPr>
                <w:sz w:val="17"/>
              </w:rPr>
              <w:t>5 working days</w:t>
            </w:r>
          </w:p>
        </w:tc>
      </w:tr>
      <w:tr>
        <w:tc>
          <w:tcPr>
            <w:tcW w:type="dxa" w:w="3377"/>
          </w:tcPr>
          <w:p>
            <w:pPr>
              <w:spacing w:after="50" w:before="50" w:line="252" w:lineRule="auto"/>
            </w:pPr>
            <w:r>
              <w:rPr>
                <w:sz w:val="17"/>
              </w:rPr>
              <w:t>Certificate design</w:t>
            </w:r>
          </w:p>
        </w:tc>
        <w:tc>
          <w:tcPr>
            <w:tcW w:type="dxa" w:w="1912"/>
          </w:tcPr>
          <w:p>
            <w:pPr>
              <w:spacing w:after="50" w:before="50" w:line="252" w:lineRule="auto"/>
            </w:pPr>
            <w:r>
              <w:rPr>
                <w:sz w:val="17"/>
              </w:rPr>
              <w:t>Registrar</w:t>
            </w:r>
          </w:p>
        </w:tc>
        <w:tc>
          <w:tcPr>
            <w:tcW w:type="dxa" w:w="2769"/>
          </w:tcPr>
          <w:p>
            <w:pPr>
              <w:spacing w:after="50" w:before="50" w:line="252" w:lineRule="auto"/>
            </w:pPr>
            <w:r>
              <w:rPr>
                <w:sz w:val="17"/>
              </w:rPr>
              <w:t>Head of Curriculum</w:t>
            </w:r>
          </w:p>
        </w:tc>
        <w:tc>
          <w:tcPr>
            <w:tcW w:type="dxa" w:w="1410"/>
          </w:tcPr>
          <w:p>
            <w:pPr>
              <w:spacing w:after="50" w:before="50" w:line="252" w:lineRule="auto"/>
            </w:pPr>
            <w:r>
              <w:rPr>
                <w:sz w:val="17"/>
              </w:rPr>
              <w:t>10 working days</w:t>
            </w:r>
          </w:p>
        </w:tc>
      </w:tr>
      <w:tr>
        <w:tc>
          <w:tcPr>
            <w:tcW w:type="dxa" w:w="3377"/>
            <w:shd w:val="clear" w:color="auto" w:fill="EAF1F4"/>
          </w:tcPr>
          <w:p>
            <w:pPr>
              <w:spacing w:after="50" w:before="50" w:line="252" w:lineRule="auto"/>
            </w:pPr>
            <w:r>
              <w:rPr>
                <w:b/>
                <w:sz w:val="17"/>
              </w:rPr>
              <w:t>Any statement of a legal or regulatory position</w:t>
            </w:r>
          </w:p>
        </w:tc>
        <w:tc>
          <w:tcPr>
            <w:tcW w:type="dxa" w:w="1912"/>
            <w:shd w:val="clear" w:color="auto" w:fill="EAF1F4"/>
          </w:tcPr>
          <w:p>
            <w:pPr>
              <w:spacing w:after="50" w:before="50" w:line="252" w:lineRule="auto"/>
            </w:pPr>
            <w:r>
              <w:rPr>
                <w:sz w:val="17"/>
              </w:rPr>
              <w:t>Registrar</w:t>
            </w:r>
          </w:p>
        </w:tc>
        <w:tc>
          <w:tcPr>
            <w:tcW w:type="dxa" w:w="2769"/>
            <w:shd w:val="clear" w:color="auto" w:fill="EAF1F4"/>
          </w:tcPr>
          <w:p>
            <w:pPr>
              <w:spacing w:after="50" w:before="50" w:line="252" w:lineRule="auto"/>
            </w:pPr>
            <w:r>
              <w:rPr>
                <w:sz w:val="17"/>
              </w:rPr>
              <w:t xml:space="preserve">Programme Director </w:t>
            </w:r>
            <w:r>
              <w:rPr>
                <w:b/>
                <w:sz w:val="17"/>
              </w:rPr>
              <w:t>and General Counsel</w:t>
            </w:r>
          </w:p>
        </w:tc>
        <w:tc>
          <w:tcPr>
            <w:tcW w:type="dxa" w:w="1410"/>
            <w:shd w:val="clear" w:color="auto" w:fill="EAF1F4"/>
          </w:tcPr>
          <w:p>
            <w:pPr>
              <w:spacing w:after="50" w:before="50" w:line="252" w:lineRule="auto"/>
            </w:pPr>
            <w:r>
              <w:rPr>
                <w:sz w:val="17"/>
              </w:rPr>
              <w:t>10 working days</w:t>
            </w:r>
          </w:p>
        </w:tc>
      </w:tr>
      <w:tr>
        <w:tc>
          <w:tcPr>
            <w:tcW w:type="dxa" w:w="3377"/>
          </w:tcPr>
          <w:p>
            <w:pPr>
              <w:spacing w:after="50" w:before="50" w:line="252" w:lineRule="auto"/>
            </w:pPr>
            <w:r>
              <w:rPr>
                <w:sz w:val="17"/>
              </w:rPr>
              <w:t>Photographs or video of participants</w:t>
            </w:r>
          </w:p>
        </w:tc>
        <w:tc>
          <w:tcPr>
            <w:tcW w:type="dxa" w:w="1912"/>
          </w:tcPr>
          <w:p>
            <w:pPr>
              <w:spacing w:after="50" w:before="50" w:line="252" w:lineRule="auto"/>
            </w:pPr>
            <w:r>
              <w:rPr>
                <w:sz w:val="17"/>
              </w:rPr>
              <w:t>Nodal Officer, consent verified</w:t>
            </w:r>
          </w:p>
        </w:tc>
        <w:tc>
          <w:tcPr>
            <w:tcW w:type="dxa" w:w="2769"/>
          </w:tcPr>
          <w:p>
            <w:pPr>
              <w:spacing w:after="50" w:before="50" w:line="252" w:lineRule="auto"/>
            </w:pPr>
            <w:r>
              <w:rPr>
                <w:sz w:val="17"/>
              </w:rPr>
              <w:t>Marketing, consent verified</w:t>
            </w:r>
          </w:p>
        </w:tc>
        <w:tc>
          <w:tcPr>
            <w:tcW w:type="dxa" w:w="1410"/>
          </w:tcPr>
          <w:p>
            <w:pPr>
              <w:spacing w:after="50" w:before="50" w:line="252" w:lineRule="auto"/>
            </w:pPr>
            <w:r>
              <w:rPr>
                <w:sz w:val="17"/>
              </w:rPr>
              <w:t>3 working days</w:t>
            </w:r>
          </w:p>
        </w:tc>
      </w:tr>
      <w:tr>
        <w:tc>
          <w:tcPr>
            <w:tcW w:type="dxa" w:w="3377"/>
            <w:shd w:val="clear" w:color="auto" w:fill="EAF1F4"/>
          </w:tcPr>
          <w:p>
            <w:pPr>
              <w:spacing w:after="50" w:before="50" w:line="252" w:lineRule="auto"/>
            </w:pPr>
            <w:r>
              <w:rPr>
                <w:sz w:val="17"/>
              </w:rPr>
              <w:t>Case study naming the institution</w:t>
            </w:r>
          </w:p>
        </w:tc>
        <w:tc>
          <w:tcPr>
            <w:tcW w:type="dxa" w:w="1912"/>
            <w:shd w:val="clear" w:color="auto" w:fill="EAF1F4"/>
          </w:tcPr>
          <w:p>
            <w:pPr>
              <w:spacing w:after="50" w:before="50" w:line="252" w:lineRule="auto"/>
            </w:pPr>
            <w:r>
              <w:rPr>
                <w:sz w:val="17"/>
              </w:rPr>
              <w:t>Registrar</w:t>
            </w:r>
          </w:p>
        </w:tc>
        <w:tc>
          <w:tcPr>
            <w:tcW w:type="dxa" w:w="2769"/>
            <w:shd w:val="clear" w:color="auto" w:fill="EAF1F4"/>
          </w:tcPr>
          <w:p>
            <w:pPr>
              <w:spacing w:after="50" w:before="50" w:line="252" w:lineRule="auto"/>
            </w:pPr>
            <w:r>
              <w:rPr>
                <w:sz w:val="17"/>
              </w:rPr>
              <w:t>Programme Director</w:t>
            </w:r>
          </w:p>
        </w:tc>
        <w:tc>
          <w:tcPr>
            <w:tcW w:type="dxa" w:w="1410"/>
            <w:shd w:val="clear" w:color="auto" w:fill="EAF1F4"/>
          </w:tcPr>
          <w:p>
            <w:pPr>
              <w:spacing w:after="50" w:before="50" w:line="252" w:lineRule="auto"/>
            </w:pPr>
            <w:r>
              <w:rPr>
                <w:sz w:val="17"/>
              </w:rPr>
              <w:t>10 working days</w:t>
            </w:r>
          </w:p>
        </w:tc>
      </w:tr>
    </w:tbl>
    <w:p>
      <w:pPr>
        <w:spacing w:after="80" w:before="0"/>
      </w:pPr>
    </w:p>
    <w:p>
      <w:pPr>
        <w:spacing w:before="80" w:after="160"/>
        <w:pBdr>
          <w:bottom w:val="single" w:sz="6" w:space="1" w:color="C9D6DE"/>
        </w:pBdr>
      </w:pPr>
    </w:p>
    <w:p>
      <w:pPr>
        <w:pStyle w:val="Heading1"/>
        <w:pBdr>
          <w:bottom w:val="single" w:sz="8" w:space="4" w:color="C9D6DE"/>
        </w:pBdr>
      </w:pPr>
      <w:r>
        <w:t>5. Voice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684"/>
            <w:shd w:val="clear" w:color="auto" w:fill="10375C"/>
          </w:tcPr>
          <w:p>
            <w:pPr>
              <w:spacing w:after="50" w:before="50"/>
            </w:pPr>
            <w:r>
              <w:rPr>
                <w:b/>
                <w:color w:val="FFFFFF"/>
                <w:sz w:val="17"/>
              </w:rPr>
              <w:t>Do</w:t>
            </w:r>
          </w:p>
        </w:tc>
        <w:tc>
          <w:tcPr>
            <w:tcW w:type="dxa" w:w="4784"/>
            <w:shd w:val="clear" w:color="auto" w:fill="10375C"/>
          </w:tcPr>
          <w:p>
            <w:pPr>
              <w:spacing w:after="50" w:before="50"/>
            </w:pPr>
            <w:r>
              <w:rPr>
                <w:b/>
                <w:color w:val="FFFFFF"/>
                <w:sz w:val="17"/>
              </w:rPr>
              <w:t>Do not</w:t>
            </w:r>
          </w:p>
        </w:tc>
      </w:tr>
      <w:tr>
        <w:tc>
          <w:tcPr>
            <w:tcW w:type="dxa" w:w="4684"/>
          </w:tcPr>
          <w:p>
            <w:pPr>
              <w:spacing w:after="50" w:before="50" w:line="252" w:lineRule="auto"/>
            </w:pPr>
            <w:r>
              <w:rPr>
                <w:sz w:val="17"/>
              </w:rPr>
              <w:t>State what happened, with numbers</w:t>
            </w:r>
          </w:p>
        </w:tc>
        <w:tc>
          <w:tcPr>
            <w:tcW w:type="dxa" w:w="4784"/>
          </w:tcPr>
          <w:p>
            <w:pPr>
              <w:spacing w:after="50" w:before="50" w:line="252" w:lineRule="auto"/>
            </w:pPr>
            <w:r>
              <w:rPr>
                <w:sz w:val="17"/>
              </w:rPr>
              <w:t>Use superlatives — leading, premier, best, revolutionary</w:t>
            </w:r>
          </w:p>
        </w:tc>
      </w:tr>
      <w:tr>
        <w:tc>
          <w:tcPr>
            <w:tcW w:type="dxa" w:w="4684"/>
            <w:shd w:val="clear" w:color="auto" w:fill="EAF1F4"/>
          </w:tcPr>
          <w:p>
            <w:pPr>
              <w:spacing w:after="50" w:before="50" w:line="252" w:lineRule="auto"/>
            </w:pPr>
            <w:r>
              <w:rPr>
                <w:sz w:val="17"/>
              </w:rPr>
              <w:t>Name the statute and get it right</w:t>
            </w:r>
          </w:p>
        </w:tc>
        <w:tc>
          <w:tcPr>
            <w:tcW w:type="dxa" w:w="4784"/>
            <w:shd w:val="clear" w:color="auto" w:fill="EAF1F4"/>
          </w:tcPr>
          <w:p>
            <w:pPr>
              <w:spacing w:after="50" w:before="50" w:line="252" w:lineRule="auto"/>
            </w:pPr>
            <w:r>
              <w:rPr>
                <w:sz w:val="17"/>
              </w:rPr>
              <w:t xml:space="preserve">Refer vaguely to </w:t>
            </w:r>
            <w:r>
              <w:rPr>
                <w:i/>
                <w:sz w:val="17"/>
              </w:rPr>
              <w:t>new mediation laws</w:t>
            </w:r>
          </w:p>
        </w:tc>
      </w:tr>
      <w:tr>
        <w:tc>
          <w:tcPr>
            <w:tcW w:type="dxa" w:w="4684"/>
          </w:tcPr>
          <w:p>
            <w:pPr>
              <w:spacing w:after="50" w:before="50" w:line="252" w:lineRule="auto"/>
            </w:pPr>
            <w:r>
              <w:rPr>
                <w:sz w:val="17"/>
              </w:rPr>
              <w:t>Attribute quotations accurately, with approval</w:t>
            </w:r>
          </w:p>
        </w:tc>
        <w:tc>
          <w:tcPr>
            <w:tcW w:type="dxa" w:w="4784"/>
          </w:tcPr>
          <w:p>
            <w:pPr>
              <w:spacing w:after="50" w:before="50" w:line="252" w:lineRule="auto"/>
            </w:pPr>
            <w:r>
              <w:rPr>
                <w:sz w:val="17"/>
              </w:rPr>
              <w:t>Invent or paraphrase a quotation</w:t>
            </w:r>
          </w:p>
        </w:tc>
      </w:tr>
      <w:tr>
        <w:tc>
          <w:tcPr>
            <w:tcW w:type="dxa" w:w="4684"/>
            <w:shd w:val="clear" w:color="auto" w:fill="EAF1F4"/>
          </w:tcPr>
          <w:p>
            <w:pPr>
              <w:spacing w:after="50" w:before="50" w:line="252" w:lineRule="auto"/>
            </w:pPr>
            <w:r>
              <w:rPr>
                <w:sz w:val="17"/>
              </w:rPr>
              <w:t>Say what a participant can now do</w:t>
            </w:r>
          </w:p>
        </w:tc>
        <w:tc>
          <w:tcPr>
            <w:tcW w:type="dxa" w:w="4784"/>
            <w:shd w:val="clear" w:color="auto" w:fill="EAF1F4"/>
          </w:tcPr>
          <w:p>
            <w:pPr>
              <w:spacing w:after="50" w:before="50" w:line="252" w:lineRule="auto"/>
            </w:pPr>
            <w:r>
              <w:rPr>
                <w:sz w:val="17"/>
              </w:rPr>
              <w:t>Promise what a participant will now get</w:t>
            </w:r>
          </w:p>
        </w:tc>
      </w:tr>
      <w:tr>
        <w:tc>
          <w:tcPr>
            <w:tcW w:type="dxa" w:w="4684"/>
          </w:tcPr>
          <w:p>
            <w:pPr>
              <w:spacing w:after="50" w:before="50" w:line="252" w:lineRule="auto"/>
            </w:pPr>
            <w:r>
              <w:rPr>
                <w:sz w:val="17"/>
              </w:rPr>
              <w:t>Use plain English</w:t>
            </w:r>
          </w:p>
        </w:tc>
        <w:tc>
          <w:tcPr>
            <w:tcW w:type="dxa" w:w="4784"/>
          </w:tcPr>
          <w:p>
            <w:pPr>
              <w:spacing w:after="50" w:before="50" w:line="252" w:lineRule="auto"/>
            </w:pPr>
            <w:r>
              <w:rPr>
                <w:sz w:val="17"/>
              </w:rPr>
              <w:t>Use jargon that only practitioners understand</w:t>
            </w:r>
          </w:p>
        </w:tc>
      </w:tr>
      <w:tr>
        <w:tc>
          <w:tcPr>
            <w:tcW w:type="dxa" w:w="4684"/>
            <w:shd w:val="clear" w:color="auto" w:fill="EAF1F4"/>
          </w:tcPr>
          <w:p>
            <w:pPr>
              <w:spacing w:after="50" w:before="50" w:line="252" w:lineRule="auto"/>
            </w:pPr>
            <w:r>
              <w:rPr>
                <w:sz w:val="17"/>
              </w:rPr>
              <w:t>Credit the institution and its people by name</w:t>
            </w:r>
          </w:p>
        </w:tc>
        <w:tc>
          <w:tcPr>
            <w:tcW w:type="dxa" w:w="4784"/>
            <w:shd w:val="clear" w:color="auto" w:fill="EAF1F4"/>
          </w:tcPr>
          <w:p>
            <w:pPr>
              <w:spacing w:after="50" w:before="50" w:line="252" w:lineRule="auto"/>
            </w:pPr>
            <w:r>
              <w:rPr>
                <w:sz w:val="17"/>
              </w:rPr>
              <w:t>Take sole credit for joint work</w:t>
            </w:r>
          </w:p>
        </w:tc>
      </w:tr>
      <w:tr>
        <w:tc>
          <w:tcPr>
            <w:tcW w:type="dxa" w:w="4684"/>
          </w:tcPr>
          <w:p>
            <w:pPr>
              <w:spacing w:after="50" w:before="50" w:line="252" w:lineRule="auto"/>
            </w:pPr>
            <w:r>
              <w:rPr>
                <w:sz w:val="17"/>
              </w:rPr>
              <w:t>Publish the number of participants even when it is small</w:t>
            </w:r>
          </w:p>
        </w:tc>
        <w:tc>
          <w:tcPr>
            <w:tcW w:type="dxa" w:w="4784"/>
          </w:tcPr>
          <w:p>
            <w:pPr>
              <w:spacing w:after="50" w:before="50" w:line="252" w:lineRule="auto"/>
            </w:pPr>
            <w:r>
              <w:rPr>
                <w:sz w:val="17"/>
              </w:rPr>
              <w:t>Round up, or omit the number</w:t>
            </w:r>
          </w:p>
        </w:tc>
      </w:tr>
    </w:tbl>
    <w:p>
      <w:pPr>
        <w:spacing w:after="80" w:before="0"/>
      </w:pPr>
    </w:p>
    <w:p>
      <w:r>
        <w:rPr>
          <w:b/>
        </w:rPr>
        <w:t>Two words to avoid entirely:</w:t>
      </w:r>
      <w:r>
        <w:t xml:space="preserve"> </w:t>
      </w:r>
      <w:r>
        <w:rPr>
          <w:i/>
        </w:rPr>
        <w:t>recognised</w:t>
      </w:r>
      <w:r>
        <w:t xml:space="preserve"> and </w:t>
      </w:r>
      <w:r>
        <w:rPr>
          <w:i/>
        </w:rPr>
        <w:t>accredited</w:t>
      </w:r>
      <w:r>
        <w:t>, in relation to any Equator credential.</w:t>
      </w:r>
    </w:p>
    <w:p>
      <w:pPr>
        <w:spacing w:before="80" w:after="160"/>
        <w:pBdr>
          <w:bottom w:val="single" w:sz="6" w:space="1" w:color="C9D6DE"/>
        </w:pBdr>
      </w:pPr>
    </w:p>
    <w:p>
      <w:pPr>
        <w:pStyle w:val="Heading1"/>
        <w:pBdr>
          <w:bottom w:val="single" w:sz="8" w:space="4" w:color="C9D6DE"/>
        </w:pBdr>
      </w:pPr>
      <w:r>
        <w:t>6. Prohibited statements</w:t>
      </w:r>
    </w:p>
    <w:p>
      <w:r>
        <w:t>Neither party shall state or imply that:</w:t>
      </w:r>
    </w:p>
    <w:p>
      <w:pPr>
        <w:pStyle w:val="ListNumber"/>
      </w:pPr>
      <w:r>
        <w:rPr>
          <w:sz w:val="21"/>
        </w:rPr>
        <w:t>any Equator certificate is a degree, diploma or statutory qualification;</w:t>
      </w:r>
    </w:p>
    <w:p>
      <w:pPr>
        <w:pStyle w:val="ListNumber"/>
      </w:pPr>
      <w:r>
        <w:rPr>
          <w:sz w:val="21"/>
        </w:rPr>
        <w:t>any Equator certification is accredited, recognised or approved by the Mediation Council of India or by any Government authority;</w:t>
      </w:r>
    </w:p>
    <w:p>
      <w:pPr>
        <w:pStyle w:val="ListNumber"/>
      </w:pPr>
      <w:r>
        <w:rPr>
          <w:sz w:val="21"/>
        </w:rPr>
        <w:t>any participant is assured of employment or placement;</w:t>
      </w:r>
    </w:p>
    <w:p>
      <w:pPr>
        <w:pStyle w:val="ListNumber"/>
      </w:pPr>
      <w:r>
        <w:rPr>
          <w:sz w:val="21"/>
        </w:rPr>
        <w:t>the institution endorses any commercial service of Equator Resolution, or that Equator is the institution's exclusive dispute resolution provider, unless expressly agreed;</w:t>
      </w:r>
    </w:p>
    <w:p>
      <w:pPr>
        <w:pStyle w:val="ListNumber"/>
      </w:pPr>
      <w:r>
        <w:rPr>
          <w:sz w:val="21"/>
        </w:rPr>
        <w:t>Equator is an accrediting or affiliating body for the institution;</w:t>
      </w:r>
    </w:p>
    <w:p>
      <w:pPr>
        <w:pStyle w:val="ListNumber"/>
      </w:pPr>
      <w:r>
        <w:rPr>
          <w:sz w:val="21"/>
        </w:rPr>
        <w:t>any outcome, settlement rate or statistic not verified and approved by both parties in writing; or</w:t>
      </w:r>
    </w:p>
    <w:p>
      <w:pPr>
        <w:pStyle w:val="ListNumber"/>
      </w:pPr>
      <w:r>
        <w:rPr>
          <w:sz w:val="21"/>
        </w:rPr>
        <w:t>anything about a live matter, a party, or a dispute administered by Equator.</w:t>
      </w:r>
    </w:p>
    <w:p>
      <w:r>
        <w:rPr>
          <w:b/>
        </w:rPr>
        <w:t>Approved formulation where the question of recognition arises:</w:t>
      </w:r>
    </w:p>
    <w:p>
      <w:pPr>
        <w:spacing w:before="140" w:after="140"/>
        <w:ind w:left="198" w:right="113"/>
        <w:shd w:val="clear" w:color="auto" w:fill="EAF1F4"/>
        <w:pBdr>
          <w:left w:val="single" w:sz="18" w:space="6" w:color="0E7C7B"/>
        </w:pBdr>
      </w:pPr>
      <w:r>
        <w:rPr>
          <w:i/>
          <w:sz w:val="19"/>
        </w:rPr>
        <w:t>Equator's mediation training is designed in line with prevailing court-annexed mediation training norms of 40 hours basic and 20 hours advanced training. The Mediation Council of India contemplated by the Mediation Act, 2023 has not yet been constituted, and Equator's certification is not accredited or approved by the Council or by any Government authority. The certificate evidences completion of training and assessment.</w:t>
      </w:r>
    </w:p>
    <w:p>
      <w:pPr>
        <w:spacing w:before="80" w:after="160"/>
        <w:pBdr>
          <w:bottom w:val="single" w:sz="6" w:space="1" w:color="C9D6DE"/>
        </w:pBdr>
      </w:pPr>
    </w:p>
    <w:p>
      <w:pPr>
        <w:pStyle w:val="Heading1"/>
        <w:pBdr>
          <w:bottom w:val="single" w:sz="8" w:space="4" w:color="C9D6DE"/>
        </w:pBdr>
      </w:pPr>
      <w:r>
        <w:t>7. Mandatory statements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3725"/>
            <w:shd w:val="clear" w:color="auto" w:fill="10375C"/>
          </w:tcPr>
          <w:p>
            <w:pPr>
              <w:spacing w:after="50" w:before="50"/>
            </w:pPr>
            <w:r>
              <w:rPr>
                <w:b/>
                <w:color w:val="FFFFFF"/>
                <w:sz w:val="17"/>
              </w:rPr>
              <w:t>Where</w:t>
            </w:r>
          </w:p>
        </w:tc>
        <w:tc>
          <w:tcPr>
            <w:tcW w:type="dxa" w:w="5743"/>
            <w:shd w:val="clear" w:color="auto" w:fill="10375C"/>
          </w:tcPr>
          <w:p>
            <w:pPr>
              <w:spacing w:after="50" w:before="50"/>
            </w:pPr>
            <w:r>
              <w:rPr>
                <w:b/>
                <w:color w:val="FFFFFF"/>
                <w:sz w:val="17"/>
              </w:rPr>
              <w:t>Statement</w:t>
            </w:r>
          </w:p>
        </w:tc>
      </w:tr>
      <w:tr>
        <w:tc>
          <w:tcPr>
            <w:tcW w:type="dxa" w:w="3725"/>
          </w:tcPr>
          <w:p>
            <w:pPr>
              <w:spacing w:after="50" w:before="50" w:line="252" w:lineRule="auto"/>
            </w:pPr>
            <w:r>
              <w:rPr>
                <w:sz w:val="17"/>
              </w:rPr>
              <w:t>Every certificate</w:t>
            </w:r>
          </w:p>
        </w:tc>
        <w:tc>
          <w:tcPr>
            <w:tcW w:type="dxa" w:w="5743"/>
          </w:tcPr>
          <w:p>
            <w:pPr>
              <w:spacing w:after="50" w:before="50" w:line="252" w:lineRule="auto"/>
            </w:pPr>
            <w:r>
              <w:rPr>
                <w:i/>
                <w:sz w:val="17"/>
              </w:rPr>
              <w:t>This certificate evidences completion of training and assessment conducted by Equator ADR Institute. It is not a degree or diploma and is not a statutory qualification.</w:t>
            </w:r>
          </w:p>
        </w:tc>
      </w:tr>
      <w:tr>
        <w:tc>
          <w:tcPr>
            <w:tcW w:type="dxa" w:w="3725"/>
            <w:shd w:val="clear" w:color="auto" w:fill="EAF1F4"/>
          </w:tcPr>
          <w:p>
            <w:pPr>
              <w:spacing w:after="50" w:before="50" w:line="252" w:lineRule="auto"/>
            </w:pPr>
            <w:r>
              <w:rPr>
                <w:sz w:val="17"/>
              </w:rPr>
              <w:t>Every training brochure and registration page</w:t>
            </w:r>
          </w:p>
        </w:tc>
        <w:tc>
          <w:tcPr>
            <w:tcW w:type="dxa" w:w="5743"/>
            <w:shd w:val="clear" w:color="auto" w:fill="EAF1F4"/>
          </w:tcPr>
          <w:p>
            <w:pPr>
              <w:spacing w:after="50" w:before="50" w:line="252" w:lineRule="auto"/>
            </w:pPr>
            <w:r>
              <w:rPr>
                <w:sz w:val="17"/>
              </w:rPr>
              <w:t>The approved formulation at section 6</w:t>
            </w:r>
          </w:p>
        </w:tc>
      </w:tr>
      <w:tr>
        <w:tc>
          <w:tcPr>
            <w:tcW w:type="dxa" w:w="3725"/>
          </w:tcPr>
          <w:p>
            <w:pPr>
              <w:spacing w:after="50" w:before="50" w:line="252" w:lineRule="auto"/>
            </w:pPr>
            <w:r>
              <w:rPr>
                <w:sz w:val="17"/>
              </w:rPr>
              <w:t>Every co-branded material</w:t>
            </w:r>
          </w:p>
        </w:tc>
        <w:tc>
          <w:tcPr>
            <w:tcW w:type="dxa" w:w="5743"/>
          </w:tcPr>
          <w:p>
            <w:pPr>
              <w:spacing w:after="50" w:before="50" w:line="252" w:lineRule="auto"/>
            </w:pPr>
            <w:r>
              <w:rPr>
                <w:i/>
                <w:sz w:val="17"/>
              </w:rPr>
              <w:t>An initiative of Equator ADR Institute in collaboration with [●] University</w:t>
            </w:r>
          </w:p>
        </w:tc>
      </w:tr>
      <w:tr>
        <w:tc>
          <w:tcPr>
            <w:tcW w:type="dxa" w:w="3725"/>
            <w:shd w:val="clear" w:color="auto" w:fill="EAF1F4"/>
          </w:tcPr>
          <w:p>
            <w:pPr>
              <w:spacing w:after="50" w:before="50" w:line="252" w:lineRule="auto"/>
            </w:pPr>
            <w:r>
              <w:rPr>
                <w:sz w:val="17"/>
              </w:rPr>
              <w:t>Every research output</w:t>
            </w:r>
          </w:p>
        </w:tc>
        <w:tc>
          <w:tcPr>
            <w:tcW w:type="dxa" w:w="5743"/>
            <w:shd w:val="clear" w:color="auto" w:fill="EAF1F4"/>
          </w:tcPr>
          <w:p>
            <w:pPr>
              <w:spacing w:after="50" w:before="50" w:line="252" w:lineRule="auto"/>
            </w:pPr>
            <w:r>
              <w:rPr>
                <w:sz w:val="17"/>
              </w:rPr>
              <w:t>The standard acknowledgement in 08.2</w:t>
            </w:r>
          </w:p>
        </w:tc>
      </w:tr>
      <w:tr>
        <w:tc>
          <w:tcPr>
            <w:tcW w:type="dxa" w:w="3725"/>
          </w:tcPr>
          <w:p>
            <w:pPr>
              <w:spacing w:after="50" w:before="50" w:line="252" w:lineRule="auto"/>
            </w:pPr>
            <w:r>
              <w:rPr>
                <w:sz w:val="17"/>
              </w:rPr>
              <w:t>Every competition material</w:t>
            </w:r>
          </w:p>
        </w:tc>
        <w:tc>
          <w:tcPr>
            <w:tcW w:type="dxa" w:w="5743"/>
          </w:tcPr>
          <w:p>
            <w:pPr>
              <w:spacing w:after="50" w:before="50" w:line="252" w:lineRule="auto"/>
            </w:pPr>
            <w:r>
              <w:rPr>
                <w:i/>
                <w:sz w:val="17"/>
              </w:rPr>
              <w:t>Convened by Equator ADR Institute</w:t>
            </w:r>
          </w:p>
        </w:tc>
      </w:tr>
    </w:tbl>
    <w:p>
      <w:pPr>
        <w:spacing w:after="80" w:before="0"/>
      </w:pPr>
    </w:p>
    <w:p>
      <w:pPr>
        <w:spacing w:before="80" w:after="160"/>
        <w:pBdr>
          <w:bottom w:val="single" w:sz="6" w:space="1" w:color="C9D6DE"/>
        </w:pBdr>
      </w:pPr>
    </w:p>
    <w:p>
      <w:pPr>
        <w:pStyle w:val="Heading1"/>
        <w:pBdr>
          <w:bottom w:val="single" w:sz="8" w:space="4" w:color="C9D6DE"/>
        </w:pBdr>
      </w:pPr>
      <w:r>
        <w:t>8. Photographs and images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Rule</w:t>
            </w:r>
          </w:p>
        </w:tc>
      </w:tr>
      <w:tr>
        <w:tc>
          <w:tcPr>
            <w:tcW w:type="dxa" w:w="9468"/>
          </w:tcPr>
          <w:p>
            <w:pPr>
              <w:spacing w:after="50" w:before="50" w:line="252" w:lineRule="auto"/>
            </w:pPr>
            <w:r>
              <w:rPr>
                <w:sz w:val="17"/>
              </w:rPr>
              <w:t>No identifiable participant appears without a signed media release (F-02)</w:t>
            </w:r>
          </w:p>
        </w:tc>
      </w:tr>
      <w:tr>
        <w:tc>
          <w:tcPr>
            <w:tcW w:type="dxa" w:w="9468"/>
            <w:shd w:val="clear" w:color="auto" w:fill="EAF1F4"/>
          </w:tcPr>
          <w:p>
            <w:pPr>
              <w:spacing w:after="50" w:before="50" w:line="252" w:lineRule="auto"/>
            </w:pPr>
            <w:r>
              <w:rPr>
                <w:sz w:val="17"/>
              </w:rPr>
              <w:t>A participant under eighteen requires guardian consent (F-03)</w:t>
            </w:r>
          </w:p>
        </w:tc>
      </w:tr>
      <w:tr>
        <w:tc>
          <w:tcPr>
            <w:tcW w:type="dxa" w:w="9468"/>
          </w:tcPr>
          <w:p>
            <w:pPr>
              <w:spacing w:after="50" w:before="50" w:line="252" w:lineRule="auto"/>
            </w:pPr>
            <w:r>
              <w:rPr>
                <w:sz w:val="17"/>
              </w:rPr>
              <w:t>Consent is verified before use, not assumed from attendance</w:t>
            </w:r>
          </w:p>
        </w:tc>
      </w:tr>
      <w:tr>
        <w:tc>
          <w:tcPr>
            <w:tcW w:type="dxa" w:w="9468"/>
            <w:shd w:val="clear" w:color="auto" w:fill="EAF1F4"/>
          </w:tcPr>
          <w:p>
            <w:pPr>
              <w:spacing w:after="50" w:before="50" w:line="252" w:lineRule="auto"/>
            </w:pPr>
            <w:r>
              <w:rPr>
                <w:sz w:val="17"/>
              </w:rPr>
              <w:t>No image of anyone in visible distress</w:t>
            </w:r>
          </w:p>
        </w:tc>
      </w:tr>
      <w:tr>
        <w:tc>
          <w:tcPr>
            <w:tcW w:type="dxa" w:w="9468"/>
          </w:tcPr>
          <w:p>
            <w:pPr>
              <w:spacing w:after="50" w:before="50" w:line="252" w:lineRule="auto"/>
            </w:pPr>
            <w:r>
              <w:rPr>
                <w:b/>
                <w:sz w:val="17"/>
              </w:rPr>
              <w:t>No image of, in, or referring to any live proceeding</w:t>
            </w:r>
          </w:p>
        </w:tc>
      </w:tr>
      <w:tr>
        <w:tc>
          <w:tcPr>
            <w:tcW w:type="dxa" w:w="9468"/>
            <w:shd w:val="clear" w:color="auto" w:fill="EAF1F4"/>
          </w:tcPr>
          <w:p>
            <w:pPr>
              <w:spacing w:after="50" w:before="50" w:line="252" w:lineRule="auto"/>
            </w:pPr>
            <w:r>
              <w:rPr>
                <w:sz w:val="17"/>
              </w:rPr>
              <w:t>No image implying an endorsement not given</w:t>
            </w:r>
          </w:p>
        </w:tc>
      </w:tr>
      <w:tr>
        <w:tc>
          <w:tcPr>
            <w:tcW w:type="dxa" w:w="9468"/>
          </w:tcPr>
          <w:p>
            <w:pPr>
              <w:spacing w:after="50" w:before="50" w:line="252" w:lineRule="auto"/>
            </w:pPr>
            <w:r>
              <w:rPr>
                <w:sz w:val="17"/>
              </w:rPr>
              <w:t>Images removed within 30 days of a withdrawal of consent</w:t>
            </w:r>
          </w:p>
        </w:tc>
      </w:tr>
      <w:tr>
        <w:tc>
          <w:tcPr>
            <w:tcW w:type="dxa" w:w="9468"/>
            <w:shd w:val="clear" w:color="auto" w:fill="EAF1F4"/>
          </w:tcPr>
          <w:p>
            <w:pPr>
              <w:spacing w:after="50" w:before="50" w:line="252" w:lineRule="auto"/>
            </w:pPr>
            <w:r>
              <w:rPr>
                <w:sz w:val="17"/>
              </w:rPr>
              <w:t>Images not licensed or sold to third parties</w:t>
            </w:r>
          </w:p>
        </w:tc>
      </w:tr>
      <w:tr>
        <w:tc>
          <w:tcPr>
            <w:tcW w:type="dxa" w:w="9468"/>
          </w:tcPr>
          <w:p>
            <w:pPr>
              <w:spacing w:after="50" w:before="50" w:line="252" w:lineRule="auto"/>
            </w:pPr>
            <w:r>
              <w:rPr>
                <w:sz w:val="17"/>
              </w:rPr>
              <w:t>Stock images are not presented as Equator activity</w:t>
            </w:r>
          </w:p>
        </w:tc>
      </w:tr>
    </w:tbl>
    <w:p>
      <w:pPr>
        <w:spacing w:after="80" w:before="0"/>
      </w:pPr>
    </w:p>
    <w:p>
      <w:pPr>
        <w:spacing w:before="80" w:after="160"/>
        <w:pBdr>
          <w:bottom w:val="single" w:sz="6" w:space="1" w:color="C9D6DE"/>
        </w:pBdr>
      </w:pPr>
    </w:p>
    <w:p>
      <w:pPr>
        <w:pStyle w:val="Heading1"/>
        <w:pBdr>
          <w:bottom w:val="single" w:sz="8" w:space="4" w:color="C9D6DE"/>
        </w:pBdr>
      </w:pPr>
      <w:r>
        <w:t>9. On termination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6087"/>
            <w:shd w:val="clear" w:color="auto" w:fill="10375C"/>
          </w:tcPr>
          <w:p>
            <w:pPr>
              <w:spacing w:after="50" w:before="50"/>
            </w:pPr>
            <w:r>
              <w:rPr>
                <w:b/>
                <w:color w:val="FFFFFF"/>
                <w:sz w:val="17"/>
              </w:rPr>
              <w:t>Step</w:t>
            </w:r>
          </w:p>
        </w:tc>
        <w:tc>
          <w:tcPr>
            <w:tcW w:type="dxa" w:w="3380"/>
            <w:shd w:val="clear" w:color="auto" w:fill="10375C"/>
          </w:tcPr>
          <w:p>
            <w:pPr>
              <w:spacing w:after="50" w:before="50"/>
            </w:pPr>
            <w:r>
              <w:rPr>
                <w:b/>
                <w:color w:val="FFFFFF"/>
                <w:sz w:val="17"/>
              </w:rPr>
              <w:t>Timing</w:t>
            </w:r>
          </w:p>
        </w:tc>
      </w:tr>
      <w:tr>
        <w:tc>
          <w:tcPr>
            <w:tcW w:type="dxa" w:w="6087"/>
          </w:tcPr>
          <w:p>
            <w:pPr>
              <w:spacing w:after="50" w:before="50" w:line="252" w:lineRule="auto"/>
            </w:pPr>
            <w:r>
              <w:rPr>
                <w:sz w:val="17"/>
              </w:rPr>
              <w:t>Cease all new use of the other's marks</w:t>
            </w:r>
          </w:p>
        </w:tc>
        <w:tc>
          <w:tcPr>
            <w:tcW w:type="dxa" w:w="3380"/>
          </w:tcPr>
          <w:p>
            <w:pPr>
              <w:spacing w:after="50" w:before="50" w:line="252" w:lineRule="auto"/>
            </w:pPr>
            <w:r>
              <w:rPr>
                <w:sz w:val="17"/>
              </w:rPr>
              <w:t>Immediately</w:t>
            </w:r>
          </w:p>
        </w:tc>
      </w:tr>
      <w:tr>
        <w:tc>
          <w:tcPr>
            <w:tcW w:type="dxa" w:w="6087"/>
            <w:shd w:val="clear" w:color="auto" w:fill="EAF1F4"/>
          </w:tcPr>
          <w:p>
            <w:pPr>
              <w:spacing w:after="50" w:before="50" w:line="252" w:lineRule="auto"/>
            </w:pPr>
            <w:r>
              <w:rPr>
                <w:sz w:val="17"/>
              </w:rPr>
              <w:t>Remove from websites and social media profiles</w:t>
            </w:r>
          </w:p>
        </w:tc>
        <w:tc>
          <w:tcPr>
            <w:tcW w:type="dxa" w:w="3380"/>
            <w:shd w:val="clear" w:color="auto" w:fill="EAF1F4"/>
          </w:tcPr>
          <w:p>
            <w:pPr>
              <w:spacing w:after="50" w:before="50" w:line="252" w:lineRule="auto"/>
            </w:pPr>
            <w:r>
              <w:rPr>
                <w:sz w:val="17"/>
              </w:rPr>
              <w:t>30 days</w:t>
            </w:r>
          </w:p>
        </w:tc>
      </w:tr>
      <w:tr>
        <w:tc>
          <w:tcPr>
            <w:tcW w:type="dxa" w:w="6087"/>
          </w:tcPr>
          <w:p>
            <w:pPr>
              <w:spacing w:after="50" w:before="50" w:line="252" w:lineRule="auto"/>
            </w:pPr>
            <w:r>
              <w:rPr>
                <w:sz w:val="17"/>
              </w:rPr>
              <w:t>Withdraw printed collateral from circulation</w:t>
            </w:r>
          </w:p>
        </w:tc>
        <w:tc>
          <w:tcPr>
            <w:tcW w:type="dxa" w:w="3380"/>
          </w:tcPr>
          <w:p>
            <w:pPr>
              <w:spacing w:after="50" w:before="50" w:line="252" w:lineRule="auto"/>
            </w:pPr>
            <w:r>
              <w:rPr>
                <w:sz w:val="17"/>
              </w:rPr>
              <w:t>30 days</w:t>
            </w:r>
          </w:p>
        </w:tc>
      </w:tr>
      <w:tr>
        <w:tc>
          <w:tcPr>
            <w:tcW w:type="dxa" w:w="6087"/>
            <w:shd w:val="clear" w:color="auto" w:fill="EAF1F4"/>
          </w:tcPr>
          <w:p>
            <w:pPr>
              <w:spacing w:after="50" w:before="50" w:line="252" w:lineRule="auto"/>
            </w:pPr>
            <w:r>
              <w:rPr>
                <w:sz w:val="17"/>
              </w:rPr>
              <w:t>Remove campus signage</w:t>
            </w:r>
          </w:p>
        </w:tc>
        <w:tc>
          <w:tcPr>
            <w:tcW w:type="dxa" w:w="3380"/>
            <w:shd w:val="clear" w:color="auto" w:fill="EAF1F4"/>
          </w:tcPr>
          <w:p>
            <w:pPr>
              <w:spacing w:after="50" w:before="50" w:line="252" w:lineRule="auto"/>
            </w:pPr>
            <w:r>
              <w:rPr>
                <w:sz w:val="17"/>
              </w:rPr>
              <w:t>30 days</w:t>
            </w:r>
          </w:p>
        </w:tc>
      </w:tr>
      <w:tr>
        <w:tc>
          <w:tcPr>
            <w:tcW w:type="dxa" w:w="6087"/>
          </w:tcPr>
          <w:p>
            <w:pPr>
              <w:spacing w:after="50" w:before="50" w:line="252" w:lineRule="auto"/>
            </w:pPr>
            <w:r>
              <w:rPr>
                <w:sz w:val="17"/>
              </w:rPr>
              <w:t>Cease describing the collaboration as current</w:t>
            </w:r>
          </w:p>
        </w:tc>
        <w:tc>
          <w:tcPr>
            <w:tcW w:type="dxa" w:w="3380"/>
          </w:tcPr>
          <w:p>
            <w:pPr>
              <w:spacing w:after="50" w:before="50" w:line="252" w:lineRule="auto"/>
            </w:pPr>
            <w:r>
              <w:rPr>
                <w:sz w:val="17"/>
              </w:rPr>
              <w:t>Immediately</w:t>
            </w:r>
          </w:p>
        </w:tc>
      </w:tr>
      <w:tr>
        <w:tc>
          <w:tcPr>
            <w:tcW w:type="dxa" w:w="6087"/>
            <w:shd w:val="clear" w:color="auto" w:fill="EAF1F4"/>
          </w:tcPr>
          <w:p>
            <w:pPr>
              <w:spacing w:after="50" w:before="50" w:line="252" w:lineRule="auto"/>
            </w:pPr>
            <w:r>
              <w:rPr>
                <w:sz w:val="17"/>
              </w:rPr>
              <w:t>Certificates already issued</w:t>
            </w:r>
          </w:p>
        </w:tc>
        <w:tc>
          <w:tcPr>
            <w:tcW w:type="dxa" w:w="3380"/>
            <w:shd w:val="clear" w:color="auto" w:fill="EAF1F4"/>
          </w:tcPr>
          <w:p>
            <w:pPr>
              <w:spacing w:after="50" w:before="50" w:line="252" w:lineRule="auto"/>
            </w:pPr>
            <w:r>
              <w:rPr>
                <w:sz w:val="17"/>
              </w:rPr>
              <w:t>Remain valid; not reissued</w:t>
            </w:r>
          </w:p>
        </w:tc>
      </w:tr>
      <w:tr>
        <w:tc>
          <w:tcPr>
            <w:tcW w:type="dxa" w:w="6087"/>
          </w:tcPr>
          <w:p>
            <w:pPr>
              <w:spacing w:after="50" w:before="50" w:line="252" w:lineRule="auto"/>
            </w:pPr>
            <w:r>
              <w:rPr>
                <w:sz w:val="17"/>
              </w:rPr>
              <w:t xml:space="preserve">Historic factual reference — </w:t>
            </w:r>
            <w:r>
              <w:rPr>
                <w:i/>
                <w:sz w:val="17"/>
              </w:rPr>
              <w:t>we collaborated between X and Y</w:t>
            </w:r>
          </w:p>
        </w:tc>
        <w:tc>
          <w:tcPr>
            <w:tcW w:type="dxa" w:w="3380"/>
          </w:tcPr>
          <w:p>
            <w:pPr>
              <w:spacing w:after="50" w:before="50" w:line="252" w:lineRule="auto"/>
            </w:pPr>
            <w:r>
              <w:rPr>
                <w:sz w:val="17"/>
              </w:rPr>
              <w:t>Permitted, if accurate and in the past tense</w:t>
            </w:r>
          </w:p>
        </w:tc>
      </w:tr>
      <w:tr>
        <w:tc>
          <w:tcPr>
            <w:tcW w:type="dxa" w:w="6087"/>
            <w:shd w:val="clear" w:color="auto" w:fill="EAF1F4"/>
          </w:tcPr>
          <w:p>
            <w:pPr>
              <w:spacing w:after="50" w:before="50" w:line="252" w:lineRule="auto"/>
            </w:pPr>
            <w:r>
              <w:rPr>
                <w:sz w:val="17"/>
              </w:rPr>
              <w:t>Confirmation of removal</w:t>
            </w:r>
          </w:p>
        </w:tc>
        <w:tc>
          <w:tcPr>
            <w:tcW w:type="dxa" w:w="3380"/>
            <w:shd w:val="clear" w:color="auto" w:fill="EAF1F4"/>
          </w:tcPr>
          <w:p>
            <w:pPr>
              <w:spacing w:after="50" w:before="50" w:line="252" w:lineRule="auto"/>
            </w:pPr>
            <w:r>
              <w:rPr>
                <w:sz w:val="17"/>
              </w:rPr>
              <w:t>Written, within 45 days</w:t>
            </w:r>
          </w:p>
        </w:tc>
      </w:tr>
    </w:tbl>
    <w:p>
      <w:pPr>
        <w:spacing w:after="80" w:before="0"/>
      </w:pPr>
    </w:p>
    <w:p>
      <w:pPr>
        <w:spacing w:before="80" w:after="160"/>
        <w:pBdr>
          <w:bottom w:val="single" w:sz="6" w:space="1" w:color="C9D6DE"/>
        </w:pBdr>
      </w:pPr>
    </w:p>
    <w:p>
      <w:pPr>
        <w:pStyle w:val="Heading1"/>
        <w:pBdr>
          <w:bottom w:val="single" w:sz="8" w:space="4" w:color="C9D6DE"/>
        </w:pBdr>
      </w:pPr>
      <w:r>
        <w:t>10. Monitoring</w:t>
      </w:r>
    </w:p>
    <w:p>
      <w:r>
        <w:t>Marketing conducts a quarterly review of partner institutions' websites and collateral for accuracy and licence compliance. Where a prohibited statement is found, it is raised with the Nodal Officer the same day and removal is requested within three business days. Repeated breach is escalated to the Registrar under L-22.</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EQ-UAP-086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Co-Branding &amp; Brand Usage Guidelines</w:t>
    </w:r>
    <w:r>
      <w:rPr>
        <w:rFonts w:ascii="Calibri" w:hAnsi="Calibri"/>
        <w:color w:val="595959"/>
        <w:sz w:val="16"/>
      </w:rPr>
      <w:tab/>
      <w:t>Confidential — Internal and partner institution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4675B77-D30D-4FE3-AA5E-B490F35C49BD}"/>
</file>

<file path=customXml/itemProps3.xml><?xml version="1.0" encoding="utf-8"?>
<ds:datastoreItem xmlns:ds="http://schemas.openxmlformats.org/officeDocument/2006/customXml" ds:itemID="{C42840E2-0468-4920-B02B-2FA9659CF738}"/>
</file>

<file path=customXml/itemProps4.xml><?xml version="1.0" encoding="utf-8"?>
<ds:datastoreItem xmlns:ds="http://schemas.openxmlformats.org/officeDocument/2006/customXml" ds:itemID="{69953798-9884-4A3D-A6CB-137DEBC00C9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