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Social Media Collaboration Playbook &amp; Content Calendar</w:t>
      </w:r>
    </w:p>
    <w:p>
      <w:pPr>
        <w:spacing w:after="280" w:line="276" w:lineRule="auto"/>
      </w:pPr>
      <w:r>
        <w:rPr>
          <w:rFonts w:ascii="Calibri" w:hAnsi="Calibri"/>
          <w:i/>
          <w:color w:val="3E6B8A"/>
          <w:sz w:val="25"/>
        </w:rPr>
        <w:t>What to post, who makes it, what is forbidden, and a twelve-month calendar built around the academic year</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EQ-UAP-087</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Brand</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and partner institution</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The strategy in one paragraph</w:t>
      </w:r>
    </w:p>
    <w:p>
      <w:r>
        <w:t xml:space="preserve">Equator's social presence exists to make the institution credible to three audiences at once: </w:t>
      </w:r>
      <w:r>
        <w:rPr>
          <w:b/>
        </w:rPr>
        <w:t>students</w:t>
      </w:r>
      <w:r>
        <w:t xml:space="preserve">, who are the pipeline; </w:t>
      </w:r>
      <w:r>
        <w:rPr>
          <w:b/>
        </w:rPr>
        <w:t>faculty and administrators</w:t>
      </w:r>
      <w:r>
        <w:t xml:space="preserve">, who are the buyers; and </w:t>
      </w:r>
      <w:r>
        <w:rPr>
          <w:b/>
        </w:rPr>
        <w:t>the profession</w:t>
      </w:r>
      <w:r>
        <w:t>, who are the referral source. Content that serves none of the three is not posted, however good it looks.</w:t>
      </w:r>
    </w:p>
    <w:p>
      <w:r>
        <w:t xml:space="preserve">The distinguishing asset is that Equator does the work. Almost every competitor posts about mediation; very few can post from inside a practice. </w:t>
      </w:r>
      <w:r>
        <w:rPr>
          <w:b/>
        </w:rPr>
        <w:t>Content should be recognisably written by people who were in the room</w:t>
      </w:r>
      <w:r>
        <w:t xml:space="preserve"> — without ever saying anything about the room.</w:t>
      </w:r>
    </w:p>
    <w:p>
      <w:pPr>
        <w:spacing w:before="80" w:after="160"/>
        <w:pBdr>
          <w:bottom w:val="single" w:sz="6" w:space="1" w:color="C9D6DE"/>
        </w:pBdr>
      </w:pPr>
    </w:p>
    <w:p>
      <w:pPr>
        <w:pStyle w:val="Heading1"/>
        <w:pBdr>
          <w:bottom w:val="single" w:sz="8" w:space="4" w:color="C9D6DE"/>
        </w:pBdr>
      </w:pPr>
      <w:r>
        <w:t>2. Channels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1988"/>
            <w:shd w:val="clear" w:color="auto" w:fill="10375C"/>
          </w:tcPr>
          <w:p>
            <w:pPr>
              <w:spacing w:after="50" w:before="50"/>
            </w:pPr>
            <w:r>
              <w:rPr>
                <w:b/>
                <w:color w:val="FFFFFF"/>
                <w:sz w:val="17"/>
              </w:rPr>
              <w:t>Channel</w:t>
            </w:r>
          </w:p>
        </w:tc>
        <w:tc>
          <w:tcPr>
            <w:tcW w:type="dxa" w:w="3512"/>
            <w:shd w:val="clear" w:color="auto" w:fill="10375C"/>
          </w:tcPr>
          <w:p>
            <w:pPr>
              <w:spacing w:after="50" w:before="50"/>
            </w:pPr>
            <w:r>
              <w:rPr>
                <w:b/>
                <w:color w:val="FFFFFF"/>
                <w:sz w:val="17"/>
              </w:rPr>
              <w:t>Audience</w:t>
            </w:r>
          </w:p>
        </w:tc>
        <w:tc>
          <w:tcPr>
            <w:tcW w:type="dxa" w:w="2183"/>
            <w:shd w:val="clear" w:color="auto" w:fill="10375C"/>
          </w:tcPr>
          <w:p>
            <w:pPr>
              <w:spacing w:after="50" w:before="50"/>
            </w:pPr>
            <w:r>
              <w:rPr>
                <w:b/>
                <w:color w:val="FFFFFF"/>
                <w:sz w:val="17"/>
              </w:rPr>
              <w:t>Cadence</w:t>
            </w:r>
          </w:p>
        </w:tc>
        <w:tc>
          <w:tcPr>
            <w:tcW w:type="dxa" w:w="1785"/>
            <w:shd w:val="clear" w:color="auto" w:fill="10375C"/>
          </w:tcPr>
          <w:p>
            <w:pPr>
              <w:spacing w:after="50" w:before="50"/>
            </w:pPr>
            <w:r>
              <w:rPr>
                <w:b/>
                <w:color w:val="FFFFFF"/>
                <w:sz w:val="17"/>
              </w:rPr>
              <w:t>Owner</w:t>
            </w:r>
          </w:p>
        </w:tc>
      </w:tr>
      <w:tr>
        <w:tc>
          <w:tcPr>
            <w:tcW w:type="dxa" w:w="1988"/>
          </w:tcPr>
          <w:p>
            <w:pPr>
              <w:spacing w:after="50" w:before="50" w:line="252" w:lineRule="auto"/>
            </w:pPr>
            <w:r>
              <w:rPr>
                <w:sz w:val="17"/>
              </w:rPr>
              <w:t>LinkedIn</w:t>
            </w:r>
          </w:p>
        </w:tc>
        <w:tc>
          <w:tcPr>
            <w:tcW w:type="dxa" w:w="3512"/>
          </w:tcPr>
          <w:p>
            <w:pPr>
              <w:spacing w:after="50" w:before="50" w:line="252" w:lineRule="auto"/>
            </w:pPr>
            <w:r>
              <w:rPr>
                <w:sz w:val="17"/>
              </w:rPr>
              <w:t>Profession, faculty, in-house counsel, referral sources</w:t>
            </w:r>
          </w:p>
        </w:tc>
        <w:tc>
          <w:tcPr>
            <w:tcW w:type="dxa" w:w="2183"/>
          </w:tcPr>
          <w:p>
            <w:pPr>
              <w:spacing w:after="50" w:before="50" w:line="252" w:lineRule="auto"/>
            </w:pPr>
            <w:r>
              <w:rPr>
                <w:sz w:val="17"/>
              </w:rPr>
              <w:t>4 per week</w:t>
            </w:r>
          </w:p>
        </w:tc>
        <w:tc>
          <w:tcPr>
            <w:tcW w:type="dxa" w:w="1785"/>
          </w:tcPr>
          <w:p>
            <w:pPr>
              <w:spacing w:after="50" w:before="50" w:line="252" w:lineRule="auto"/>
            </w:pPr>
            <w:r>
              <w:rPr>
                <w:sz w:val="17"/>
              </w:rPr>
              <w:t>Marketing</w:t>
            </w:r>
          </w:p>
        </w:tc>
      </w:tr>
      <w:tr>
        <w:tc>
          <w:tcPr>
            <w:tcW w:type="dxa" w:w="1988"/>
            <w:shd w:val="clear" w:color="auto" w:fill="EAF1F4"/>
          </w:tcPr>
          <w:p>
            <w:pPr>
              <w:spacing w:after="50" w:before="50" w:line="252" w:lineRule="auto"/>
            </w:pPr>
            <w:r>
              <w:rPr>
                <w:sz w:val="17"/>
              </w:rPr>
              <w:t>Instagram</w:t>
            </w:r>
          </w:p>
        </w:tc>
        <w:tc>
          <w:tcPr>
            <w:tcW w:type="dxa" w:w="3512"/>
            <w:shd w:val="clear" w:color="auto" w:fill="EAF1F4"/>
          </w:tcPr>
          <w:p>
            <w:pPr>
              <w:spacing w:after="50" w:before="50" w:line="252" w:lineRule="auto"/>
            </w:pPr>
            <w:r>
              <w:rPr>
                <w:sz w:val="17"/>
              </w:rPr>
              <w:t>Students</w:t>
            </w:r>
          </w:p>
        </w:tc>
        <w:tc>
          <w:tcPr>
            <w:tcW w:type="dxa" w:w="2183"/>
            <w:shd w:val="clear" w:color="auto" w:fill="EAF1F4"/>
          </w:tcPr>
          <w:p>
            <w:pPr>
              <w:spacing w:after="50" w:before="50" w:line="252" w:lineRule="auto"/>
            </w:pPr>
            <w:r>
              <w:rPr>
                <w:sz w:val="17"/>
              </w:rPr>
              <w:t>3 per week during the academic year</w:t>
            </w:r>
          </w:p>
        </w:tc>
        <w:tc>
          <w:tcPr>
            <w:tcW w:type="dxa" w:w="1785"/>
            <w:shd w:val="clear" w:color="auto" w:fill="EAF1F4"/>
          </w:tcPr>
          <w:p>
            <w:pPr>
              <w:spacing w:after="50" w:before="50" w:line="252" w:lineRule="auto"/>
            </w:pPr>
            <w:r>
              <w:rPr>
                <w:sz w:val="17"/>
              </w:rPr>
              <w:t>Student ambassadors, reviewed</w:t>
            </w:r>
          </w:p>
        </w:tc>
      </w:tr>
      <w:tr>
        <w:tc>
          <w:tcPr>
            <w:tcW w:type="dxa" w:w="1988"/>
          </w:tcPr>
          <w:p>
            <w:pPr>
              <w:spacing w:after="50" w:before="50" w:line="252" w:lineRule="auto"/>
            </w:pPr>
            <w:r>
              <w:rPr>
                <w:sz w:val="17"/>
              </w:rPr>
              <w:t>YouTube</w:t>
            </w:r>
          </w:p>
        </w:tc>
        <w:tc>
          <w:tcPr>
            <w:tcW w:type="dxa" w:w="3512"/>
          </w:tcPr>
          <w:p>
            <w:pPr>
              <w:spacing w:after="50" w:before="50" w:line="252" w:lineRule="auto"/>
            </w:pPr>
            <w:r>
              <w:rPr>
                <w:sz w:val="17"/>
              </w:rPr>
              <w:t>Students, profession</w:t>
            </w:r>
          </w:p>
        </w:tc>
        <w:tc>
          <w:tcPr>
            <w:tcW w:type="dxa" w:w="2183"/>
          </w:tcPr>
          <w:p>
            <w:pPr>
              <w:spacing w:after="50" w:before="50" w:line="252" w:lineRule="auto"/>
            </w:pPr>
            <w:r>
              <w:rPr>
                <w:sz w:val="17"/>
              </w:rPr>
              <w:t>2 per month</w:t>
            </w:r>
          </w:p>
        </w:tc>
        <w:tc>
          <w:tcPr>
            <w:tcW w:type="dxa" w:w="1785"/>
          </w:tcPr>
          <w:p>
            <w:pPr>
              <w:spacing w:after="50" w:before="50" w:line="252" w:lineRule="auto"/>
            </w:pPr>
            <w:r>
              <w:rPr>
                <w:sz w:val="17"/>
              </w:rPr>
              <w:t>Marketing</w:t>
            </w:r>
          </w:p>
        </w:tc>
      </w:tr>
      <w:tr>
        <w:tc>
          <w:tcPr>
            <w:tcW w:type="dxa" w:w="1988"/>
            <w:shd w:val="clear" w:color="auto" w:fill="EAF1F4"/>
          </w:tcPr>
          <w:p>
            <w:pPr>
              <w:spacing w:after="50" w:before="50" w:line="252" w:lineRule="auto"/>
            </w:pPr>
            <w:r>
              <w:rPr>
                <w:sz w:val="17"/>
              </w:rPr>
              <w:t>Podcast</w:t>
            </w:r>
          </w:p>
        </w:tc>
        <w:tc>
          <w:tcPr>
            <w:tcW w:type="dxa" w:w="3512"/>
            <w:shd w:val="clear" w:color="auto" w:fill="EAF1F4"/>
          </w:tcPr>
          <w:p>
            <w:pPr>
              <w:spacing w:after="50" w:before="50" w:line="252" w:lineRule="auto"/>
            </w:pPr>
            <w:r>
              <w:rPr>
                <w:sz w:val="17"/>
              </w:rPr>
              <w:t>Profession, students</w:t>
            </w:r>
          </w:p>
        </w:tc>
        <w:tc>
          <w:tcPr>
            <w:tcW w:type="dxa" w:w="2183"/>
            <w:shd w:val="clear" w:color="auto" w:fill="EAF1F4"/>
          </w:tcPr>
          <w:p>
            <w:pPr>
              <w:spacing w:after="50" w:before="50" w:line="252" w:lineRule="auto"/>
            </w:pPr>
            <w:r>
              <w:rPr>
                <w:sz w:val="17"/>
              </w:rPr>
              <w:t>2 per month</w:t>
            </w:r>
          </w:p>
        </w:tc>
        <w:tc>
          <w:tcPr>
            <w:tcW w:type="dxa" w:w="1785"/>
            <w:shd w:val="clear" w:color="auto" w:fill="EAF1F4"/>
          </w:tcPr>
          <w:p>
            <w:pPr>
              <w:spacing w:after="50" w:before="50" w:line="252" w:lineRule="auto"/>
            </w:pPr>
            <w:r>
              <w:rPr>
                <w:sz w:val="17"/>
              </w:rPr>
              <w:t>Marketing</w:t>
            </w:r>
          </w:p>
        </w:tc>
      </w:tr>
      <w:tr>
        <w:tc>
          <w:tcPr>
            <w:tcW w:type="dxa" w:w="1988"/>
          </w:tcPr>
          <w:p>
            <w:pPr>
              <w:spacing w:after="50" w:before="50" w:line="252" w:lineRule="auto"/>
            </w:pPr>
            <w:r>
              <w:rPr>
                <w:sz w:val="17"/>
              </w:rPr>
              <w:t>Website and blog</w:t>
            </w:r>
          </w:p>
        </w:tc>
        <w:tc>
          <w:tcPr>
            <w:tcW w:type="dxa" w:w="3512"/>
          </w:tcPr>
          <w:p>
            <w:pPr>
              <w:spacing w:after="50" w:before="50" w:line="252" w:lineRule="auto"/>
            </w:pPr>
            <w:r>
              <w:rPr>
                <w:sz w:val="17"/>
              </w:rPr>
              <w:t>Everyone; search</w:t>
            </w:r>
          </w:p>
        </w:tc>
        <w:tc>
          <w:tcPr>
            <w:tcW w:type="dxa" w:w="2183"/>
          </w:tcPr>
          <w:p>
            <w:pPr>
              <w:spacing w:after="50" w:before="50" w:line="252" w:lineRule="auto"/>
            </w:pPr>
            <w:r>
              <w:rPr>
                <w:sz w:val="17"/>
              </w:rPr>
              <w:t>2 per month</w:t>
            </w:r>
          </w:p>
        </w:tc>
        <w:tc>
          <w:tcPr>
            <w:tcW w:type="dxa" w:w="1785"/>
          </w:tcPr>
          <w:p>
            <w:pPr>
              <w:spacing w:after="50" w:before="50" w:line="252" w:lineRule="auto"/>
            </w:pPr>
            <w:r>
              <w:rPr>
                <w:sz w:val="17"/>
              </w:rPr>
              <w:t>Marketing</w:t>
            </w:r>
          </w:p>
        </w:tc>
      </w:tr>
      <w:tr>
        <w:tc>
          <w:tcPr>
            <w:tcW w:type="dxa" w:w="1988"/>
            <w:shd w:val="clear" w:color="auto" w:fill="EAF1F4"/>
          </w:tcPr>
          <w:p>
            <w:pPr>
              <w:spacing w:after="50" w:before="50" w:line="252" w:lineRule="auto"/>
            </w:pPr>
            <w:r>
              <w:rPr>
                <w:sz w:val="17"/>
              </w:rPr>
              <w:t>Email newsletter</w:t>
            </w:r>
          </w:p>
        </w:tc>
        <w:tc>
          <w:tcPr>
            <w:tcW w:type="dxa" w:w="3512"/>
            <w:shd w:val="clear" w:color="auto" w:fill="EAF1F4"/>
          </w:tcPr>
          <w:p>
            <w:pPr>
              <w:spacing w:after="50" w:before="50" w:line="252" w:lineRule="auto"/>
            </w:pPr>
            <w:r>
              <w:rPr>
                <w:sz w:val="17"/>
              </w:rPr>
              <w:t>Partners, participants, alumni</w:t>
            </w:r>
          </w:p>
        </w:tc>
        <w:tc>
          <w:tcPr>
            <w:tcW w:type="dxa" w:w="2183"/>
            <w:shd w:val="clear" w:color="auto" w:fill="EAF1F4"/>
          </w:tcPr>
          <w:p>
            <w:pPr>
              <w:spacing w:after="50" w:before="50" w:line="252" w:lineRule="auto"/>
            </w:pPr>
            <w:r>
              <w:rPr>
                <w:sz w:val="17"/>
              </w:rPr>
              <w:t>Monthly</w:t>
            </w:r>
          </w:p>
        </w:tc>
        <w:tc>
          <w:tcPr>
            <w:tcW w:type="dxa" w:w="1785"/>
            <w:shd w:val="clear" w:color="auto" w:fill="EAF1F4"/>
          </w:tcPr>
          <w:p>
            <w:pPr>
              <w:spacing w:after="50" w:before="50" w:line="252" w:lineRule="auto"/>
            </w:pPr>
            <w:r>
              <w:rPr>
                <w:sz w:val="17"/>
              </w:rPr>
              <w:t>Marketing</w:t>
            </w:r>
          </w:p>
        </w:tc>
      </w:tr>
      <w:tr>
        <w:tc>
          <w:tcPr>
            <w:tcW w:type="dxa" w:w="1988"/>
          </w:tcPr>
          <w:p>
            <w:pPr>
              <w:spacing w:after="50" w:before="50" w:line="252" w:lineRule="auto"/>
            </w:pPr>
            <w:r>
              <w:rPr>
                <w:sz w:val="17"/>
              </w:rPr>
              <w:t>Partner institutions' channels</w:t>
            </w:r>
          </w:p>
        </w:tc>
        <w:tc>
          <w:tcPr>
            <w:tcW w:type="dxa" w:w="3512"/>
          </w:tcPr>
          <w:p>
            <w:pPr>
              <w:spacing w:after="50" w:before="50" w:line="252" w:lineRule="auto"/>
            </w:pPr>
            <w:r>
              <w:rPr>
                <w:sz w:val="17"/>
              </w:rPr>
              <w:t>Their students</w:t>
            </w:r>
          </w:p>
        </w:tc>
        <w:tc>
          <w:tcPr>
            <w:tcW w:type="dxa" w:w="2183"/>
          </w:tcPr>
          <w:p>
            <w:pPr>
              <w:spacing w:after="50" w:before="50" w:line="252" w:lineRule="auto"/>
            </w:pPr>
            <w:r>
              <w:rPr>
                <w:sz w:val="17"/>
              </w:rPr>
              <w:t>Per activity</w:t>
            </w:r>
          </w:p>
        </w:tc>
        <w:tc>
          <w:tcPr>
            <w:tcW w:type="dxa" w:w="1785"/>
          </w:tcPr>
          <w:p>
            <w:pPr>
              <w:spacing w:after="50" w:before="50" w:line="252" w:lineRule="auto"/>
            </w:pPr>
            <w:r>
              <w:rPr>
                <w:sz w:val="17"/>
              </w:rPr>
              <w:t>Joint</w:t>
            </w:r>
          </w:p>
        </w:tc>
      </w:tr>
    </w:tbl>
    <w:p>
      <w:pPr>
        <w:spacing w:after="80" w:before="0"/>
      </w:pPr>
    </w:p>
    <w:p>
      <w:pPr>
        <w:spacing w:before="80" w:after="160"/>
        <w:pBdr>
          <w:bottom w:val="single" w:sz="6" w:space="1" w:color="C9D6DE"/>
        </w:pBdr>
      </w:pPr>
    </w:p>
    <w:p>
      <w:pPr>
        <w:pStyle w:val="Heading1"/>
        <w:pBdr>
          <w:bottom w:val="single" w:sz="8" w:space="4" w:color="C9D6DE"/>
        </w:pBdr>
      </w:pPr>
      <w:r>
        <w:t>3. Content pillars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214"/>
            <w:shd w:val="clear" w:color="auto" w:fill="10375C"/>
          </w:tcPr>
          <w:p>
            <w:pPr>
              <w:spacing w:after="50" w:before="50"/>
            </w:pPr>
            <w:r>
              <w:rPr>
                <w:b/>
                <w:color w:val="FFFFFF"/>
                <w:sz w:val="17"/>
              </w:rPr>
              <w:t>Pillar</w:t>
            </w:r>
          </w:p>
        </w:tc>
        <w:tc>
          <w:tcPr>
            <w:tcW w:type="dxa" w:w="850"/>
            <w:shd w:val="clear" w:color="auto" w:fill="10375C"/>
          </w:tcPr>
          <w:p>
            <w:pPr>
              <w:spacing w:after="50" w:before="50"/>
            </w:pPr>
            <w:r>
              <w:rPr>
                <w:b/>
                <w:color w:val="FFFFFF"/>
                <w:sz w:val="17"/>
              </w:rPr>
              <w:t>Share</w:t>
            </w:r>
          </w:p>
        </w:tc>
        <w:tc>
          <w:tcPr>
            <w:tcW w:type="dxa" w:w="6594"/>
            <w:shd w:val="clear" w:color="auto" w:fill="10375C"/>
          </w:tcPr>
          <w:p>
            <w:pPr>
              <w:spacing w:after="50" w:before="50"/>
            </w:pPr>
            <w:r>
              <w:rPr>
                <w:b/>
                <w:color w:val="FFFFFF"/>
                <w:sz w:val="17"/>
              </w:rPr>
              <w:t>Examples</w:t>
            </w:r>
          </w:p>
        </w:tc>
      </w:tr>
      <w:tr>
        <w:tc>
          <w:tcPr>
            <w:tcW w:type="dxa" w:w="2214"/>
          </w:tcPr>
          <w:p>
            <w:pPr>
              <w:spacing w:after="50" w:before="50" w:line="252" w:lineRule="auto"/>
            </w:pPr>
            <w:r>
              <w:rPr>
                <w:b/>
                <w:sz w:val="17"/>
              </w:rPr>
              <w:t>Explain the law</w:t>
            </w:r>
          </w:p>
        </w:tc>
        <w:tc>
          <w:tcPr>
            <w:tcW w:type="dxa" w:w="850"/>
          </w:tcPr>
          <w:p>
            <w:pPr>
              <w:spacing w:after="50" w:before="50" w:line="252" w:lineRule="auto"/>
            </w:pPr>
            <w:r>
              <w:rPr>
                <w:sz w:val="17"/>
              </w:rPr>
              <w:t>30%</w:t>
            </w:r>
          </w:p>
        </w:tc>
        <w:tc>
          <w:tcPr>
            <w:tcW w:type="dxa" w:w="6594"/>
          </w:tcPr>
          <w:p>
            <w:pPr>
              <w:spacing w:after="50" w:before="50" w:line="252" w:lineRule="auto"/>
            </w:pPr>
            <w:r>
              <w:rPr>
                <w:sz w:val="17"/>
              </w:rPr>
              <w:t>The Mediation Act 2023 explained in parts; section 12A and what it means for a litigator; how a mediated settlement is enforced; what confidentiality actually prohibits</w:t>
            </w:r>
          </w:p>
        </w:tc>
      </w:tr>
      <w:tr>
        <w:tc>
          <w:tcPr>
            <w:tcW w:type="dxa" w:w="2214"/>
            <w:shd w:val="clear" w:color="auto" w:fill="EAF1F4"/>
          </w:tcPr>
          <w:p>
            <w:pPr>
              <w:spacing w:after="50" w:before="50" w:line="252" w:lineRule="auto"/>
            </w:pPr>
            <w:r>
              <w:rPr>
                <w:b/>
                <w:sz w:val="17"/>
              </w:rPr>
              <w:t>Teach a skill</w:t>
            </w:r>
          </w:p>
        </w:tc>
        <w:tc>
          <w:tcPr>
            <w:tcW w:type="dxa" w:w="850"/>
            <w:shd w:val="clear" w:color="auto" w:fill="EAF1F4"/>
          </w:tcPr>
          <w:p>
            <w:pPr>
              <w:spacing w:after="50" w:before="50" w:line="252" w:lineRule="auto"/>
            </w:pPr>
            <w:r>
              <w:rPr>
                <w:sz w:val="17"/>
              </w:rPr>
              <w:t>25%</w:t>
            </w:r>
          </w:p>
        </w:tc>
        <w:tc>
          <w:tcPr>
            <w:tcW w:type="dxa" w:w="6594"/>
            <w:shd w:val="clear" w:color="auto" w:fill="EAF1F4"/>
          </w:tcPr>
          <w:p>
            <w:pPr>
              <w:spacing w:after="50" w:before="50" w:line="252" w:lineRule="auto"/>
            </w:pPr>
            <w:r>
              <w:rPr>
                <w:sz w:val="17"/>
              </w:rPr>
              <w:t>Sixty seconds on reframing; how to write a mediation brief; five questions that open up a negotiation; what a caucus is for</w:t>
            </w:r>
          </w:p>
        </w:tc>
      </w:tr>
      <w:tr>
        <w:tc>
          <w:tcPr>
            <w:tcW w:type="dxa" w:w="2214"/>
          </w:tcPr>
          <w:p>
            <w:pPr>
              <w:spacing w:after="50" w:before="50" w:line="252" w:lineRule="auto"/>
            </w:pPr>
            <w:r>
              <w:rPr>
                <w:b/>
                <w:sz w:val="17"/>
              </w:rPr>
              <w:t>Show the work</w:t>
            </w:r>
          </w:p>
        </w:tc>
        <w:tc>
          <w:tcPr>
            <w:tcW w:type="dxa" w:w="850"/>
          </w:tcPr>
          <w:p>
            <w:pPr>
              <w:spacing w:after="50" w:before="50" w:line="252" w:lineRule="auto"/>
            </w:pPr>
            <w:r>
              <w:rPr>
                <w:sz w:val="17"/>
              </w:rPr>
              <w:t>20%</w:t>
            </w:r>
          </w:p>
        </w:tc>
        <w:tc>
          <w:tcPr>
            <w:tcW w:type="dxa" w:w="6594"/>
          </w:tcPr>
          <w:p>
            <w:pPr>
              <w:spacing w:after="50" w:before="50" w:line="252" w:lineRule="auto"/>
            </w:pPr>
            <w:r>
              <w:rPr>
                <w:sz w:val="17"/>
              </w:rPr>
              <w:t>Training in progress; competition sessions; a cell being launched; a faculty programme; always fully anonymised as to any matter</w:t>
            </w:r>
          </w:p>
        </w:tc>
      </w:tr>
      <w:tr>
        <w:tc>
          <w:tcPr>
            <w:tcW w:type="dxa" w:w="2214"/>
            <w:shd w:val="clear" w:color="auto" w:fill="EAF1F4"/>
          </w:tcPr>
          <w:p>
            <w:pPr>
              <w:spacing w:after="50" w:before="50" w:line="252" w:lineRule="auto"/>
            </w:pPr>
            <w:r>
              <w:rPr>
                <w:b/>
                <w:sz w:val="17"/>
              </w:rPr>
              <w:t>People</w:t>
            </w:r>
          </w:p>
        </w:tc>
        <w:tc>
          <w:tcPr>
            <w:tcW w:type="dxa" w:w="850"/>
            <w:shd w:val="clear" w:color="auto" w:fill="EAF1F4"/>
          </w:tcPr>
          <w:p>
            <w:pPr>
              <w:spacing w:after="50" w:before="50" w:line="252" w:lineRule="auto"/>
            </w:pPr>
            <w:r>
              <w:rPr>
                <w:sz w:val="17"/>
              </w:rPr>
              <w:t>15%</w:t>
            </w:r>
          </w:p>
        </w:tc>
        <w:tc>
          <w:tcPr>
            <w:tcW w:type="dxa" w:w="6594"/>
            <w:shd w:val="clear" w:color="auto" w:fill="EAF1F4"/>
          </w:tcPr>
          <w:p>
            <w:pPr>
              <w:spacing w:after="50" w:before="50" w:line="252" w:lineRule="auto"/>
            </w:pPr>
            <w:r>
              <w:rPr>
                <w:sz w:val="17"/>
              </w:rPr>
              <w:t>A student who competed; a faculty member empanelled; a trainer on what they got wrong early on; alumni</w:t>
            </w:r>
          </w:p>
        </w:tc>
      </w:tr>
      <w:tr>
        <w:tc>
          <w:tcPr>
            <w:tcW w:type="dxa" w:w="2214"/>
          </w:tcPr>
          <w:p>
            <w:pPr>
              <w:spacing w:after="50" w:before="50" w:line="252" w:lineRule="auto"/>
            </w:pPr>
            <w:r>
              <w:rPr>
                <w:b/>
                <w:sz w:val="17"/>
              </w:rPr>
              <w:t>Evidence</w:t>
            </w:r>
          </w:p>
        </w:tc>
        <w:tc>
          <w:tcPr>
            <w:tcW w:type="dxa" w:w="850"/>
          </w:tcPr>
          <w:p>
            <w:pPr>
              <w:spacing w:after="50" w:before="50" w:line="252" w:lineRule="auto"/>
            </w:pPr>
            <w:r>
              <w:rPr>
                <w:sz w:val="17"/>
              </w:rPr>
              <w:t>10%</w:t>
            </w:r>
          </w:p>
        </w:tc>
        <w:tc>
          <w:tcPr>
            <w:tcW w:type="dxa" w:w="6594"/>
          </w:tcPr>
          <w:p>
            <w:pPr>
              <w:spacing w:after="50" w:before="50" w:line="252" w:lineRule="auto"/>
            </w:pPr>
            <w:r>
              <w:rPr>
                <w:sz w:val="17"/>
              </w:rPr>
              <w:t>Findings from the annual report; a working paper; a survey result; always with the sample size</w:t>
            </w:r>
          </w:p>
        </w:tc>
      </w:tr>
    </w:tbl>
    <w:p>
      <w:pPr>
        <w:spacing w:after="80" w:before="0"/>
      </w:pPr>
    </w:p>
    <w:p>
      <w:pPr>
        <w:pStyle w:val="Heading2"/>
      </w:pPr>
      <w:r>
        <w:t>3.1 Formats</w:t>
      </w:r>
    </w:p>
    <w:p>
      <w:r>
        <w:t>Carousel explainers · 60-second skill videos · problem-of-the-week from past competition materials, once released · myth-and-fact posts · practitioner Q&amp;A · long-form LinkedIn articles on a statutory development · podcast clips · student takeovers during a competition · behind-the-scenes at an event.</w:t>
      </w:r>
    </w:p>
    <w:p>
      <w:pPr>
        <w:spacing w:before="80" w:after="160"/>
        <w:pBdr>
          <w:bottom w:val="single" w:sz="6" w:space="1" w:color="C9D6DE"/>
        </w:pBdr>
      </w:pPr>
    </w:p>
    <w:p>
      <w:pPr>
        <w:pStyle w:val="Heading1"/>
        <w:pBdr>
          <w:bottom w:val="single" w:sz="8" w:space="4" w:color="C9D6DE"/>
        </w:pBdr>
      </w:pPr>
      <w:r>
        <w:t>4. Absolute prohibitions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Never post</w:t>
            </w:r>
          </w:p>
        </w:tc>
      </w:tr>
      <w:tr>
        <w:tc>
          <w:tcPr>
            <w:tcW w:type="dxa" w:w="9468"/>
          </w:tcPr>
          <w:p>
            <w:pPr>
              <w:spacing w:after="50" w:before="50" w:line="252" w:lineRule="auto"/>
            </w:pPr>
            <w:r>
              <w:rPr>
                <w:sz w:val="17"/>
              </w:rPr>
              <w:t xml:space="preserve">Anything about a live matter, a party, a neutral, or a dispute — </w:t>
            </w:r>
            <w:r>
              <w:rPr>
                <w:b/>
                <w:sz w:val="17"/>
              </w:rPr>
              <w:t>however anonymised, however long ago</w:t>
            </w:r>
          </w:p>
        </w:tc>
      </w:tr>
      <w:tr>
        <w:tc>
          <w:tcPr>
            <w:tcW w:type="dxa" w:w="9468"/>
            <w:shd w:val="clear" w:color="auto" w:fill="EAF1F4"/>
          </w:tcPr>
          <w:p>
            <w:pPr>
              <w:spacing w:after="50" w:before="50" w:line="252" w:lineRule="auto"/>
            </w:pPr>
            <w:r>
              <w:rPr>
                <w:sz w:val="17"/>
              </w:rPr>
              <w:t>Any image of, in, or referring to a proceeding</w:t>
            </w:r>
          </w:p>
        </w:tc>
      </w:tr>
      <w:tr>
        <w:tc>
          <w:tcPr>
            <w:tcW w:type="dxa" w:w="9468"/>
          </w:tcPr>
          <w:p>
            <w:pPr>
              <w:spacing w:after="50" w:before="50" w:line="252" w:lineRule="auto"/>
            </w:pPr>
            <w:r>
              <w:rPr>
                <w:sz w:val="17"/>
              </w:rPr>
              <w:t>Any claim that certification is recognised, accredited or approved</w:t>
            </w:r>
          </w:p>
        </w:tc>
      </w:tr>
      <w:tr>
        <w:tc>
          <w:tcPr>
            <w:tcW w:type="dxa" w:w="9468"/>
            <w:shd w:val="clear" w:color="auto" w:fill="EAF1F4"/>
          </w:tcPr>
          <w:p>
            <w:pPr>
              <w:spacing w:after="50" w:before="50" w:line="252" w:lineRule="auto"/>
            </w:pPr>
            <w:r>
              <w:rPr>
                <w:sz w:val="17"/>
              </w:rPr>
              <w:t>Any promise of placement, or any implication of it</w:t>
            </w:r>
          </w:p>
        </w:tc>
      </w:tr>
      <w:tr>
        <w:tc>
          <w:tcPr>
            <w:tcW w:type="dxa" w:w="9468"/>
          </w:tcPr>
          <w:p>
            <w:pPr>
              <w:spacing w:after="50" w:before="50" w:line="252" w:lineRule="auto"/>
            </w:pPr>
            <w:r>
              <w:rPr>
                <w:sz w:val="17"/>
              </w:rPr>
              <w:t>An identifiable participant without a signed media release</w:t>
            </w:r>
          </w:p>
        </w:tc>
      </w:tr>
      <w:tr>
        <w:tc>
          <w:tcPr>
            <w:tcW w:type="dxa" w:w="9468"/>
            <w:shd w:val="clear" w:color="auto" w:fill="EAF1F4"/>
          </w:tcPr>
          <w:p>
            <w:pPr>
              <w:spacing w:after="50" w:before="50" w:line="252" w:lineRule="auto"/>
            </w:pPr>
            <w:r>
              <w:rPr>
                <w:sz w:val="17"/>
              </w:rPr>
              <w:t>A person under eighteen without guardian consent</w:t>
            </w:r>
          </w:p>
        </w:tc>
      </w:tr>
      <w:tr>
        <w:tc>
          <w:tcPr>
            <w:tcW w:type="dxa" w:w="9468"/>
          </w:tcPr>
          <w:p>
            <w:pPr>
              <w:spacing w:after="50" w:before="50" w:line="252" w:lineRule="auto"/>
            </w:pPr>
            <w:r>
              <w:rPr>
                <w:sz w:val="17"/>
              </w:rPr>
              <w:t>Any statistic not verified and approved</w:t>
            </w:r>
          </w:p>
        </w:tc>
      </w:tr>
      <w:tr>
        <w:tc>
          <w:tcPr>
            <w:tcW w:type="dxa" w:w="9468"/>
            <w:shd w:val="clear" w:color="auto" w:fill="EAF1F4"/>
          </w:tcPr>
          <w:p>
            <w:pPr>
              <w:spacing w:after="50" w:before="50" w:line="252" w:lineRule="auto"/>
            </w:pPr>
            <w:r>
              <w:rPr>
                <w:sz w:val="17"/>
              </w:rPr>
              <w:t>A partner's marks outside the licence</w:t>
            </w:r>
          </w:p>
        </w:tc>
      </w:tr>
      <w:tr>
        <w:tc>
          <w:tcPr>
            <w:tcW w:type="dxa" w:w="9468"/>
          </w:tcPr>
          <w:p>
            <w:pPr>
              <w:spacing w:after="50" w:before="50" w:line="252" w:lineRule="auto"/>
            </w:pPr>
            <w:r>
              <w:rPr>
                <w:sz w:val="17"/>
              </w:rPr>
              <w:t>Anything about another institution's students or an internal institutional matter</w:t>
            </w:r>
          </w:p>
        </w:tc>
      </w:tr>
      <w:tr>
        <w:tc>
          <w:tcPr>
            <w:tcW w:type="dxa" w:w="9468"/>
            <w:shd w:val="clear" w:color="auto" w:fill="EAF1F4"/>
          </w:tcPr>
          <w:p>
            <w:pPr>
              <w:spacing w:after="50" w:before="50" w:line="252" w:lineRule="auto"/>
            </w:pPr>
            <w:r>
              <w:rPr>
                <w:sz w:val="17"/>
              </w:rPr>
              <w:t>A competition problem or confidential brief before public release</w:t>
            </w:r>
          </w:p>
        </w:tc>
      </w:tr>
      <w:tr>
        <w:tc>
          <w:tcPr>
            <w:tcW w:type="dxa" w:w="9468"/>
          </w:tcPr>
          <w:p>
            <w:pPr>
              <w:spacing w:after="50" w:before="50" w:line="252" w:lineRule="auto"/>
            </w:pPr>
            <w:r>
              <w:rPr>
                <w:sz w:val="17"/>
              </w:rPr>
              <w:t>Legal advice, or anything that could be read as legal advice on a specific situation</w:t>
            </w:r>
          </w:p>
        </w:tc>
      </w:tr>
      <w:tr>
        <w:tc>
          <w:tcPr>
            <w:tcW w:type="dxa" w:w="9468"/>
            <w:shd w:val="clear" w:color="auto" w:fill="EAF1F4"/>
          </w:tcPr>
          <w:p>
            <w:pPr>
              <w:spacing w:after="50" w:before="50" w:line="252" w:lineRule="auto"/>
            </w:pPr>
            <w:r>
              <w:rPr>
                <w:sz w:val="17"/>
              </w:rPr>
              <w:t>Political, religious or communal commentary of any kind</w:t>
            </w:r>
          </w:p>
        </w:tc>
      </w:tr>
    </w:tbl>
    <w:p>
      <w:pPr>
        <w:spacing w:after="80" w:before="0"/>
      </w:pPr>
    </w:p>
    <w:p>
      <w:pPr>
        <w:spacing w:before="80" w:after="160"/>
        <w:pBdr>
          <w:bottom w:val="single" w:sz="6" w:space="1" w:color="C9D6DE"/>
        </w:pBdr>
      </w:pPr>
    </w:p>
    <w:p>
      <w:pPr>
        <w:pStyle w:val="Heading1"/>
        <w:pBdr>
          <w:bottom w:val="single" w:sz="8" w:space="4" w:color="C9D6DE"/>
        </w:pBdr>
      </w:pPr>
      <w:r>
        <w:t>5. Student ambassadors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145"/>
            <w:shd w:val="clear" w:color="auto" w:fill="10375C"/>
          </w:tcPr>
          <w:p>
            <w:pPr>
              <w:spacing w:after="50" w:before="50"/>
            </w:pPr>
            <w:r>
              <w:rPr>
                <w:b/>
                <w:color w:val="FFFFFF"/>
                <w:sz w:val="17"/>
              </w:rPr>
              <w:t>Element</w:t>
            </w:r>
          </w:p>
        </w:tc>
        <w:tc>
          <w:tcPr>
            <w:tcW w:type="dxa" w:w="7323"/>
            <w:shd w:val="clear" w:color="auto" w:fill="10375C"/>
          </w:tcPr>
          <w:p>
            <w:pPr>
              <w:spacing w:after="50" w:before="50"/>
            </w:pPr>
            <w:r>
              <w:rPr>
                <w:b/>
                <w:color w:val="FFFFFF"/>
                <w:sz w:val="17"/>
              </w:rPr>
              <w:t>Standard</w:t>
            </w:r>
          </w:p>
        </w:tc>
      </w:tr>
      <w:tr>
        <w:tc>
          <w:tcPr>
            <w:tcW w:type="dxa" w:w="2145"/>
          </w:tcPr>
          <w:p>
            <w:pPr>
              <w:spacing w:after="50" w:before="50" w:line="252" w:lineRule="auto"/>
            </w:pPr>
            <w:r>
              <w:rPr>
                <w:sz w:val="17"/>
              </w:rPr>
              <w:t>Selection</w:t>
            </w:r>
          </w:p>
        </w:tc>
        <w:tc>
          <w:tcPr>
            <w:tcW w:type="dxa" w:w="7323"/>
          </w:tcPr>
          <w:p>
            <w:pPr>
              <w:spacing w:after="50" w:before="50" w:line="252" w:lineRule="auto"/>
            </w:pPr>
            <w:r>
              <w:rPr>
                <w:sz w:val="17"/>
              </w:rPr>
              <w:t>Two per partner institution, appointed for one academic year</w:t>
            </w:r>
          </w:p>
        </w:tc>
      </w:tr>
      <w:tr>
        <w:tc>
          <w:tcPr>
            <w:tcW w:type="dxa" w:w="2145"/>
            <w:shd w:val="clear" w:color="auto" w:fill="EAF1F4"/>
          </w:tcPr>
          <w:p>
            <w:pPr>
              <w:spacing w:after="50" w:before="50" w:line="252" w:lineRule="auto"/>
            </w:pPr>
            <w:r>
              <w:rPr>
                <w:sz w:val="17"/>
              </w:rPr>
              <w:t>Terms</w:t>
            </w:r>
          </w:p>
        </w:tc>
        <w:tc>
          <w:tcPr>
            <w:tcW w:type="dxa" w:w="7323"/>
            <w:shd w:val="clear" w:color="auto" w:fill="EAF1F4"/>
          </w:tcPr>
          <w:p>
            <w:pPr>
              <w:spacing w:after="50" w:before="50" w:line="252" w:lineRule="auto"/>
            </w:pPr>
            <w:r>
              <w:rPr>
                <w:sz w:val="17"/>
              </w:rPr>
              <w:t>Student Ambassador Programme Handbook; media release; conduct undertaking</w:t>
            </w:r>
          </w:p>
        </w:tc>
      </w:tr>
      <w:tr>
        <w:tc>
          <w:tcPr>
            <w:tcW w:type="dxa" w:w="2145"/>
          </w:tcPr>
          <w:p>
            <w:pPr>
              <w:spacing w:after="50" w:before="50" w:line="252" w:lineRule="auto"/>
            </w:pPr>
            <w:r>
              <w:rPr>
                <w:sz w:val="17"/>
              </w:rPr>
              <w:t>What they may do</w:t>
            </w:r>
          </w:p>
        </w:tc>
        <w:tc>
          <w:tcPr>
            <w:tcW w:type="dxa" w:w="7323"/>
          </w:tcPr>
          <w:p>
            <w:pPr>
              <w:spacing w:after="50" w:before="50" w:line="252" w:lineRule="auto"/>
            </w:pPr>
            <w:r>
              <w:rPr>
                <w:sz w:val="17"/>
              </w:rPr>
              <w:t>Create content about programmes and events they attended; take over Instagram during a competition; write a first-person blog post; represent Equator at a campus stall</w:t>
            </w:r>
          </w:p>
        </w:tc>
      </w:tr>
      <w:tr>
        <w:tc>
          <w:tcPr>
            <w:tcW w:type="dxa" w:w="2145"/>
            <w:shd w:val="clear" w:color="auto" w:fill="EAF1F4"/>
          </w:tcPr>
          <w:p>
            <w:pPr>
              <w:spacing w:after="50" w:before="50" w:line="252" w:lineRule="auto"/>
            </w:pPr>
            <w:r>
              <w:rPr>
                <w:sz w:val="17"/>
              </w:rPr>
              <w:t>What they may not do</w:t>
            </w:r>
          </w:p>
        </w:tc>
        <w:tc>
          <w:tcPr>
            <w:tcW w:type="dxa" w:w="7323"/>
            <w:shd w:val="clear" w:color="auto" w:fill="EAF1F4"/>
          </w:tcPr>
          <w:p>
            <w:pPr>
              <w:spacing w:after="50" w:before="50" w:line="252" w:lineRule="auto"/>
            </w:pPr>
            <w:r>
              <w:rPr>
                <w:sz w:val="17"/>
              </w:rPr>
              <w:t>Speak as a spokesperson; comment on law or policy; post about any matter; discuss commercial terms; respond to a complaint or criticism</w:t>
            </w:r>
          </w:p>
        </w:tc>
      </w:tr>
      <w:tr>
        <w:tc>
          <w:tcPr>
            <w:tcW w:type="dxa" w:w="2145"/>
          </w:tcPr>
          <w:p>
            <w:pPr>
              <w:spacing w:after="50" w:before="50" w:line="252" w:lineRule="auto"/>
            </w:pPr>
            <w:r>
              <w:rPr>
                <w:sz w:val="17"/>
              </w:rPr>
              <w:t>Review</w:t>
            </w:r>
          </w:p>
        </w:tc>
        <w:tc>
          <w:tcPr>
            <w:tcW w:type="dxa" w:w="7323"/>
          </w:tcPr>
          <w:p>
            <w:pPr>
              <w:spacing w:after="50" w:before="50" w:line="252" w:lineRule="auto"/>
            </w:pPr>
            <w:r>
              <w:rPr>
                <w:b/>
                <w:sz w:val="17"/>
              </w:rPr>
              <w:t>Every ambassador post is reviewed by Marketing before publication.</w:t>
            </w:r>
            <w:r>
              <w:rPr>
                <w:sz w:val="17"/>
              </w:rPr>
              <w:t xml:space="preserve"> No exceptions during the first term</w:t>
            </w:r>
          </w:p>
        </w:tc>
      </w:tr>
      <w:tr>
        <w:tc>
          <w:tcPr>
            <w:tcW w:type="dxa" w:w="2145"/>
            <w:shd w:val="clear" w:color="auto" w:fill="EAF1F4"/>
          </w:tcPr>
          <w:p>
            <w:pPr>
              <w:spacing w:after="50" w:before="50" w:line="252" w:lineRule="auto"/>
            </w:pPr>
            <w:r>
              <w:rPr>
                <w:sz w:val="17"/>
              </w:rPr>
              <w:t>Recognition</w:t>
            </w:r>
          </w:p>
        </w:tc>
        <w:tc>
          <w:tcPr>
            <w:tcW w:type="dxa" w:w="7323"/>
            <w:shd w:val="clear" w:color="auto" w:fill="EAF1F4"/>
          </w:tcPr>
          <w:p>
            <w:pPr>
              <w:spacing w:after="50" w:before="50" w:line="252" w:lineRule="auto"/>
            </w:pPr>
            <w:r>
              <w:rPr>
                <w:sz w:val="17"/>
              </w:rPr>
              <w:t>Certificate; priority consideration for internships; a reference on request</w:t>
            </w:r>
          </w:p>
        </w:tc>
      </w:tr>
    </w:tbl>
    <w:p>
      <w:pPr>
        <w:spacing w:after="80" w:before="0"/>
      </w:pPr>
    </w:p>
    <w:p>
      <w:r>
        <w:rPr>
          <w:b/>
        </w:rPr>
        <w:t>Why this is worth doing.</w:t>
      </w:r>
      <w:r>
        <w:t xml:space="preserve"> Ambassadors produce more content, faster, cheaper and with better distribution than an agency, and it reads as authentic because it is. The cost is the review burden, which is real and must be resourced.</w:t>
      </w:r>
    </w:p>
    <w:p>
      <w:pPr>
        <w:spacing w:before="80" w:after="160"/>
        <w:pBdr>
          <w:bottom w:val="single" w:sz="6" w:space="1" w:color="C9D6DE"/>
        </w:pBdr>
      </w:pPr>
    </w:p>
    <w:p>
      <w:pPr>
        <w:pStyle w:val="Heading1"/>
        <w:pBdr>
          <w:bottom w:val="single" w:sz="8" w:space="4" w:color="C9D6DE"/>
        </w:pBdr>
      </w:pPr>
      <w:r>
        <w:t>6. Joint posting protocol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Either party may post about a joint activity on its own channels</w:t>
            </w:r>
          </w:p>
        </w:tc>
      </w:tr>
      <w:tr>
        <w:tc>
          <w:tcPr>
            <w:tcW w:type="dxa" w:w="9468"/>
            <w:shd w:val="clear" w:color="auto" w:fill="EAF1F4"/>
          </w:tcPr>
          <w:p>
            <w:pPr>
              <w:spacing w:after="50" w:before="50" w:line="252" w:lineRule="auto"/>
            </w:pPr>
            <w:r>
              <w:rPr>
                <w:sz w:val="17"/>
              </w:rPr>
              <w:t>A post naming the other party requires approval within two business days</w:t>
            </w:r>
          </w:p>
        </w:tc>
      </w:tr>
      <w:tr>
        <w:tc>
          <w:tcPr>
            <w:tcW w:type="dxa" w:w="9468"/>
          </w:tcPr>
          <w:p>
            <w:pPr>
              <w:spacing w:after="50" w:before="50" w:line="252" w:lineRule="auto"/>
            </w:pPr>
            <w:r>
              <w:rPr>
                <w:sz w:val="17"/>
              </w:rPr>
              <w:t>Both parties are tagged where the platform permits</w:t>
            </w:r>
          </w:p>
        </w:tc>
      </w:tr>
      <w:tr>
        <w:tc>
          <w:tcPr>
            <w:tcW w:type="dxa" w:w="9468"/>
            <w:shd w:val="clear" w:color="auto" w:fill="EAF1F4"/>
          </w:tcPr>
          <w:p>
            <w:pPr>
              <w:spacing w:after="50" w:before="50" w:line="252" w:lineRule="auto"/>
            </w:pPr>
            <w:r>
              <w:rPr>
                <w:sz w:val="17"/>
              </w:rPr>
              <w:t>Neither publishes results, numbers or outcomes not agreed</w:t>
            </w:r>
          </w:p>
        </w:tc>
      </w:tr>
      <w:tr>
        <w:tc>
          <w:tcPr>
            <w:tcW w:type="dxa" w:w="9468"/>
          </w:tcPr>
          <w:p>
            <w:pPr>
              <w:spacing w:after="50" w:before="50" w:line="252" w:lineRule="auto"/>
            </w:pPr>
            <w:r>
              <w:rPr>
                <w:sz w:val="17"/>
              </w:rPr>
              <w:t>Neither responds on behalf of the other</w:t>
            </w:r>
          </w:p>
        </w:tc>
      </w:tr>
      <w:tr>
        <w:tc>
          <w:tcPr>
            <w:tcW w:type="dxa" w:w="9468"/>
            <w:shd w:val="clear" w:color="auto" w:fill="EAF1F4"/>
          </w:tcPr>
          <w:p>
            <w:pPr>
              <w:spacing w:after="50" w:before="50" w:line="252" w:lineRule="auto"/>
            </w:pPr>
            <w:r>
              <w:rPr>
                <w:sz w:val="17"/>
              </w:rPr>
              <w:t xml:space="preserve">Either may request removal within three business days; </w:t>
            </w:r>
            <w:r>
              <w:rPr>
                <w:b/>
                <w:sz w:val="17"/>
              </w:rPr>
              <w:t>immediately</w:t>
            </w:r>
            <w:r>
              <w:rPr>
                <w:sz w:val="17"/>
              </w:rPr>
              <w:t xml:space="preserve"> where the request concerns confidentiality, personal data or safeguarding</w:t>
            </w:r>
          </w:p>
        </w:tc>
      </w:tr>
      <w:tr>
        <w:tc>
          <w:tcPr>
            <w:tcW w:type="dxa" w:w="9468"/>
          </w:tcPr>
          <w:p>
            <w:pPr>
              <w:spacing w:after="50" w:before="50" w:line="252" w:lineRule="auto"/>
            </w:pPr>
            <w:r>
              <w:rPr>
                <w:sz w:val="17"/>
              </w:rPr>
              <w:t>Neither engages in a public exchange about a disagreement between them</w:t>
            </w:r>
          </w:p>
        </w:tc>
      </w:tr>
    </w:tbl>
    <w:p>
      <w:pPr>
        <w:spacing w:after="80" w:before="0"/>
      </w:pPr>
    </w:p>
    <w:p>
      <w:pPr>
        <w:spacing w:before="80" w:after="160"/>
        <w:pBdr>
          <w:bottom w:val="single" w:sz="6" w:space="1" w:color="C9D6DE"/>
        </w:pBdr>
      </w:pPr>
    </w:p>
    <w:p>
      <w:pPr>
        <w:pStyle w:val="Heading1"/>
        <w:pBdr>
          <w:bottom w:val="single" w:sz="8" w:space="4" w:color="C9D6DE"/>
        </w:pBdr>
      </w:pPr>
      <w:r>
        <w:t>7. Twelve-month content calendar</w:t>
      </w:r>
    </w:p>
    <w:p>
      <w:r>
        <w:t>Built around the Indian academic year and the ADR calendar.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78"/>
            <w:shd w:val="clear" w:color="auto" w:fill="10375C"/>
          </w:tcPr>
          <w:p>
            <w:pPr>
              <w:spacing w:after="50" w:before="50"/>
            </w:pPr>
            <w:r>
              <w:rPr>
                <w:b/>
                <w:color w:val="FFFFFF"/>
                <w:sz w:val="17"/>
              </w:rPr>
              <w:t>Month</w:t>
            </w:r>
          </w:p>
        </w:tc>
        <w:tc>
          <w:tcPr>
            <w:tcW w:type="dxa" w:w="1605"/>
            <w:shd w:val="clear" w:color="auto" w:fill="10375C"/>
          </w:tcPr>
          <w:p>
            <w:pPr>
              <w:spacing w:after="50" w:before="50"/>
            </w:pPr>
            <w:r>
              <w:rPr>
                <w:b/>
                <w:color w:val="FFFFFF"/>
                <w:sz w:val="17"/>
              </w:rPr>
              <w:t>Theme</w:t>
            </w:r>
          </w:p>
        </w:tc>
        <w:tc>
          <w:tcPr>
            <w:tcW w:type="dxa" w:w="3681"/>
            <w:shd w:val="clear" w:color="auto" w:fill="10375C"/>
          </w:tcPr>
          <w:p>
            <w:pPr>
              <w:spacing w:after="50" w:before="50"/>
            </w:pPr>
            <w:r>
              <w:rPr>
                <w:b/>
                <w:color w:val="FFFFFF"/>
                <w:sz w:val="17"/>
              </w:rPr>
              <w:t>Anchor content</w:t>
            </w:r>
          </w:p>
        </w:tc>
        <w:tc>
          <w:tcPr>
            <w:tcW w:type="dxa" w:w="3303"/>
            <w:shd w:val="clear" w:color="auto" w:fill="10375C"/>
          </w:tcPr>
          <w:p>
            <w:pPr>
              <w:spacing w:after="50" w:before="50"/>
            </w:pPr>
            <w:r>
              <w:rPr>
                <w:b/>
                <w:color w:val="FFFFFF"/>
                <w:sz w:val="17"/>
              </w:rPr>
              <w:t>Activity tie-in</w:t>
            </w:r>
          </w:p>
        </w:tc>
      </w:tr>
      <w:tr>
        <w:tc>
          <w:tcPr>
            <w:tcW w:type="dxa" w:w="878"/>
          </w:tcPr>
          <w:p>
            <w:pPr>
              <w:spacing w:after="50" w:before="50" w:line="252" w:lineRule="auto"/>
            </w:pPr>
            <w:r>
              <w:rPr>
                <w:b/>
                <w:sz w:val="17"/>
              </w:rPr>
              <w:t>July</w:t>
            </w:r>
          </w:p>
        </w:tc>
        <w:tc>
          <w:tcPr>
            <w:tcW w:type="dxa" w:w="1605"/>
          </w:tcPr>
          <w:p>
            <w:pPr>
              <w:spacing w:after="50" w:before="50" w:line="252" w:lineRule="auto"/>
            </w:pPr>
            <w:r>
              <w:rPr>
                <w:sz w:val="17"/>
              </w:rPr>
              <w:t>New session, new skills</w:t>
            </w:r>
          </w:p>
        </w:tc>
        <w:tc>
          <w:tcPr>
            <w:tcW w:type="dxa" w:w="3681"/>
          </w:tcPr>
          <w:p>
            <w:pPr>
              <w:spacing w:after="50" w:before="50" w:line="252" w:lineRule="auto"/>
            </w:pPr>
            <w:r>
              <w:rPr>
                <w:i/>
                <w:sz w:val="17"/>
              </w:rPr>
              <w:t>What law school does not teach you about disputes</w:t>
            </w:r>
            <w:r>
              <w:rPr>
                <w:sz w:val="17"/>
              </w:rPr>
              <w:t>; ADR careers explainer</w:t>
            </w:r>
          </w:p>
        </w:tc>
        <w:tc>
          <w:tcPr>
            <w:tcW w:type="dxa" w:w="3303"/>
          </w:tcPr>
          <w:p>
            <w:pPr>
              <w:spacing w:after="50" w:before="50" w:line="252" w:lineRule="auto"/>
            </w:pPr>
            <w:r>
              <w:rPr>
                <w:sz w:val="17"/>
              </w:rPr>
              <w:t>Orientation; guest lectures</w:t>
            </w:r>
          </w:p>
        </w:tc>
      </w:tr>
      <w:tr>
        <w:tc>
          <w:tcPr>
            <w:tcW w:type="dxa" w:w="878"/>
            <w:shd w:val="clear" w:color="auto" w:fill="EAF1F4"/>
          </w:tcPr>
          <w:p>
            <w:pPr>
              <w:spacing w:after="50" w:before="50" w:line="252" w:lineRule="auto"/>
            </w:pPr>
            <w:r>
              <w:rPr>
                <w:b/>
                <w:sz w:val="17"/>
              </w:rPr>
              <w:t>August</w:t>
            </w:r>
          </w:p>
        </w:tc>
        <w:tc>
          <w:tcPr>
            <w:tcW w:type="dxa" w:w="1605"/>
            <w:shd w:val="clear" w:color="auto" w:fill="EAF1F4"/>
          </w:tcPr>
          <w:p>
            <w:pPr>
              <w:spacing w:after="50" w:before="50" w:line="252" w:lineRule="auto"/>
            </w:pPr>
            <w:r>
              <w:rPr>
                <w:sz w:val="17"/>
              </w:rPr>
              <w:t>Foundations</w:t>
            </w:r>
          </w:p>
        </w:tc>
        <w:tc>
          <w:tcPr>
            <w:tcW w:type="dxa" w:w="3681"/>
            <w:shd w:val="clear" w:color="auto" w:fill="EAF1F4"/>
          </w:tcPr>
          <w:p>
            <w:pPr>
              <w:spacing w:after="50" w:before="50" w:line="252" w:lineRule="auto"/>
            </w:pPr>
            <w:r>
              <w:rPr>
                <w:sz w:val="17"/>
              </w:rPr>
              <w:t>The Mediation Act explained, four-part series; what a mediator actually does</w:t>
            </w:r>
          </w:p>
        </w:tc>
        <w:tc>
          <w:tcPr>
            <w:tcW w:type="dxa" w:w="3303"/>
            <w:shd w:val="clear" w:color="auto" w:fill="EAF1F4"/>
          </w:tcPr>
          <w:p>
            <w:pPr>
              <w:spacing w:after="50" w:before="50" w:line="252" w:lineRule="auto"/>
            </w:pPr>
            <w:r>
              <w:rPr>
                <w:sz w:val="17"/>
              </w:rPr>
              <w:t>Certificate cohorts open; intra-university rounds</w:t>
            </w:r>
          </w:p>
        </w:tc>
      </w:tr>
      <w:tr>
        <w:tc>
          <w:tcPr>
            <w:tcW w:type="dxa" w:w="878"/>
          </w:tcPr>
          <w:p>
            <w:pPr>
              <w:spacing w:after="50" w:before="50" w:line="252" w:lineRule="auto"/>
            </w:pPr>
            <w:r>
              <w:rPr>
                <w:b/>
                <w:sz w:val="17"/>
              </w:rPr>
              <w:t>September</w:t>
            </w:r>
          </w:p>
        </w:tc>
        <w:tc>
          <w:tcPr>
            <w:tcW w:type="dxa" w:w="1605"/>
          </w:tcPr>
          <w:p>
            <w:pPr>
              <w:spacing w:after="50" w:before="50" w:line="252" w:lineRule="auto"/>
            </w:pPr>
            <w:r>
              <w:rPr>
                <w:sz w:val="17"/>
              </w:rPr>
              <w:t>Negotiation</w:t>
            </w:r>
          </w:p>
        </w:tc>
        <w:tc>
          <w:tcPr>
            <w:tcW w:type="dxa" w:w="3681"/>
          </w:tcPr>
          <w:p>
            <w:pPr>
              <w:spacing w:after="50" w:before="50" w:line="252" w:lineRule="auto"/>
            </w:pPr>
            <w:r>
              <w:rPr>
                <w:sz w:val="17"/>
              </w:rPr>
              <w:t>Negotiation skills series; BATNA explained; a scored exercise readers can try</w:t>
            </w:r>
          </w:p>
        </w:tc>
        <w:tc>
          <w:tcPr>
            <w:tcW w:type="dxa" w:w="3303"/>
          </w:tcPr>
          <w:p>
            <w:pPr>
              <w:spacing w:after="50" w:before="50" w:line="252" w:lineRule="auto"/>
            </w:pPr>
            <w:r>
              <w:rPr>
                <w:sz w:val="17"/>
              </w:rPr>
              <w:t>Negotiation lab; business school outreach</w:t>
            </w:r>
          </w:p>
        </w:tc>
      </w:tr>
      <w:tr>
        <w:tc>
          <w:tcPr>
            <w:tcW w:type="dxa" w:w="878"/>
            <w:shd w:val="clear" w:color="auto" w:fill="EAF1F4"/>
          </w:tcPr>
          <w:p>
            <w:pPr>
              <w:spacing w:after="50" w:before="50" w:line="252" w:lineRule="auto"/>
            </w:pPr>
            <w:r>
              <w:rPr>
                <w:b/>
                <w:sz w:val="17"/>
              </w:rPr>
              <w:t>October</w:t>
            </w:r>
          </w:p>
        </w:tc>
        <w:tc>
          <w:tcPr>
            <w:tcW w:type="dxa" w:w="1605"/>
            <w:shd w:val="clear" w:color="auto" w:fill="EAF1F4"/>
          </w:tcPr>
          <w:p>
            <w:pPr>
              <w:spacing w:after="50" w:before="50" w:line="252" w:lineRule="auto"/>
            </w:pPr>
            <w:r>
              <w:rPr>
                <w:b/>
                <w:sz w:val="17"/>
              </w:rPr>
              <w:t>Mediation Week</w:t>
            </w:r>
          </w:p>
        </w:tc>
        <w:tc>
          <w:tcPr>
            <w:tcW w:type="dxa" w:w="3681"/>
            <w:shd w:val="clear" w:color="auto" w:fill="EAF1F4"/>
          </w:tcPr>
          <w:p>
            <w:pPr>
              <w:spacing w:after="50" w:before="50" w:line="252" w:lineRule="auto"/>
            </w:pPr>
            <w:r>
              <w:rPr>
                <w:sz w:val="17"/>
              </w:rPr>
              <w:t>Daily content; Conflict Resolution Day; the national competition; live coverage</w:t>
            </w:r>
          </w:p>
        </w:tc>
        <w:tc>
          <w:tcPr>
            <w:tcW w:type="dxa" w:w="3303"/>
            <w:shd w:val="clear" w:color="auto" w:fill="EAF1F4"/>
          </w:tcPr>
          <w:p>
            <w:pPr>
              <w:spacing w:after="50" w:before="50" w:line="252" w:lineRule="auto"/>
            </w:pPr>
            <w:r>
              <w:rPr>
                <w:b/>
                <w:sz w:val="17"/>
              </w:rPr>
              <w:t>National Mediation Championship</w:t>
            </w:r>
            <w:r>
              <w:rPr>
                <w:sz w:val="17"/>
              </w:rPr>
              <w:t>; Mediation Week</w:t>
            </w:r>
          </w:p>
        </w:tc>
      </w:tr>
      <w:tr>
        <w:tc>
          <w:tcPr>
            <w:tcW w:type="dxa" w:w="878"/>
          </w:tcPr>
          <w:p>
            <w:pPr>
              <w:spacing w:after="50" w:before="50" w:line="252" w:lineRule="auto"/>
            </w:pPr>
            <w:r>
              <w:rPr>
                <w:b/>
                <w:sz w:val="17"/>
              </w:rPr>
              <w:t>November</w:t>
            </w:r>
          </w:p>
        </w:tc>
        <w:tc>
          <w:tcPr>
            <w:tcW w:type="dxa" w:w="1605"/>
          </w:tcPr>
          <w:p>
            <w:pPr>
              <w:spacing w:after="50" w:before="50" w:line="252" w:lineRule="auto"/>
            </w:pPr>
            <w:r>
              <w:rPr>
                <w:sz w:val="17"/>
              </w:rPr>
              <w:t>Competition and craft</w:t>
            </w:r>
          </w:p>
        </w:tc>
        <w:tc>
          <w:tcPr>
            <w:tcW w:type="dxa" w:w="3681"/>
          </w:tcPr>
          <w:p>
            <w:pPr>
              <w:spacing w:after="50" w:before="50" w:line="252" w:lineRule="auto"/>
            </w:pPr>
            <w:r>
              <w:rPr>
                <w:sz w:val="17"/>
              </w:rPr>
              <w:t>Competition highlights; judges on what separates the top teams; the problem released from last year</w:t>
            </w:r>
          </w:p>
        </w:tc>
        <w:tc>
          <w:tcPr>
            <w:tcW w:type="dxa" w:w="3303"/>
          </w:tcPr>
          <w:p>
            <w:pPr>
              <w:spacing w:after="50" w:before="50" w:line="252" w:lineRule="auto"/>
            </w:pPr>
            <w:r>
              <w:rPr>
                <w:sz w:val="17"/>
              </w:rPr>
              <w:t>Post-competition; coaching sales</w:t>
            </w:r>
          </w:p>
        </w:tc>
      </w:tr>
      <w:tr>
        <w:tc>
          <w:tcPr>
            <w:tcW w:type="dxa" w:w="878"/>
            <w:shd w:val="clear" w:color="auto" w:fill="EAF1F4"/>
          </w:tcPr>
          <w:p>
            <w:pPr>
              <w:spacing w:after="50" w:before="50" w:line="252" w:lineRule="auto"/>
            </w:pPr>
            <w:r>
              <w:rPr>
                <w:b/>
                <w:sz w:val="17"/>
              </w:rPr>
              <w:t>December</w:t>
            </w:r>
          </w:p>
        </w:tc>
        <w:tc>
          <w:tcPr>
            <w:tcW w:type="dxa" w:w="1605"/>
            <w:shd w:val="clear" w:color="auto" w:fill="EAF1F4"/>
          </w:tcPr>
          <w:p>
            <w:pPr>
              <w:spacing w:after="50" w:before="50" w:line="252" w:lineRule="auto"/>
            </w:pPr>
            <w:r>
              <w:rPr>
                <w:sz w:val="17"/>
              </w:rPr>
              <w:t>The year in ADR</w:t>
            </w:r>
          </w:p>
        </w:tc>
        <w:tc>
          <w:tcPr>
            <w:tcW w:type="dxa" w:w="3681"/>
            <w:shd w:val="clear" w:color="auto" w:fill="EAF1F4"/>
          </w:tcPr>
          <w:p>
            <w:pPr>
              <w:spacing w:after="50" w:before="50" w:line="252" w:lineRule="auto"/>
            </w:pPr>
            <w:r>
              <w:rPr>
                <w:sz w:val="17"/>
              </w:rPr>
              <w:t>Annual review of developments; the annual report launch</w:t>
            </w:r>
          </w:p>
        </w:tc>
        <w:tc>
          <w:tcPr>
            <w:tcW w:type="dxa" w:w="3303"/>
            <w:shd w:val="clear" w:color="auto" w:fill="EAF1F4"/>
          </w:tcPr>
          <w:p>
            <w:pPr>
              <w:spacing w:after="50" w:before="50" w:line="252" w:lineRule="auto"/>
            </w:pPr>
            <w:r>
              <w:rPr>
                <w:sz w:val="17"/>
              </w:rPr>
              <w:t>Research; faculty engagement</w:t>
            </w:r>
          </w:p>
        </w:tc>
      </w:tr>
      <w:tr>
        <w:tc>
          <w:tcPr>
            <w:tcW w:type="dxa" w:w="878"/>
          </w:tcPr>
          <w:p>
            <w:pPr>
              <w:spacing w:after="50" w:before="50" w:line="252" w:lineRule="auto"/>
            </w:pPr>
            <w:r>
              <w:rPr>
                <w:b/>
                <w:sz w:val="17"/>
              </w:rPr>
              <w:t>January</w:t>
            </w:r>
          </w:p>
        </w:tc>
        <w:tc>
          <w:tcPr>
            <w:tcW w:type="dxa" w:w="1605"/>
          </w:tcPr>
          <w:p>
            <w:pPr>
              <w:spacing w:after="50" w:before="50" w:line="252" w:lineRule="auto"/>
            </w:pPr>
            <w:r>
              <w:rPr>
                <w:sz w:val="17"/>
              </w:rPr>
              <w:t>Preparing to compete</w:t>
            </w:r>
          </w:p>
        </w:tc>
        <w:tc>
          <w:tcPr>
            <w:tcW w:type="dxa" w:w="3681"/>
          </w:tcPr>
          <w:p>
            <w:pPr>
              <w:spacing w:after="50" w:before="50" w:line="252" w:lineRule="auto"/>
            </w:pPr>
            <w:r>
              <w:rPr>
                <w:sz w:val="17"/>
              </w:rPr>
              <w:t>Coaching content; how to write a mediation plan; international circuit preview</w:t>
            </w:r>
          </w:p>
        </w:tc>
        <w:tc>
          <w:tcPr>
            <w:tcW w:type="dxa" w:w="3303"/>
          </w:tcPr>
          <w:p>
            <w:pPr>
              <w:spacing w:after="50" w:before="50" w:line="252" w:lineRule="auto"/>
            </w:pPr>
            <w:r>
              <w:rPr>
                <w:sz w:val="17"/>
              </w:rPr>
              <w:t>Coaching engagements; February circuit prep</w:t>
            </w:r>
          </w:p>
        </w:tc>
      </w:tr>
      <w:tr>
        <w:tc>
          <w:tcPr>
            <w:tcW w:type="dxa" w:w="878"/>
            <w:shd w:val="clear" w:color="auto" w:fill="EAF1F4"/>
          </w:tcPr>
          <w:p>
            <w:pPr>
              <w:spacing w:after="50" w:before="50" w:line="252" w:lineRule="auto"/>
            </w:pPr>
            <w:r>
              <w:rPr>
                <w:b/>
                <w:sz w:val="17"/>
              </w:rPr>
              <w:t>February</w:t>
            </w:r>
          </w:p>
        </w:tc>
        <w:tc>
          <w:tcPr>
            <w:tcW w:type="dxa" w:w="1605"/>
            <w:shd w:val="clear" w:color="auto" w:fill="EAF1F4"/>
          </w:tcPr>
          <w:p>
            <w:pPr>
              <w:spacing w:after="50" w:before="50" w:line="252" w:lineRule="auto"/>
            </w:pPr>
            <w:r>
              <w:rPr>
                <w:sz w:val="17"/>
              </w:rPr>
              <w:t>Commercial disputes</w:t>
            </w:r>
          </w:p>
        </w:tc>
        <w:tc>
          <w:tcPr>
            <w:tcW w:type="dxa" w:w="3681"/>
            <w:shd w:val="clear" w:color="auto" w:fill="EAF1F4"/>
          </w:tcPr>
          <w:p>
            <w:pPr>
              <w:spacing w:after="50" w:before="50" w:line="252" w:lineRule="auto"/>
            </w:pPr>
            <w:r>
              <w:rPr>
                <w:sz w:val="17"/>
              </w:rPr>
              <w:t>Section 12A series; what in-house counsel should know; commercial mediation explained</w:t>
            </w:r>
          </w:p>
        </w:tc>
        <w:tc>
          <w:tcPr>
            <w:tcW w:type="dxa" w:w="3303"/>
            <w:shd w:val="clear" w:color="auto" w:fill="EAF1F4"/>
          </w:tcPr>
          <w:p>
            <w:pPr>
              <w:spacing w:after="50" w:before="50" w:line="252" w:lineRule="auto"/>
            </w:pPr>
            <w:r>
              <w:rPr>
                <w:sz w:val="17"/>
              </w:rPr>
              <w:t>Business school workshops; corporate engagement</w:t>
            </w:r>
          </w:p>
        </w:tc>
      </w:tr>
      <w:tr>
        <w:tc>
          <w:tcPr>
            <w:tcW w:type="dxa" w:w="878"/>
          </w:tcPr>
          <w:p>
            <w:pPr>
              <w:spacing w:after="50" w:before="50" w:line="252" w:lineRule="auto"/>
            </w:pPr>
            <w:r>
              <w:rPr>
                <w:b/>
                <w:sz w:val="17"/>
              </w:rPr>
              <w:t>March</w:t>
            </w:r>
          </w:p>
        </w:tc>
        <w:tc>
          <w:tcPr>
            <w:tcW w:type="dxa" w:w="1605"/>
          </w:tcPr>
          <w:p>
            <w:pPr>
              <w:spacing w:after="50" w:before="50" w:line="252" w:lineRule="auto"/>
            </w:pPr>
            <w:r>
              <w:rPr>
                <w:sz w:val="17"/>
              </w:rPr>
              <w:t>Faculty and teaching</w:t>
            </w:r>
          </w:p>
        </w:tc>
        <w:tc>
          <w:tcPr>
            <w:tcW w:type="dxa" w:w="3681"/>
          </w:tcPr>
          <w:p>
            <w:pPr>
              <w:spacing w:after="50" w:before="50" w:line="252" w:lineRule="auto"/>
            </w:pPr>
            <w:r>
              <w:rPr>
                <w:sz w:val="17"/>
              </w:rPr>
              <w:t>Teaching ADR experientially; simulation design; faculty voices</w:t>
            </w:r>
          </w:p>
        </w:tc>
        <w:tc>
          <w:tcPr>
            <w:tcW w:type="dxa" w:w="3303"/>
          </w:tcPr>
          <w:p>
            <w:pPr>
              <w:spacing w:after="50" w:before="50" w:line="252" w:lineRule="auto"/>
            </w:pPr>
            <w:r>
              <w:rPr>
                <w:sz w:val="17"/>
              </w:rPr>
              <w:t>Faculty Development Programmes</w:t>
            </w:r>
          </w:p>
        </w:tc>
      </w:tr>
      <w:tr>
        <w:tc>
          <w:tcPr>
            <w:tcW w:type="dxa" w:w="878"/>
            <w:shd w:val="clear" w:color="auto" w:fill="EAF1F4"/>
          </w:tcPr>
          <w:p>
            <w:pPr>
              <w:spacing w:after="50" w:before="50" w:line="252" w:lineRule="auto"/>
            </w:pPr>
            <w:r>
              <w:rPr>
                <w:b/>
                <w:sz w:val="17"/>
              </w:rPr>
              <w:t>April</w:t>
            </w:r>
          </w:p>
        </w:tc>
        <w:tc>
          <w:tcPr>
            <w:tcW w:type="dxa" w:w="1605"/>
            <w:shd w:val="clear" w:color="auto" w:fill="EAF1F4"/>
          </w:tcPr>
          <w:p>
            <w:pPr>
              <w:spacing w:after="50" w:before="50" w:line="252" w:lineRule="auto"/>
            </w:pPr>
            <w:r>
              <w:rPr>
                <w:sz w:val="17"/>
              </w:rPr>
              <w:t>Workplace and campus</w:t>
            </w:r>
          </w:p>
        </w:tc>
        <w:tc>
          <w:tcPr>
            <w:tcW w:type="dxa" w:w="3681"/>
            <w:shd w:val="clear" w:color="auto" w:fill="EAF1F4"/>
          </w:tcPr>
          <w:p>
            <w:pPr>
              <w:spacing w:after="50" w:before="50" w:line="252" w:lineRule="auto"/>
            </w:pPr>
            <w:r>
              <w:rPr>
                <w:sz w:val="17"/>
              </w:rPr>
              <w:t>POSH and grievance machinery; the UGC framework; campus mediation cells</w:t>
            </w:r>
          </w:p>
        </w:tc>
        <w:tc>
          <w:tcPr>
            <w:tcW w:type="dxa" w:w="3303"/>
            <w:shd w:val="clear" w:color="auto" w:fill="EAF1F4"/>
          </w:tcPr>
          <w:p>
            <w:pPr>
              <w:spacing w:after="50" w:before="50" w:line="252" w:lineRule="auto"/>
            </w:pPr>
            <w:r>
              <w:rPr>
                <w:sz w:val="17"/>
              </w:rPr>
              <w:t>Advisory sales; institutional services</w:t>
            </w:r>
          </w:p>
        </w:tc>
      </w:tr>
      <w:tr>
        <w:tc>
          <w:tcPr>
            <w:tcW w:type="dxa" w:w="878"/>
          </w:tcPr>
          <w:p>
            <w:pPr>
              <w:spacing w:after="50" w:before="50" w:line="252" w:lineRule="auto"/>
            </w:pPr>
            <w:r>
              <w:rPr>
                <w:b/>
                <w:sz w:val="17"/>
              </w:rPr>
              <w:t>May</w:t>
            </w:r>
          </w:p>
        </w:tc>
        <w:tc>
          <w:tcPr>
            <w:tcW w:type="dxa" w:w="1605"/>
          </w:tcPr>
          <w:p>
            <w:pPr>
              <w:spacing w:after="50" w:before="50" w:line="252" w:lineRule="auto"/>
            </w:pPr>
            <w:r>
              <w:rPr>
                <w:sz w:val="17"/>
              </w:rPr>
              <w:t>Summer school and skills</w:t>
            </w:r>
          </w:p>
        </w:tc>
        <w:tc>
          <w:tcPr>
            <w:tcW w:type="dxa" w:w="3681"/>
          </w:tcPr>
          <w:p>
            <w:pPr>
              <w:spacing w:after="50" w:before="50" w:line="252" w:lineRule="auto"/>
            </w:pPr>
            <w:r>
              <w:rPr>
                <w:sz w:val="17"/>
              </w:rPr>
              <w:t>Residential school; intensive skills content; alumni stories</w:t>
            </w:r>
          </w:p>
        </w:tc>
        <w:tc>
          <w:tcPr>
            <w:tcW w:type="dxa" w:w="3303"/>
          </w:tcPr>
          <w:p>
            <w:pPr>
              <w:spacing w:after="50" w:before="50" w:line="252" w:lineRule="auto"/>
            </w:pPr>
            <w:r>
              <w:rPr>
                <w:sz w:val="17"/>
              </w:rPr>
              <w:t>Summer school; internships</w:t>
            </w:r>
          </w:p>
        </w:tc>
      </w:tr>
      <w:tr>
        <w:tc>
          <w:tcPr>
            <w:tcW w:type="dxa" w:w="878"/>
            <w:shd w:val="clear" w:color="auto" w:fill="EAF1F4"/>
          </w:tcPr>
          <w:p>
            <w:pPr>
              <w:spacing w:after="50" w:before="50" w:line="252" w:lineRule="auto"/>
            </w:pPr>
            <w:r>
              <w:rPr>
                <w:b/>
                <w:sz w:val="17"/>
              </w:rPr>
              <w:t>June</w:t>
            </w:r>
          </w:p>
        </w:tc>
        <w:tc>
          <w:tcPr>
            <w:tcW w:type="dxa" w:w="1605"/>
            <w:shd w:val="clear" w:color="auto" w:fill="EAF1F4"/>
          </w:tcPr>
          <w:p>
            <w:pPr>
              <w:spacing w:after="50" w:before="50" w:line="252" w:lineRule="auto"/>
            </w:pPr>
            <w:r>
              <w:rPr>
                <w:sz w:val="17"/>
              </w:rPr>
              <w:t>Internships and pathways</w:t>
            </w:r>
          </w:p>
        </w:tc>
        <w:tc>
          <w:tcPr>
            <w:tcW w:type="dxa" w:w="3681"/>
            <w:shd w:val="clear" w:color="auto" w:fill="EAF1F4"/>
          </w:tcPr>
          <w:p>
            <w:pPr>
              <w:spacing w:after="50" w:before="50" w:line="252" w:lineRule="auto"/>
            </w:pPr>
            <w:r>
              <w:rPr>
                <w:sz w:val="17"/>
              </w:rPr>
              <w:t>What an intern actually does; careers in ADR; alumni destinations</w:t>
            </w:r>
          </w:p>
        </w:tc>
        <w:tc>
          <w:tcPr>
            <w:tcW w:type="dxa" w:w="3303"/>
            <w:shd w:val="clear" w:color="auto" w:fill="EAF1F4"/>
          </w:tcPr>
          <w:p>
            <w:pPr>
              <w:spacing w:after="50" w:before="50" w:line="252" w:lineRule="auto"/>
            </w:pPr>
            <w:r>
              <w:rPr>
                <w:sz w:val="17"/>
              </w:rPr>
              <w:t>Internship intake; next-year partnerships</w:t>
            </w:r>
          </w:p>
        </w:tc>
      </w:tr>
    </w:tbl>
    <w:p>
      <w:pPr>
        <w:spacing w:after="80" w:before="0"/>
      </w:pPr>
    </w:p>
    <w:p>
      <w:pPr>
        <w:spacing w:before="80" w:after="160"/>
        <w:pBdr>
          <w:bottom w:val="single" w:sz="6" w:space="1" w:color="C9D6DE"/>
        </w:pBdr>
      </w:pPr>
    </w:p>
    <w:p>
      <w:pPr>
        <w:pStyle w:val="Heading1"/>
        <w:pBdr>
          <w:bottom w:val="single" w:sz="8" w:space="4" w:color="C9D6DE"/>
        </w:pBdr>
      </w:pPr>
      <w:r>
        <w:t>8. Governance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891"/>
            <w:shd w:val="clear" w:color="auto" w:fill="10375C"/>
          </w:tcPr>
          <w:p>
            <w:pPr>
              <w:spacing w:after="50" w:before="50"/>
            </w:pPr>
            <w:r>
              <w:rPr>
                <w:b/>
                <w:color w:val="FFFFFF"/>
                <w:sz w:val="17"/>
              </w:rPr>
              <w:t>Control</w:t>
            </w:r>
          </w:p>
        </w:tc>
        <w:tc>
          <w:tcPr>
            <w:tcW w:type="dxa" w:w="7577"/>
            <w:shd w:val="clear" w:color="auto" w:fill="10375C"/>
          </w:tcPr>
          <w:p>
            <w:pPr>
              <w:spacing w:after="50" w:before="50"/>
            </w:pPr>
            <w:r>
              <w:rPr>
                <w:b/>
                <w:color w:val="FFFFFF"/>
                <w:sz w:val="17"/>
              </w:rPr>
              <w:t>Detail</w:t>
            </w:r>
          </w:p>
        </w:tc>
      </w:tr>
      <w:tr>
        <w:tc>
          <w:tcPr>
            <w:tcW w:type="dxa" w:w="1891"/>
          </w:tcPr>
          <w:p>
            <w:pPr>
              <w:spacing w:after="50" w:before="50" w:line="252" w:lineRule="auto"/>
            </w:pPr>
            <w:r>
              <w:rPr>
                <w:sz w:val="17"/>
              </w:rPr>
              <w:t>Approval</w:t>
            </w:r>
          </w:p>
        </w:tc>
        <w:tc>
          <w:tcPr>
            <w:tcW w:type="dxa" w:w="7577"/>
          </w:tcPr>
          <w:p>
            <w:pPr>
              <w:spacing w:after="50" w:before="50" w:line="252" w:lineRule="auto"/>
            </w:pPr>
            <w:r>
              <w:rPr>
                <w:sz w:val="17"/>
              </w:rPr>
              <w:t>Every post naming a partner, quoting a statistic or making a legal statement is approved by Marketing; legal statements additionally by General Counsel</w:t>
            </w:r>
          </w:p>
        </w:tc>
      </w:tr>
      <w:tr>
        <w:tc>
          <w:tcPr>
            <w:tcW w:type="dxa" w:w="1891"/>
            <w:shd w:val="clear" w:color="auto" w:fill="EAF1F4"/>
          </w:tcPr>
          <w:p>
            <w:pPr>
              <w:spacing w:after="50" w:before="50" w:line="252" w:lineRule="auto"/>
            </w:pPr>
            <w:r>
              <w:rPr>
                <w:sz w:val="17"/>
              </w:rPr>
              <w:t>Scheduling</w:t>
            </w:r>
          </w:p>
        </w:tc>
        <w:tc>
          <w:tcPr>
            <w:tcW w:type="dxa" w:w="7577"/>
            <w:shd w:val="clear" w:color="auto" w:fill="EAF1F4"/>
          </w:tcPr>
          <w:p>
            <w:pPr>
              <w:spacing w:after="50" w:before="50" w:line="252" w:lineRule="auto"/>
            </w:pPr>
            <w:r>
              <w:rPr>
                <w:sz w:val="17"/>
              </w:rPr>
              <w:t>Content calendar maintained one month ahead</w:t>
            </w:r>
          </w:p>
        </w:tc>
      </w:tr>
      <w:tr>
        <w:tc>
          <w:tcPr>
            <w:tcW w:type="dxa" w:w="1891"/>
          </w:tcPr>
          <w:p>
            <w:pPr>
              <w:spacing w:after="50" w:before="50" w:line="252" w:lineRule="auto"/>
            </w:pPr>
            <w:r>
              <w:rPr>
                <w:sz w:val="17"/>
              </w:rPr>
              <w:t>Crisis</w:t>
            </w:r>
          </w:p>
        </w:tc>
        <w:tc>
          <w:tcPr>
            <w:tcW w:type="dxa" w:w="7577"/>
          </w:tcPr>
          <w:p>
            <w:pPr>
              <w:spacing w:after="50" w:before="50" w:line="252" w:lineRule="auto"/>
            </w:pPr>
            <w:r>
              <w:rPr>
                <w:sz w:val="17"/>
              </w:rPr>
              <w:t xml:space="preserve">Any negative comment about a matter, a party or an incident is </w:t>
            </w:r>
            <w:r>
              <w:rPr>
                <w:b/>
                <w:sz w:val="17"/>
              </w:rPr>
              <w:t>not</w:t>
            </w:r>
            <w:r>
              <w:rPr>
                <w:sz w:val="17"/>
              </w:rPr>
              <w:t xml:space="preserve"> answered publicly; escalated to the Programme Director immediately</w:t>
            </w:r>
          </w:p>
        </w:tc>
      </w:tr>
      <w:tr>
        <w:tc>
          <w:tcPr>
            <w:tcW w:type="dxa" w:w="1891"/>
            <w:shd w:val="clear" w:color="auto" w:fill="EAF1F4"/>
          </w:tcPr>
          <w:p>
            <w:pPr>
              <w:spacing w:after="50" w:before="50" w:line="252" w:lineRule="auto"/>
            </w:pPr>
            <w:r>
              <w:rPr>
                <w:sz w:val="17"/>
              </w:rPr>
              <w:t>Complaints</w:t>
            </w:r>
          </w:p>
        </w:tc>
        <w:tc>
          <w:tcPr>
            <w:tcW w:type="dxa" w:w="7577"/>
            <w:shd w:val="clear" w:color="auto" w:fill="EAF1F4"/>
          </w:tcPr>
          <w:p>
            <w:pPr>
              <w:spacing w:after="50" w:before="50" w:line="252" w:lineRule="auto"/>
            </w:pPr>
            <w:r>
              <w:rPr>
                <w:sz w:val="17"/>
              </w:rPr>
              <w:t>A public complaint is acknowledged publicly once, and moved to a private channel</w:t>
            </w:r>
          </w:p>
        </w:tc>
      </w:tr>
      <w:tr>
        <w:tc>
          <w:tcPr>
            <w:tcW w:type="dxa" w:w="1891"/>
          </w:tcPr>
          <w:p>
            <w:pPr>
              <w:spacing w:after="50" w:before="50" w:line="252" w:lineRule="auto"/>
            </w:pPr>
            <w:r>
              <w:rPr>
                <w:sz w:val="17"/>
              </w:rPr>
              <w:t>Records</w:t>
            </w:r>
          </w:p>
        </w:tc>
        <w:tc>
          <w:tcPr>
            <w:tcW w:type="dxa" w:w="7577"/>
          </w:tcPr>
          <w:p>
            <w:pPr>
              <w:spacing w:after="50" w:before="50" w:line="252" w:lineRule="auto"/>
            </w:pPr>
            <w:r>
              <w:rPr>
                <w:sz w:val="17"/>
              </w:rPr>
              <w:t>Approved creative retained for three years with the approval reference</w:t>
            </w:r>
          </w:p>
        </w:tc>
      </w:tr>
      <w:tr>
        <w:tc>
          <w:tcPr>
            <w:tcW w:type="dxa" w:w="1891"/>
            <w:shd w:val="clear" w:color="auto" w:fill="EAF1F4"/>
          </w:tcPr>
          <w:p>
            <w:pPr>
              <w:spacing w:after="50" w:before="50" w:line="252" w:lineRule="auto"/>
            </w:pPr>
            <w:r>
              <w:rPr>
                <w:sz w:val="17"/>
              </w:rPr>
              <w:t>Consent register</w:t>
            </w:r>
          </w:p>
        </w:tc>
        <w:tc>
          <w:tcPr>
            <w:tcW w:type="dxa" w:w="7577"/>
            <w:shd w:val="clear" w:color="auto" w:fill="EAF1F4"/>
          </w:tcPr>
          <w:p>
            <w:pPr>
              <w:spacing w:after="50" w:before="50" w:line="252" w:lineRule="auto"/>
            </w:pPr>
            <w:r>
              <w:rPr>
                <w:sz w:val="17"/>
              </w:rPr>
              <w:t>Media releases indexed so that a withdrawal can be actioned across all content within 30 days</w:t>
            </w:r>
          </w:p>
        </w:tc>
      </w:tr>
      <w:tr>
        <w:tc>
          <w:tcPr>
            <w:tcW w:type="dxa" w:w="1891"/>
          </w:tcPr>
          <w:p>
            <w:pPr>
              <w:spacing w:after="50" w:before="50" w:line="252" w:lineRule="auto"/>
            </w:pPr>
            <w:r>
              <w:rPr>
                <w:sz w:val="17"/>
              </w:rPr>
              <w:t>Measurement</w:t>
            </w:r>
          </w:p>
        </w:tc>
        <w:tc>
          <w:tcPr>
            <w:tcW w:type="dxa" w:w="7577"/>
          </w:tcPr>
          <w:p>
            <w:pPr>
              <w:spacing w:after="50" w:before="50" w:line="252" w:lineRule="auto"/>
            </w:pPr>
            <w:r>
              <w:rPr>
                <w:sz w:val="17"/>
              </w:rPr>
              <w:t xml:space="preserve">Reach, engagement, click-through, enquiries generated, and — the only measure that matters — </w:t>
            </w:r>
            <w:r>
              <w:rPr>
                <w:b/>
                <w:sz w:val="17"/>
              </w:rPr>
              <w:t>registrations and partnership enquiries attributable to content</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EQ-UAP-087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Social Media Collaboration Playbook &amp; Content Calendar</w:t>
    </w:r>
    <w:r>
      <w:rPr>
        <w:rFonts w:ascii="Calibri" w:hAnsi="Calibri"/>
        <w:color w:val="595959"/>
        <w:sz w:val="16"/>
      </w:rPr>
      <w:tab/>
      <w:t>Confidential — Internal and partner institution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44E0178-6279-43C0-97E3-247670F0ED8B}"/>
</file>

<file path=customXml/itemProps3.xml><?xml version="1.0" encoding="utf-8"?>
<ds:datastoreItem xmlns:ds="http://schemas.openxmlformats.org/officeDocument/2006/customXml" ds:itemID="{F39D5964-9814-4414-AC77-FA097E487315}"/>
</file>

<file path=customXml/itemProps4.xml><?xml version="1.0" encoding="utf-8"?>
<ds:datastoreItem xmlns:ds="http://schemas.openxmlformats.org/officeDocument/2006/customXml" ds:itemID="{D16E8B5F-5327-452A-9873-39AEB24092E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