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Joint Steering Committee Charter &amp; Terms of Reference</w:t>
      </w:r>
    </w:p>
    <w:p>
      <w:pPr>
        <w:spacing w:after="280" w:line="276" w:lineRule="auto"/>
      </w:pPr>
      <w:r>
        <w:rPr>
          <w:rFonts w:ascii="Calibri" w:hAnsi="Calibri"/>
          <w:i/>
          <w:color w:val="3E6B8A"/>
          <w:sz w:val="25"/>
        </w:rPr>
        <w:t>Composition, authority, meeting discipline and the limits of what the Committee may decide</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EQ-UAP-090</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Governance</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 and partner institution</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Purpose</w:t>
      </w:r>
    </w:p>
    <w:p>
      <w:r>
        <w:t>The Joint Steering Committee is the standing body through which a partnership is managed between the parties. It exists so that delivery is reviewed by people with authority, on a fixed rhythm, rather than only when something has gone wrong.</w:t>
      </w:r>
    </w:p>
    <w:p>
      <w:pPr>
        <w:spacing w:before="80" w:after="160"/>
        <w:pBdr>
          <w:bottom w:val="single" w:sz="6" w:space="1" w:color="C9D6DE"/>
        </w:pBdr>
      </w:pPr>
    </w:p>
    <w:p>
      <w:pPr>
        <w:pStyle w:val="Heading1"/>
        <w:pBdr>
          <w:bottom w:val="single" w:sz="8" w:space="4" w:color="C9D6DE"/>
        </w:pBdr>
      </w:pPr>
      <w:r>
        <w:t>2. Composition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24"/>
            <w:shd w:val="clear" w:color="auto" w:fill="10375C"/>
          </w:tcPr>
          <w:p>
            <w:pPr>
              <w:spacing w:after="50" w:before="50"/>
            </w:pPr>
            <w:r>
              <w:rPr>
                <w:b/>
                <w:color w:val="FFFFFF"/>
                <w:sz w:val="17"/>
              </w:rPr>
              <w:t>Element</w:t>
            </w:r>
          </w:p>
        </w:tc>
        <w:tc>
          <w:tcPr>
            <w:tcW w:type="dxa" w:w="6844"/>
            <w:shd w:val="clear" w:color="auto" w:fill="10375C"/>
          </w:tcPr>
          <w:p>
            <w:pPr>
              <w:spacing w:after="50" w:before="50"/>
            </w:pPr>
            <w:r>
              <w:rPr>
                <w:b/>
                <w:color w:val="FFFFFF"/>
                <w:sz w:val="17"/>
              </w:rPr>
              <w:t>Standard</w:t>
            </w:r>
          </w:p>
        </w:tc>
      </w:tr>
      <w:tr>
        <w:tc>
          <w:tcPr>
            <w:tcW w:type="dxa" w:w="2624"/>
          </w:tcPr>
          <w:p>
            <w:pPr>
              <w:spacing w:after="50" w:before="50" w:line="252" w:lineRule="auto"/>
            </w:pPr>
            <w:r>
              <w:rPr>
                <w:sz w:val="17"/>
              </w:rPr>
              <w:t>Size</w:t>
            </w:r>
          </w:p>
        </w:tc>
        <w:tc>
          <w:tcPr>
            <w:tcW w:type="dxa" w:w="6844"/>
          </w:tcPr>
          <w:p>
            <w:pPr>
              <w:spacing w:after="50" w:before="50" w:line="252" w:lineRule="auto"/>
            </w:pPr>
            <w:r>
              <w:rPr>
                <w:sz w:val="17"/>
              </w:rPr>
              <w:t>Four to six; two to three nominated by each party</w:t>
            </w:r>
          </w:p>
        </w:tc>
      </w:tr>
      <w:tr>
        <w:tc>
          <w:tcPr>
            <w:tcW w:type="dxa" w:w="2624"/>
            <w:shd w:val="clear" w:color="auto" w:fill="EAF1F4"/>
          </w:tcPr>
          <w:p>
            <w:pPr>
              <w:spacing w:after="50" w:before="50" w:line="252" w:lineRule="auto"/>
            </w:pPr>
            <w:r>
              <w:rPr>
                <w:sz w:val="17"/>
              </w:rPr>
              <w:t>Mandatory members</w:t>
            </w:r>
          </w:p>
        </w:tc>
        <w:tc>
          <w:tcPr>
            <w:tcW w:type="dxa" w:w="6844"/>
            <w:shd w:val="clear" w:color="auto" w:fill="EAF1F4"/>
          </w:tcPr>
          <w:p>
            <w:pPr>
              <w:spacing w:after="50" w:before="50" w:line="252" w:lineRule="auto"/>
            </w:pPr>
            <w:r>
              <w:rPr>
                <w:sz w:val="17"/>
              </w:rPr>
              <w:t>Each party's Nodal Officer</w:t>
            </w:r>
          </w:p>
        </w:tc>
      </w:tr>
      <w:tr>
        <w:tc>
          <w:tcPr>
            <w:tcW w:type="dxa" w:w="2624"/>
          </w:tcPr>
          <w:p>
            <w:pPr>
              <w:spacing w:after="50" w:before="50" w:line="252" w:lineRule="auto"/>
            </w:pPr>
            <w:r>
              <w:rPr>
                <w:sz w:val="17"/>
              </w:rPr>
              <w:t>University side, typically</w:t>
            </w:r>
          </w:p>
        </w:tc>
        <w:tc>
          <w:tcPr>
            <w:tcW w:type="dxa" w:w="6844"/>
          </w:tcPr>
          <w:p>
            <w:pPr>
              <w:spacing w:after="50" w:before="50" w:line="252" w:lineRule="auto"/>
            </w:pPr>
            <w:r>
              <w:rPr>
                <w:sz w:val="17"/>
              </w:rPr>
              <w:t>Nodal Officer; Dean or Head of Department; a faculty member responsible for delivery</w:t>
            </w:r>
          </w:p>
        </w:tc>
      </w:tr>
      <w:tr>
        <w:tc>
          <w:tcPr>
            <w:tcW w:type="dxa" w:w="2624"/>
            <w:shd w:val="clear" w:color="auto" w:fill="EAF1F4"/>
          </w:tcPr>
          <w:p>
            <w:pPr>
              <w:spacing w:after="50" w:before="50" w:line="252" w:lineRule="auto"/>
            </w:pPr>
            <w:r>
              <w:rPr>
                <w:sz w:val="17"/>
              </w:rPr>
              <w:t>Equator side, typically</w:t>
            </w:r>
          </w:p>
        </w:tc>
        <w:tc>
          <w:tcPr>
            <w:tcW w:type="dxa" w:w="6844"/>
            <w:shd w:val="clear" w:color="auto" w:fill="EAF1F4"/>
          </w:tcPr>
          <w:p>
            <w:pPr>
              <w:spacing w:after="50" w:before="50" w:line="252" w:lineRule="auto"/>
            </w:pPr>
            <w:r>
              <w:rPr>
                <w:sz w:val="17"/>
              </w:rPr>
              <w:t>Nodal Officer; Programme Director or Operations Manager; Head of Curriculum where curriculum is on the agenda</w:t>
            </w:r>
          </w:p>
        </w:tc>
      </w:tr>
      <w:tr>
        <w:tc>
          <w:tcPr>
            <w:tcW w:type="dxa" w:w="2624"/>
          </w:tcPr>
          <w:p>
            <w:pPr>
              <w:spacing w:after="50" w:before="50" w:line="252" w:lineRule="auto"/>
            </w:pPr>
            <w:r>
              <w:rPr>
                <w:sz w:val="17"/>
              </w:rPr>
              <w:t>Chair</w:t>
            </w:r>
          </w:p>
        </w:tc>
        <w:tc>
          <w:tcPr>
            <w:tcW w:type="dxa" w:w="6844"/>
          </w:tcPr>
          <w:p>
            <w:pPr>
              <w:spacing w:after="50" w:before="50" w:line="252" w:lineRule="auto"/>
            </w:pPr>
            <w:r>
              <w:rPr>
                <w:sz w:val="17"/>
              </w:rPr>
              <w:t>Alternates between the parties, meeting by meeting. The first meeting is chaired by the University</w:t>
            </w:r>
          </w:p>
        </w:tc>
      </w:tr>
      <w:tr>
        <w:tc>
          <w:tcPr>
            <w:tcW w:type="dxa" w:w="2624"/>
            <w:shd w:val="clear" w:color="auto" w:fill="EAF1F4"/>
          </w:tcPr>
          <w:p>
            <w:pPr>
              <w:spacing w:after="50" w:before="50" w:line="252" w:lineRule="auto"/>
            </w:pPr>
            <w:r>
              <w:rPr>
                <w:sz w:val="17"/>
              </w:rPr>
              <w:t>Secretary</w:t>
            </w:r>
          </w:p>
        </w:tc>
        <w:tc>
          <w:tcPr>
            <w:tcW w:type="dxa" w:w="6844"/>
            <w:shd w:val="clear" w:color="auto" w:fill="EAF1F4"/>
          </w:tcPr>
          <w:p>
            <w:pPr>
              <w:spacing w:after="50" w:before="50" w:line="252" w:lineRule="auto"/>
            </w:pPr>
            <w:r>
              <w:rPr>
                <w:sz w:val="17"/>
              </w:rPr>
              <w:t>Equator provides the secretary, who circulates papers and minutes</w:t>
            </w:r>
          </w:p>
        </w:tc>
      </w:tr>
      <w:tr>
        <w:tc>
          <w:tcPr>
            <w:tcW w:type="dxa" w:w="2624"/>
          </w:tcPr>
          <w:p>
            <w:pPr>
              <w:spacing w:after="50" w:before="50" w:line="252" w:lineRule="auto"/>
            </w:pPr>
            <w:r>
              <w:rPr>
                <w:sz w:val="17"/>
              </w:rPr>
              <w:t>Quorum</w:t>
            </w:r>
          </w:p>
        </w:tc>
        <w:tc>
          <w:tcPr>
            <w:tcW w:type="dxa" w:w="6844"/>
          </w:tcPr>
          <w:p>
            <w:pPr>
              <w:spacing w:after="50" w:before="50" w:line="252" w:lineRule="auto"/>
            </w:pPr>
            <w:r>
              <w:rPr>
                <w:sz w:val="17"/>
              </w:rPr>
              <w:t>One member from each party, one of whom must be a Nodal Officer</w:t>
            </w:r>
          </w:p>
        </w:tc>
      </w:tr>
      <w:tr>
        <w:tc>
          <w:tcPr>
            <w:tcW w:type="dxa" w:w="2624"/>
            <w:shd w:val="clear" w:color="auto" w:fill="EAF1F4"/>
          </w:tcPr>
          <w:p>
            <w:pPr>
              <w:spacing w:after="50" w:before="50" w:line="252" w:lineRule="auto"/>
            </w:pPr>
            <w:r>
              <w:rPr>
                <w:sz w:val="17"/>
              </w:rPr>
              <w:t>Attendance by others</w:t>
            </w:r>
          </w:p>
        </w:tc>
        <w:tc>
          <w:tcPr>
            <w:tcW w:type="dxa" w:w="6844"/>
            <w:shd w:val="clear" w:color="auto" w:fill="EAF1F4"/>
          </w:tcPr>
          <w:p>
            <w:pPr>
              <w:spacing w:after="50" w:before="50" w:line="252" w:lineRule="auto"/>
            </w:pPr>
            <w:r>
              <w:rPr>
                <w:sz w:val="17"/>
              </w:rPr>
              <w:t>By invitation, for a specific item</w:t>
            </w:r>
          </w:p>
        </w:tc>
      </w:tr>
      <w:tr>
        <w:tc>
          <w:tcPr>
            <w:tcW w:type="dxa" w:w="2624"/>
          </w:tcPr>
          <w:p>
            <w:pPr>
              <w:spacing w:after="50" w:before="50" w:line="252" w:lineRule="auto"/>
            </w:pPr>
            <w:r>
              <w:rPr>
                <w:sz w:val="17"/>
              </w:rPr>
              <w:t>Student representation</w:t>
            </w:r>
          </w:p>
        </w:tc>
        <w:tc>
          <w:tcPr>
            <w:tcW w:type="dxa" w:w="6844"/>
          </w:tcPr>
          <w:p>
            <w:pPr>
              <w:spacing w:after="50" w:before="50" w:line="252" w:lineRule="auto"/>
            </w:pPr>
            <w:r>
              <w:rPr>
                <w:sz w:val="17"/>
              </w:rPr>
              <w:t>Recommended — one student who has completed a programme, invited for the delivery and feedback items</w:t>
            </w:r>
          </w:p>
        </w:tc>
      </w:tr>
    </w:tbl>
    <w:p>
      <w:pPr>
        <w:spacing w:after="80" w:before="0"/>
      </w:pPr>
    </w:p>
    <w:p>
      <w:pPr>
        <w:spacing w:before="80" w:after="160"/>
        <w:pBdr>
          <w:bottom w:val="single" w:sz="6" w:space="1" w:color="C9D6DE"/>
        </w:pBdr>
      </w:pPr>
    </w:p>
    <w:p>
      <w:pPr>
        <w:pStyle w:val="Heading1"/>
        <w:pBdr>
          <w:bottom w:val="single" w:sz="8" w:space="4" w:color="C9D6DE"/>
        </w:pBdr>
      </w:pPr>
      <w:r>
        <w:t>3. Authority</w:t>
      </w:r>
    </w:p>
    <w:p>
      <w:pPr>
        <w:pStyle w:val="Heading2"/>
      </w:pPr>
      <w:r>
        <w:t>3.1 The Committee may</w:t>
      </w:r>
    </w:p>
    <w:p>
      <w:pPr>
        <w:pStyle w:val="ListBullet"/>
      </w:pPr>
      <w:r>
        <w:rPr>
          <w:sz w:val="21"/>
        </w:rPr>
        <w:t>review delivery against the Activity Calendar;</w:t>
      </w:r>
    </w:p>
    <w:p>
      <w:pPr>
        <w:pStyle w:val="ListBullet"/>
      </w:pPr>
      <w:r>
        <w:rPr>
          <w:sz w:val="21"/>
        </w:rPr>
        <w:t>agree amendments to the Activity Calendar within the existing schedules;</w:t>
      </w:r>
    </w:p>
    <w:p>
      <w:pPr>
        <w:pStyle w:val="ListBullet"/>
      </w:pPr>
      <w:r>
        <w:rPr>
          <w:sz w:val="21"/>
        </w:rPr>
        <w:t>consider and recommend new activities;</w:t>
      </w:r>
    </w:p>
    <w:p>
      <w:pPr>
        <w:pStyle w:val="ListBullet"/>
      </w:pPr>
      <w:r>
        <w:rPr>
          <w:sz w:val="21"/>
        </w:rPr>
        <w:t>review feedback, quality data and incident reports;</w:t>
      </w:r>
    </w:p>
    <w:p>
      <w:pPr>
        <w:pStyle w:val="ListBullet"/>
      </w:pPr>
      <w:r>
        <w:rPr>
          <w:sz w:val="21"/>
        </w:rPr>
        <w:t>resolve operational issues escalated by the Nodal Officers;</w:t>
      </w:r>
    </w:p>
    <w:p>
      <w:pPr>
        <w:pStyle w:val="ListBullet"/>
      </w:pPr>
      <w:r>
        <w:rPr>
          <w:sz w:val="21"/>
        </w:rPr>
        <w:t>review the partnership scorecard;</w:t>
      </w:r>
    </w:p>
    <w:p>
      <w:pPr>
        <w:pStyle w:val="ListBullet"/>
      </w:pPr>
      <w:r>
        <w:rPr>
          <w:sz w:val="21"/>
        </w:rPr>
        <w:t>make a recommendation on renewal, restructuring or lapse.</w:t>
      </w:r>
    </w:p>
    <w:p>
      <w:pPr>
        <w:pStyle w:val="Heading2"/>
      </w:pPr>
      <w:r>
        <w:t xml:space="preserve">3.2 The Committee may </w:t>
      </w:r>
      <w:r>
        <w:rPr>
          <w:b/>
        </w:rPr>
        <w:t>not</w:t>
      </w:r>
    </w:p>
    <w:p>
      <w:pPr>
        <w:pStyle w:val="ListBullet"/>
      </w:pPr>
      <w:r>
        <w:rPr>
          <w:sz w:val="21"/>
        </w:rPr>
        <w:t>vary the Memorandum of Understanding or any schedule;</w:t>
      </w:r>
    </w:p>
    <w:p>
      <w:pPr>
        <w:pStyle w:val="ListBullet"/>
      </w:pPr>
      <w:r>
        <w:rPr>
          <w:sz w:val="21"/>
        </w:rPr>
        <w:t>agree commercial terms outside Schedule H, or grant any discount;</w:t>
      </w:r>
    </w:p>
    <w:p>
      <w:pPr>
        <w:pStyle w:val="ListBullet"/>
      </w:pPr>
      <w:r>
        <w:rPr>
          <w:sz w:val="21"/>
        </w:rPr>
        <w:t>commit either party to expenditure;</w:t>
      </w:r>
    </w:p>
    <w:p>
      <w:pPr>
        <w:pStyle w:val="ListBullet"/>
      </w:pPr>
      <w:r>
        <w:rPr>
          <w:sz w:val="21"/>
        </w:rPr>
        <w:t>waive the minimum activity commitment;</w:t>
      </w:r>
    </w:p>
    <w:p>
      <w:pPr>
        <w:pStyle w:val="ListBullet"/>
      </w:pPr>
      <w:r>
        <w:rPr>
          <w:sz w:val="21"/>
        </w:rPr>
        <w:t>grant exclusivity;</w:t>
      </w:r>
    </w:p>
    <w:p>
      <w:pPr>
        <w:pStyle w:val="ListBullet"/>
      </w:pPr>
      <w:r>
        <w:rPr>
          <w:sz w:val="21"/>
        </w:rPr>
        <w:t>decide any matter of assessment, certification or competition integrity, which are reserved to Equator's own committees;</w:t>
      </w:r>
    </w:p>
    <w:p>
      <w:pPr>
        <w:pStyle w:val="ListBullet"/>
      </w:pPr>
      <w:r>
        <w:rPr>
          <w:sz w:val="21"/>
        </w:rPr>
        <w:t>decide any safeguarding, POSH or data protection matter, which follow their own protocols.</w:t>
      </w:r>
    </w:p>
    <w:p>
      <w:r>
        <w:t>Where a matter falls outside the Committee's authority, it is recorded and referred, and the referral is minuted.</w:t>
      </w:r>
    </w:p>
    <w:p>
      <w:pPr>
        <w:spacing w:before="80" w:after="160"/>
        <w:pBdr>
          <w:bottom w:val="single" w:sz="6" w:space="1" w:color="C9D6DE"/>
        </w:pBdr>
      </w:pPr>
    </w:p>
    <w:p>
      <w:pPr>
        <w:pStyle w:val="Heading1"/>
        <w:pBdr>
          <w:bottom w:val="single" w:sz="8" w:space="4" w:color="C9D6DE"/>
        </w:pBdr>
      </w:pPr>
      <w:r>
        <w:t>4. Meetings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896"/>
            <w:shd w:val="clear" w:color="auto" w:fill="10375C"/>
          </w:tcPr>
          <w:p>
            <w:pPr>
              <w:spacing w:after="50" w:before="50"/>
            </w:pPr>
            <w:r>
              <w:rPr>
                <w:b/>
                <w:color w:val="FFFFFF"/>
                <w:sz w:val="17"/>
              </w:rPr>
              <w:t>Element</w:t>
            </w:r>
          </w:p>
        </w:tc>
        <w:tc>
          <w:tcPr>
            <w:tcW w:type="dxa" w:w="7572"/>
            <w:shd w:val="clear" w:color="auto" w:fill="10375C"/>
          </w:tcPr>
          <w:p>
            <w:pPr>
              <w:spacing w:after="50" w:before="50"/>
            </w:pPr>
            <w:r>
              <w:rPr>
                <w:b/>
                <w:color w:val="FFFFFF"/>
                <w:sz w:val="17"/>
              </w:rPr>
              <w:t>Standard</w:t>
            </w:r>
          </w:p>
        </w:tc>
      </w:tr>
      <w:tr>
        <w:tc>
          <w:tcPr>
            <w:tcW w:type="dxa" w:w="1896"/>
          </w:tcPr>
          <w:p>
            <w:pPr>
              <w:spacing w:after="50" w:before="50" w:line="252" w:lineRule="auto"/>
            </w:pPr>
            <w:r>
              <w:rPr>
                <w:sz w:val="17"/>
              </w:rPr>
              <w:t>Frequency</w:t>
            </w:r>
          </w:p>
        </w:tc>
        <w:tc>
          <w:tcPr>
            <w:tcW w:type="dxa" w:w="7572"/>
          </w:tcPr>
          <w:p>
            <w:pPr>
              <w:spacing w:after="50" w:before="50" w:line="252" w:lineRule="auto"/>
            </w:pPr>
            <w:r>
              <w:rPr>
                <w:sz w:val="17"/>
              </w:rPr>
              <w:t>Not fewer than twice each academic year; ordinarily at the start and the end</w:t>
            </w:r>
          </w:p>
        </w:tc>
      </w:tr>
      <w:tr>
        <w:tc>
          <w:tcPr>
            <w:tcW w:type="dxa" w:w="1896"/>
            <w:shd w:val="clear" w:color="auto" w:fill="EAF1F4"/>
          </w:tcPr>
          <w:p>
            <w:pPr>
              <w:spacing w:after="50" w:before="50" w:line="252" w:lineRule="auto"/>
            </w:pPr>
            <w:r>
              <w:rPr>
                <w:sz w:val="17"/>
              </w:rPr>
              <w:t>Additional meetings</w:t>
            </w:r>
          </w:p>
        </w:tc>
        <w:tc>
          <w:tcPr>
            <w:tcW w:type="dxa" w:w="7572"/>
            <w:shd w:val="clear" w:color="auto" w:fill="EAF1F4"/>
          </w:tcPr>
          <w:p>
            <w:pPr>
              <w:spacing w:after="50" w:before="50" w:line="252" w:lineRule="auto"/>
            </w:pPr>
            <w:r>
              <w:rPr>
                <w:sz w:val="17"/>
              </w:rPr>
              <w:t>On the request of either party, on fourteen days' notice</w:t>
            </w:r>
          </w:p>
        </w:tc>
      </w:tr>
      <w:tr>
        <w:tc>
          <w:tcPr>
            <w:tcW w:type="dxa" w:w="1896"/>
          </w:tcPr>
          <w:p>
            <w:pPr>
              <w:spacing w:after="50" w:before="50" w:line="252" w:lineRule="auto"/>
            </w:pPr>
            <w:r>
              <w:rPr>
                <w:sz w:val="17"/>
              </w:rPr>
              <w:t>Mode</w:t>
            </w:r>
          </w:p>
        </w:tc>
        <w:tc>
          <w:tcPr>
            <w:tcW w:type="dxa" w:w="7572"/>
          </w:tcPr>
          <w:p>
            <w:pPr>
              <w:spacing w:after="50" w:before="50" w:line="252" w:lineRule="auto"/>
            </w:pPr>
            <w:r>
              <w:rPr>
                <w:sz w:val="17"/>
              </w:rPr>
              <w:t>In person or by video conference</w:t>
            </w:r>
          </w:p>
        </w:tc>
      </w:tr>
      <w:tr>
        <w:tc>
          <w:tcPr>
            <w:tcW w:type="dxa" w:w="1896"/>
            <w:shd w:val="clear" w:color="auto" w:fill="EAF1F4"/>
          </w:tcPr>
          <w:p>
            <w:pPr>
              <w:spacing w:after="50" w:before="50" w:line="252" w:lineRule="auto"/>
            </w:pPr>
            <w:r>
              <w:rPr>
                <w:sz w:val="17"/>
              </w:rPr>
              <w:t>Duration</w:t>
            </w:r>
          </w:p>
        </w:tc>
        <w:tc>
          <w:tcPr>
            <w:tcW w:type="dxa" w:w="7572"/>
            <w:shd w:val="clear" w:color="auto" w:fill="EAF1F4"/>
          </w:tcPr>
          <w:p>
            <w:pPr>
              <w:spacing w:after="50" w:before="50" w:line="252" w:lineRule="auto"/>
            </w:pPr>
            <w:r>
              <w:rPr>
                <w:sz w:val="17"/>
              </w:rPr>
              <w:t>60 to 90 minutes. A steering meeting that runs to three hours has become an operations meeting</w:t>
            </w:r>
          </w:p>
        </w:tc>
      </w:tr>
      <w:tr>
        <w:tc>
          <w:tcPr>
            <w:tcW w:type="dxa" w:w="1896"/>
          </w:tcPr>
          <w:p>
            <w:pPr>
              <w:spacing w:after="50" w:before="50" w:line="252" w:lineRule="auto"/>
            </w:pPr>
            <w:r>
              <w:rPr>
                <w:sz w:val="17"/>
              </w:rPr>
              <w:t>Papers</w:t>
            </w:r>
          </w:p>
        </w:tc>
        <w:tc>
          <w:tcPr>
            <w:tcW w:type="dxa" w:w="7572"/>
          </w:tcPr>
          <w:p>
            <w:pPr>
              <w:spacing w:after="50" w:before="50" w:line="252" w:lineRule="auto"/>
            </w:pPr>
            <w:r>
              <w:rPr>
                <w:sz w:val="17"/>
              </w:rPr>
              <w:t xml:space="preserve">Circulated five working days in advance. </w:t>
            </w:r>
            <w:r>
              <w:rPr>
                <w:b/>
                <w:sz w:val="17"/>
              </w:rPr>
              <w:t>A meeting proceeds only if papers were circulated; otherwise it is deferred</w:t>
            </w:r>
          </w:p>
        </w:tc>
      </w:tr>
      <w:tr>
        <w:tc>
          <w:tcPr>
            <w:tcW w:type="dxa" w:w="1896"/>
            <w:shd w:val="clear" w:color="auto" w:fill="EAF1F4"/>
          </w:tcPr>
          <w:p>
            <w:pPr>
              <w:spacing w:after="50" w:before="50" w:line="252" w:lineRule="auto"/>
            </w:pPr>
            <w:r>
              <w:rPr>
                <w:sz w:val="17"/>
              </w:rPr>
              <w:t>Minutes</w:t>
            </w:r>
          </w:p>
        </w:tc>
        <w:tc>
          <w:tcPr>
            <w:tcW w:type="dxa" w:w="7572"/>
            <w:shd w:val="clear" w:color="auto" w:fill="EAF1F4"/>
          </w:tcPr>
          <w:p>
            <w:pPr>
              <w:spacing w:after="50" w:before="50" w:line="252" w:lineRule="auto"/>
            </w:pPr>
            <w:r>
              <w:rPr>
                <w:sz w:val="17"/>
              </w:rPr>
              <w:t>Circulated within ten working days; approved at the next meeting</w:t>
            </w:r>
          </w:p>
        </w:tc>
      </w:tr>
      <w:tr>
        <w:tc>
          <w:tcPr>
            <w:tcW w:type="dxa" w:w="1896"/>
          </w:tcPr>
          <w:p>
            <w:pPr>
              <w:spacing w:after="50" w:before="50" w:line="252" w:lineRule="auto"/>
            </w:pPr>
            <w:r>
              <w:rPr>
                <w:sz w:val="17"/>
              </w:rPr>
              <w:t>Actions</w:t>
            </w:r>
          </w:p>
        </w:tc>
        <w:tc>
          <w:tcPr>
            <w:tcW w:type="dxa" w:w="7572"/>
          </w:tcPr>
          <w:p>
            <w:pPr>
              <w:spacing w:after="50" w:before="50" w:line="252" w:lineRule="auto"/>
            </w:pPr>
            <w:r>
              <w:rPr>
                <w:sz w:val="17"/>
              </w:rPr>
              <w:t>Recorded with an owner and a date, and reviewed at the following meeting</w:t>
            </w:r>
          </w:p>
        </w:tc>
      </w:tr>
    </w:tbl>
    <w:p>
      <w:pPr>
        <w:spacing w:after="80" w:before="0"/>
      </w:pPr>
    </w:p>
    <w:p>
      <w:pPr>
        <w:spacing w:before="80" w:after="160"/>
        <w:pBdr>
          <w:bottom w:val="single" w:sz="6" w:space="1" w:color="C9D6DE"/>
        </w:pBdr>
      </w:pPr>
    </w:p>
    <w:p>
      <w:pPr>
        <w:pStyle w:val="Heading1"/>
        <w:pBdr>
          <w:bottom w:val="single" w:sz="8" w:space="4" w:color="C9D6DE"/>
        </w:pBdr>
      </w:pPr>
      <w:r>
        <w:t>5. Standing agenda</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850"/>
            <w:shd w:val="clear" w:color="auto" w:fill="10375C"/>
          </w:tcPr>
          <w:p>
            <w:pPr>
              <w:spacing w:after="50" w:before="50"/>
            </w:pPr>
            <w:r>
              <w:rPr>
                <w:b/>
                <w:color w:val="FFFFFF"/>
                <w:sz w:val="17"/>
              </w:rPr>
              <w:t>#</w:t>
            </w:r>
          </w:p>
        </w:tc>
        <w:tc>
          <w:tcPr>
            <w:tcW w:type="dxa" w:w="6393"/>
            <w:shd w:val="clear" w:color="auto" w:fill="10375C"/>
          </w:tcPr>
          <w:p>
            <w:pPr>
              <w:spacing w:after="50" w:before="50"/>
            </w:pPr>
            <w:r>
              <w:rPr>
                <w:b/>
                <w:color w:val="FFFFFF"/>
                <w:sz w:val="17"/>
              </w:rPr>
              <w:t>Item</w:t>
            </w:r>
          </w:p>
        </w:tc>
        <w:tc>
          <w:tcPr>
            <w:tcW w:type="dxa" w:w="1796"/>
            <w:shd w:val="clear" w:color="auto" w:fill="10375C"/>
          </w:tcPr>
          <w:p>
            <w:pPr>
              <w:spacing w:after="50" w:before="50"/>
            </w:pPr>
            <w:r>
              <w:rPr>
                <w:b/>
                <w:color w:val="FFFFFF"/>
                <w:sz w:val="17"/>
              </w:rPr>
              <w:t>Paper</w:t>
            </w:r>
          </w:p>
        </w:tc>
        <w:tc>
          <w:tcPr>
            <w:tcW w:type="dxa" w:w="850"/>
            <w:shd w:val="clear" w:color="auto" w:fill="10375C"/>
          </w:tcPr>
          <w:p>
            <w:pPr>
              <w:spacing w:after="50" w:before="50"/>
            </w:pPr>
            <w:r>
              <w:rPr>
                <w:b/>
                <w:color w:val="FFFFFF"/>
                <w:sz w:val="17"/>
              </w:rPr>
              <w:t>Minutes</w:t>
            </w:r>
          </w:p>
        </w:tc>
      </w:tr>
      <w:tr>
        <w:tc>
          <w:tcPr>
            <w:tcW w:type="dxa" w:w="850"/>
          </w:tcPr>
          <w:p>
            <w:pPr>
              <w:spacing w:after="50" w:before="50" w:line="252" w:lineRule="auto"/>
            </w:pPr>
            <w:r>
              <w:rPr>
                <w:sz w:val="17"/>
              </w:rPr>
              <w:t>1</w:t>
            </w:r>
          </w:p>
        </w:tc>
        <w:tc>
          <w:tcPr>
            <w:tcW w:type="dxa" w:w="6393"/>
          </w:tcPr>
          <w:p>
            <w:pPr>
              <w:spacing w:after="50" w:before="50" w:line="252" w:lineRule="auto"/>
            </w:pPr>
            <w:r>
              <w:rPr>
                <w:sz w:val="17"/>
              </w:rPr>
              <w:t>Minutes of the last meeting and matters arising</w:t>
            </w:r>
          </w:p>
        </w:tc>
        <w:tc>
          <w:tcPr>
            <w:tcW w:type="dxa" w:w="1796"/>
          </w:tcPr>
          <w:p>
            <w:pPr>
              <w:spacing w:after="50" w:before="50" w:line="252" w:lineRule="auto"/>
            </w:pPr>
            <w:r>
              <w:rPr>
                <w:sz w:val="17"/>
              </w:rPr>
              <w:t>Previous minutes</w:t>
            </w:r>
          </w:p>
        </w:tc>
        <w:tc>
          <w:tcPr>
            <w:tcW w:type="dxa" w:w="850"/>
          </w:tcPr>
          <w:p>
            <w:pPr>
              <w:spacing w:after="50" w:before="50" w:line="252" w:lineRule="auto"/>
            </w:pPr>
            <w:r>
              <w:rPr>
                <w:sz w:val="17"/>
              </w:rPr>
              <w:t>5</w:t>
            </w:r>
          </w:p>
        </w:tc>
      </w:tr>
      <w:tr>
        <w:tc>
          <w:tcPr>
            <w:tcW w:type="dxa" w:w="850"/>
            <w:shd w:val="clear" w:color="auto" w:fill="EAF1F4"/>
          </w:tcPr>
          <w:p>
            <w:pPr>
              <w:spacing w:after="50" w:before="50" w:line="252" w:lineRule="auto"/>
            </w:pPr>
            <w:r>
              <w:rPr>
                <w:sz w:val="17"/>
              </w:rPr>
              <w:t>2</w:t>
            </w:r>
          </w:p>
        </w:tc>
        <w:tc>
          <w:tcPr>
            <w:tcW w:type="dxa" w:w="6393"/>
            <w:shd w:val="clear" w:color="auto" w:fill="EAF1F4"/>
          </w:tcPr>
          <w:p>
            <w:pPr>
              <w:spacing w:after="50" w:before="50" w:line="252" w:lineRule="auto"/>
            </w:pPr>
            <w:r>
              <w:rPr>
                <w:sz w:val="17"/>
              </w:rPr>
              <w:t>Actions from the last meeting</w:t>
            </w:r>
          </w:p>
        </w:tc>
        <w:tc>
          <w:tcPr>
            <w:tcW w:type="dxa" w:w="1796"/>
            <w:shd w:val="clear" w:color="auto" w:fill="EAF1F4"/>
          </w:tcPr>
          <w:p>
            <w:pPr>
              <w:spacing w:after="50" w:before="50" w:line="252" w:lineRule="auto"/>
            </w:pPr>
            <w:r>
              <w:rPr>
                <w:sz w:val="17"/>
              </w:rPr>
              <w:t>Action log</w:t>
            </w:r>
          </w:p>
        </w:tc>
        <w:tc>
          <w:tcPr>
            <w:tcW w:type="dxa" w:w="850"/>
            <w:shd w:val="clear" w:color="auto" w:fill="EAF1F4"/>
          </w:tcPr>
          <w:p>
            <w:pPr>
              <w:spacing w:after="50" w:before="50" w:line="252" w:lineRule="auto"/>
            </w:pPr>
            <w:r>
              <w:rPr>
                <w:sz w:val="17"/>
              </w:rPr>
              <w:t>5</w:t>
            </w:r>
          </w:p>
        </w:tc>
      </w:tr>
      <w:tr>
        <w:tc>
          <w:tcPr>
            <w:tcW w:type="dxa" w:w="850"/>
          </w:tcPr>
          <w:p>
            <w:pPr>
              <w:spacing w:after="50" w:before="50" w:line="252" w:lineRule="auto"/>
            </w:pPr>
            <w:r>
              <w:rPr>
                <w:sz w:val="17"/>
              </w:rPr>
              <w:t>3</w:t>
            </w:r>
          </w:p>
        </w:tc>
        <w:tc>
          <w:tcPr>
            <w:tcW w:type="dxa" w:w="6393"/>
          </w:tcPr>
          <w:p>
            <w:pPr>
              <w:spacing w:after="50" w:before="50" w:line="252" w:lineRule="auto"/>
            </w:pPr>
            <w:r>
              <w:rPr>
                <w:b/>
                <w:sz w:val="17"/>
              </w:rPr>
              <w:t>Delivery against the Activity Calendar</w:t>
            </w:r>
          </w:p>
        </w:tc>
        <w:tc>
          <w:tcPr>
            <w:tcW w:type="dxa" w:w="1796"/>
          </w:tcPr>
          <w:p>
            <w:pPr>
              <w:spacing w:after="50" w:before="50" w:line="252" w:lineRule="auto"/>
            </w:pPr>
            <w:r>
              <w:rPr>
                <w:sz w:val="17"/>
              </w:rPr>
              <w:t>Delivery report</w:t>
            </w:r>
          </w:p>
        </w:tc>
        <w:tc>
          <w:tcPr>
            <w:tcW w:type="dxa" w:w="850"/>
          </w:tcPr>
          <w:p>
            <w:pPr>
              <w:spacing w:after="50" w:before="50" w:line="252" w:lineRule="auto"/>
            </w:pPr>
            <w:r>
              <w:rPr>
                <w:sz w:val="17"/>
              </w:rPr>
              <w:t>15</w:t>
            </w:r>
          </w:p>
        </w:tc>
      </w:tr>
      <w:tr>
        <w:tc>
          <w:tcPr>
            <w:tcW w:type="dxa" w:w="850"/>
            <w:shd w:val="clear" w:color="auto" w:fill="EAF1F4"/>
          </w:tcPr>
          <w:p>
            <w:pPr>
              <w:spacing w:after="50" w:before="50" w:line="252" w:lineRule="auto"/>
            </w:pPr>
            <w:r>
              <w:rPr>
                <w:sz w:val="17"/>
              </w:rPr>
              <w:t>4</w:t>
            </w:r>
          </w:p>
        </w:tc>
        <w:tc>
          <w:tcPr>
            <w:tcW w:type="dxa" w:w="6393"/>
            <w:shd w:val="clear" w:color="auto" w:fill="EAF1F4"/>
          </w:tcPr>
          <w:p>
            <w:pPr>
              <w:spacing w:after="50" w:before="50" w:line="252" w:lineRule="auto"/>
            </w:pPr>
            <w:r>
              <w:rPr>
                <w:sz w:val="17"/>
              </w:rPr>
              <w:t>Quality and feedback</w:t>
            </w:r>
          </w:p>
        </w:tc>
        <w:tc>
          <w:tcPr>
            <w:tcW w:type="dxa" w:w="1796"/>
            <w:shd w:val="clear" w:color="auto" w:fill="EAF1F4"/>
          </w:tcPr>
          <w:p>
            <w:pPr>
              <w:spacing w:after="50" w:before="50" w:line="252" w:lineRule="auto"/>
            </w:pPr>
            <w:r>
              <w:rPr>
                <w:sz w:val="17"/>
              </w:rPr>
              <w:t>Feedback analysis</w:t>
            </w:r>
          </w:p>
        </w:tc>
        <w:tc>
          <w:tcPr>
            <w:tcW w:type="dxa" w:w="850"/>
            <w:shd w:val="clear" w:color="auto" w:fill="EAF1F4"/>
          </w:tcPr>
          <w:p>
            <w:pPr>
              <w:spacing w:after="50" w:before="50" w:line="252" w:lineRule="auto"/>
            </w:pPr>
            <w:r>
              <w:rPr>
                <w:sz w:val="17"/>
              </w:rPr>
              <w:t>10</w:t>
            </w:r>
          </w:p>
        </w:tc>
      </w:tr>
      <w:tr>
        <w:tc>
          <w:tcPr>
            <w:tcW w:type="dxa" w:w="850"/>
          </w:tcPr>
          <w:p>
            <w:pPr>
              <w:spacing w:after="50" w:before="50" w:line="252" w:lineRule="auto"/>
            </w:pPr>
            <w:r>
              <w:rPr>
                <w:sz w:val="17"/>
              </w:rPr>
              <w:t>5</w:t>
            </w:r>
          </w:p>
        </w:tc>
        <w:tc>
          <w:tcPr>
            <w:tcW w:type="dxa" w:w="6393"/>
          </w:tcPr>
          <w:p>
            <w:pPr>
              <w:spacing w:after="50" w:before="50" w:line="252" w:lineRule="auto"/>
            </w:pPr>
            <w:r>
              <w:rPr>
                <w:sz w:val="17"/>
              </w:rPr>
              <w:t>Participation and outcomes — students trained, certified, interns placed, competition results</w:t>
            </w:r>
          </w:p>
        </w:tc>
        <w:tc>
          <w:tcPr>
            <w:tcW w:type="dxa" w:w="1796"/>
          </w:tcPr>
          <w:p>
            <w:pPr>
              <w:spacing w:after="50" w:before="50" w:line="252" w:lineRule="auto"/>
            </w:pPr>
            <w:r>
              <w:rPr>
                <w:sz w:val="17"/>
              </w:rPr>
              <w:t>Scorecard extract</w:t>
            </w:r>
          </w:p>
        </w:tc>
        <w:tc>
          <w:tcPr>
            <w:tcW w:type="dxa" w:w="850"/>
          </w:tcPr>
          <w:p>
            <w:pPr>
              <w:spacing w:after="50" w:before="50" w:line="252" w:lineRule="auto"/>
            </w:pPr>
            <w:r>
              <w:rPr>
                <w:sz w:val="17"/>
              </w:rPr>
              <w:t>10</w:t>
            </w:r>
          </w:p>
        </w:tc>
      </w:tr>
      <w:tr>
        <w:tc>
          <w:tcPr>
            <w:tcW w:type="dxa" w:w="850"/>
            <w:shd w:val="clear" w:color="auto" w:fill="EAF1F4"/>
          </w:tcPr>
          <w:p>
            <w:pPr>
              <w:spacing w:after="50" w:before="50" w:line="252" w:lineRule="auto"/>
            </w:pPr>
            <w:r>
              <w:rPr>
                <w:sz w:val="17"/>
              </w:rPr>
              <w:t>6</w:t>
            </w:r>
          </w:p>
        </w:tc>
        <w:tc>
          <w:tcPr>
            <w:tcW w:type="dxa" w:w="6393"/>
            <w:shd w:val="clear" w:color="auto" w:fill="EAF1F4"/>
          </w:tcPr>
          <w:p>
            <w:pPr>
              <w:spacing w:after="50" w:before="50" w:line="252" w:lineRule="auto"/>
            </w:pPr>
            <w:r>
              <w:rPr>
                <w:sz w:val="17"/>
              </w:rPr>
              <w:t>Commercial position — activities charged, settled, outstanding</w:t>
            </w:r>
          </w:p>
        </w:tc>
        <w:tc>
          <w:tcPr>
            <w:tcW w:type="dxa" w:w="1796"/>
            <w:shd w:val="clear" w:color="auto" w:fill="EAF1F4"/>
          </w:tcPr>
          <w:p>
            <w:pPr>
              <w:spacing w:after="50" w:before="50" w:line="252" w:lineRule="auto"/>
            </w:pPr>
            <w:r>
              <w:rPr>
                <w:sz w:val="17"/>
              </w:rPr>
              <w:t>Finance summary</w:t>
            </w:r>
          </w:p>
        </w:tc>
        <w:tc>
          <w:tcPr>
            <w:tcW w:type="dxa" w:w="850"/>
            <w:shd w:val="clear" w:color="auto" w:fill="EAF1F4"/>
          </w:tcPr>
          <w:p>
            <w:pPr>
              <w:spacing w:after="50" w:before="50" w:line="252" w:lineRule="auto"/>
            </w:pPr>
            <w:r>
              <w:rPr>
                <w:sz w:val="17"/>
              </w:rPr>
              <w:t>10</w:t>
            </w:r>
          </w:p>
        </w:tc>
      </w:tr>
      <w:tr>
        <w:tc>
          <w:tcPr>
            <w:tcW w:type="dxa" w:w="850"/>
          </w:tcPr>
          <w:p>
            <w:pPr>
              <w:spacing w:after="50" w:before="50" w:line="252" w:lineRule="auto"/>
            </w:pPr>
            <w:r>
              <w:rPr>
                <w:sz w:val="17"/>
              </w:rPr>
              <w:t>7</w:t>
            </w:r>
          </w:p>
        </w:tc>
        <w:tc>
          <w:tcPr>
            <w:tcW w:type="dxa" w:w="6393"/>
          </w:tcPr>
          <w:p>
            <w:pPr>
              <w:spacing w:after="50" w:before="50" w:line="252" w:lineRule="auto"/>
            </w:pPr>
            <w:r>
              <w:rPr>
                <w:sz w:val="17"/>
              </w:rPr>
              <w:t>Issues, risks and incidents</w:t>
            </w:r>
          </w:p>
        </w:tc>
        <w:tc>
          <w:tcPr>
            <w:tcW w:type="dxa" w:w="1796"/>
          </w:tcPr>
          <w:p>
            <w:pPr>
              <w:spacing w:after="50" w:before="50" w:line="252" w:lineRule="auto"/>
            </w:pPr>
            <w:r>
              <w:rPr>
                <w:sz w:val="17"/>
              </w:rPr>
              <w:t>Issue log</w:t>
            </w:r>
          </w:p>
        </w:tc>
        <w:tc>
          <w:tcPr>
            <w:tcW w:type="dxa" w:w="850"/>
          </w:tcPr>
          <w:p>
            <w:pPr>
              <w:spacing w:after="50" w:before="50" w:line="252" w:lineRule="auto"/>
            </w:pPr>
            <w:r>
              <w:rPr>
                <w:sz w:val="17"/>
              </w:rPr>
              <w:t>10</w:t>
            </w:r>
          </w:p>
        </w:tc>
      </w:tr>
      <w:tr>
        <w:tc>
          <w:tcPr>
            <w:tcW w:type="dxa" w:w="850"/>
            <w:shd w:val="clear" w:color="auto" w:fill="EAF1F4"/>
          </w:tcPr>
          <w:p>
            <w:pPr>
              <w:spacing w:after="50" w:before="50" w:line="252" w:lineRule="auto"/>
            </w:pPr>
            <w:r>
              <w:rPr>
                <w:sz w:val="17"/>
              </w:rPr>
              <w:t>8</w:t>
            </w:r>
          </w:p>
        </w:tc>
        <w:tc>
          <w:tcPr>
            <w:tcW w:type="dxa" w:w="6393"/>
            <w:shd w:val="clear" w:color="auto" w:fill="EAF1F4"/>
          </w:tcPr>
          <w:p>
            <w:pPr>
              <w:spacing w:after="50" w:before="50" w:line="252" w:lineRule="auto"/>
            </w:pPr>
            <w:r>
              <w:rPr>
                <w:sz w:val="17"/>
              </w:rPr>
              <w:t>Forward calendar and proposed new activities</w:t>
            </w:r>
          </w:p>
        </w:tc>
        <w:tc>
          <w:tcPr>
            <w:tcW w:type="dxa" w:w="1796"/>
            <w:shd w:val="clear" w:color="auto" w:fill="EAF1F4"/>
          </w:tcPr>
          <w:p>
            <w:pPr>
              <w:spacing w:after="50" w:before="50" w:line="252" w:lineRule="auto"/>
            </w:pPr>
            <w:r>
              <w:rPr>
                <w:sz w:val="17"/>
              </w:rPr>
              <w:t>Draft calendar</w:t>
            </w:r>
          </w:p>
        </w:tc>
        <w:tc>
          <w:tcPr>
            <w:tcW w:type="dxa" w:w="850"/>
            <w:shd w:val="clear" w:color="auto" w:fill="EAF1F4"/>
          </w:tcPr>
          <w:p>
            <w:pPr>
              <w:spacing w:after="50" w:before="50" w:line="252" w:lineRule="auto"/>
            </w:pPr>
            <w:r>
              <w:rPr>
                <w:sz w:val="17"/>
              </w:rPr>
              <w:t>15</w:t>
            </w:r>
          </w:p>
        </w:tc>
      </w:tr>
      <w:tr>
        <w:tc>
          <w:tcPr>
            <w:tcW w:type="dxa" w:w="850"/>
          </w:tcPr>
          <w:p>
            <w:pPr>
              <w:spacing w:after="50" w:before="50" w:line="252" w:lineRule="auto"/>
            </w:pPr>
            <w:r>
              <w:rPr>
                <w:sz w:val="17"/>
              </w:rPr>
              <w:t>9</w:t>
            </w:r>
          </w:p>
        </w:tc>
        <w:tc>
          <w:tcPr>
            <w:tcW w:type="dxa" w:w="6393"/>
          </w:tcPr>
          <w:p>
            <w:pPr>
              <w:spacing w:after="50" w:before="50" w:line="252" w:lineRule="auto"/>
            </w:pPr>
            <w:r>
              <w:rPr>
                <w:sz w:val="17"/>
              </w:rPr>
              <w:t>Any other business</w:t>
            </w:r>
          </w:p>
        </w:tc>
        <w:tc>
          <w:tcPr>
            <w:tcW w:type="dxa" w:w="1796"/>
          </w:tcPr>
          <w:p>
            <w:pPr>
              <w:spacing w:after="50" w:before="50" w:line="252" w:lineRule="auto"/>
            </w:pPr>
            <w:r>
              <w:rPr>
                <w:sz w:val="17"/>
              </w:rPr>
              <w:t>—</w:t>
            </w:r>
          </w:p>
        </w:tc>
        <w:tc>
          <w:tcPr>
            <w:tcW w:type="dxa" w:w="850"/>
          </w:tcPr>
          <w:p>
            <w:pPr>
              <w:spacing w:after="50" w:before="50" w:line="252" w:lineRule="auto"/>
            </w:pPr>
            <w:r>
              <w:rPr>
                <w:sz w:val="17"/>
              </w:rPr>
              <w:t>5</w:t>
            </w:r>
          </w:p>
        </w:tc>
      </w:tr>
      <w:tr>
        <w:tc>
          <w:tcPr>
            <w:tcW w:type="dxa" w:w="850"/>
            <w:shd w:val="clear" w:color="auto" w:fill="EAF1F4"/>
          </w:tcPr>
          <w:p>
            <w:pPr>
              <w:spacing w:after="50" w:before="50" w:line="252" w:lineRule="auto"/>
            </w:pPr>
            <w:r>
              <w:rPr>
                <w:sz w:val="17"/>
              </w:rPr>
              <w:t>10</w:t>
            </w:r>
          </w:p>
        </w:tc>
        <w:tc>
          <w:tcPr>
            <w:tcW w:type="dxa" w:w="6393"/>
            <w:shd w:val="clear" w:color="auto" w:fill="EAF1F4"/>
          </w:tcPr>
          <w:p>
            <w:pPr>
              <w:spacing w:after="50" w:before="50" w:line="252" w:lineRule="auto"/>
            </w:pPr>
            <w:r>
              <w:rPr>
                <w:sz w:val="17"/>
              </w:rPr>
              <w:t>Date of the next meeting</w:t>
            </w:r>
          </w:p>
        </w:tc>
        <w:tc>
          <w:tcPr>
            <w:tcW w:type="dxa" w:w="1796"/>
            <w:shd w:val="clear" w:color="auto" w:fill="EAF1F4"/>
          </w:tcPr>
          <w:p>
            <w:pPr>
              <w:spacing w:after="50" w:before="50" w:line="252" w:lineRule="auto"/>
            </w:pPr>
            <w:r>
              <w:rPr>
                <w:sz w:val="17"/>
              </w:rPr>
              <w:t>—</w:t>
            </w:r>
          </w:p>
        </w:tc>
        <w:tc>
          <w:tcPr>
            <w:tcW w:type="dxa" w:w="850"/>
            <w:shd w:val="clear" w:color="auto" w:fill="EAF1F4"/>
          </w:tcPr>
          <w:p>
            <w:pPr>
              <w:spacing w:after="50" w:before="50" w:line="252" w:lineRule="auto"/>
            </w:pPr>
            <w:r>
              <w:rPr>
                <w:sz w:val="17"/>
              </w:rPr>
              <w:t>2</w:t>
            </w:r>
          </w:p>
        </w:tc>
      </w:tr>
    </w:tbl>
    <w:p>
      <w:pPr>
        <w:spacing w:after="80" w:before="0"/>
      </w:pPr>
    </w:p>
    <w:p>
      <w:r>
        <w:rPr>
          <w:b/>
        </w:rPr>
        <w:t>Item 3 is the meeting.</w:t>
      </w:r>
      <w:r>
        <w:t xml:space="preserve"> If time runs short, everything else gives way to it.</w:t>
      </w:r>
    </w:p>
    <w:p>
      <w:pPr>
        <w:spacing w:before="80" w:after="160"/>
        <w:pBdr>
          <w:bottom w:val="single" w:sz="6" w:space="1" w:color="C9D6DE"/>
        </w:pBdr>
      </w:pPr>
    </w:p>
    <w:p>
      <w:pPr>
        <w:pStyle w:val="Heading1"/>
        <w:pBdr>
          <w:bottom w:val="single" w:sz="8" w:space="4" w:color="C9D6DE"/>
        </w:pBdr>
      </w:pPr>
      <w:r>
        <w:t>6. Papers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3156"/>
        <w:gridCol w:w="3156"/>
        <w:gridCol w:w="3156"/>
      </w:tblGrid>
      <w:tr>
        <w:trPr>
          <w:tblHeader w:val="true"/>
        </w:trPr>
        <w:tc>
          <w:tcPr>
            <w:tcW w:type="dxa" w:w="1769"/>
            <w:shd w:val="clear" w:color="auto" w:fill="10375C"/>
          </w:tcPr>
          <w:p>
            <w:pPr>
              <w:spacing w:after="50" w:before="50"/>
            </w:pPr>
            <w:r>
              <w:rPr>
                <w:b/>
                <w:color w:val="FFFFFF"/>
                <w:sz w:val="17"/>
              </w:rPr>
              <w:t>Paper</w:t>
            </w:r>
          </w:p>
        </w:tc>
        <w:tc>
          <w:tcPr>
            <w:tcW w:type="dxa" w:w="2139"/>
            <w:shd w:val="clear" w:color="auto" w:fill="10375C"/>
          </w:tcPr>
          <w:p>
            <w:pPr>
              <w:spacing w:after="50" w:before="50"/>
            </w:pPr>
            <w:r>
              <w:rPr>
                <w:b/>
                <w:color w:val="FFFFFF"/>
                <w:sz w:val="17"/>
              </w:rPr>
              <w:t>Prepared by</w:t>
            </w:r>
          </w:p>
        </w:tc>
        <w:tc>
          <w:tcPr>
            <w:tcW w:type="dxa" w:w="5560"/>
            <w:shd w:val="clear" w:color="auto" w:fill="10375C"/>
          </w:tcPr>
          <w:p>
            <w:pPr>
              <w:spacing w:after="50" w:before="50"/>
            </w:pPr>
            <w:r>
              <w:rPr>
                <w:b/>
                <w:color w:val="FFFFFF"/>
                <w:sz w:val="17"/>
              </w:rPr>
              <w:t>Content</w:t>
            </w:r>
          </w:p>
        </w:tc>
      </w:tr>
      <w:tr>
        <w:tc>
          <w:tcPr>
            <w:tcW w:type="dxa" w:w="1769"/>
          </w:tcPr>
          <w:p>
            <w:pPr>
              <w:spacing w:after="50" w:before="50" w:line="252" w:lineRule="auto"/>
            </w:pPr>
            <w:r>
              <w:rPr>
                <w:sz w:val="17"/>
              </w:rPr>
              <w:t>Delivery report</w:t>
            </w:r>
          </w:p>
        </w:tc>
        <w:tc>
          <w:tcPr>
            <w:tcW w:type="dxa" w:w="2139"/>
          </w:tcPr>
          <w:p>
            <w:pPr>
              <w:spacing w:after="50" w:before="50" w:line="252" w:lineRule="auto"/>
            </w:pPr>
            <w:r>
              <w:rPr>
                <w:sz w:val="17"/>
              </w:rPr>
              <w:t>Equator Operations</w:t>
            </w:r>
          </w:p>
        </w:tc>
        <w:tc>
          <w:tcPr>
            <w:tcW w:type="dxa" w:w="5560"/>
          </w:tcPr>
          <w:p>
            <w:pPr>
              <w:spacing w:after="50" w:before="50" w:line="252" w:lineRule="auto"/>
            </w:pPr>
            <w:r>
              <w:rPr>
                <w:sz w:val="17"/>
              </w:rPr>
              <w:t>Every calendared activity: planned, delivered, deferred, cancelled, with reasons</w:t>
            </w:r>
          </w:p>
        </w:tc>
      </w:tr>
      <w:tr>
        <w:tc>
          <w:tcPr>
            <w:tcW w:type="dxa" w:w="1769"/>
            <w:shd w:val="clear" w:color="auto" w:fill="EAF1F4"/>
          </w:tcPr>
          <w:p>
            <w:pPr>
              <w:spacing w:after="50" w:before="50" w:line="252" w:lineRule="auto"/>
            </w:pPr>
            <w:r>
              <w:rPr>
                <w:sz w:val="17"/>
              </w:rPr>
              <w:t>Feedback analysis</w:t>
            </w:r>
          </w:p>
        </w:tc>
        <w:tc>
          <w:tcPr>
            <w:tcW w:type="dxa" w:w="2139"/>
            <w:shd w:val="clear" w:color="auto" w:fill="EAF1F4"/>
          </w:tcPr>
          <w:p>
            <w:pPr>
              <w:spacing w:after="50" w:before="50" w:line="252" w:lineRule="auto"/>
            </w:pPr>
            <w:r>
              <w:rPr>
                <w:sz w:val="17"/>
              </w:rPr>
              <w:t>Equator Operations</w:t>
            </w:r>
          </w:p>
        </w:tc>
        <w:tc>
          <w:tcPr>
            <w:tcW w:type="dxa" w:w="5560"/>
            <w:shd w:val="clear" w:color="auto" w:fill="EAF1F4"/>
          </w:tcPr>
          <w:p>
            <w:pPr>
              <w:spacing w:after="50" w:before="50" w:line="252" w:lineRule="auto"/>
            </w:pPr>
            <w:r>
              <w:rPr>
                <w:sz w:val="17"/>
              </w:rPr>
              <w:t>Scores by activity; themes; actions taken</w:t>
            </w:r>
          </w:p>
        </w:tc>
      </w:tr>
      <w:tr>
        <w:tc>
          <w:tcPr>
            <w:tcW w:type="dxa" w:w="1769"/>
          </w:tcPr>
          <w:p>
            <w:pPr>
              <w:spacing w:after="50" w:before="50" w:line="252" w:lineRule="auto"/>
            </w:pPr>
            <w:r>
              <w:rPr>
                <w:sz w:val="17"/>
              </w:rPr>
              <w:t>Scorecard extract</w:t>
            </w:r>
          </w:p>
        </w:tc>
        <w:tc>
          <w:tcPr>
            <w:tcW w:type="dxa" w:w="2139"/>
          </w:tcPr>
          <w:p>
            <w:pPr>
              <w:spacing w:after="50" w:before="50" w:line="252" w:lineRule="auto"/>
            </w:pPr>
            <w:r>
              <w:rPr>
                <w:sz w:val="17"/>
              </w:rPr>
              <w:t>Equator Director</w:t>
            </w:r>
          </w:p>
        </w:tc>
        <w:tc>
          <w:tcPr>
            <w:tcW w:type="dxa" w:w="5560"/>
          </w:tcPr>
          <w:p>
            <w:pPr>
              <w:spacing w:after="50" w:before="50" w:line="252" w:lineRule="auto"/>
            </w:pPr>
            <w:r>
              <w:rPr>
                <w:sz w:val="17"/>
              </w:rPr>
              <w:t>Per 10.2</w:t>
            </w:r>
          </w:p>
        </w:tc>
      </w:tr>
      <w:tr>
        <w:tc>
          <w:tcPr>
            <w:tcW w:type="dxa" w:w="1769"/>
            <w:shd w:val="clear" w:color="auto" w:fill="EAF1F4"/>
          </w:tcPr>
          <w:p>
            <w:pPr>
              <w:spacing w:after="50" w:before="50" w:line="252" w:lineRule="auto"/>
            </w:pPr>
            <w:r>
              <w:rPr>
                <w:sz w:val="17"/>
              </w:rPr>
              <w:t>Finance summary</w:t>
            </w:r>
          </w:p>
        </w:tc>
        <w:tc>
          <w:tcPr>
            <w:tcW w:type="dxa" w:w="2139"/>
            <w:shd w:val="clear" w:color="auto" w:fill="EAF1F4"/>
          </w:tcPr>
          <w:p>
            <w:pPr>
              <w:spacing w:after="50" w:before="50" w:line="252" w:lineRule="auto"/>
            </w:pPr>
            <w:r>
              <w:rPr>
                <w:sz w:val="17"/>
              </w:rPr>
              <w:t>Equator Finance</w:t>
            </w:r>
          </w:p>
        </w:tc>
        <w:tc>
          <w:tcPr>
            <w:tcW w:type="dxa" w:w="5560"/>
            <w:shd w:val="clear" w:color="auto" w:fill="EAF1F4"/>
          </w:tcPr>
          <w:p>
            <w:pPr>
              <w:spacing w:after="50" w:before="50" w:line="252" w:lineRule="auto"/>
            </w:pPr>
            <w:r>
              <w:rPr>
                <w:sz w:val="17"/>
              </w:rPr>
              <w:t>Activities charged, invoiced, settled, outstanding; revenue-share position</w:t>
            </w:r>
          </w:p>
        </w:tc>
      </w:tr>
      <w:tr>
        <w:tc>
          <w:tcPr>
            <w:tcW w:type="dxa" w:w="1769"/>
          </w:tcPr>
          <w:p>
            <w:pPr>
              <w:spacing w:after="50" w:before="50" w:line="252" w:lineRule="auto"/>
            </w:pPr>
            <w:r>
              <w:rPr>
                <w:sz w:val="17"/>
              </w:rPr>
              <w:t>Issue log</w:t>
            </w:r>
          </w:p>
        </w:tc>
        <w:tc>
          <w:tcPr>
            <w:tcW w:type="dxa" w:w="2139"/>
          </w:tcPr>
          <w:p>
            <w:pPr>
              <w:spacing w:after="50" w:before="50" w:line="252" w:lineRule="auto"/>
            </w:pPr>
            <w:r>
              <w:rPr>
                <w:sz w:val="17"/>
              </w:rPr>
              <w:t>Both Nodal Officers</w:t>
            </w:r>
          </w:p>
        </w:tc>
        <w:tc>
          <w:tcPr>
            <w:tcW w:type="dxa" w:w="5560"/>
          </w:tcPr>
          <w:p>
            <w:pPr>
              <w:spacing w:after="50" w:before="50" w:line="252" w:lineRule="auto"/>
            </w:pPr>
            <w:r>
              <w:rPr>
                <w:sz w:val="17"/>
              </w:rPr>
              <w:t>Open issues, owner, status, age</w:t>
            </w:r>
          </w:p>
        </w:tc>
      </w:tr>
      <w:tr>
        <w:tc>
          <w:tcPr>
            <w:tcW w:type="dxa" w:w="1769"/>
            <w:shd w:val="clear" w:color="auto" w:fill="EAF1F4"/>
          </w:tcPr>
          <w:p>
            <w:pPr>
              <w:spacing w:after="50" w:before="50" w:line="252" w:lineRule="auto"/>
            </w:pPr>
            <w:r>
              <w:rPr>
                <w:sz w:val="17"/>
              </w:rPr>
              <w:t>Draft calendar</w:t>
            </w:r>
          </w:p>
        </w:tc>
        <w:tc>
          <w:tcPr>
            <w:tcW w:type="dxa" w:w="2139"/>
            <w:shd w:val="clear" w:color="auto" w:fill="EAF1F4"/>
          </w:tcPr>
          <w:p>
            <w:pPr>
              <w:spacing w:after="50" w:before="50" w:line="252" w:lineRule="auto"/>
            </w:pPr>
            <w:r>
              <w:rPr>
                <w:sz w:val="17"/>
              </w:rPr>
              <w:t>Equator Operations</w:t>
            </w:r>
          </w:p>
        </w:tc>
        <w:tc>
          <w:tcPr>
            <w:tcW w:type="dxa" w:w="5560"/>
            <w:shd w:val="clear" w:color="auto" w:fill="EAF1F4"/>
          </w:tcPr>
          <w:p>
            <w:pPr>
              <w:spacing w:after="50" w:before="50" w:line="252" w:lineRule="auto"/>
            </w:pPr>
            <w:r>
              <w:rPr>
                <w:sz w:val="17"/>
              </w:rPr>
              <w:t>Next period, with prerequisites and dependencies</w:t>
            </w:r>
          </w:p>
        </w:tc>
      </w:tr>
    </w:tbl>
    <w:p>
      <w:pPr>
        <w:spacing w:after="80" w:before="0"/>
      </w:pPr>
    </w:p>
    <w:p>
      <w:pPr>
        <w:spacing w:before="80" w:after="160"/>
        <w:pBdr>
          <w:bottom w:val="single" w:sz="6" w:space="1" w:color="C9D6DE"/>
        </w:pBdr>
      </w:pPr>
    </w:p>
    <w:p>
      <w:pPr>
        <w:pStyle w:val="Heading1"/>
        <w:pBdr>
          <w:bottom w:val="single" w:sz="8" w:space="4" w:color="C9D6DE"/>
        </w:pBdr>
      </w:pPr>
      <w:r>
        <w:t>7. Escalation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Level</w:t>
            </w:r>
          </w:p>
        </w:tc>
        <w:tc>
          <w:tcPr>
            <w:tcW w:type="dxa" w:w="8607"/>
            <w:shd w:val="clear" w:color="auto" w:fill="10375C"/>
          </w:tcPr>
          <w:p>
            <w:pPr>
              <w:spacing w:after="50" w:before="50"/>
            </w:pPr>
            <w:r>
              <w:rPr>
                <w:b/>
                <w:color w:val="FFFFFF"/>
                <w:sz w:val="17"/>
              </w:rPr>
              <w:t>Route</w:t>
            </w:r>
          </w:p>
        </w:tc>
      </w:tr>
      <w:tr>
        <w:tc>
          <w:tcPr>
            <w:tcW w:type="dxa" w:w="861"/>
          </w:tcPr>
          <w:p>
            <w:pPr>
              <w:spacing w:after="50" w:before="50" w:line="252" w:lineRule="auto"/>
            </w:pPr>
            <w:r>
              <w:rPr>
                <w:sz w:val="17"/>
              </w:rPr>
              <w:t>1</w:t>
            </w:r>
          </w:p>
        </w:tc>
        <w:tc>
          <w:tcPr>
            <w:tcW w:type="dxa" w:w="8607"/>
          </w:tcPr>
          <w:p>
            <w:pPr>
              <w:spacing w:after="50" w:before="50" w:line="252" w:lineRule="auto"/>
            </w:pPr>
            <w:r>
              <w:rPr>
                <w:sz w:val="17"/>
              </w:rPr>
              <w:t>Nodal Officers, within ten working days</w:t>
            </w:r>
          </w:p>
        </w:tc>
      </w:tr>
      <w:tr>
        <w:tc>
          <w:tcPr>
            <w:tcW w:type="dxa" w:w="861"/>
            <w:shd w:val="clear" w:color="auto" w:fill="EAF1F4"/>
          </w:tcPr>
          <w:p>
            <w:pPr>
              <w:spacing w:after="50" w:before="50" w:line="252" w:lineRule="auto"/>
            </w:pPr>
            <w:r>
              <w:rPr>
                <w:sz w:val="17"/>
              </w:rPr>
              <w:t>2</w:t>
            </w:r>
          </w:p>
        </w:tc>
        <w:tc>
          <w:tcPr>
            <w:tcW w:type="dxa" w:w="8607"/>
            <w:shd w:val="clear" w:color="auto" w:fill="EAF1F4"/>
          </w:tcPr>
          <w:p>
            <w:pPr>
              <w:spacing w:after="50" w:before="50" w:line="252" w:lineRule="auto"/>
            </w:pPr>
            <w:r>
              <w:rPr>
                <w:sz w:val="17"/>
              </w:rPr>
              <w:t>Joint Steering Committee, at its next meeting or at a special meeting</w:t>
            </w:r>
          </w:p>
        </w:tc>
      </w:tr>
      <w:tr>
        <w:tc>
          <w:tcPr>
            <w:tcW w:type="dxa" w:w="861"/>
          </w:tcPr>
          <w:p>
            <w:pPr>
              <w:spacing w:after="50" w:before="50" w:line="252" w:lineRule="auto"/>
            </w:pPr>
            <w:r>
              <w:rPr>
                <w:sz w:val="17"/>
              </w:rPr>
              <w:t>3</w:t>
            </w:r>
          </w:p>
        </w:tc>
        <w:tc>
          <w:tcPr>
            <w:tcW w:type="dxa" w:w="8607"/>
          </w:tcPr>
          <w:p>
            <w:pPr>
              <w:spacing w:after="50" w:before="50" w:line="252" w:lineRule="auto"/>
            </w:pPr>
            <w:r>
              <w:rPr>
                <w:sz w:val="17"/>
              </w:rPr>
              <w:t>Registrar of the University and Programme Director of Equator</w:t>
            </w:r>
          </w:p>
        </w:tc>
      </w:tr>
      <w:tr>
        <w:tc>
          <w:tcPr>
            <w:tcW w:type="dxa" w:w="861"/>
            <w:shd w:val="clear" w:color="auto" w:fill="EAF1F4"/>
          </w:tcPr>
          <w:p>
            <w:pPr>
              <w:spacing w:after="50" w:before="50" w:line="252" w:lineRule="auto"/>
            </w:pPr>
            <w:r>
              <w:rPr>
                <w:sz w:val="17"/>
              </w:rPr>
              <w:t>4</w:t>
            </w:r>
          </w:p>
        </w:tc>
        <w:tc>
          <w:tcPr>
            <w:tcW w:type="dxa" w:w="8607"/>
            <w:shd w:val="clear" w:color="auto" w:fill="EAF1F4"/>
          </w:tcPr>
          <w:p>
            <w:pPr>
              <w:spacing w:after="50" w:before="50" w:line="252" w:lineRule="auto"/>
            </w:pPr>
            <w:r>
              <w:rPr>
                <w:sz w:val="17"/>
              </w:rPr>
              <w:t>Per clause 18 of the Memorandum — mediation, then arbitration</w:t>
            </w:r>
          </w:p>
        </w:tc>
      </w:tr>
    </w:tbl>
    <w:p>
      <w:pPr>
        <w:spacing w:after="80" w:before="0"/>
      </w:pPr>
    </w:p>
    <w:p>
      <w:r>
        <w:t>A matter is not escalated to level 3 without first being minuted at level 2, save where it is urgent or falls within the L4 categories.</w:t>
      </w:r>
    </w:p>
    <w:p>
      <w:pPr>
        <w:spacing w:before="80" w:after="160"/>
        <w:pBdr>
          <w:bottom w:val="single" w:sz="6" w:space="1" w:color="C9D6DE"/>
        </w:pBdr>
      </w:pPr>
    </w:p>
    <w:p>
      <w:pPr>
        <w:pStyle w:val="Heading1"/>
        <w:pBdr>
          <w:bottom w:val="single" w:sz="8" w:space="4" w:color="C9D6DE"/>
        </w:pBdr>
      </w:pPr>
      <w:r>
        <w:t>8. Annual review</w:t>
      </w:r>
    </w:p>
    <w:p>
      <w:r>
        <w:t xml:space="preserve">Not less than ninety days before the end of each academic year, the Committee conducts a written annual review using the template at 10.3, covering delivery, participation, outcomes, quality, commercials, issues and a </w:t>
      </w:r>
      <w:r>
        <w:rPr>
          <w:b/>
        </w:rPr>
        <w:t>recommendation on renewal</w:t>
      </w:r>
      <w:r>
        <w:t>.</w:t>
      </w:r>
    </w:p>
    <w:p>
      <w:r>
        <w:t>The recommendation is advisory. The decision rests with the Registrar and the Programme Director, under their respective delegations.</w:t>
      </w:r>
    </w:p>
    <w:p>
      <w:pPr>
        <w:spacing w:before="80" w:after="160"/>
        <w:pBdr>
          <w:bottom w:val="single" w:sz="6" w:space="1" w:color="C9D6DE"/>
        </w:pBdr>
      </w:pPr>
    </w:p>
    <w:p>
      <w:pPr>
        <w:pStyle w:val="Heading1"/>
        <w:pBdr>
          <w:bottom w:val="single" w:sz="8" w:space="4" w:color="C9D6DE"/>
        </w:pBdr>
      </w:pPr>
      <w:r>
        <w:t>9. First meeting agenda</w:t>
      </w:r>
    </w:p>
    <w:p>
      <w:r>
        <w:t>The first meeting after activation is different and follows this agenda:</w:t>
      </w:r>
    </w:p>
    <w:p>
      <w:pPr>
        <w:pStyle w:val="ListNumber"/>
      </w:pPr>
      <w:r>
        <w:rPr>
          <w:sz w:val="21"/>
        </w:rPr>
        <w:t>Introductions, and confirmation of the members and the Nodal Officers.</w:t>
      </w:r>
    </w:p>
    <w:p>
      <w:pPr>
        <w:pStyle w:val="ListNumber"/>
      </w:pPr>
      <w:r>
        <w:rPr>
          <w:sz w:val="21"/>
        </w:rPr>
        <w:t>What we have agreed — walk through the executed schedules together, out loud. Assumptions surface here that would otherwise surface in year two.</w:t>
      </w:r>
    </w:p>
    <w:p>
      <w:pPr>
        <w:pStyle w:val="ListNumber"/>
      </w:pPr>
      <w:r>
        <w:rPr>
          <w:sz w:val="21"/>
        </w:rPr>
        <w:t>The signed first-year Activity Calendar; confirm dependencies and prerequisites.</w:t>
      </w:r>
    </w:p>
    <w:p>
      <w:pPr>
        <w:pStyle w:val="ListNumber"/>
      </w:pPr>
      <w:r>
        <w:rPr>
          <w:sz w:val="21"/>
        </w:rPr>
        <w:t>Facilities: what is available, how it is booked, and who to contact.</w:t>
      </w:r>
    </w:p>
    <w:p>
      <w:pPr>
        <w:pStyle w:val="ListNumber"/>
      </w:pPr>
      <w:r>
        <w:rPr>
          <w:sz w:val="21"/>
        </w:rPr>
        <w:t>Communications and approvals: who approves what, and how quickly.</w:t>
      </w:r>
    </w:p>
    <w:p>
      <w:pPr>
        <w:pStyle w:val="ListNumber"/>
      </w:pPr>
      <w:r>
        <w:rPr>
          <w:sz w:val="21"/>
        </w:rPr>
        <w:t>Commercials: purchase orders, invoicing, contacts, timing.</w:t>
      </w:r>
    </w:p>
    <w:p>
      <w:pPr>
        <w:pStyle w:val="ListNumber"/>
      </w:pPr>
      <w:r>
        <w:rPr>
          <w:sz w:val="21"/>
        </w:rPr>
        <w:t>Data protection contacts and the position on the Addendum.</w:t>
      </w:r>
    </w:p>
    <w:p>
      <w:pPr>
        <w:pStyle w:val="ListNumber"/>
      </w:pPr>
      <w:r>
        <w:rPr>
          <w:sz w:val="21"/>
        </w:rPr>
        <w:t>How we will handle a problem: the escalation route, agreed while everyone is content.</w:t>
      </w:r>
    </w:p>
    <w:p>
      <w:pPr>
        <w:pStyle w:val="ListNumber"/>
      </w:pPr>
      <w:r>
        <w:rPr>
          <w:sz w:val="21"/>
        </w:rPr>
        <w:t>Measures: what we will report to each other, and how often.</w:t>
      </w:r>
    </w:p>
    <w:p>
      <w:pPr>
        <w:pStyle w:val="ListNumber"/>
      </w:pPr>
      <w:r>
        <w:rPr>
          <w:sz w:val="21"/>
        </w:rPr>
        <w:t>Dates for the next two meetings, fixed now.</w:t>
      </w:r>
    </w:p>
    <w:p>
      <w:r>
        <w:rPr>
          <w:b/>
        </w:rPr>
        <w:t>Item 8 is agreed at the first meeting deliberately.</w:t>
      </w:r>
      <w:r>
        <w:t xml:space="preserve"> It is far easier to agree how to disagree before anyone has.</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EQ-UAP-090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Joint Steering Committee Charter &amp; Terms of Reference</w:t>
    </w:r>
    <w:r>
      <w:rPr>
        <w:rFonts w:ascii="Calibri" w:hAnsi="Calibri"/>
        <w:color w:val="595959"/>
        <w:sz w:val="16"/>
      </w:rPr>
      <w:tab/>
      <w:t>Confidential — Internal and partner institution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13F20AB-5757-4116-BDC7-550966CC21CD}"/>
</file>

<file path=customXml/itemProps3.xml><?xml version="1.0" encoding="utf-8"?>
<ds:datastoreItem xmlns:ds="http://schemas.openxmlformats.org/officeDocument/2006/customXml" ds:itemID="{3ECADAD8-8242-49BC-AA1B-78B51F27AA74}"/>
</file>

<file path=customXml/itemProps4.xml><?xml version="1.0" encoding="utf-8"?>
<ds:datastoreItem xmlns:ds="http://schemas.openxmlformats.org/officeDocument/2006/customXml" ds:itemID="{6E6AB6C7-E527-4611-83AB-FA6E8A10BD7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