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KPI Framework &amp; Partnership Scorecard</w:t>
      </w:r>
    </w:p>
    <w:p>
      <w:pPr>
        <w:spacing w:after="280" w:line="276" w:lineRule="auto"/>
      </w:pPr>
      <w:r>
        <w:rPr>
          <w:rFonts w:ascii="Calibri" w:hAnsi="Calibri"/>
          <w:i/>
          <w:color w:val="3E6B8A"/>
          <w:sz w:val="25"/>
        </w:rPr>
        <w:t>What is measured, what good looks like, and the scorecard on which every partnership is judged at renewal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Governance</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Measurement principles</w:t>
      </w:r>
    </w:p>
    <w:p>
      <w:pPr>
        <w:pStyle w:val="ListNumber"/>
      </w:pPr>
      <w:r>
        <w:rPr>
          <w:b/>
          <w:sz w:val="21"/>
        </w:rPr>
        <w:t>Measure the three outcomes.</w:t>
      </w:r>
      <w:r>
        <w:rPr>
          <w:sz w:val="21"/>
        </w:rPr>
        <w:t xml:space="preserve"> Pipeline, credibility, revenue. Everything else is an input.</w:t>
      </w:r>
    </w:p>
    <w:p>
      <w:pPr>
        <w:pStyle w:val="ListNumber"/>
      </w:pPr>
      <w:r>
        <w:rPr>
          <w:b/>
          <w:sz w:val="21"/>
        </w:rPr>
        <w:t>Measure effort as well as output.</w:t>
      </w:r>
      <w:r>
        <w:rPr>
          <w:sz w:val="21"/>
        </w:rPr>
        <w:t xml:space="preserve"> A partnership producing tier-appropriate revenue while consuming twice the tier-appropriate effort is destroying value.</w:t>
      </w:r>
    </w:p>
    <w:p>
      <w:pPr>
        <w:pStyle w:val="ListNumber"/>
      </w:pPr>
      <w:r>
        <w:rPr>
          <w:b/>
          <w:sz w:val="21"/>
        </w:rPr>
        <w:t>Instrument at the point of delivery.</w:t>
      </w:r>
      <w:r>
        <w:rPr>
          <w:sz w:val="21"/>
        </w:rPr>
        <w:t xml:space="preserve"> Data collected later is guessed.</w:t>
      </w:r>
    </w:p>
    <w:p>
      <w:pPr>
        <w:pStyle w:val="ListNumber"/>
      </w:pPr>
      <w:r>
        <w:rPr>
          <w:b/>
          <w:sz w:val="21"/>
        </w:rPr>
        <w:t>Report what is uncomfortable.</w:t>
      </w:r>
      <w:r>
        <w:rPr>
          <w:sz w:val="21"/>
        </w:rPr>
        <w:t xml:space="preserve"> A scorecard that is always green is not being used.</w:t>
      </w:r>
    </w:p>
    <w:p>
      <w:pPr>
        <w:spacing w:before="80" w:after="160"/>
        <w:pBdr>
          <w:bottom w:val="single" w:sz="6" w:space="1" w:color="C9D6DE"/>
        </w:pBdr>
      </w:pPr>
    </w:p>
    <w:p>
      <w:pPr>
        <w:pStyle w:val="Heading1"/>
        <w:pBdr>
          <w:bottom w:val="single" w:sz="8" w:space="4" w:color="C9D6DE"/>
        </w:pBdr>
      </w:pPr>
      <w:r>
        <w:t>2. Programme-level KPIs</w:t>
      </w:r>
    </w:p>
    <w:p>
      <w:pPr>
        <w:pStyle w:val="Heading2"/>
      </w:pPr>
      <w:r>
        <w:t>2.1 Pipeline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2710"/>
            <w:shd w:val="clear" w:color="auto" w:fill="10375C"/>
          </w:tcPr>
          <w:p>
            <w:pPr>
              <w:spacing w:after="50" w:before="50"/>
            </w:pPr>
            <w:r>
              <w:rPr>
                <w:b/>
                <w:color w:val="FFFFFF"/>
                <w:sz w:val="17"/>
              </w:rPr>
              <w:t>KPI</w:t>
            </w:r>
          </w:p>
        </w:tc>
        <w:tc>
          <w:tcPr>
            <w:tcW w:type="dxa" w:w="4708"/>
            <w:shd w:val="clear" w:color="auto" w:fill="10375C"/>
          </w:tcPr>
          <w:p>
            <w:pPr>
              <w:spacing w:after="50" w:before="50"/>
            </w:pPr>
            <w:r>
              <w:rPr>
                <w:b/>
                <w:color w:val="FFFFFF"/>
                <w:sz w:val="17"/>
              </w:rPr>
              <w:t>Definition</w:t>
            </w:r>
          </w:p>
        </w:tc>
        <w:tc>
          <w:tcPr>
            <w:tcW w:type="dxa" w:w="850"/>
            <w:shd w:val="clear" w:color="auto" w:fill="10375C"/>
          </w:tcPr>
          <w:p>
            <w:pPr>
              <w:spacing w:after="50" w:before="50"/>
            </w:pPr>
            <w:r>
              <w:rPr>
                <w:b/>
                <w:color w:val="FFFFFF"/>
                <w:sz w:val="17"/>
              </w:rPr>
              <w:t>Year 1</w:t>
            </w:r>
          </w:p>
        </w:tc>
        <w:tc>
          <w:tcPr>
            <w:tcW w:type="dxa" w:w="850"/>
            <w:shd w:val="clear" w:color="auto" w:fill="10375C"/>
          </w:tcPr>
          <w:p>
            <w:pPr>
              <w:spacing w:after="50" w:before="50"/>
            </w:pPr>
            <w:r>
              <w:rPr>
                <w:b/>
                <w:color w:val="FFFFFF"/>
                <w:sz w:val="17"/>
              </w:rPr>
              <w:t>Year 2</w:t>
            </w:r>
          </w:p>
        </w:tc>
        <w:tc>
          <w:tcPr>
            <w:tcW w:type="dxa" w:w="850"/>
            <w:shd w:val="clear" w:color="auto" w:fill="10375C"/>
          </w:tcPr>
          <w:p>
            <w:pPr>
              <w:spacing w:after="50" w:before="50"/>
            </w:pPr>
            <w:r>
              <w:rPr>
                <w:b/>
                <w:color w:val="FFFFFF"/>
                <w:sz w:val="17"/>
              </w:rPr>
              <w:t>Year 3</w:t>
            </w:r>
          </w:p>
        </w:tc>
      </w:tr>
      <w:tr>
        <w:tc>
          <w:tcPr>
            <w:tcW w:type="dxa" w:w="2710"/>
          </w:tcPr>
          <w:p>
            <w:pPr>
              <w:spacing w:after="50" w:before="50" w:line="252" w:lineRule="auto"/>
            </w:pPr>
            <w:r>
              <w:rPr>
                <w:sz w:val="17"/>
              </w:rPr>
              <w:t>Students trained</w:t>
            </w:r>
          </w:p>
        </w:tc>
        <w:tc>
          <w:tcPr>
            <w:tcW w:type="dxa" w:w="4708"/>
          </w:tcPr>
          <w:p>
            <w:pPr>
              <w:spacing w:after="50" w:before="50" w:line="252" w:lineRule="auto"/>
            </w:pPr>
            <w:r>
              <w:rPr>
                <w:sz w:val="17"/>
              </w:rPr>
              <w:t>Participants completing any assessed programme</w:t>
            </w:r>
          </w:p>
        </w:tc>
        <w:tc>
          <w:tcPr>
            <w:tcW w:type="dxa" w:w="850"/>
          </w:tcPr>
          <w:p>
            <w:pPr>
              <w:spacing w:after="50" w:before="50" w:line="252" w:lineRule="auto"/>
            </w:pPr>
            <w:r>
              <w:rPr>
                <w:sz w:val="17"/>
              </w:rPr>
              <w:t>250</w:t>
            </w:r>
          </w:p>
        </w:tc>
        <w:tc>
          <w:tcPr>
            <w:tcW w:type="dxa" w:w="850"/>
          </w:tcPr>
          <w:p>
            <w:pPr>
              <w:spacing w:after="50" w:before="50" w:line="252" w:lineRule="auto"/>
            </w:pPr>
            <w:r>
              <w:rPr>
                <w:sz w:val="17"/>
              </w:rPr>
              <w:t>900</w:t>
            </w:r>
          </w:p>
        </w:tc>
        <w:tc>
          <w:tcPr>
            <w:tcW w:type="dxa" w:w="850"/>
          </w:tcPr>
          <w:p>
            <w:pPr>
              <w:spacing w:after="50" w:before="50" w:line="252" w:lineRule="auto"/>
            </w:pPr>
            <w:r>
              <w:rPr>
                <w:sz w:val="17"/>
              </w:rPr>
              <w:t>2,000</w:t>
            </w:r>
          </w:p>
        </w:tc>
      </w:tr>
      <w:tr>
        <w:tc>
          <w:tcPr>
            <w:tcW w:type="dxa" w:w="2710"/>
            <w:shd w:val="clear" w:color="auto" w:fill="EAF1F4"/>
          </w:tcPr>
          <w:p>
            <w:pPr>
              <w:spacing w:after="50" w:before="50" w:line="252" w:lineRule="auto"/>
            </w:pPr>
            <w:r>
              <w:rPr>
                <w:sz w:val="17"/>
              </w:rPr>
              <w:t>Students certified</w:t>
            </w:r>
          </w:p>
        </w:tc>
        <w:tc>
          <w:tcPr>
            <w:tcW w:type="dxa" w:w="4708"/>
            <w:shd w:val="clear" w:color="auto" w:fill="EAF1F4"/>
          </w:tcPr>
          <w:p>
            <w:pPr>
              <w:spacing w:after="50" w:before="50" w:line="252" w:lineRule="auto"/>
            </w:pPr>
            <w:r>
              <w:rPr>
                <w:sz w:val="17"/>
              </w:rPr>
              <w:t>Passing assessment</w:t>
            </w:r>
          </w:p>
        </w:tc>
        <w:tc>
          <w:tcPr>
            <w:tcW w:type="dxa" w:w="850"/>
            <w:shd w:val="clear" w:color="auto" w:fill="EAF1F4"/>
          </w:tcPr>
          <w:p>
            <w:pPr>
              <w:spacing w:after="50" w:before="50" w:line="252" w:lineRule="auto"/>
            </w:pPr>
            <w:r>
              <w:rPr>
                <w:sz w:val="17"/>
              </w:rPr>
              <w:t>200</w:t>
            </w:r>
          </w:p>
        </w:tc>
        <w:tc>
          <w:tcPr>
            <w:tcW w:type="dxa" w:w="850"/>
            <w:shd w:val="clear" w:color="auto" w:fill="EAF1F4"/>
          </w:tcPr>
          <w:p>
            <w:pPr>
              <w:spacing w:after="50" w:before="50" w:line="252" w:lineRule="auto"/>
            </w:pPr>
            <w:r>
              <w:rPr>
                <w:sz w:val="17"/>
              </w:rPr>
              <w:t>720</w:t>
            </w:r>
          </w:p>
        </w:tc>
        <w:tc>
          <w:tcPr>
            <w:tcW w:type="dxa" w:w="850"/>
            <w:shd w:val="clear" w:color="auto" w:fill="EAF1F4"/>
          </w:tcPr>
          <w:p>
            <w:pPr>
              <w:spacing w:after="50" w:before="50" w:line="252" w:lineRule="auto"/>
            </w:pPr>
            <w:r>
              <w:rPr>
                <w:sz w:val="17"/>
              </w:rPr>
              <w:t>1,600</w:t>
            </w:r>
          </w:p>
        </w:tc>
      </w:tr>
      <w:tr>
        <w:tc>
          <w:tcPr>
            <w:tcW w:type="dxa" w:w="2710"/>
          </w:tcPr>
          <w:p>
            <w:pPr>
              <w:spacing w:after="50" w:before="50" w:line="252" w:lineRule="auto"/>
            </w:pPr>
            <w:r>
              <w:rPr>
                <w:sz w:val="17"/>
              </w:rPr>
              <w:t>Advanced certifications</w:t>
            </w:r>
          </w:p>
        </w:tc>
        <w:tc>
          <w:tcPr>
            <w:tcW w:type="dxa" w:w="4708"/>
          </w:tcPr>
          <w:p>
            <w:pPr>
              <w:spacing w:after="50" w:before="50" w:line="252" w:lineRule="auto"/>
            </w:pPr>
            <w:r>
              <w:rPr>
                <w:sz w:val="17"/>
              </w:rPr>
              <w:t>T-20 completions</w:t>
            </w:r>
          </w:p>
        </w:tc>
        <w:tc>
          <w:tcPr>
            <w:tcW w:type="dxa" w:w="850"/>
          </w:tcPr>
          <w:p>
            <w:pPr>
              <w:spacing w:after="50" w:before="50" w:line="252" w:lineRule="auto"/>
            </w:pPr>
            <w:r>
              <w:rPr>
                <w:sz w:val="17"/>
              </w:rPr>
              <w:t>15</w:t>
            </w:r>
          </w:p>
        </w:tc>
        <w:tc>
          <w:tcPr>
            <w:tcW w:type="dxa" w:w="850"/>
          </w:tcPr>
          <w:p>
            <w:pPr>
              <w:spacing w:after="50" w:before="50" w:line="252" w:lineRule="auto"/>
            </w:pPr>
            <w:r>
              <w:rPr>
                <w:sz w:val="17"/>
              </w:rPr>
              <w:t>60</w:t>
            </w:r>
          </w:p>
        </w:tc>
        <w:tc>
          <w:tcPr>
            <w:tcW w:type="dxa" w:w="850"/>
          </w:tcPr>
          <w:p>
            <w:pPr>
              <w:spacing w:after="50" w:before="50" w:line="252" w:lineRule="auto"/>
            </w:pPr>
            <w:r>
              <w:rPr>
                <w:sz w:val="17"/>
              </w:rPr>
              <w:t>140</w:t>
            </w:r>
          </w:p>
        </w:tc>
      </w:tr>
      <w:tr>
        <w:tc>
          <w:tcPr>
            <w:tcW w:type="dxa" w:w="2710"/>
            <w:shd w:val="clear" w:color="auto" w:fill="EAF1F4"/>
          </w:tcPr>
          <w:p>
            <w:pPr>
              <w:spacing w:after="50" w:before="50" w:line="252" w:lineRule="auto"/>
            </w:pPr>
            <w:r>
              <w:rPr>
                <w:sz w:val="17"/>
              </w:rPr>
              <w:t>Interns hosted</w:t>
            </w:r>
          </w:p>
        </w:tc>
        <w:tc>
          <w:tcPr>
            <w:tcW w:type="dxa" w:w="4708"/>
            <w:shd w:val="clear" w:color="auto" w:fill="EAF1F4"/>
          </w:tcPr>
          <w:p>
            <w:pPr>
              <w:spacing w:after="50" w:before="50" w:line="252" w:lineRule="auto"/>
            </w:pPr>
            <w:r>
              <w:rPr>
                <w:sz w:val="17"/>
              </w:rPr>
              <w:t>Completed placements</w:t>
            </w:r>
          </w:p>
        </w:tc>
        <w:tc>
          <w:tcPr>
            <w:tcW w:type="dxa" w:w="850"/>
            <w:shd w:val="clear" w:color="auto" w:fill="EAF1F4"/>
          </w:tcPr>
          <w:p>
            <w:pPr>
              <w:spacing w:after="50" w:before="50" w:line="252" w:lineRule="auto"/>
            </w:pPr>
            <w:r>
              <w:rPr>
                <w:sz w:val="17"/>
              </w:rPr>
              <w:t>24</w:t>
            </w:r>
          </w:p>
        </w:tc>
        <w:tc>
          <w:tcPr>
            <w:tcW w:type="dxa" w:w="850"/>
            <w:shd w:val="clear" w:color="auto" w:fill="EAF1F4"/>
          </w:tcPr>
          <w:p>
            <w:pPr>
              <w:spacing w:after="50" w:before="50" w:line="252" w:lineRule="auto"/>
            </w:pPr>
            <w:r>
              <w:rPr>
                <w:sz w:val="17"/>
              </w:rPr>
              <w:t>70</w:t>
            </w:r>
          </w:p>
        </w:tc>
        <w:tc>
          <w:tcPr>
            <w:tcW w:type="dxa" w:w="850"/>
            <w:shd w:val="clear" w:color="auto" w:fill="EAF1F4"/>
          </w:tcPr>
          <w:p>
            <w:pPr>
              <w:spacing w:after="50" w:before="50" w:line="252" w:lineRule="auto"/>
            </w:pPr>
            <w:r>
              <w:rPr>
                <w:sz w:val="17"/>
              </w:rPr>
              <w:t>140</w:t>
            </w:r>
          </w:p>
        </w:tc>
      </w:tr>
      <w:tr>
        <w:tc>
          <w:tcPr>
            <w:tcW w:type="dxa" w:w="2710"/>
          </w:tcPr>
          <w:p>
            <w:pPr>
              <w:spacing w:after="50" w:before="50" w:line="252" w:lineRule="auto"/>
            </w:pPr>
            <w:r>
              <w:rPr>
                <w:b/>
                <w:sz w:val="17"/>
              </w:rPr>
              <w:t>Intern conversion</w:t>
            </w:r>
          </w:p>
        </w:tc>
        <w:tc>
          <w:tcPr>
            <w:tcW w:type="dxa" w:w="4708"/>
          </w:tcPr>
          <w:p>
            <w:pPr>
              <w:spacing w:after="50" w:before="50" w:line="252" w:lineRule="auto"/>
            </w:pPr>
            <w:r>
              <w:rPr>
                <w:sz w:val="17"/>
              </w:rPr>
              <w:t>Interns converted to employment or empanelment</w:t>
            </w:r>
          </w:p>
        </w:tc>
        <w:tc>
          <w:tcPr>
            <w:tcW w:type="dxa" w:w="850"/>
          </w:tcPr>
          <w:p>
            <w:pPr>
              <w:spacing w:after="50" w:before="50" w:line="252" w:lineRule="auto"/>
            </w:pPr>
            <w:r>
              <w:rPr>
                <w:sz w:val="17"/>
              </w:rPr>
              <w:t>2</w:t>
            </w:r>
          </w:p>
        </w:tc>
        <w:tc>
          <w:tcPr>
            <w:tcW w:type="dxa" w:w="850"/>
          </w:tcPr>
          <w:p>
            <w:pPr>
              <w:spacing w:after="50" w:before="50" w:line="252" w:lineRule="auto"/>
            </w:pPr>
            <w:r>
              <w:rPr>
                <w:sz w:val="17"/>
              </w:rPr>
              <w:t>8</w:t>
            </w:r>
          </w:p>
        </w:tc>
        <w:tc>
          <w:tcPr>
            <w:tcW w:type="dxa" w:w="850"/>
          </w:tcPr>
          <w:p>
            <w:pPr>
              <w:spacing w:after="50" w:before="50" w:line="252" w:lineRule="auto"/>
            </w:pPr>
            <w:r>
              <w:rPr>
                <w:sz w:val="17"/>
              </w:rPr>
              <w:t>20</w:t>
            </w:r>
          </w:p>
        </w:tc>
      </w:tr>
      <w:tr>
        <w:tc>
          <w:tcPr>
            <w:tcW w:type="dxa" w:w="2710"/>
            <w:shd w:val="clear" w:color="auto" w:fill="EAF1F4"/>
          </w:tcPr>
          <w:p>
            <w:pPr>
              <w:spacing w:after="50" w:before="50" w:line="252" w:lineRule="auto"/>
            </w:pPr>
            <w:r>
              <w:rPr>
                <w:sz w:val="17"/>
              </w:rPr>
              <w:t>Trainer bench</w:t>
            </w:r>
          </w:p>
        </w:tc>
        <w:tc>
          <w:tcPr>
            <w:tcW w:type="dxa" w:w="4708"/>
            <w:shd w:val="clear" w:color="auto" w:fill="EAF1F4"/>
          </w:tcPr>
          <w:p>
            <w:pPr>
              <w:spacing w:after="50" w:before="50" w:line="252" w:lineRule="auto"/>
            </w:pPr>
            <w:r>
              <w:rPr>
                <w:sz w:val="17"/>
              </w:rPr>
              <w:t>Certified trainers</w:t>
            </w:r>
          </w:p>
        </w:tc>
        <w:tc>
          <w:tcPr>
            <w:tcW w:type="dxa" w:w="850"/>
            <w:shd w:val="clear" w:color="auto" w:fill="EAF1F4"/>
          </w:tcPr>
          <w:p>
            <w:pPr>
              <w:spacing w:after="50" w:before="50" w:line="252" w:lineRule="auto"/>
            </w:pPr>
            <w:r>
              <w:rPr>
                <w:sz w:val="17"/>
              </w:rPr>
              <w:t>12</w:t>
            </w:r>
          </w:p>
        </w:tc>
        <w:tc>
          <w:tcPr>
            <w:tcW w:type="dxa" w:w="850"/>
            <w:shd w:val="clear" w:color="auto" w:fill="EAF1F4"/>
          </w:tcPr>
          <w:p>
            <w:pPr>
              <w:spacing w:after="50" w:before="50" w:line="252" w:lineRule="auto"/>
            </w:pPr>
            <w:r>
              <w:rPr>
                <w:sz w:val="17"/>
              </w:rPr>
              <w:t>22</w:t>
            </w:r>
          </w:p>
        </w:tc>
        <w:tc>
          <w:tcPr>
            <w:tcW w:type="dxa" w:w="850"/>
            <w:shd w:val="clear" w:color="auto" w:fill="EAF1F4"/>
          </w:tcPr>
          <w:p>
            <w:pPr>
              <w:spacing w:after="50" w:before="50" w:line="252" w:lineRule="auto"/>
            </w:pPr>
            <w:r>
              <w:rPr>
                <w:sz w:val="17"/>
              </w:rPr>
              <w:t>35</w:t>
            </w:r>
          </w:p>
        </w:tc>
      </w:tr>
      <w:tr>
        <w:tc>
          <w:tcPr>
            <w:tcW w:type="dxa" w:w="2710"/>
          </w:tcPr>
          <w:p>
            <w:pPr>
              <w:spacing w:after="50" w:before="50" w:line="252" w:lineRule="auto"/>
            </w:pPr>
            <w:r>
              <w:rPr>
                <w:sz w:val="17"/>
              </w:rPr>
              <w:t>Faculty empanelled</w:t>
            </w:r>
          </w:p>
        </w:tc>
        <w:tc>
          <w:tcPr>
            <w:tcW w:type="dxa" w:w="4708"/>
          </w:tcPr>
          <w:p>
            <w:pPr>
              <w:spacing w:after="50" w:before="50" w:line="252" w:lineRule="auto"/>
            </w:pPr>
            <w:r>
              <w:rPr>
                <w:sz w:val="17"/>
              </w:rPr>
              <w:t>Faculty on the neutral panel</w:t>
            </w:r>
          </w:p>
        </w:tc>
        <w:tc>
          <w:tcPr>
            <w:tcW w:type="dxa" w:w="850"/>
          </w:tcPr>
          <w:p>
            <w:pPr>
              <w:spacing w:after="50" w:before="50" w:line="252" w:lineRule="auto"/>
            </w:pPr>
            <w:r>
              <w:rPr>
                <w:sz w:val="17"/>
              </w:rPr>
              <w:t>6</w:t>
            </w:r>
          </w:p>
        </w:tc>
        <w:tc>
          <w:tcPr>
            <w:tcW w:type="dxa" w:w="850"/>
          </w:tcPr>
          <w:p>
            <w:pPr>
              <w:spacing w:after="50" w:before="50" w:line="252" w:lineRule="auto"/>
            </w:pPr>
            <w:r>
              <w:rPr>
                <w:sz w:val="17"/>
              </w:rPr>
              <w:t>20</w:t>
            </w:r>
          </w:p>
        </w:tc>
        <w:tc>
          <w:tcPr>
            <w:tcW w:type="dxa" w:w="850"/>
          </w:tcPr>
          <w:p>
            <w:pPr>
              <w:spacing w:after="50" w:before="50" w:line="252" w:lineRule="auto"/>
            </w:pPr>
            <w:r>
              <w:rPr>
                <w:sz w:val="17"/>
              </w:rPr>
              <w:t>40</w:t>
            </w:r>
          </w:p>
        </w:tc>
      </w:tr>
    </w:tbl>
    <w:p>
      <w:pPr>
        <w:spacing w:after="80" w:before="0"/>
      </w:pPr>
    </w:p>
    <w:p>
      <w:pPr>
        <w:pStyle w:val="Heading2"/>
      </w:pPr>
      <w:r>
        <w:t>2.2 Credibility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5887"/>
            <w:shd w:val="clear" w:color="auto" w:fill="10375C"/>
          </w:tcPr>
          <w:p>
            <w:pPr>
              <w:spacing w:after="50" w:before="50"/>
            </w:pPr>
            <w:r>
              <w:rPr>
                <w:b/>
                <w:color w:val="FFFFFF"/>
                <w:sz w:val="17"/>
              </w:rPr>
              <w:t>KPI</w:t>
            </w:r>
          </w:p>
        </w:tc>
        <w:tc>
          <w:tcPr>
            <w:tcW w:type="dxa" w:w="1193"/>
            <w:shd w:val="clear" w:color="auto" w:fill="10375C"/>
          </w:tcPr>
          <w:p>
            <w:pPr>
              <w:spacing w:after="50" w:before="50"/>
            </w:pPr>
            <w:r>
              <w:rPr>
                <w:b/>
                <w:color w:val="FFFFFF"/>
                <w:sz w:val="17"/>
              </w:rPr>
              <w:t>Year 1</w:t>
            </w:r>
          </w:p>
        </w:tc>
        <w:tc>
          <w:tcPr>
            <w:tcW w:type="dxa" w:w="1193"/>
            <w:shd w:val="clear" w:color="auto" w:fill="10375C"/>
          </w:tcPr>
          <w:p>
            <w:pPr>
              <w:spacing w:after="50" w:before="50"/>
            </w:pPr>
            <w:r>
              <w:rPr>
                <w:b/>
                <w:color w:val="FFFFFF"/>
                <w:sz w:val="17"/>
              </w:rPr>
              <w:t>Year 2</w:t>
            </w:r>
          </w:p>
        </w:tc>
        <w:tc>
          <w:tcPr>
            <w:tcW w:type="dxa" w:w="1193"/>
            <w:shd w:val="clear" w:color="auto" w:fill="10375C"/>
          </w:tcPr>
          <w:p>
            <w:pPr>
              <w:spacing w:after="50" w:before="50"/>
            </w:pPr>
            <w:r>
              <w:rPr>
                <w:b/>
                <w:color w:val="FFFFFF"/>
                <w:sz w:val="17"/>
              </w:rPr>
              <w:t>Year 3</w:t>
            </w:r>
          </w:p>
        </w:tc>
      </w:tr>
      <w:tr>
        <w:tc>
          <w:tcPr>
            <w:tcW w:type="dxa" w:w="5887"/>
          </w:tcPr>
          <w:p>
            <w:pPr>
              <w:spacing w:after="50" w:before="50" w:line="252" w:lineRule="auto"/>
            </w:pPr>
            <w:r>
              <w:rPr>
                <w:sz w:val="17"/>
              </w:rPr>
              <w:t>Partner institutions active</w:t>
            </w:r>
          </w:p>
        </w:tc>
        <w:tc>
          <w:tcPr>
            <w:tcW w:type="dxa" w:w="1193"/>
          </w:tcPr>
          <w:p>
            <w:pPr>
              <w:spacing w:after="50" w:before="50" w:line="252" w:lineRule="auto"/>
            </w:pPr>
            <w:r>
              <w:rPr>
                <w:sz w:val="17"/>
              </w:rPr>
              <w:t>6</w:t>
            </w:r>
          </w:p>
        </w:tc>
        <w:tc>
          <w:tcPr>
            <w:tcW w:type="dxa" w:w="1193"/>
          </w:tcPr>
          <w:p>
            <w:pPr>
              <w:spacing w:after="50" w:before="50" w:line="252" w:lineRule="auto"/>
            </w:pPr>
            <w:r>
              <w:rPr>
                <w:sz w:val="17"/>
              </w:rPr>
              <w:t>35</w:t>
            </w:r>
          </w:p>
        </w:tc>
        <w:tc>
          <w:tcPr>
            <w:tcW w:type="dxa" w:w="1193"/>
          </w:tcPr>
          <w:p>
            <w:pPr>
              <w:spacing w:after="50" w:before="50" w:line="252" w:lineRule="auto"/>
            </w:pPr>
            <w:r>
              <w:rPr>
                <w:sz w:val="17"/>
              </w:rPr>
              <w:t>68</w:t>
            </w:r>
          </w:p>
        </w:tc>
      </w:tr>
      <w:tr>
        <w:tc>
          <w:tcPr>
            <w:tcW w:type="dxa" w:w="5887"/>
            <w:shd w:val="clear" w:color="auto" w:fill="EAF1F4"/>
          </w:tcPr>
          <w:p>
            <w:pPr>
              <w:spacing w:after="50" w:before="50" w:line="252" w:lineRule="auto"/>
            </w:pPr>
            <w:r>
              <w:rPr>
                <w:sz w:val="17"/>
              </w:rPr>
              <w:t>Competition teams</w:t>
            </w:r>
          </w:p>
        </w:tc>
        <w:tc>
          <w:tcPr>
            <w:tcW w:type="dxa" w:w="1193"/>
            <w:shd w:val="clear" w:color="auto" w:fill="EAF1F4"/>
          </w:tcPr>
          <w:p>
            <w:pPr>
              <w:spacing w:after="50" w:before="50" w:line="252" w:lineRule="auto"/>
            </w:pPr>
            <w:r>
              <w:rPr>
                <w:sz w:val="17"/>
              </w:rPr>
              <w:t>40</w:t>
            </w:r>
          </w:p>
        </w:tc>
        <w:tc>
          <w:tcPr>
            <w:tcW w:type="dxa" w:w="1193"/>
            <w:shd w:val="clear" w:color="auto" w:fill="EAF1F4"/>
          </w:tcPr>
          <w:p>
            <w:pPr>
              <w:spacing w:after="50" w:before="50" w:line="252" w:lineRule="auto"/>
            </w:pPr>
            <w:r>
              <w:rPr>
                <w:sz w:val="17"/>
              </w:rPr>
              <w:t>52</w:t>
            </w:r>
          </w:p>
        </w:tc>
        <w:tc>
          <w:tcPr>
            <w:tcW w:type="dxa" w:w="1193"/>
            <w:shd w:val="clear" w:color="auto" w:fill="EAF1F4"/>
          </w:tcPr>
          <w:p>
            <w:pPr>
              <w:spacing w:after="50" w:before="50" w:line="252" w:lineRule="auto"/>
            </w:pPr>
            <w:r>
              <w:rPr>
                <w:sz w:val="17"/>
              </w:rPr>
              <w:t>64</w:t>
            </w:r>
          </w:p>
        </w:tc>
      </w:tr>
      <w:tr>
        <w:tc>
          <w:tcPr>
            <w:tcW w:type="dxa" w:w="5887"/>
          </w:tcPr>
          <w:p>
            <w:pPr>
              <w:spacing w:after="50" w:before="50" w:line="252" w:lineRule="auto"/>
            </w:pPr>
            <w:r>
              <w:rPr>
                <w:sz w:val="17"/>
              </w:rPr>
              <w:t>Institutions competing</w:t>
            </w:r>
          </w:p>
        </w:tc>
        <w:tc>
          <w:tcPr>
            <w:tcW w:type="dxa" w:w="1193"/>
          </w:tcPr>
          <w:p>
            <w:pPr>
              <w:spacing w:after="50" w:before="50" w:line="252" w:lineRule="auto"/>
            </w:pPr>
            <w:r>
              <w:rPr>
                <w:sz w:val="17"/>
              </w:rPr>
              <w:t>24</w:t>
            </w:r>
          </w:p>
        </w:tc>
        <w:tc>
          <w:tcPr>
            <w:tcW w:type="dxa" w:w="1193"/>
          </w:tcPr>
          <w:p>
            <w:pPr>
              <w:spacing w:after="50" w:before="50" w:line="252" w:lineRule="auto"/>
            </w:pPr>
            <w:r>
              <w:rPr>
                <w:sz w:val="17"/>
              </w:rPr>
              <w:t>34</w:t>
            </w:r>
          </w:p>
        </w:tc>
        <w:tc>
          <w:tcPr>
            <w:tcW w:type="dxa" w:w="1193"/>
          </w:tcPr>
          <w:p>
            <w:pPr>
              <w:spacing w:after="50" w:before="50" w:line="252" w:lineRule="auto"/>
            </w:pPr>
            <w:r>
              <w:rPr>
                <w:sz w:val="17"/>
              </w:rPr>
              <w:t>44</w:t>
            </w:r>
          </w:p>
        </w:tc>
      </w:tr>
      <w:tr>
        <w:tc>
          <w:tcPr>
            <w:tcW w:type="dxa" w:w="5887"/>
            <w:shd w:val="clear" w:color="auto" w:fill="EAF1F4"/>
          </w:tcPr>
          <w:p>
            <w:pPr>
              <w:spacing w:after="50" w:before="50" w:line="252" w:lineRule="auto"/>
            </w:pPr>
            <w:r>
              <w:rPr>
                <w:sz w:val="17"/>
              </w:rPr>
              <w:t>Publications</w:t>
            </w:r>
          </w:p>
        </w:tc>
        <w:tc>
          <w:tcPr>
            <w:tcW w:type="dxa" w:w="1193"/>
            <w:shd w:val="clear" w:color="auto" w:fill="EAF1F4"/>
          </w:tcPr>
          <w:p>
            <w:pPr>
              <w:spacing w:after="50" w:before="50" w:line="252" w:lineRule="auto"/>
            </w:pPr>
            <w:r>
              <w:rPr>
                <w:sz w:val="17"/>
              </w:rPr>
              <w:t>1</w:t>
            </w:r>
          </w:p>
        </w:tc>
        <w:tc>
          <w:tcPr>
            <w:tcW w:type="dxa" w:w="1193"/>
            <w:shd w:val="clear" w:color="auto" w:fill="EAF1F4"/>
          </w:tcPr>
          <w:p>
            <w:pPr>
              <w:spacing w:after="50" w:before="50" w:line="252" w:lineRule="auto"/>
            </w:pPr>
            <w:r>
              <w:rPr>
                <w:sz w:val="17"/>
              </w:rPr>
              <w:t>4</w:t>
            </w:r>
          </w:p>
        </w:tc>
        <w:tc>
          <w:tcPr>
            <w:tcW w:type="dxa" w:w="1193"/>
            <w:shd w:val="clear" w:color="auto" w:fill="EAF1F4"/>
          </w:tcPr>
          <w:p>
            <w:pPr>
              <w:spacing w:after="50" w:before="50" w:line="252" w:lineRule="auto"/>
            </w:pPr>
            <w:r>
              <w:rPr>
                <w:sz w:val="17"/>
              </w:rPr>
              <w:t>8</w:t>
            </w:r>
          </w:p>
        </w:tc>
      </w:tr>
      <w:tr>
        <w:tc>
          <w:tcPr>
            <w:tcW w:type="dxa" w:w="5887"/>
          </w:tcPr>
          <w:p>
            <w:pPr>
              <w:spacing w:after="50" w:before="50" w:line="252" w:lineRule="auto"/>
            </w:pPr>
            <w:r>
              <w:rPr>
                <w:sz w:val="17"/>
              </w:rPr>
              <w:t>Annual report published</w:t>
            </w:r>
          </w:p>
        </w:tc>
        <w:tc>
          <w:tcPr>
            <w:tcW w:type="dxa" w:w="1193"/>
          </w:tcPr>
          <w:p>
            <w:pPr>
              <w:spacing w:after="50" w:before="50" w:line="252" w:lineRule="auto"/>
            </w:pPr>
            <w:r>
              <w:rPr>
                <w:sz w:val="17"/>
              </w:rPr>
              <w:t>Yes</w:t>
            </w:r>
          </w:p>
        </w:tc>
        <w:tc>
          <w:tcPr>
            <w:tcW w:type="dxa" w:w="1193"/>
          </w:tcPr>
          <w:p>
            <w:pPr>
              <w:spacing w:after="50" w:before="50" w:line="252" w:lineRule="auto"/>
            </w:pPr>
            <w:r>
              <w:rPr>
                <w:sz w:val="17"/>
              </w:rPr>
              <w:t>Yes</w:t>
            </w:r>
          </w:p>
        </w:tc>
        <w:tc>
          <w:tcPr>
            <w:tcW w:type="dxa" w:w="1193"/>
          </w:tcPr>
          <w:p>
            <w:pPr>
              <w:spacing w:after="50" w:before="50" w:line="252" w:lineRule="auto"/>
            </w:pPr>
            <w:r>
              <w:rPr>
                <w:sz w:val="17"/>
              </w:rPr>
              <w:t>Yes</w:t>
            </w:r>
          </w:p>
        </w:tc>
      </w:tr>
      <w:tr>
        <w:tc>
          <w:tcPr>
            <w:tcW w:type="dxa" w:w="5887"/>
            <w:shd w:val="clear" w:color="auto" w:fill="EAF1F4"/>
          </w:tcPr>
          <w:p>
            <w:pPr>
              <w:spacing w:after="50" w:before="50" w:line="252" w:lineRule="auto"/>
            </w:pPr>
            <w:r>
              <w:rPr>
                <w:sz w:val="17"/>
              </w:rPr>
              <w:t>Judicial or bar events convened</w:t>
            </w:r>
          </w:p>
        </w:tc>
        <w:tc>
          <w:tcPr>
            <w:tcW w:type="dxa" w:w="1193"/>
            <w:shd w:val="clear" w:color="auto" w:fill="EAF1F4"/>
          </w:tcPr>
          <w:p>
            <w:pPr>
              <w:spacing w:after="50" w:before="50" w:line="252" w:lineRule="auto"/>
            </w:pPr>
            <w:r>
              <w:rPr>
                <w:sz w:val="17"/>
              </w:rPr>
              <w:t>2</w:t>
            </w:r>
          </w:p>
        </w:tc>
        <w:tc>
          <w:tcPr>
            <w:tcW w:type="dxa" w:w="1193"/>
            <w:shd w:val="clear" w:color="auto" w:fill="EAF1F4"/>
          </w:tcPr>
          <w:p>
            <w:pPr>
              <w:spacing w:after="50" w:before="50" w:line="252" w:lineRule="auto"/>
            </w:pPr>
            <w:r>
              <w:rPr>
                <w:sz w:val="17"/>
              </w:rPr>
              <w:t>5</w:t>
            </w:r>
          </w:p>
        </w:tc>
        <w:tc>
          <w:tcPr>
            <w:tcW w:type="dxa" w:w="1193"/>
            <w:shd w:val="clear" w:color="auto" w:fill="EAF1F4"/>
          </w:tcPr>
          <w:p>
            <w:pPr>
              <w:spacing w:after="50" w:before="50" w:line="252" w:lineRule="auto"/>
            </w:pPr>
            <w:r>
              <w:rPr>
                <w:sz w:val="17"/>
              </w:rPr>
              <w:t>10</w:t>
            </w:r>
          </w:p>
        </w:tc>
      </w:tr>
      <w:tr>
        <w:tc>
          <w:tcPr>
            <w:tcW w:type="dxa" w:w="5887"/>
          </w:tcPr>
          <w:p>
            <w:pPr>
              <w:spacing w:after="50" w:before="50" w:line="252" w:lineRule="auto"/>
            </w:pPr>
            <w:r>
              <w:rPr>
                <w:sz w:val="17"/>
              </w:rPr>
              <w:t>Faculty trained</w:t>
            </w:r>
          </w:p>
        </w:tc>
        <w:tc>
          <w:tcPr>
            <w:tcW w:type="dxa" w:w="1193"/>
          </w:tcPr>
          <w:p>
            <w:pPr>
              <w:spacing w:after="50" w:before="50" w:line="252" w:lineRule="auto"/>
            </w:pPr>
            <w:r>
              <w:rPr>
                <w:sz w:val="17"/>
              </w:rPr>
              <w:t>40</w:t>
            </w:r>
          </w:p>
        </w:tc>
        <w:tc>
          <w:tcPr>
            <w:tcW w:type="dxa" w:w="1193"/>
          </w:tcPr>
          <w:p>
            <w:pPr>
              <w:spacing w:after="50" w:before="50" w:line="252" w:lineRule="auto"/>
            </w:pPr>
            <w:r>
              <w:rPr>
                <w:sz w:val="17"/>
              </w:rPr>
              <w:t>120</w:t>
            </w:r>
          </w:p>
        </w:tc>
        <w:tc>
          <w:tcPr>
            <w:tcW w:type="dxa" w:w="1193"/>
          </w:tcPr>
          <w:p>
            <w:pPr>
              <w:spacing w:after="50" w:before="50" w:line="252" w:lineRule="auto"/>
            </w:pPr>
            <w:r>
              <w:rPr>
                <w:sz w:val="17"/>
              </w:rPr>
              <w:t>250</w:t>
            </w:r>
          </w:p>
        </w:tc>
      </w:tr>
    </w:tbl>
    <w:p>
      <w:pPr>
        <w:spacing w:after="80" w:before="0"/>
      </w:pPr>
    </w:p>
    <w:p>
      <w:pPr>
        <w:pStyle w:val="Heading2"/>
      </w:pPr>
      <w:r>
        <w:t>2.3 Revenue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5146"/>
            <w:shd w:val="clear" w:color="auto" w:fill="10375C"/>
          </w:tcPr>
          <w:p>
            <w:pPr>
              <w:spacing w:after="50" w:before="50"/>
            </w:pPr>
            <w:r>
              <w:rPr>
                <w:b/>
                <w:color w:val="FFFFFF"/>
                <w:sz w:val="17"/>
              </w:rPr>
              <w:t>KPI</w:t>
            </w:r>
          </w:p>
        </w:tc>
        <w:tc>
          <w:tcPr>
            <w:tcW w:type="dxa" w:w="1398"/>
            <w:shd w:val="clear" w:color="auto" w:fill="10375C"/>
          </w:tcPr>
          <w:p>
            <w:pPr>
              <w:spacing w:after="50" w:before="50"/>
            </w:pPr>
            <w:r>
              <w:rPr>
                <w:b/>
                <w:color w:val="FFFFFF"/>
                <w:sz w:val="17"/>
              </w:rPr>
              <w:t>Year 1</w:t>
            </w:r>
          </w:p>
        </w:tc>
        <w:tc>
          <w:tcPr>
            <w:tcW w:type="dxa" w:w="1462"/>
            <w:shd w:val="clear" w:color="auto" w:fill="10375C"/>
          </w:tcPr>
          <w:p>
            <w:pPr>
              <w:spacing w:after="50" w:before="50"/>
            </w:pPr>
            <w:r>
              <w:rPr>
                <w:b/>
                <w:color w:val="FFFFFF"/>
                <w:sz w:val="17"/>
              </w:rPr>
              <w:t>Year 2</w:t>
            </w:r>
          </w:p>
        </w:tc>
        <w:tc>
          <w:tcPr>
            <w:tcW w:type="dxa" w:w="1462"/>
            <w:shd w:val="clear" w:color="auto" w:fill="10375C"/>
          </w:tcPr>
          <w:p>
            <w:pPr>
              <w:spacing w:after="50" w:before="50"/>
            </w:pPr>
            <w:r>
              <w:rPr>
                <w:b/>
                <w:color w:val="FFFFFF"/>
                <w:sz w:val="17"/>
              </w:rPr>
              <w:t>Year 3</w:t>
            </w:r>
          </w:p>
        </w:tc>
      </w:tr>
      <w:tr>
        <w:tc>
          <w:tcPr>
            <w:tcW w:type="dxa" w:w="5146"/>
          </w:tcPr>
          <w:p>
            <w:pPr>
              <w:spacing w:after="50" w:before="50" w:line="252" w:lineRule="auto"/>
            </w:pPr>
            <w:r>
              <w:rPr>
                <w:sz w:val="17"/>
              </w:rPr>
              <w:t>Programme revenue</w:t>
            </w:r>
          </w:p>
        </w:tc>
        <w:tc>
          <w:tcPr>
            <w:tcW w:type="dxa" w:w="1398"/>
          </w:tcPr>
          <w:p>
            <w:pPr>
              <w:spacing w:after="50" w:before="50" w:line="252" w:lineRule="auto"/>
            </w:pPr>
            <w:r>
              <w:rPr>
                <w:sz w:val="17"/>
              </w:rPr>
              <w:t>₹38 lakh</w:t>
            </w:r>
          </w:p>
        </w:tc>
        <w:tc>
          <w:tcPr>
            <w:tcW w:type="dxa" w:w="1462"/>
          </w:tcPr>
          <w:p>
            <w:pPr>
              <w:spacing w:after="50" w:before="50" w:line="252" w:lineRule="auto"/>
            </w:pPr>
            <w:r>
              <w:rPr>
                <w:sz w:val="17"/>
              </w:rPr>
              <w:t>₹1.52 crore</w:t>
            </w:r>
          </w:p>
        </w:tc>
        <w:tc>
          <w:tcPr>
            <w:tcW w:type="dxa" w:w="1462"/>
          </w:tcPr>
          <w:p>
            <w:pPr>
              <w:spacing w:after="50" w:before="50" w:line="252" w:lineRule="auto"/>
            </w:pPr>
            <w:r>
              <w:rPr>
                <w:sz w:val="17"/>
              </w:rPr>
              <w:t>₹3.05 crore</w:t>
            </w:r>
          </w:p>
        </w:tc>
      </w:tr>
      <w:tr>
        <w:tc>
          <w:tcPr>
            <w:tcW w:type="dxa" w:w="5146"/>
            <w:shd w:val="clear" w:color="auto" w:fill="EAF1F4"/>
          </w:tcPr>
          <w:p>
            <w:pPr>
              <w:spacing w:after="50" w:before="50" w:line="252" w:lineRule="auto"/>
            </w:pPr>
            <w:r>
              <w:rPr>
                <w:sz w:val="17"/>
              </w:rPr>
              <w:t>Blended contribution margin</w:t>
            </w:r>
          </w:p>
        </w:tc>
        <w:tc>
          <w:tcPr>
            <w:tcW w:type="dxa" w:w="1398"/>
            <w:shd w:val="clear" w:color="auto" w:fill="EAF1F4"/>
          </w:tcPr>
          <w:p>
            <w:pPr>
              <w:spacing w:after="50" w:before="50" w:line="252" w:lineRule="auto"/>
            </w:pPr>
            <w:r>
              <w:rPr>
                <w:sz w:val="17"/>
              </w:rPr>
              <w:t>30%</w:t>
            </w:r>
          </w:p>
        </w:tc>
        <w:tc>
          <w:tcPr>
            <w:tcW w:type="dxa" w:w="1462"/>
            <w:shd w:val="clear" w:color="auto" w:fill="EAF1F4"/>
          </w:tcPr>
          <w:p>
            <w:pPr>
              <w:spacing w:after="50" w:before="50" w:line="252" w:lineRule="auto"/>
            </w:pPr>
            <w:r>
              <w:rPr>
                <w:sz w:val="17"/>
              </w:rPr>
              <w:t>34%</w:t>
            </w:r>
          </w:p>
        </w:tc>
        <w:tc>
          <w:tcPr>
            <w:tcW w:type="dxa" w:w="1462"/>
            <w:shd w:val="clear" w:color="auto" w:fill="EAF1F4"/>
          </w:tcPr>
          <w:p>
            <w:pPr>
              <w:spacing w:after="50" w:before="50" w:line="252" w:lineRule="auto"/>
            </w:pPr>
            <w:r>
              <w:rPr>
                <w:sz w:val="17"/>
              </w:rPr>
              <w:t>36%</w:t>
            </w:r>
          </w:p>
        </w:tc>
      </w:tr>
      <w:tr>
        <w:tc>
          <w:tcPr>
            <w:tcW w:type="dxa" w:w="5146"/>
          </w:tcPr>
          <w:p>
            <w:pPr>
              <w:spacing w:after="50" w:before="50" w:line="252" w:lineRule="auto"/>
            </w:pPr>
            <w:r>
              <w:rPr>
                <w:b/>
                <w:sz w:val="17"/>
              </w:rPr>
              <w:t>Advisory retainers active</w:t>
            </w:r>
          </w:p>
        </w:tc>
        <w:tc>
          <w:tcPr>
            <w:tcW w:type="dxa" w:w="1398"/>
          </w:tcPr>
          <w:p>
            <w:pPr>
              <w:spacing w:after="50" w:before="50" w:line="252" w:lineRule="auto"/>
            </w:pPr>
            <w:r>
              <w:rPr>
                <w:sz w:val="17"/>
              </w:rPr>
              <w:t>2</w:t>
            </w:r>
          </w:p>
        </w:tc>
        <w:tc>
          <w:tcPr>
            <w:tcW w:type="dxa" w:w="1462"/>
          </w:tcPr>
          <w:p>
            <w:pPr>
              <w:spacing w:after="50" w:before="50" w:line="252" w:lineRule="auto"/>
            </w:pPr>
            <w:r>
              <w:rPr>
                <w:sz w:val="17"/>
              </w:rPr>
              <w:t>10</w:t>
            </w:r>
          </w:p>
        </w:tc>
        <w:tc>
          <w:tcPr>
            <w:tcW w:type="dxa" w:w="1462"/>
          </w:tcPr>
          <w:p>
            <w:pPr>
              <w:spacing w:after="50" w:before="50" w:line="252" w:lineRule="auto"/>
            </w:pPr>
            <w:r>
              <w:rPr>
                <w:sz w:val="17"/>
              </w:rPr>
              <w:t>22</w:t>
            </w:r>
          </w:p>
        </w:tc>
      </w:tr>
      <w:tr>
        <w:tc>
          <w:tcPr>
            <w:tcW w:type="dxa" w:w="5146"/>
            <w:shd w:val="clear" w:color="auto" w:fill="EAF1F4"/>
          </w:tcPr>
          <w:p>
            <w:pPr>
              <w:spacing w:after="50" w:before="50" w:line="252" w:lineRule="auto"/>
            </w:pPr>
            <w:r>
              <w:rPr>
                <w:sz w:val="17"/>
              </w:rPr>
              <w:t>Coaching engagements</w:t>
            </w:r>
          </w:p>
        </w:tc>
        <w:tc>
          <w:tcPr>
            <w:tcW w:type="dxa" w:w="1398"/>
            <w:shd w:val="clear" w:color="auto" w:fill="EAF1F4"/>
          </w:tcPr>
          <w:p>
            <w:pPr>
              <w:spacing w:after="50" w:before="50" w:line="252" w:lineRule="auto"/>
            </w:pPr>
            <w:r>
              <w:rPr>
                <w:sz w:val="17"/>
              </w:rPr>
              <w:t>3</w:t>
            </w:r>
          </w:p>
        </w:tc>
        <w:tc>
          <w:tcPr>
            <w:tcW w:type="dxa" w:w="1462"/>
            <w:shd w:val="clear" w:color="auto" w:fill="EAF1F4"/>
          </w:tcPr>
          <w:p>
            <w:pPr>
              <w:spacing w:after="50" w:before="50" w:line="252" w:lineRule="auto"/>
            </w:pPr>
            <w:r>
              <w:rPr>
                <w:sz w:val="17"/>
              </w:rPr>
              <w:t>12</w:t>
            </w:r>
          </w:p>
        </w:tc>
        <w:tc>
          <w:tcPr>
            <w:tcW w:type="dxa" w:w="1462"/>
            <w:shd w:val="clear" w:color="auto" w:fill="EAF1F4"/>
          </w:tcPr>
          <w:p>
            <w:pPr>
              <w:spacing w:after="50" w:before="50" w:line="252" w:lineRule="auto"/>
            </w:pPr>
            <w:r>
              <w:rPr>
                <w:sz w:val="17"/>
              </w:rPr>
              <w:t>26</w:t>
            </w:r>
          </w:p>
        </w:tc>
      </w:tr>
      <w:tr>
        <w:tc>
          <w:tcPr>
            <w:tcW w:type="dxa" w:w="5146"/>
          </w:tcPr>
          <w:p>
            <w:pPr>
              <w:spacing w:after="50" w:before="50" w:line="252" w:lineRule="auto"/>
            </w:pPr>
            <w:r>
              <w:rPr>
                <w:sz w:val="17"/>
              </w:rPr>
              <w:t>Curriculum licences</w:t>
            </w:r>
          </w:p>
        </w:tc>
        <w:tc>
          <w:tcPr>
            <w:tcW w:type="dxa" w:w="1398"/>
          </w:tcPr>
          <w:p>
            <w:pPr>
              <w:spacing w:after="50" w:before="50" w:line="252" w:lineRule="auto"/>
            </w:pPr>
            <w:r>
              <w:rPr>
                <w:sz w:val="17"/>
              </w:rPr>
              <w:t>0</w:t>
            </w:r>
          </w:p>
        </w:tc>
        <w:tc>
          <w:tcPr>
            <w:tcW w:type="dxa" w:w="1462"/>
          </w:tcPr>
          <w:p>
            <w:pPr>
              <w:spacing w:after="50" w:before="50" w:line="252" w:lineRule="auto"/>
            </w:pPr>
            <w:r>
              <w:rPr>
                <w:sz w:val="17"/>
              </w:rPr>
              <w:t>3</w:t>
            </w:r>
          </w:p>
        </w:tc>
        <w:tc>
          <w:tcPr>
            <w:tcW w:type="dxa" w:w="1462"/>
          </w:tcPr>
          <w:p>
            <w:pPr>
              <w:spacing w:after="50" w:before="50" w:line="252" w:lineRule="auto"/>
            </w:pPr>
            <w:r>
              <w:rPr>
                <w:sz w:val="17"/>
              </w:rPr>
              <w:t>8</w:t>
            </w:r>
          </w:p>
        </w:tc>
      </w:tr>
      <w:tr>
        <w:tc>
          <w:tcPr>
            <w:tcW w:type="dxa" w:w="5146"/>
            <w:shd w:val="clear" w:color="auto" w:fill="EAF1F4"/>
          </w:tcPr>
          <w:p>
            <w:pPr>
              <w:spacing w:after="50" w:before="50" w:line="252" w:lineRule="auto"/>
            </w:pPr>
            <w:r>
              <w:rPr>
                <w:sz w:val="17"/>
              </w:rPr>
              <w:t>Competition net result</w:t>
            </w:r>
          </w:p>
        </w:tc>
        <w:tc>
          <w:tcPr>
            <w:tcW w:type="dxa" w:w="1398"/>
            <w:shd w:val="clear" w:color="auto" w:fill="EAF1F4"/>
          </w:tcPr>
          <w:p>
            <w:pPr>
              <w:spacing w:after="50" w:before="50" w:line="252" w:lineRule="auto"/>
            </w:pPr>
            <w:r>
              <w:rPr>
                <w:sz w:val="17"/>
              </w:rPr>
              <w:t>(₹2.2 lakh)</w:t>
            </w:r>
          </w:p>
        </w:tc>
        <w:tc>
          <w:tcPr>
            <w:tcW w:type="dxa" w:w="1462"/>
            <w:shd w:val="clear" w:color="auto" w:fill="EAF1F4"/>
          </w:tcPr>
          <w:p>
            <w:pPr>
              <w:spacing w:after="50" w:before="50" w:line="252" w:lineRule="auto"/>
            </w:pPr>
            <w:r>
              <w:rPr>
                <w:sz w:val="17"/>
              </w:rPr>
              <w:t>₹1.1 lakh</w:t>
            </w:r>
          </w:p>
        </w:tc>
        <w:tc>
          <w:tcPr>
            <w:tcW w:type="dxa" w:w="1462"/>
            <w:shd w:val="clear" w:color="auto" w:fill="EAF1F4"/>
          </w:tcPr>
          <w:p>
            <w:pPr>
              <w:spacing w:after="50" w:before="50" w:line="252" w:lineRule="auto"/>
            </w:pPr>
            <w:r>
              <w:rPr>
                <w:sz w:val="17"/>
              </w:rPr>
              <w:t>₹6.5 lakh</w:t>
            </w:r>
          </w:p>
        </w:tc>
      </w:tr>
      <w:tr>
        <w:tc>
          <w:tcPr>
            <w:tcW w:type="dxa" w:w="5146"/>
          </w:tcPr>
          <w:p>
            <w:pPr>
              <w:spacing w:after="50" w:before="50" w:line="252" w:lineRule="auto"/>
            </w:pPr>
            <w:r>
              <w:rPr>
                <w:sz w:val="17"/>
              </w:rPr>
              <w:t>Receivables over 60 days</w:t>
            </w:r>
          </w:p>
        </w:tc>
        <w:tc>
          <w:tcPr>
            <w:tcW w:type="dxa" w:w="1398"/>
          </w:tcPr>
          <w:p>
            <w:pPr>
              <w:spacing w:after="50" w:before="50" w:line="252" w:lineRule="auto"/>
            </w:pPr>
            <w:r>
              <w:rPr>
                <w:sz w:val="17"/>
              </w:rPr>
              <w:t>&lt; 8%</w:t>
            </w:r>
          </w:p>
        </w:tc>
        <w:tc>
          <w:tcPr>
            <w:tcW w:type="dxa" w:w="1462"/>
          </w:tcPr>
          <w:p>
            <w:pPr>
              <w:spacing w:after="50" w:before="50" w:line="252" w:lineRule="auto"/>
            </w:pPr>
            <w:r>
              <w:rPr>
                <w:sz w:val="17"/>
              </w:rPr>
              <w:t>&lt; 6%</w:t>
            </w:r>
          </w:p>
        </w:tc>
        <w:tc>
          <w:tcPr>
            <w:tcW w:type="dxa" w:w="1462"/>
          </w:tcPr>
          <w:p>
            <w:pPr>
              <w:spacing w:after="50" w:before="50" w:line="252" w:lineRule="auto"/>
            </w:pPr>
            <w:r>
              <w:rPr>
                <w:sz w:val="17"/>
              </w:rPr>
              <w:t>&lt; 5%</w:t>
            </w:r>
          </w:p>
        </w:tc>
      </w:tr>
    </w:tbl>
    <w:p>
      <w:pPr>
        <w:spacing w:after="80" w:before="0"/>
      </w:pPr>
    </w:p>
    <w:p>
      <w:pPr>
        <w:pStyle w:val="Heading2"/>
      </w:pPr>
      <w:r>
        <w:t>2.4 Quality and compliance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624"/>
            <w:shd w:val="clear" w:color="auto" w:fill="10375C"/>
          </w:tcPr>
          <w:p>
            <w:pPr>
              <w:spacing w:after="50" w:before="50"/>
            </w:pPr>
            <w:r>
              <w:rPr>
                <w:b/>
                <w:color w:val="FFFFFF"/>
                <w:sz w:val="17"/>
              </w:rPr>
              <w:t>KPI</w:t>
            </w:r>
          </w:p>
        </w:tc>
        <w:tc>
          <w:tcPr>
            <w:tcW w:type="dxa" w:w="1844"/>
            <w:shd w:val="clear" w:color="auto" w:fill="10375C"/>
          </w:tcPr>
          <w:p>
            <w:pPr>
              <w:spacing w:after="50" w:before="50"/>
            </w:pPr>
            <w:r>
              <w:rPr>
                <w:b/>
                <w:color w:val="FFFFFF"/>
                <w:sz w:val="17"/>
              </w:rPr>
              <w:t>Threshold</w:t>
            </w:r>
          </w:p>
        </w:tc>
      </w:tr>
      <w:tr>
        <w:tc>
          <w:tcPr>
            <w:tcW w:type="dxa" w:w="7624"/>
          </w:tcPr>
          <w:p>
            <w:pPr>
              <w:spacing w:after="50" w:before="50" w:line="252" w:lineRule="auto"/>
            </w:pPr>
            <w:r>
              <w:rPr>
                <w:sz w:val="17"/>
              </w:rPr>
              <w:t>Mean participant feedback</w:t>
            </w:r>
          </w:p>
        </w:tc>
        <w:tc>
          <w:tcPr>
            <w:tcW w:type="dxa" w:w="1844"/>
          </w:tcPr>
          <w:p>
            <w:pPr>
              <w:spacing w:after="50" w:before="50" w:line="252" w:lineRule="auto"/>
            </w:pPr>
            <w:r>
              <w:rPr>
                <w:sz w:val="17"/>
              </w:rPr>
              <w:t>≥ 4.0</w:t>
            </w:r>
          </w:p>
        </w:tc>
      </w:tr>
      <w:tr>
        <w:tc>
          <w:tcPr>
            <w:tcW w:type="dxa" w:w="7624"/>
            <w:shd w:val="clear" w:color="auto" w:fill="EAF1F4"/>
          </w:tcPr>
          <w:p>
            <w:pPr>
              <w:spacing w:after="50" w:before="50" w:line="252" w:lineRule="auto"/>
            </w:pPr>
            <w:r>
              <w:rPr>
                <w:sz w:val="17"/>
              </w:rPr>
              <w:t>Programmes delivered on agreed dates</w:t>
            </w:r>
          </w:p>
        </w:tc>
        <w:tc>
          <w:tcPr>
            <w:tcW w:type="dxa" w:w="1844"/>
            <w:shd w:val="clear" w:color="auto" w:fill="EAF1F4"/>
          </w:tcPr>
          <w:p>
            <w:pPr>
              <w:spacing w:after="50" w:before="50" w:line="252" w:lineRule="auto"/>
            </w:pPr>
            <w:r>
              <w:rPr>
                <w:sz w:val="17"/>
              </w:rPr>
              <w:t>≥ 95%</w:t>
            </w:r>
          </w:p>
        </w:tc>
      </w:tr>
      <w:tr>
        <w:tc>
          <w:tcPr>
            <w:tcW w:type="dxa" w:w="7624"/>
          </w:tcPr>
          <w:p>
            <w:pPr>
              <w:spacing w:after="50" w:before="50" w:line="252" w:lineRule="auto"/>
            </w:pPr>
            <w:r>
              <w:rPr>
                <w:sz w:val="17"/>
              </w:rPr>
              <w:t>Reports issued within 21 days</w:t>
            </w:r>
          </w:p>
        </w:tc>
        <w:tc>
          <w:tcPr>
            <w:tcW w:type="dxa" w:w="1844"/>
          </w:tcPr>
          <w:p>
            <w:pPr>
              <w:spacing w:after="50" w:before="50" w:line="252" w:lineRule="auto"/>
            </w:pPr>
            <w:r>
              <w:rPr>
                <w:sz w:val="17"/>
              </w:rPr>
              <w:t>100%</w:t>
            </w:r>
          </w:p>
        </w:tc>
      </w:tr>
      <w:tr>
        <w:tc>
          <w:tcPr>
            <w:tcW w:type="dxa" w:w="7624"/>
            <w:shd w:val="clear" w:color="auto" w:fill="EAF1F4"/>
          </w:tcPr>
          <w:p>
            <w:pPr>
              <w:spacing w:after="50" w:before="50" w:line="252" w:lineRule="auto"/>
            </w:pPr>
            <w:r>
              <w:rPr>
                <w:sz w:val="17"/>
              </w:rPr>
              <w:t>Assessment appeal rate</w:t>
            </w:r>
          </w:p>
        </w:tc>
        <w:tc>
          <w:tcPr>
            <w:tcW w:type="dxa" w:w="1844"/>
            <w:shd w:val="clear" w:color="auto" w:fill="EAF1F4"/>
          </w:tcPr>
          <w:p>
            <w:pPr>
              <w:spacing w:after="50" w:before="50" w:line="252" w:lineRule="auto"/>
            </w:pPr>
            <w:r>
              <w:rPr>
                <w:sz w:val="17"/>
              </w:rPr>
              <w:t>&lt; 3%</w:t>
            </w:r>
          </w:p>
        </w:tc>
      </w:tr>
      <w:tr>
        <w:tc>
          <w:tcPr>
            <w:tcW w:type="dxa" w:w="7624"/>
          </w:tcPr>
          <w:p>
            <w:pPr>
              <w:spacing w:after="50" w:before="50" w:line="252" w:lineRule="auto"/>
            </w:pPr>
            <w:r>
              <w:rPr>
                <w:sz w:val="17"/>
              </w:rPr>
              <w:t>Calibration divergence</w:t>
            </w:r>
          </w:p>
        </w:tc>
        <w:tc>
          <w:tcPr>
            <w:tcW w:type="dxa" w:w="1844"/>
          </w:tcPr>
          <w:p>
            <w:pPr>
              <w:spacing w:after="50" w:before="50" w:line="252" w:lineRule="auto"/>
            </w:pPr>
            <w:r>
              <w:rPr>
                <w:sz w:val="17"/>
              </w:rPr>
              <w:t>≤ 8 marks</w:t>
            </w:r>
          </w:p>
        </w:tc>
      </w:tr>
      <w:tr>
        <w:tc>
          <w:tcPr>
            <w:tcW w:type="dxa" w:w="7624"/>
            <w:shd w:val="clear" w:color="auto" w:fill="EAF1F4"/>
          </w:tcPr>
          <w:p>
            <w:pPr>
              <w:spacing w:after="50" w:before="50" w:line="252" w:lineRule="auto"/>
            </w:pPr>
            <w:r>
              <w:rPr>
                <w:sz w:val="17"/>
              </w:rPr>
              <w:t>Partner satisfaction</w:t>
            </w:r>
          </w:p>
        </w:tc>
        <w:tc>
          <w:tcPr>
            <w:tcW w:type="dxa" w:w="1844"/>
            <w:shd w:val="clear" w:color="auto" w:fill="EAF1F4"/>
          </w:tcPr>
          <w:p>
            <w:pPr>
              <w:spacing w:after="50" w:before="50" w:line="252" w:lineRule="auto"/>
            </w:pPr>
            <w:r>
              <w:rPr>
                <w:sz w:val="17"/>
              </w:rPr>
              <w:t>≥ 4.0</w:t>
            </w:r>
          </w:p>
        </w:tc>
      </w:tr>
      <w:tr>
        <w:tc>
          <w:tcPr>
            <w:tcW w:type="dxa" w:w="7624"/>
          </w:tcPr>
          <w:p>
            <w:pPr>
              <w:spacing w:after="50" w:before="50" w:line="252" w:lineRule="auto"/>
            </w:pPr>
            <w:r>
              <w:rPr>
                <w:sz w:val="17"/>
              </w:rPr>
              <w:t>Would-renew responses</w:t>
            </w:r>
          </w:p>
        </w:tc>
        <w:tc>
          <w:tcPr>
            <w:tcW w:type="dxa" w:w="1844"/>
          </w:tcPr>
          <w:p>
            <w:pPr>
              <w:spacing w:after="50" w:before="50" w:line="252" w:lineRule="auto"/>
            </w:pPr>
            <w:r>
              <w:rPr>
                <w:sz w:val="17"/>
              </w:rPr>
              <w:t>≥ 85%</w:t>
            </w:r>
          </w:p>
        </w:tc>
      </w:tr>
      <w:tr>
        <w:tc>
          <w:tcPr>
            <w:tcW w:type="dxa" w:w="7624"/>
            <w:shd w:val="clear" w:color="auto" w:fill="EAF1F4"/>
          </w:tcPr>
          <w:p>
            <w:pPr>
              <w:spacing w:after="50" w:before="50" w:line="252" w:lineRule="auto"/>
            </w:pPr>
            <w:r>
              <w:rPr>
                <w:b/>
                <w:sz w:val="17"/>
              </w:rPr>
              <w:t>Serious incidents</w:t>
            </w:r>
          </w:p>
        </w:tc>
        <w:tc>
          <w:tcPr>
            <w:tcW w:type="dxa" w:w="1844"/>
            <w:shd w:val="clear" w:color="auto" w:fill="EAF1F4"/>
          </w:tcPr>
          <w:p>
            <w:pPr>
              <w:spacing w:after="50" w:before="50" w:line="252" w:lineRule="auto"/>
            </w:pPr>
            <w:r>
              <w:rPr>
                <w:b/>
                <w:sz w:val="17"/>
              </w:rPr>
              <w:t>Zero</w:t>
            </w:r>
          </w:p>
        </w:tc>
      </w:tr>
      <w:tr>
        <w:tc>
          <w:tcPr>
            <w:tcW w:type="dxa" w:w="7624"/>
          </w:tcPr>
          <w:p>
            <w:pPr>
              <w:spacing w:after="50" w:before="50" w:line="252" w:lineRule="auto"/>
            </w:pPr>
            <w:r>
              <w:rPr>
                <w:sz w:val="17"/>
              </w:rPr>
              <w:t>Open [verify] items over 12 months old</w:t>
            </w:r>
          </w:p>
        </w:tc>
        <w:tc>
          <w:tcPr>
            <w:tcW w:type="dxa" w:w="1844"/>
          </w:tcPr>
          <w:p>
            <w:pPr>
              <w:spacing w:after="50" w:before="50" w:line="252" w:lineRule="auto"/>
            </w:pPr>
            <w:r>
              <w:rPr>
                <w:sz w:val="17"/>
              </w:rPr>
              <w:t>Zero</w:t>
            </w:r>
          </w:p>
        </w:tc>
      </w:tr>
    </w:tbl>
    <w:p>
      <w:pPr>
        <w:spacing w:after="80" w:before="0"/>
      </w:pPr>
    </w:p>
    <w:p>
      <w:pPr>
        <w:spacing w:before="80" w:after="160"/>
        <w:pBdr>
          <w:bottom w:val="single" w:sz="6" w:space="1" w:color="C9D6DE"/>
        </w:pBdr>
      </w:pPr>
    </w:p>
    <w:p>
      <w:pPr>
        <w:pStyle w:val="Heading1"/>
        <w:pBdr>
          <w:bottom w:val="single" w:sz="8" w:space="4" w:color="C9D6DE"/>
        </w:pBdr>
      </w:pPr>
      <w:r>
        <w:t>3. Partnership scorecard</w:t>
      </w:r>
    </w:p>
    <w:p>
      <w:r>
        <w:t xml:space="preserve">Completed annually for every partnership. </w:t>
      </w:r>
      <w:r>
        <w:rPr>
          <w:b/>
        </w:rPr>
        <w:t>Nine tests; a partnership failing two or more in consecutive years is restructured or allowed to lapse.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1553"/>
            <w:shd w:val="clear" w:color="auto" w:fill="10375C"/>
          </w:tcPr>
          <w:p>
            <w:pPr>
              <w:spacing w:after="50" w:before="50"/>
            </w:pPr>
            <w:r>
              <w:rPr>
                <w:b/>
                <w:color w:val="FFFFFF"/>
                <w:sz w:val="17"/>
              </w:rPr>
              <w:t>Test</w:t>
            </w:r>
          </w:p>
        </w:tc>
        <w:tc>
          <w:tcPr>
            <w:tcW w:type="dxa" w:w="4148"/>
            <w:shd w:val="clear" w:color="auto" w:fill="10375C"/>
          </w:tcPr>
          <w:p>
            <w:pPr>
              <w:spacing w:after="50" w:before="50"/>
            </w:pPr>
            <w:r>
              <w:rPr>
                <w:b/>
                <w:color w:val="FFFFFF"/>
                <w:sz w:val="17"/>
              </w:rPr>
              <w:t>Measure</w:t>
            </w:r>
          </w:p>
        </w:tc>
        <w:tc>
          <w:tcPr>
            <w:tcW w:type="dxa" w:w="1484"/>
            <w:shd w:val="clear" w:color="auto" w:fill="10375C"/>
          </w:tcPr>
          <w:p>
            <w:pPr>
              <w:spacing w:after="50" w:before="50"/>
            </w:pPr>
            <w:r>
              <w:rPr>
                <w:b/>
                <w:color w:val="FFFFFF"/>
                <w:sz w:val="17"/>
              </w:rPr>
              <w:t>Tier 1</w:t>
            </w:r>
          </w:p>
        </w:tc>
        <w:tc>
          <w:tcPr>
            <w:tcW w:type="dxa" w:w="1067"/>
            <w:shd w:val="clear" w:color="auto" w:fill="10375C"/>
          </w:tcPr>
          <w:p>
            <w:pPr>
              <w:spacing w:after="50" w:before="50"/>
            </w:pPr>
            <w:r>
              <w:rPr>
                <w:b/>
                <w:color w:val="FFFFFF"/>
                <w:sz w:val="17"/>
              </w:rPr>
              <w:t>Tier 2</w:t>
            </w:r>
          </w:p>
        </w:tc>
        <w:tc>
          <w:tcPr>
            <w:tcW w:type="dxa" w:w="850"/>
            <w:shd w:val="clear" w:color="auto" w:fill="10375C"/>
          </w:tcPr>
          <w:p>
            <w:pPr>
              <w:spacing w:after="50" w:before="50"/>
            </w:pPr>
            <w:r>
              <w:rPr>
                <w:b/>
                <w:color w:val="FFFFFF"/>
                <w:sz w:val="17"/>
              </w:rPr>
              <w:t>Tier 3</w:t>
            </w:r>
          </w:p>
        </w:tc>
        <w:tc>
          <w:tcPr>
            <w:tcW w:type="dxa" w:w="850"/>
            <w:shd w:val="clear" w:color="auto" w:fill="10375C"/>
          </w:tcPr>
          <w:p>
            <w:pPr>
              <w:spacing w:after="50" w:before="50"/>
            </w:pPr>
            <w:r>
              <w:rPr>
                <w:b/>
                <w:color w:val="FFFFFF"/>
                <w:sz w:val="17"/>
              </w:rPr>
              <w:t>Result</w:t>
            </w:r>
          </w:p>
        </w:tc>
      </w:tr>
      <w:tr>
        <w:tc>
          <w:tcPr>
            <w:tcW w:type="dxa" w:w="1553"/>
          </w:tcPr>
          <w:p>
            <w:pPr>
              <w:spacing w:after="50" w:before="50" w:line="252" w:lineRule="auto"/>
            </w:pPr>
            <w:r>
              <w:rPr>
                <w:b/>
                <w:sz w:val="17"/>
              </w:rPr>
              <w:t>T1 Activity</w:t>
            </w:r>
          </w:p>
        </w:tc>
        <w:tc>
          <w:tcPr>
            <w:tcW w:type="dxa" w:w="4148"/>
          </w:tcPr>
          <w:p>
            <w:pPr>
              <w:spacing w:after="50" w:before="50" w:line="252" w:lineRule="auto"/>
            </w:pPr>
            <w:r>
              <w:rPr>
                <w:sz w:val="17"/>
              </w:rPr>
              <w:t>Activities delivered against the MOU minimum</w:t>
            </w:r>
          </w:p>
        </w:tc>
        <w:tc>
          <w:tcPr>
            <w:tcW w:type="dxa" w:w="1484"/>
          </w:tcPr>
          <w:p>
            <w:pPr>
              <w:spacing w:after="50" w:before="50" w:line="252" w:lineRule="auto"/>
            </w:pPr>
            <w:r>
              <w:rPr>
                <w:sz w:val="17"/>
              </w:rPr>
              <w:t>Met</w:t>
            </w:r>
          </w:p>
        </w:tc>
        <w:tc>
          <w:tcPr>
            <w:tcW w:type="dxa" w:w="1067"/>
          </w:tcPr>
          <w:p>
            <w:pPr>
              <w:spacing w:after="50" w:before="50" w:line="252" w:lineRule="auto"/>
            </w:pPr>
            <w:r>
              <w:rPr>
                <w:sz w:val="17"/>
              </w:rPr>
              <w:t>Met</w:t>
            </w:r>
          </w:p>
        </w:tc>
        <w:tc>
          <w:tcPr>
            <w:tcW w:type="dxa" w:w="850"/>
          </w:tcPr>
          <w:p>
            <w:pPr>
              <w:spacing w:after="50" w:before="50" w:line="252" w:lineRule="auto"/>
            </w:pPr>
            <w:r>
              <w:rPr>
                <w:sz w:val="17"/>
              </w:rPr>
              <w:t>Met</w:t>
            </w:r>
          </w:p>
        </w:tc>
        <w:tc>
          <w:tcPr>
            <w:tcW w:type="dxa" w:w="850"/>
          </w:tcPr>
          <w:p>
            <w:pPr>
              <w:spacing w:after="50" w:before="50" w:line="252" w:lineRule="auto"/>
            </w:pPr>
          </w:p>
        </w:tc>
      </w:tr>
      <w:tr>
        <w:tc>
          <w:tcPr>
            <w:tcW w:type="dxa" w:w="1553"/>
            <w:shd w:val="clear" w:color="auto" w:fill="EAF1F4"/>
          </w:tcPr>
          <w:p>
            <w:pPr>
              <w:spacing w:after="50" w:before="50" w:line="252" w:lineRule="auto"/>
            </w:pPr>
            <w:r>
              <w:rPr>
                <w:b/>
                <w:sz w:val="17"/>
              </w:rPr>
              <w:t>T2 Revenue</w:t>
            </w:r>
          </w:p>
        </w:tc>
        <w:tc>
          <w:tcPr>
            <w:tcW w:type="dxa" w:w="4148"/>
            <w:shd w:val="clear" w:color="auto" w:fill="EAF1F4"/>
          </w:tcPr>
          <w:p>
            <w:pPr>
              <w:spacing w:after="50" w:before="50" w:line="252" w:lineRule="auto"/>
            </w:pPr>
            <w:r>
              <w:rPr>
                <w:sz w:val="17"/>
              </w:rPr>
              <w:t>Equator revenue against tier benchmark</w:t>
            </w:r>
          </w:p>
        </w:tc>
        <w:tc>
          <w:tcPr>
            <w:tcW w:type="dxa" w:w="1484"/>
            <w:shd w:val="clear" w:color="auto" w:fill="EAF1F4"/>
          </w:tcPr>
          <w:p>
            <w:pPr>
              <w:spacing w:after="50" w:before="50" w:line="252" w:lineRule="auto"/>
            </w:pPr>
            <w:r>
              <w:rPr>
                <w:sz w:val="17"/>
              </w:rPr>
              <w:t>≥ ₹17 lakh</w:t>
            </w:r>
          </w:p>
        </w:tc>
        <w:tc>
          <w:tcPr>
            <w:tcW w:type="dxa" w:w="1067"/>
            <w:shd w:val="clear" w:color="auto" w:fill="EAF1F4"/>
          </w:tcPr>
          <w:p>
            <w:pPr>
              <w:spacing w:after="50" w:before="50" w:line="252" w:lineRule="auto"/>
            </w:pPr>
            <w:r>
              <w:rPr>
                <w:sz w:val="17"/>
              </w:rPr>
              <w:t>≥ ₹6 lakh</w:t>
            </w:r>
          </w:p>
        </w:tc>
        <w:tc>
          <w:tcPr>
            <w:tcW w:type="dxa" w:w="850"/>
            <w:shd w:val="clear" w:color="auto" w:fill="EAF1F4"/>
          </w:tcPr>
          <w:p>
            <w:pPr>
              <w:spacing w:after="50" w:before="50" w:line="252" w:lineRule="auto"/>
            </w:pPr>
            <w:r>
              <w:rPr>
                <w:sz w:val="17"/>
              </w:rPr>
              <w:t>n/a</w:t>
            </w:r>
          </w:p>
        </w:tc>
        <w:tc>
          <w:tcPr>
            <w:tcW w:type="dxa" w:w="850"/>
            <w:shd w:val="clear" w:color="auto" w:fill="EAF1F4"/>
          </w:tcPr>
          <w:p>
            <w:pPr>
              <w:spacing w:after="50" w:before="50" w:line="252" w:lineRule="auto"/>
            </w:pPr>
          </w:p>
        </w:tc>
      </w:tr>
      <w:tr>
        <w:tc>
          <w:tcPr>
            <w:tcW w:type="dxa" w:w="1553"/>
          </w:tcPr>
          <w:p>
            <w:pPr>
              <w:spacing w:after="50" w:before="50" w:line="252" w:lineRule="auto"/>
            </w:pPr>
            <w:r>
              <w:rPr>
                <w:b/>
                <w:sz w:val="17"/>
              </w:rPr>
              <w:t>T3 Margin</w:t>
            </w:r>
          </w:p>
        </w:tc>
        <w:tc>
          <w:tcPr>
            <w:tcW w:type="dxa" w:w="4148"/>
          </w:tcPr>
          <w:p>
            <w:pPr>
              <w:spacing w:after="50" w:before="50" w:line="252" w:lineRule="auto"/>
            </w:pPr>
            <w:r>
              <w:rPr>
                <w:sz w:val="17"/>
              </w:rPr>
              <w:t>Contribution margin</w:t>
            </w:r>
          </w:p>
        </w:tc>
        <w:tc>
          <w:tcPr>
            <w:tcW w:type="dxa" w:w="1484"/>
          </w:tcPr>
          <w:p>
            <w:pPr>
              <w:spacing w:after="50" w:before="50" w:line="252" w:lineRule="auto"/>
            </w:pPr>
            <w:r>
              <w:rPr>
                <w:sz w:val="17"/>
              </w:rPr>
              <w:t>≥ 25%</w:t>
            </w:r>
          </w:p>
        </w:tc>
        <w:tc>
          <w:tcPr>
            <w:tcW w:type="dxa" w:w="1067"/>
          </w:tcPr>
          <w:p>
            <w:pPr>
              <w:spacing w:after="50" w:before="50" w:line="252" w:lineRule="auto"/>
            </w:pPr>
            <w:r>
              <w:rPr>
                <w:sz w:val="17"/>
              </w:rPr>
              <w:t>≥ 25%</w:t>
            </w:r>
          </w:p>
        </w:tc>
        <w:tc>
          <w:tcPr>
            <w:tcW w:type="dxa" w:w="850"/>
          </w:tcPr>
          <w:p>
            <w:pPr>
              <w:spacing w:after="50" w:before="50" w:line="252" w:lineRule="auto"/>
            </w:pPr>
            <w:r>
              <w:rPr>
                <w:sz w:val="17"/>
              </w:rPr>
              <w:t>n/a</w:t>
            </w:r>
          </w:p>
        </w:tc>
        <w:tc>
          <w:tcPr>
            <w:tcW w:type="dxa" w:w="850"/>
          </w:tcPr>
          <w:p>
            <w:pPr>
              <w:spacing w:after="50" w:before="50" w:line="252" w:lineRule="auto"/>
            </w:pPr>
          </w:p>
        </w:tc>
      </w:tr>
      <w:tr>
        <w:tc>
          <w:tcPr>
            <w:tcW w:type="dxa" w:w="1553"/>
            <w:shd w:val="clear" w:color="auto" w:fill="EAF1F4"/>
          </w:tcPr>
          <w:p>
            <w:pPr>
              <w:spacing w:after="50" w:before="50" w:line="252" w:lineRule="auto"/>
            </w:pPr>
            <w:r>
              <w:rPr>
                <w:b/>
                <w:sz w:val="17"/>
              </w:rPr>
              <w:t>T4 Payback</w:t>
            </w:r>
          </w:p>
        </w:tc>
        <w:tc>
          <w:tcPr>
            <w:tcW w:type="dxa" w:w="4148"/>
            <w:shd w:val="clear" w:color="auto" w:fill="EAF1F4"/>
          </w:tcPr>
          <w:p>
            <w:pPr>
              <w:spacing w:after="50" w:before="50" w:line="252" w:lineRule="auto"/>
            </w:pPr>
            <w:r>
              <w:rPr>
                <w:sz w:val="17"/>
              </w:rPr>
              <w:t>Cumulative net contribution against acquisition cost</w:t>
            </w:r>
          </w:p>
        </w:tc>
        <w:tc>
          <w:tcPr>
            <w:tcW w:type="dxa" w:w="1484"/>
            <w:shd w:val="clear" w:color="auto" w:fill="EAF1F4"/>
          </w:tcPr>
          <w:p>
            <w:pPr>
              <w:spacing w:after="50" w:before="50" w:line="252" w:lineRule="auto"/>
            </w:pPr>
            <w:r>
              <w:rPr>
                <w:sz w:val="17"/>
              </w:rPr>
              <w:t>Positive by year 2</w:t>
            </w:r>
          </w:p>
        </w:tc>
        <w:tc>
          <w:tcPr>
            <w:tcW w:type="dxa" w:w="1067"/>
            <w:shd w:val="clear" w:color="auto" w:fill="EAF1F4"/>
          </w:tcPr>
          <w:p>
            <w:pPr>
              <w:spacing w:after="50" w:before="50" w:line="252" w:lineRule="auto"/>
            </w:pPr>
            <w:r>
              <w:rPr>
                <w:sz w:val="17"/>
              </w:rPr>
              <w:t>Positive by year 2</w:t>
            </w:r>
          </w:p>
        </w:tc>
        <w:tc>
          <w:tcPr>
            <w:tcW w:type="dxa" w:w="850"/>
            <w:shd w:val="clear" w:color="auto" w:fill="EAF1F4"/>
          </w:tcPr>
          <w:p>
            <w:pPr>
              <w:spacing w:after="50" w:before="50" w:line="252" w:lineRule="auto"/>
            </w:pPr>
            <w:r>
              <w:rPr>
                <w:sz w:val="17"/>
              </w:rPr>
              <w:t>n/a</w:t>
            </w:r>
          </w:p>
        </w:tc>
        <w:tc>
          <w:tcPr>
            <w:tcW w:type="dxa" w:w="850"/>
            <w:shd w:val="clear" w:color="auto" w:fill="EAF1F4"/>
          </w:tcPr>
          <w:p>
            <w:pPr>
              <w:spacing w:after="50" w:before="50" w:line="252" w:lineRule="auto"/>
            </w:pPr>
          </w:p>
        </w:tc>
      </w:tr>
      <w:tr>
        <w:tc>
          <w:tcPr>
            <w:tcW w:type="dxa" w:w="1553"/>
          </w:tcPr>
          <w:p>
            <w:pPr>
              <w:spacing w:after="50" w:before="50" w:line="252" w:lineRule="auto"/>
            </w:pPr>
            <w:r>
              <w:rPr>
                <w:b/>
                <w:sz w:val="17"/>
              </w:rPr>
              <w:t>T5 Pipeline</w:t>
            </w:r>
          </w:p>
        </w:tc>
        <w:tc>
          <w:tcPr>
            <w:tcW w:type="dxa" w:w="4148"/>
          </w:tcPr>
          <w:p>
            <w:pPr>
              <w:spacing w:after="50" w:before="50" w:line="252" w:lineRule="auto"/>
            </w:pPr>
            <w:r>
              <w:rPr>
                <w:sz w:val="17"/>
              </w:rPr>
              <w:t>Interns recruited and converted</w:t>
            </w:r>
          </w:p>
        </w:tc>
        <w:tc>
          <w:tcPr>
            <w:tcW w:type="dxa" w:w="1484"/>
          </w:tcPr>
          <w:p>
            <w:pPr>
              <w:spacing w:after="50" w:before="50" w:line="252" w:lineRule="auto"/>
            </w:pPr>
            <w:r>
              <w:rPr>
                <w:sz w:val="17"/>
              </w:rPr>
              <w:t>≥ 6 recruited, ≥ 1 converted</w:t>
            </w:r>
          </w:p>
        </w:tc>
        <w:tc>
          <w:tcPr>
            <w:tcW w:type="dxa" w:w="1067"/>
          </w:tcPr>
          <w:p>
            <w:pPr>
              <w:spacing w:after="50" w:before="50" w:line="252" w:lineRule="auto"/>
            </w:pPr>
            <w:r>
              <w:rPr>
                <w:sz w:val="17"/>
              </w:rPr>
              <w:t>≥ 2 recruited</w:t>
            </w:r>
          </w:p>
        </w:tc>
        <w:tc>
          <w:tcPr>
            <w:tcW w:type="dxa" w:w="850"/>
          </w:tcPr>
          <w:p>
            <w:pPr>
              <w:spacing w:after="50" w:before="50" w:line="252" w:lineRule="auto"/>
            </w:pPr>
            <w:r>
              <w:rPr>
                <w:sz w:val="17"/>
              </w:rPr>
              <w:t>≥ 1 applicant</w:t>
            </w:r>
          </w:p>
        </w:tc>
        <w:tc>
          <w:tcPr>
            <w:tcW w:type="dxa" w:w="850"/>
          </w:tcPr>
          <w:p>
            <w:pPr>
              <w:spacing w:after="50" w:before="50" w:line="252" w:lineRule="auto"/>
            </w:pPr>
          </w:p>
        </w:tc>
      </w:tr>
      <w:tr>
        <w:tc>
          <w:tcPr>
            <w:tcW w:type="dxa" w:w="1553"/>
            <w:shd w:val="clear" w:color="auto" w:fill="EAF1F4"/>
          </w:tcPr>
          <w:p>
            <w:pPr>
              <w:spacing w:after="50" w:before="50" w:line="252" w:lineRule="auto"/>
            </w:pPr>
            <w:r>
              <w:rPr>
                <w:b/>
                <w:sz w:val="17"/>
              </w:rPr>
              <w:t>T6 Effort</w:t>
            </w:r>
          </w:p>
        </w:tc>
        <w:tc>
          <w:tcPr>
            <w:tcW w:type="dxa" w:w="4148"/>
            <w:shd w:val="clear" w:color="auto" w:fill="EAF1F4"/>
          </w:tcPr>
          <w:p>
            <w:pPr>
              <w:spacing w:after="50" w:before="50" w:line="252" w:lineRule="auto"/>
            </w:pPr>
            <w:r>
              <w:rPr>
                <w:sz w:val="17"/>
              </w:rPr>
              <w:t>Equator person-days against tier norm</w:t>
            </w:r>
          </w:p>
        </w:tc>
        <w:tc>
          <w:tcPr>
            <w:tcW w:type="dxa" w:w="1484"/>
            <w:shd w:val="clear" w:color="auto" w:fill="EAF1F4"/>
          </w:tcPr>
          <w:p>
            <w:pPr>
              <w:spacing w:after="50" w:before="50" w:line="252" w:lineRule="auto"/>
            </w:pPr>
            <w:r>
              <w:rPr>
                <w:sz w:val="17"/>
              </w:rPr>
              <w:t>≤ 104</w:t>
            </w:r>
          </w:p>
        </w:tc>
        <w:tc>
          <w:tcPr>
            <w:tcW w:type="dxa" w:w="1067"/>
            <w:shd w:val="clear" w:color="auto" w:fill="EAF1F4"/>
          </w:tcPr>
          <w:p>
            <w:pPr>
              <w:spacing w:after="50" w:before="50" w:line="252" w:lineRule="auto"/>
            </w:pPr>
            <w:r>
              <w:rPr>
                <w:sz w:val="17"/>
              </w:rPr>
              <w:t>≤ 39</w:t>
            </w:r>
          </w:p>
        </w:tc>
        <w:tc>
          <w:tcPr>
            <w:tcW w:type="dxa" w:w="850"/>
            <w:shd w:val="clear" w:color="auto" w:fill="EAF1F4"/>
          </w:tcPr>
          <w:p>
            <w:pPr>
              <w:spacing w:after="50" w:before="50" w:line="252" w:lineRule="auto"/>
            </w:pPr>
            <w:r>
              <w:rPr>
                <w:sz w:val="17"/>
              </w:rPr>
              <w:t>≤ 8</w:t>
            </w:r>
          </w:p>
        </w:tc>
        <w:tc>
          <w:tcPr>
            <w:tcW w:type="dxa" w:w="850"/>
            <w:shd w:val="clear" w:color="auto" w:fill="EAF1F4"/>
          </w:tcPr>
          <w:p>
            <w:pPr>
              <w:spacing w:after="50" w:before="50" w:line="252" w:lineRule="auto"/>
            </w:pPr>
          </w:p>
        </w:tc>
      </w:tr>
      <w:tr>
        <w:tc>
          <w:tcPr>
            <w:tcW w:type="dxa" w:w="1553"/>
          </w:tcPr>
          <w:p>
            <w:pPr>
              <w:spacing w:after="50" w:before="50" w:line="252" w:lineRule="auto"/>
            </w:pPr>
            <w:r>
              <w:rPr>
                <w:b/>
                <w:sz w:val="17"/>
              </w:rPr>
              <w:t>T7 Champion</w:t>
            </w:r>
          </w:p>
        </w:tc>
        <w:tc>
          <w:tcPr>
            <w:tcW w:type="dxa" w:w="4148"/>
          </w:tcPr>
          <w:p>
            <w:pPr>
              <w:spacing w:after="50" w:before="50" w:line="252" w:lineRule="auto"/>
            </w:pPr>
            <w:r>
              <w:rPr>
                <w:sz w:val="17"/>
              </w:rPr>
              <w:t>An identified, active champion in place</w:t>
            </w:r>
          </w:p>
        </w:tc>
        <w:tc>
          <w:tcPr>
            <w:tcW w:type="dxa" w:w="1484"/>
          </w:tcPr>
          <w:p>
            <w:pPr>
              <w:spacing w:after="50" w:before="50" w:line="252" w:lineRule="auto"/>
            </w:pPr>
            <w:r>
              <w:rPr>
                <w:sz w:val="17"/>
              </w:rPr>
              <w:t>Yes</w:t>
            </w:r>
          </w:p>
        </w:tc>
        <w:tc>
          <w:tcPr>
            <w:tcW w:type="dxa" w:w="1067"/>
          </w:tcPr>
          <w:p>
            <w:pPr>
              <w:spacing w:after="50" w:before="50" w:line="252" w:lineRule="auto"/>
            </w:pPr>
            <w:r>
              <w:rPr>
                <w:sz w:val="17"/>
              </w:rPr>
              <w:t>Yes</w:t>
            </w:r>
          </w:p>
        </w:tc>
        <w:tc>
          <w:tcPr>
            <w:tcW w:type="dxa" w:w="850"/>
          </w:tcPr>
          <w:p>
            <w:pPr>
              <w:spacing w:after="50" w:before="50" w:line="252" w:lineRule="auto"/>
            </w:pPr>
            <w:r>
              <w:rPr>
                <w:sz w:val="17"/>
              </w:rPr>
              <w:t>n/a</w:t>
            </w:r>
          </w:p>
        </w:tc>
        <w:tc>
          <w:tcPr>
            <w:tcW w:type="dxa" w:w="850"/>
          </w:tcPr>
          <w:p>
            <w:pPr>
              <w:spacing w:after="50" w:before="50" w:line="252" w:lineRule="auto"/>
            </w:pPr>
          </w:p>
        </w:tc>
      </w:tr>
      <w:tr>
        <w:tc>
          <w:tcPr>
            <w:tcW w:type="dxa" w:w="1553"/>
            <w:shd w:val="clear" w:color="auto" w:fill="EAF1F4"/>
          </w:tcPr>
          <w:p>
            <w:pPr>
              <w:spacing w:after="50" w:before="50" w:line="252" w:lineRule="auto"/>
            </w:pPr>
            <w:r>
              <w:rPr>
                <w:b/>
                <w:sz w:val="17"/>
              </w:rPr>
              <w:t>T8 Quality</w:t>
            </w:r>
          </w:p>
        </w:tc>
        <w:tc>
          <w:tcPr>
            <w:tcW w:type="dxa" w:w="4148"/>
            <w:shd w:val="clear" w:color="auto" w:fill="EAF1F4"/>
          </w:tcPr>
          <w:p>
            <w:pPr>
              <w:spacing w:after="50" w:before="50" w:line="252" w:lineRule="auto"/>
            </w:pPr>
            <w:r>
              <w:rPr>
                <w:sz w:val="17"/>
              </w:rPr>
              <w:t>Mean feedback across the year</w:t>
            </w:r>
          </w:p>
        </w:tc>
        <w:tc>
          <w:tcPr>
            <w:tcW w:type="dxa" w:w="1484"/>
            <w:shd w:val="clear" w:color="auto" w:fill="EAF1F4"/>
          </w:tcPr>
          <w:p>
            <w:pPr>
              <w:spacing w:after="50" w:before="50" w:line="252" w:lineRule="auto"/>
            </w:pPr>
            <w:r>
              <w:rPr>
                <w:sz w:val="17"/>
              </w:rPr>
              <w:t>≥ 4.0</w:t>
            </w:r>
          </w:p>
        </w:tc>
        <w:tc>
          <w:tcPr>
            <w:tcW w:type="dxa" w:w="1067"/>
            <w:shd w:val="clear" w:color="auto" w:fill="EAF1F4"/>
          </w:tcPr>
          <w:p>
            <w:pPr>
              <w:spacing w:after="50" w:before="50" w:line="252" w:lineRule="auto"/>
            </w:pPr>
            <w:r>
              <w:rPr>
                <w:sz w:val="17"/>
              </w:rPr>
              <w:t>≥ 4.0</w:t>
            </w:r>
          </w:p>
        </w:tc>
        <w:tc>
          <w:tcPr>
            <w:tcW w:type="dxa" w:w="850"/>
            <w:shd w:val="clear" w:color="auto" w:fill="EAF1F4"/>
          </w:tcPr>
          <w:p>
            <w:pPr>
              <w:spacing w:after="50" w:before="50" w:line="252" w:lineRule="auto"/>
            </w:pPr>
            <w:r>
              <w:rPr>
                <w:sz w:val="17"/>
              </w:rPr>
              <w:t>≥ 4.0</w:t>
            </w:r>
          </w:p>
        </w:tc>
        <w:tc>
          <w:tcPr>
            <w:tcW w:type="dxa" w:w="850"/>
            <w:shd w:val="clear" w:color="auto" w:fill="EAF1F4"/>
          </w:tcPr>
          <w:p>
            <w:pPr>
              <w:spacing w:after="50" w:before="50" w:line="252" w:lineRule="auto"/>
            </w:pPr>
          </w:p>
        </w:tc>
      </w:tr>
      <w:tr>
        <w:tc>
          <w:tcPr>
            <w:tcW w:type="dxa" w:w="1553"/>
          </w:tcPr>
          <w:p>
            <w:pPr>
              <w:spacing w:after="50" w:before="50" w:line="252" w:lineRule="auto"/>
            </w:pPr>
            <w:r>
              <w:rPr>
                <w:b/>
                <w:sz w:val="17"/>
              </w:rPr>
              <w:t>T9 Compliance</w:t>
            </w:r>
          </w:p>
        </w:tc>
        <w:tc>
          <w:tcPr>
            <w:tcW w:type="dxa" w:w="4148"/>
          </w:tcPr>
          <w:p>
            <w:pPr>
              <w:spacing w:after="50" w:before="50" w:line="252" w:lineRule="auto"/>
            </w:pPr>
            <w:r>
              <w:rPr>
                <w:sz w:val="17"/>
              </w:rPr>
              <w:t>Data, safeguarding or conduct incidents</w:t>
            </w:r>
          </w:p>
        </w:tc>
        <w:tc>
          <w:tcPr>
            <w:tcW w:type="dxa" w:w="1484"/>
          </w:tcPr>
          <w:p>
            <w:pPr>
              <w:spacing w:after="50" w:before="50" w:line="252" w:lineRule="auto"/>
            </w:pPr>
            <w:r>
              <w:rPr>
                <w:sz w:val="17"/>
              </w:rPr>
              <w:t>Zero</w:t>
            </w:r>
          </w:p>
        </w:tc>
        <w:tc>
          <w:tcPr>
            <w:tcW w:type="dxa" w:w="1067"/>
          </w:tcPr>
          <w:p>
            <w:pPr>
              <w:spacing w:after="50" w:before="50" w:line="252" w:lineRule="auto"/>
            </w:pPr>
            <w:r>
              <w:rPr>
                <w:sz w:val="17"/>
              </w:rPr>
              <w:t>Zero</w:t>
            </w:r>
          </w:p>
        </w:tc>
        <w:tc>
          <w:tcPr>
            <w:tcW w:type="dxa" w:w="850"/>
          </w:tcPr>
          <w:p>
            <w:pPr>
              <w:spacing w:after="50" w:before="50" w:line="252" w:lineRule="auto"/>
            </w:pPr>
            <w:r>
              <w:rPr>
                <w:sz w:val="17"/>
              </w:rPr>
              <w:t>Zero</w:t>
            </w:r>
          </w:p>
        </w:tc>
        <w:tc>
          <w:tcPr>
            <w:tcW w:type="dxa" w:w="850"/>
          </w:tcPr>
          <w:p>
            <w:pPr>
              <w:spacing w:after="50" w:before="50" w:line="252" w:lineRule="auto"/>
            </w:pPr>
          </w:p>
        </w:tc>
      </w:tr>
    </w:tbl>
    <w:p>
      <w:pPr>
        <w:spacing w:after="80" w:before="0"/>
      </w:pPr>
    </w:p>
    <w:p>
      <w:pPr>
        <w:pStyle w:val="Heading2"/>
      </w:pPr>
      <w:r>
        <w:t>3.1 Scorecard form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852"/>
            <w:shd w:val="clear" w:color="auto" w:fill="10375C"/>
          </w:tcPr>
          <w:p>
            <w:pPr>
              <w:spacing w:after="50" w:before="50"/>
            </w:pPr>
            <w:r>
              <w:rPr>
                <w:b/>
                <w:color w:val="FFFFFF"/>
                <w:sz w:val="17"/>
              </w:rPr>
              <w:t>Field</w:t>
            </w:r>
          </w:p>
        </w:tc>
        <w:tc>
          <w:tcPr>
            <w:tcW w:type="dxa" w:w="5616"/>
            <w:shd w:val="clear" w:color="auto" w:fill="10375C"/>
          </w:tcPr>
          <w:p>
            <w:pPr>
              <w:spacing w:after="50" w:before="50"/>
            </w:pPr>
            <w:r>
              <w:rPr>
                <w:b/>
                <w:color w:val="FFFFFF"/>
                <w:sz w:val="17"/>
              </w:rPr>
              <w:t>Entry</w:t>
            </w:r>
          </w:p>
        </w:tc>
      </w:tr>
      <w:tr>
        <w:tc>
          <w:tcPr>
            <w:tcW w:type="dxa" w:w="3852"/>
          </w:tcPr>
          <w:p>
            <w:pPr>
              <w:spacing w:after="50" w:before="50" w:line="252" w:lineRule="auto"/>
            </w:pPr>
            <w:r>
              <w:rPr>
                <w:sz w:val="17"/>
              </w:rPr>
              <w:t>Institution and tier</w:t>
            </w:r>
          </w:p>
        </w:tc>
        <w:tc>
          <w:tcPr>
            <w:tcW w:type="dxa" w:w="5616"/>
          </w:tcPr>
          <w:p>
            <w:pPr>
              <w:spacing w:after="50" w:before="50" w:line="252" w:lineRule="auto"/>
            </w:pPr>
            <w:r>
              <w:rPr>
                <w:sz w:val="17"/>
              </w:rPr>
              <w:t>[●]</w:t>
            </w:r>
          </w:p>
        </w:tc>
      </w:tr>
      <w:tr>
        <w:tc>
          <w:tcPr>
            <w:tcW w:type="dxa" w:w="3852"/>
            <w:shd w:val="clear" w:color="auto" w:fill="EAF1F4"/>
          </w:tcPr>
          <w:p>
            <w:pPr>
              <w:spacing w:after="50" w:before="50" w:line="252" w:lineRule="auto"/>
            </w:pPr>
            <w:r>
              <w:rPr>
                <w:sz w:val="17"/>
              </w:rPr>
              <w:t>MOU date, term, expiry</w:t>
            </w:r>
          </w:p>
        </w:tc>
        <w:tc>
          <w:tcPr>
            <w:tcW w:type="dxa" w:w="5616"/>
            <w:shd w:val="clear" w:color="auto" w:fill="EAF1F4"/>
          </w:tcPr>
          <w:p>
            <w:pPr>
              <w:spacing w:after="50" w:before="50" w:line="252" w:lineRule="auto"/>
            </w:pPr>
            <w:r>
              <w:rPr>
                <w:sz w:val="17"/>
              </w:rPr>
              <w:t>[●]</w:t>
            </w:r>
          </w:p>
        </w:tc>
      </w:tr>
      <w:tr>
        <w:tc>
          <w:tcPr>
            <w:tcW w:type="dxa" w:w="3852"/>
          </w:tcPr>
          <w:p>
            <w:pPr>
              <w:spacing w:after="50" w:before="50" w:line="252" w:lineRule="auto"/>
            </w:pPr>
            <w:r>
              <w:rPr>
                <w:sz w:val="17"/>
              </w:rPr>
              <w:t>Nodal Officers</w:t>
            </w:r>
          </w:p>
        </w:tc>
        <w:tc>
          <w:tcPr>
            <w:tcW w:type="dxa" w:w="5616"/>
          </w:tcPr>
          <w:p>
            <w:pPr>
              <w:spacing w:after="50" w:before="50" w:line="252" w:lineRule="auto"/>
            </w:pPr>
            <w:r>
              <w:rPr>
                <w:sz w:val="17"/>
              </w:rPr>
              <w:t>[●]</w:t>
            </w:r>
          </w:p>
        </w:tc>
      </w:tr>
      <w:tr>
        <w:tc>
          <w:tcPr>
            <w:tcW w:type="dxa" w:w="3852"/>
            <w:shd w:val="clear" w:color="auto" w:fill="EAF1F4"/>
          </w:tcPr>
          <w:p>
            <w:pPr>
              <w:spacing w:after="50" w:before="50" w:line="252" w:lineRule="auto"/>
            </w:pPr>
            <w:r>
              <w:rPr>
                <w:sz w:val="17"/>
              </w:rPr>
              <w:t>Champion</w:t>
            </w:r>
          </w:p>
        </w:tc>
        <w:tc>
          <w:tcPr>
            <w:tcW w:type="dxa" w:w="5616"/>
            <w:shd w:val="clear" w:color="auto" w:fill="EAF1F4"/>
          </w:tcPr>
          <w:p>
            <w:pPr>
              <w:spacing w:after="50" w:before="50" w:line="252" w:lineRule="auto"/>
            </w:pPr>
            <w:r>
              <w:rPr>
                <w:sz w:val="17"/>
              </w:rPr>
              <w:t>[●]</w:t>
            </w:r>
          </w:p>
        </w:tc>
      </w:tr>
      <w:tr>
        <w:tc>
          <w:tcPr>
            <w:tcW w:type="dxa" w:w="3852"/>
          </w:tcPr>
          <w:p>
            <w:pPr>
              <w:spacing w:after="50" w:before="50" w:line="252" w:lineRule="auto"/>
            </w:pPr>
            <w:r>
              <w:rPr>
                <w:sz w:val="17"/>
              </w:rPr>
              <w:t>Review period</w:t>
            </w:r>
          </w:p>
        </w:tc>
        <w:tc>
          <w:tcPr>
            <w:tcW w:type="dxa" w:w="5616"/>
          </w:tcPr>
          <w:p>
            <w:pPr>
              <w:spacing w:after="50" w:before="50" w:line="252" w:lineRule="auto"/>
            </w:pPr>
            <w:r>
              <w:rPr>
                <w:sz w:val="17"/>
              </w:rPr>
              <w:t>[●]</w:t>
            </w:r>
          </w:p>
        </w:tc>
      </w:tr>
      <w:tr>
        <w:tc>
          <w:tcPr>
            <w:tcW w:type="dxa" w:w="3852"/>
            <w:shd w:val="clear" w:color="auto" w:fill="EAF1F4"/>
          </w:tcPr>
          <w:p>
            <w:pPr>
              <w:spacing w:after="50" w:before="50" w:line="252" w:lineRule="auto"/>
            </w:pPr>
            <w:r>
              <w:rPr>
                <w:b/>
                <w:sz w:val="17"/>
              </w:rPr>
              <w:t>Tests passed</w:t>
            </w:r>
          </w:p>
        </w:tc>
        <w:tc>
          <w:tcPr>
            <w:tcW w:type="dxa" w:w="5616"/>
            <w:shd w:val="clear" w:color="auto" w:fill="EAF1F4"/>
          </w:tcPr>
          <w:p>
            <w:pPr>
              <w:spacing w:after="50" w:before="50" w:line="252" w:lineRule="auto"/>
            </w:pPr>
            <w:r>
              <w:rPr>
                <w:sz w:val="17"/>
              </w:rPr>
              <w:t>[●] of 9</w:t>
            </w:r>
          </w:p>
        </w:tc>
      </w:tr>
      <w:tr>
        <w:tc>
          <w:tcPr>
            <w:tcW w:type="dxa" w:w="3852"/>
          </w:tcPr>
          <w:p>
            <w:pPr>
              <w:spacing w:after="50" w:before="50" w:line="252" w:lineRule="auto"/>
            </w:pPr>
            <w:r>
              <w:rPr>
                <w:b/>
                <w:sz w:val="17"/>
              </w:rPr>
              <w:t>Tests failed</w:t>
            </w:r>
          </w:p>
        </w:tc>
        <w:tc>
          <w:tcPr>
            <w:tcW w:type="dxa" w:w="5616"/>
          </w:tcPr>
          <w:p>
            <w:pPr>
              <w:spacing w:after="50" w:before="50" w:line="252" w:lineRule="auto"/>
            </w:pPr>
            <w:r>
              <w:rPr>
                <w:sz w:val="17"/>
              </w:rPr>
              <w:t>[●]</w:t>
            </w:r>
          </w:p>
        </w:tc>
      </w:tr>
      <w:tr>
        <w:tc>
          <w:tcPr>
            <w:tcW w:type="dxa" w:w="3852"/>
            <w:shd w:val="clear" w:color="auto" w:fill="EAF1F4"/>
          </w:tcPr>
          <w:p>
            <w:pPr>
              <w:spacing w:after="50" w:before="50" w:line="252" w:lineRule="auto"/>
            </w:pPr>
            <w:r>
              <w:rPr>
                <w:sz w:val="17"/>
              </w:rPr>
              <w:t>Consecutive years failing two or more</w:t>
            </w:r>
          </w:p>
        </w:tc>
        <w:tc>
          <w:tcPr>
            <w:tcW w:type="dxa" w:w="5616"/>
            <w:shd w:val="clear" w:color="auto" w:fill="EAF1F4"/>
          </w:tcPr>
          <w:p>
            <w:pPr>
              <w:spacing w:after="50" w:before="50" w:line="252" w:lineRule="auto"/>
            </w:pPr>
            <w:r>
              <w:rPr>
                <w:sz w:val="17"/>
              </w:rPr>
              <w:t>[●]</w:t>
            </w:r>
          </w:p>
        </w:tc>
      </w:tr>
      <w:tr>
        <w:tc>
          <w:tcPr>
            <w:tcW w:type="dxa" w:w="3852"/>
          </w:tcPr>
          <w:p>
            <w:pPr>
              <w:spacing w:after="50" w:before="50" w:line="252" w:lineRule="auto"/>
            </w:pPr>
            <w:r>
              <w:rPr>
                <w:b/>
                <w:sz w:val="17"/>
              </w:rPr>
              <w:t>Recommendation</w:t>
            </w:r>
          </w:p>
        </w:tc>
        <w:tc>
          <w:tcPr>
            <w:tcW w:type="dxa" w:w="5616"/>
          </w:tcPr>
          <w:p>
            <w:pPr>
              <w:spacing w:after="50" w:before="50" w:line="252" w:lineRule="auto"/>
            </w:pPr>
            <w:r>
              <w:rPr>
                <w:sz w:val="17"/>
              </w:rPr>
              <w:t>Renew as is / Renew at a higher tier / Restructure to a lower tier / Allow to lapse / Terminate</w:t>
            </w:r>
          </w:p>
        </w:tc>
      </w:tr>
      <w:tr>
        <w:tc>
          <w:tcPr>
            <w:tcW w:type="dxa" w:w="3852"/>
            <w:shd w:val="clear" w:color="auto" w:fill="EAF1F4"/>
          </w:tcPr>
          <w:p>
            <w:pPr>
              <w:spacing w:after="50" w:before="50" w:line="252" w:lineRule="auto"/>
            </w:pPr>
            <w:r>
              <w:rPr>
                <w:sz w:val="17"/>
              </w:rPr>
              <w:t>Prepared by, reviewed by, date</w:t>
            </w:r>
          </w:p>
        </w:tc>
        <w:tc>
          <w:tcPr>
            <w:tcW w:type="dxa" w:w="5616"/>
            <w:shd w:val="clear" w:color="auto" w:fill="EAF1F4"/>
          </w:tcPr>
          <w:p>
            <w:pPr>
              <w:spacing w:after="50" w:before="50" w:line="252" w:lineRule="auto"/>
            </w:pPr>
            <w:r>
              <w:rPr>
                <w:sz w:val="17"/>
              </w:rPr>
              <w:t>[●]</w:t>
            </w:r>
          </w:p>
        </w:tc>
      </w:tr>
    </w:tbl>
    <w:p>
      <w:pPr>
        <w:spacing w:after="80" w:before="0"/>
      </w:pPr>
    </w:p>
    <w:p>
      <w:pPr>
        <w:pStyle w:val="Heading2"/>
      </w:pPr>
      <w:r>
        <w:t>3.2 Detail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1947"/>
            <w:shd w:val="clear" w:color="auto" w:fill="10375C"/>
          </w:tcPr>
          <w:p>
            <w:pPr>
              <w:spacing w:after="50" w:before="50"/>
            </w:pPr>
            <w:r>
              <w:rPr>
                <w:b/>
                <w:color w:val="FFFFFF"/>
                <w:sz w:val="17"/>
              </w:rPr>
              <w:t>Activity</w:t>
            </w:r>
          </w:p>
        </w:tc>
        <w:tc>
          <w:tcPr>
            <w:tcW w:type="dxa" w:w="1113"/>
            <w:shd w:val="clear" w:color="auto" w:fill="10375C"/>
          </w:tcPr>
          <w:p>
            <w:pPr>
              <w:spacing w:after="50" w:before="50"/>
            </w:pPr>
            <w:r>
              <w:rPr>
                <w:b/>
                <w:color w:val="FFFFFF"/>
                <w:sz w:val="17"/>
              </w:rPr>
              <w:t>Planned</w:t>
            </w:r>
          </w:p>
        </w:tc>
        <w:tc>
          <w:tcPr>
            <w:tcW w:type="dxa" w:w="1141"/>
            <w:shd w:val="clear" w:color="auto" w:fill="10375C"/>
          </w:tcPr>
          <w:p>
            <w:pPr>
              <w:spacing w:after="50" w:before="50"/>
            </w:pPr>
            <w:r>
              <w:rPr>
                <w:b/>
                <w:color w:val="FFFFFF"/>
                <w:sz w:val="17"/>
              </w:rPr>
              <w:t>Delivered</w:t>
            </w:r>
          </w:p>
        </w:tc>
        <w:tc>
          <w:tcPr>
            <w:tcW w:type="dxa" w:w="1521"/>
            <w:shd w:val="clear" w:color="auto" w:fill="10375C"/>
          </w:tcPr>
          <w:p>
            <w:pPr>
              <w:spacing w:after="50" w:before="50"/>
            </w:pPr>
            <w:r>
              <w:rPr>
                <w:b/>
                <w:color w:val="FFFFFF"/>
                <w:sz w:val="17"/>
              </w:rPr>
              <w:t>Participants</w:t>
            </w:r>
          </w:p>
        </w:tc>
        <w:tc>
          <w:tcPr>
            <w:tcW w:type="dxa" w:w="1113"/>
            <w:shd w:val="clear" w:color="auto" w:fill="10375C"/>
          </w:tcPr>
          <w:p>
            <w:pPr>
              <w:spacing w:after="50" w:before="50"/>
            </w:pPr>
            <w:r>
              <w:rPr>
                <w:b/>
                <w:color w:val="FFFFFF"/>
                <w:sz w:val="17"/>
              </w:rPr>
              <w:t>Revenue</w:t>
            </w:r>
          </w:p>
        </w:tc>
        <w:tc>
          <w:tcPr>
            <w:tcW w:type="dxa" w:w="1521"/>
            <w:shd w:val="clear" w:color="auto" w:fill="10375C"/>
          </w:tcPr>
          <w:p>
            <w:pPr>
              <w:spacing w:after="50" w:before="50"/>
            </w:pPr>
            <w:r>
              <w:rPr>
                <w:b/>
                <w:color w:val="FFFFFF"/>
                <w:sz w:val="17"/>
              </w:rPr>
              <w:t>Contribution</w:t>
            </w:r>
          </w:p>
        </w:tc>
        <w:tc>
          <w:tcPr>
            <w:tcW w:type="dxa" w:w="1113"/>
            <w:shd w:val="clear" w:color="auto" w:fill="10375C"/>
          </w:tcPr>
          <w:p>
            <w:pPr>
              <w:spacing w:after="50" w:before="50"/>
            </w:pPr>
            <w:r>
              <w:rPr>
                <w:b/>
                <w:color w:val="FFFFFF"/>
                <w:sz w:val="17"/>
              </w:rPr>
              <w:t>Feedback</w:t>
            </w:r>
          </w:p>
        </w:tc>
      </w:tr>
      <w:tr>
        <w:tc>
          <w:tcPr>
            <w:tcW w:type="dxa" w:w="1947"/>
          </w:tcPr>
          <w:p>
            <w:pPr>
              <w:spacing w:after="50" w:before="50" w:line="252" w:lineRule="auto"/>
            </w:pPr>
            <w:r>
              <w:rPr>
                <w:sz w:val="17"/>
              </w:rPr>
              <w:t>[●]</w:t>
            </w:r>
          </w:p>
        </w:tc>
        <w:tc>
          <w:tcPr>
            <w:tcW w:type="dxa" w:w="1113"/>
          </w:tcPr>
          <w:p>
            <w:pPr>
              <w:spacing w:after="50" w:before="50" w:line="252" w:lineRule="auto"/>
            </w:pPr>
          </w:p>
        </w:tc>
        <w:tc>
          <w:tcPr>
            <w:tcW w:type="dxa" w:w="1141"/>
          </w:tcPr>
          <w:p>
            <w:pPr>
              <w:spacing w:after="50" w:before="50" w:line="252" w:lineRule="auto"/>
            </w:pPr>
          </w:p>
        </w:tc>
        <w:tc>
          <w:tcPr>
            <w:tcW w:type="dxa" w:w="1521"/>
          </w:tcPr>
          <w:p>
            <w:pPr>
              <w:spacing w:after="50" w:before="50" w:line="252" w:lineRule="auto"/>
            </w:pPr>
          </w:p>
        </w:tc>
        <w:tc>
          <w:tcPr>
            <w:tcW w:type="dxa" w:w="1113"/>
          </w:tcPr>
          <w:p>
            <w:pPr>
              <w:spacing w:after="50" w:before="50" w:line="252" w:lineRule="auto"/>
            </w:pPr>
          </w:p>
        </w:tc>
        <w:tc>
          <w:tcPr>
            <w:tcW w:type="dxa" w:w="1521"/>
          </w:tcPr>
          <w:p>
            <w:pPr>
              <w:spacing w:after="50" w:before="50" w:line="252" w:lineRule="auto"/>
            </w:pPr>
          </w:p>
        </w:tc>
        <w:tc>
          <w:tcPr>
            <w:tcW w:type="dxa" w:w="1113"/>
          </w:tcPr>
          <w:p>
            <w:pPr>
              <w:spacing w:after="50" w:before="50" w:line="252" w:lineRule="auto"/>
            </w:pPr>
          </w:p>
        </w:tc>
      </w:tr>
      <w:tr>
        <w:tc>
          <w:tcPr>
            <w:tcW w:type="dxa" w:w="1947"/>
            <w:shd w:val="clear" w:color="auto" w:fill="EAF1F4"/>
          </w:tcPr>
          <w:p>
            <w:pPr>
              <w:spacing w:after="50" w:before="50" w:line="252" w:lineRule="auto"/>
            </w:pPr>
            <w:r>
              <w:rPr>
                <w:b/>
                <w:sz w:val="17"/>
              </w:rPr>
              <w:t>Totals</w:t>
            </w:r>
          </w:p>
        </w:tc>
        <w:tc>
          <w:tcPr>
            <w:tcW w:type="dxa" w:w="1113"/>
            <w:shd w:val="clear" w:color="auto" w:fill="EAF1F4"/>
          </w:tcPr>
          <w:p>
            <w:pPr>
              <w:spacing w:after="50" w:before="50" w:line="252" w:lineRule="auto"/>
            </w:pPr>
          </w:p>
        </w:tc>
        <w:tc>
          <w:tcPr>
            <w:tcW w:type="dxa" w:w="1141"/>
            <w:shd w:val="clear" w:color="auto" w:fill="EAF1F4"/>
          </w:tcPr>
          <w:p>
            <w:pPr>
              <w:spacing w:after="50" w:before="50" w:line="252" w:lineRule="auto"/>
            </w:pPr>
          </w:p>
        </w:tc>
        <w:tc>
          <w:tcPr>
            <w:tcW w:type="dxa" w:w="1521"/>
            <w:shd w:val="clear" w:color="auto" w:fill="EAF1F4"/>
          </w:tcPr>
          <w:p>
            <w:pPr>
              <w:spacing w:after="50" w:before="50" w:line="252" w:lineRule="auto"/>
            </w:pPr>
          </w:p>
        </w:tc>
        <w:tc>
          <w:tcPr>
            <w:tcW w:type="dxa" w:w="1113"/>
            <w:shd w:val="clear" w:color="auto" w:fill="EAF1F4"/>
          </w:tcPr>
          <w:p>
            <w:pPr>
              <w:spacing w:after="50" w:before="50" w:line="252" w:lineRule="auto"/>
            </w:pPr>
          </w:p>
        </w:tc>
        <w:tc>
          <w:tcPr>
            <w:tcW w:type="dxa" w:w="1521"/>
            <w:shd w:val="clear" w:color="auto" w:fill="EAF1F4"/>
          </w:tcPr>
          <w:p>
            <w:pPr>
              <w:spacing w:after="50" w:before="50" w:line="252" w:lineRule="auto"/>
            </w:pPr>
          </w:p>
        </w:tc>
        <w:tc>
          <w:tcPr>
            <w:tcW w:type="dxa" w:w="1113"/>
            <w:shd w:val="clear" w:color="auto" w:fill="EAF1F4"/>
          </w:tcPr>
          <w:p>
            <w:pPr>
              <w:spacing w:after="50" w:before="50" w:line="252" w:lineRule="auto"/>
            </w:pP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072"/>
            <w:shd w:val="clear" w:color="auto" w:fill="10375C"/>
          </w:tcPr>
          <w:p>
            <w:pPr>
              <w:spacing w:after="50" w:before="50"/>
            </w:pPr>
            <w:r>
              <w:rPr>
                <w:b/>
                <w:color w:val="FFFFFF"/>
                <w:sz w:val="17"/>
              </w:rPr>
              <w:t>Effort</w:t>
            </w:r>
          </w:p>
        </w:tc>
        <w:tc>
          <w:tcPr>
            <w:tcW w:type="dxa" w:w="1396"/>
            <w:shd w:val="clear" w:color="auto" w:fill="10375C"/>
          </w:tcPr>
          <w:p>
            <w:pPr>
              <w:spacing w:after="50" w:before="50"/>
            </w:pPr>
            <w:r>
              <w:rPr>
                <w:b/>
                <w:color w:val="FFFFFF"/>
                <w:sz w:val="17"/>
              </w:rPr>
              <w:t>Person-days</w:t>
            </w:r>
          </w:p>
        </w:tc>
      </w:tr>
      <w:tr>
        <w:tc>
          <w:tcPr>
            <w:tcW w:type="dxa" w:w="8072"/>
          </w:tcPr>
          <w:p>
            <w:pPr>
              <w:spacing w:after="50" w:before="50" w:line="252" w:lineRule="auto"/>
            </w:pPr>
            <w:r>
              <w:rPr>
                <w:sz w:val="17"/>
              </w:rPr>
              <w:t>Business development and relationship</w:t>
            </w:r>
          </w:p>
        </w:tc>
        <w:tc>
          <w:tcPr>
            <w:tcW w:type="dxa" w:w="1396"/>
          </w:tcPr>
          <w:p>
            <w:pPr>
              <w:spacing w:after="50" w:before="50" w:line="252" w:lineRule="auto"/>
            </w:pPr>
          </w:p>
        </w:tc>
      </w:tr>
      <w:tr>
        <w:tc>
          <w:tcPr>
            <w:tcW w:type="dxa" w:w="8072"/>
            <w:shd w:val="clear" w:color="auto" w:fill="EAF1F4"/>
          </w:tcPr>
          <w:p>
            <w:pPr>
              <w:spacing w:after="50" w:before="50" w:line="252" w:lineRule="auto"/>
            </w:pPr>
            <w:r>
              <w:rPr>
                <w:sz w:val="17"/>
              </w:rPr>
              <w:t>Programme delivery</w:t>
            </w:r>
          </w:p>
        </w:tc>
        <w:tc>
          <w:tcPr>
            <w:tcW w:type="dxa" w:w="1396"/>
            <w:shd w:val="clear" w:color="auto" w:fill="EAF1F4"/>
          </w:tcPr>
          <w:p>
            <w:pPr>
              <w:spacing w:after="50" w:before="50" w:line="252" w:lineRule="auto"/>
            </w:pPr>
          </w:p>
        </w:tc>
      </w:tr>
      <w:tr>
        <w:tc>
          <w:tcPr>
            <w:tcW w:type="dxa" w:w="8072"/>
          </w:tcPr>
          <w:p>
            <w:pPr>
              <w:spacing w:after="50" w:before="50" w:line="252" w:lineRule="auto"/>
            </w:pPr>
            <w:r>
              <w:rPr>
                <w:sz w:val="17"/>
              </w:rPr>
              <w:t>Operations and logistics</w:t>
            </w:r>
          </w:p>
        </w:tc>
        <w:tc>
          <w:tcPr>
            <w:tcW w:type="dxa" w:w="1396"/>
          </w:tcPr>
          <w:p>
            <w:pPr>
              <w:spacing w:after="50" w:before="50" w:line="252" w:lineRule="auto"/>
            </w:pPr>
          </w:p>
        </w:tc>
      </w:tr>
      <w:tr>
        <w:tc>
          <w:tcPr>
            <w:tcW w:type="dxa" w:w="8072"/>
            <w:shd w:val="clear" w:color="auto" w:fill="EAF1F4"/>
          </w:tcPr>
          <w:p>
            <w:pPr>
              <w:spacing w:after="50" w:before="50" w:line="252" w:lineRule="auto"/>
            </w:pPr>
            <w:r>
              <w:rPr>
                <w:sz w:val="17"/>
              </w:rPr>
              <w:t>Curriculum customisation</w:t>
            </w:r>
          </w:p>
        </w:tc>
        <w:tc>
          <w:tcPr>
            <w:tcW w:type="dxa" w:w="1396"/>
            <w:shd w:val="clear" w:color="auto" w:fill="EAF1F4"/>
          </w:tcPr>
          <w:p>
            <w:pPr>
              <w:spacing w:after="50" w:before="50" w:line="252" w:lineRule="auto"/>
            </w:pPr>
          </w:p>
        </w:tc>
      </w:tr>
      <w:tr>
        <w:tc>
          <w:tcPr>
            <w:tcW w:type="dxa" w:w="8072"/>
          </w:tcPr>
          <w:p>
            <w:pPr>
              <w:spacing w:after="50" w:before="50" w:line="252" w:lineRule="auto"/>
            </w:pPr>
            <w:r>
              <w:rPr>
                <w:sz w:val="17"/>
              </w:rPr>
              <w:t>Governance and reporting</w:t>
            </w:r>
          </w:p>
        </w:tc>
        <w:tc>
          <w:tcPr>
            <w:tcW w:type="dxa" w:w="1396"/>
          </w:tcPr>
          <w:p>
            <w:pPr>
              <w:spacing w:after="50" w:before="50" w:line="252" w:lineRule="auto"/>
            </w:pPr>
          </w:p>
        </w:tc>
      </w:tr>
      <w:tr>
        <w:tc>
          <w:tcPr>
            <w:tcW w:type="dxa" w:w="8072"/>
            <w:shd w:val="clear" w:color="auto" w:fill="EAF1F4"/>
          </w:tcPr>
          <w:p>
            <w:pPr>
              <w:spacing w:after="50" w:before="50" w:line="252" w:lineRule="auto"/>
            </w:pPr>
            <w:r>
              <w:rPr>
                <w:sz w:val="17"/>
              </w:rPr>
              <w:t>Issue resolution and remediation</w:t>
            </w:r>
          </w:p>
        </w:tc>
        <w:tc>
          <w:tcPr>
            <w:tcW w:type="dxa" w:w="1396"/>
            <w:shd w:val="clear" w:color="auto" w:fill="EAF1F4"/>
          </w:tcPr>
          <w:p>
            <w:pPr>
              <w:spacing w:after="50" w:before="50" w:line="252" w:lineRule="auto"/>
            </w:pPr>
          </w:p>
        </w:tc>
      </w:tr>
      <w:tr>
        <w:tc>
          <w:tcPr>
            <w:tcW w:type="dxa" w:w="8072"/>
          </w:tcPr>
          <w:p>
            <w:pPr>
              <w:spacing w:after="50" w:before="50" w:line="252" w:lineRule="auto"/>
            </w:pPr>
            <w:r>
              <w:rPr>
                <w:b/>
                <w:sz w:val="17"/>
              </w:rPr>
              <w:t>Total</w:t>
            </w:r>
          </w:p>
        </w:tc>
        <w:tc>
          <w:tcPr>
            <w:tcW w:type="dxa" w:w="1396"/>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4. On T6, effort</w:t>
      </w:r>
    </w:p>
    <w:p>
      <w:r>
        <w:t>The effort test is the one most often failed and least often measured, and it is the reason it is stated explicitly here.</w:t>
      </w:r>
    </w:p>
    <w:p>
      <w:r>
        <w:rPr>
          <w:b/>
        </w:rPr>
        <w:t>Person-days must be logged against a partnership at the time they are worked.</w:t>
      </w:r>
      <w:r>
        <w:t xml:space="preserve"> Retrospective estimation understates effort by a wide margin, invariably in favour of the partnerships that consume the most.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285"/>
            <w:shd w:val="clear" w:color="auto" w:fill="10375C"/>
          </w:tcPr>
          <w:p>
            <w:pPr>
              <w:spacing w:after="50" w:before="50"/>
            </w:pPr>
            <w:r>
              <w:rPr>
                <w:b/>
                <w:color w:val="FFFFFF"/>
                <w:sz w:val="17"/>
              </w:rPr>
              <w:t>Signal that effort is out of proportion</w:t>
            </w:r>
          </w:p>
        </w:tc>
        <w:tc>
          <w:tcPr>
            <w:tcW w:type="dxa" w:w="4183"/>
            <w:shd w:val="clear" w:color="auto" w:fill="10375C"/>
          </w:tcPr>
          <w:p>
            <w:pPr>
              <w:spacing w:after="50" w:before="50"/>
            </w:pPr>
            <w:r>
              <w:rPr>
                <w:b/>
                <w:color w:val="FFFFFF"/>
                <w:sz w:val="17"/>
              </w:rPr>
              <w:t>Typical cause</w:t>
            </w:r>
          </w:p>
        </w:tc>
      </w:tr>
      <w:tr>
        <w:tc>
          <w:tcPr>
            <w:tcW w:type="dxa" w:w="5285"/>
          </w:tcPr>
          <w:p>
            <w:pPr>
              <w:spacing w:after="50" w:before="50" w:line="252" w:lineRule="auto"/>
            </w:pPr>
            <w:r>
              <w:rPr>
                <w:sz w:val="17"/>
              </w:rPr>
              <w:t>Repeated rescheduling</w:t>
            </w:r>
          </w:p>
        </w:tc>
        <w:tc>
          <w:tcPr>
            <w:tcW w:type="dxa" w:w="4183"/>
          </w:tcPr>
          <w:p>
            <w:pPr>
              <w:spacing w:after="50" w:before="50" w:line="252" w:lineRule="auto"/>
            </w:pPr>
            <w:r>
              <w:rPr>
                <w:sz w:val="17"/>
              </w:rPr>
              <w:t>Weak internal coordination at the institution</w:t>
            </w:r>
          </w:p>
        </w:tc>
      </w:tr>
      <w:tr>
        <w:tc>
          <w:tcPr>
            <w:tcW w:type="dxa" w:w="5285"/>
            <w:shd w:val="clear" w:color="auto" w:fill="EAF1F4"/>
          </w:tcPr>
          <w:p>
            <w:pPr>
              <w:spacing w:after="50" w:before="50" w:line="252" w:lineRule="auto"/>
            </w:pPr>
            <w:r>
              <w:rPr>
                <w:sz w:val="17"/>
              </w:rPr>
              <w:t>Repeated renegotiation of agreed terms</w:t>
            </w:r>
          </w:p>
        </w:tc>
        <w:tc>
          <w:tcPr>
            <w:tcW w:type="dxa" w:w="4183"/>
            <w:shd w:val="clear" w:color="auto" w:fill="EAF1F4"/>
          </w:tcPr>
          <w:p>
            <w:pPr>
              <w:spacing w:after="50" w:before="50" w:line="252" w:lineRule="auto"/>
            </w:pPr>
            <w:r>
              <w:rPr>
                <w:sz w:val="17"/>
              </w:rPr>
              <w:t>No real decision-maker engaged</w:t>
            </w:r>
          </w:p>
        </w:tc>
      </w:tr>
      <w:tr>
        <w:tc>
          <w:tcPr>
            <w:tcW w:type="dxa" w:w="5285"/>
          </w:tcPr>
          <w:p>
            <w:pPr>
              <w:spacing w:after="50" w:before="50" w:line="252" w:lineRule="auto"/>
            </w:pPr>
            <w:r>
              <w:rPr>
                <w:sz w:val="17"/>
              </w:rPr>
              <w:t>Bespoke content demanded for standard programmes</w:t>
            </w:r>
          </w:p>
        </w:tc>
        <w:tc>
          <w:tcPr>
            <w:tcW w:type="dxa" w:w="4183"/>
          </w:tcPr>
          <w:p>
            <w:pPr>
              <w:spacing w:after="50" w:before="50" w:line="252" w:lineRule="auto"/>
            </w:pPr>
            <w:r>
              <w:rPr>
                <w:sz w:val="17"/>
              </w:rPr>
              <w:t>Customisation not being charged</w:t>
            </w:r>
          </w:p>
        </w:tc>
      </w:tr>
      <w:tr>
        <w:tc>
          <w:tcPr>
            <w:tcW w:type="dxa" w:w="5285"/>
            <w:shd w:val="clear" w:color="auto" w:fill="EAF1F4"/>
          </w:tcPr>
          <w:p>
            <w:pPr>
              <w:spacing w:after="50" w:before="50" w:line="252" w:lineRule="auto"/>
            </w:pPr>
            <w:r>
              <w:rPr>
                <w:sz w:val="17"/>
              </w:rPr>
              <w:t>Frequent escalation of small issues</w:t>
            </w:r>
          </w:p>
        </w:tc>
        <w:tc>
          <w:tcPr>
            <w:tcW w:type="dxa" w:w="4183"/>
            <w:shd w:val="clear" w:color="auto" w:fill="EAF1F4"/>
          </w:tcPr>
          <w:p>
            <w:pPr>
              <w:spacing w:after="50" w:before="50" w:line="252" w:lineRule="auto"/>
            </w:pPr>
            <w:r>
              <w:rPr>
                <w:sz w:val="17"/>
              </w:rPr>
              <w:t>Nodal Officer without authority</w:t>
            </w:r>
          </w:p>
        </w:tc>
      </w:tr>
      <w:tr>
        <w:tc>
          <w:tcPr>
            <w:tcW w:type="dxa" w:w="5285"/>
          </w:tcPr>
          <w:p>
            <w:pPr>
              <w:spacing w:after="50" w:before="50" w:line="252" w:lineRule="auto"/>
            </w:pPr>
            <w:r>
              <w:rPr>
                <w:sz w:val="17"/>
              </w:rPr>
              <w:t>Long email threads to agree simple things</w:t>
            </w:r>
          </w:p>
        </w:tc>
        <w:tc>
          <w:tcPr>
            <w:tcW w:type="dxa" w:w="4183"/>
          </w:tcPr>
          <w:p>
            <w:pPr>
              <w:spacing w:after="50" w:before="50" w:line="252" w:lineRule="auto"/>
            </w:pPr>
            <w:r>
              <w:rPr>
                <w:sz w:val="17"/>
              </w:rPr>
              <w:t>No champion</w:t>
            </w:r>
          </w:p>
        </w:tc>
      </w:tr>
    </w:tbl>
    <w:p>
      <w:pPr>
        <w:spacing w:after="80" w:before="0"/>
      </w:pPr>
    </w:p>
    <w:p>
      <w:r>
        <w:t>The remedy is usually to restructure to a lower tier and to charge for customisation, not to work harder.</w:t>
      </w:r>
    </w:p>
    <w:p>
      <w:pPr>
        <w:spacing w:before="80" w:after="160"/>
        <w:pBdr>
          <w:bottom w:val="single" w:sz="6" w:space="1" w:color="C9D6DE"/>
        </w:pBdr>
      </w:pPr>
    </w:p>
    <w:p>
      <w:pPr>
        <w:pStyle w:val="Heading1"/>
        <w:pBdr>
          <w:bottom w:val="single" w:sz="8" w:space="4" w:color="C9D6DE"/>
        </w:pBdr>
      </w:pPr>
      <w:r>
        <w:t>5. Reporting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263"/>
            <w:shd w:val="clear" w:color="auto" w:fill="10375C"/>
          </w:tcPr>
          <w:p>
            <w:pPr>
              <w:spacing w:after="50" w:before="50"/>
            </w:pPr>
            <w:r>
              <w:rPr>
                <w:b/>
                <w:color w:val="FFFFFF"/>
                <w:sz w:val="17"/>
              </w:rPr>
              <w:t>Report</w:t>
            </w:r>
          </w:p>
        </w:tc>
        <w:tc>
          <w:tcPr>
            <w:tcW w:type="dxa" w:w="2759"/>
            <w:shd w:val="clear" w:color="auto" w:fill="10375C"/>
          </w:tcPr>
          <w:p>
            <w:pPr>
              <w:spacing w:after="50" w:before="50"/>
            </w:pPr>
            <w:r>
              <w:rPr>
                <w:b/>
                <w:color w:val="FFFFFF"/>
                <w:sz w:val="17"/>
              </w:rPr>
              <w:t>Frequency</w:t>
            </w:r>
          </w:p>
        </w:tc>
        <w:tc>
          <w:tcPr>
            <w:tcW w:type="dxa" w:w="3446"/>
            <w:shd w:val="clear" w:color="auto" w:fill="10375C"/>
          </w:tcPr>
          <w:p>
            <w:pPr>
              <w:spacing w:after="50" w:before="50"/>
            </w:pPr>
            <w:r>
              <w:rPr>
                <w:b/>
                <w:color w:val="FFFFFF"/>
                <w:sz w:val="17"/>
              </w:rPr>
              <w:t>To</w:t>
            </w:r>
          </w:p>
        </w:tc>
      </w:tr>
      <w:tr>
        <w:tc>
          <w:tcPr>
            <w:tcW w:type="dxa" w:w="3263"/>
          </w:tcPr>
          <w:p>
            <w:pPr>
              <w:spacing w:after="50" w:before="50" w:line="252" w:lineRule="auto"/>
            </w:pPr>
            <w:r>
              <w:rPr>
                <w:sz w:val="17"/>
              </w:rPr>
              <w:t>Delivery dashboard</w:t>
            </w:r>
          </w:p>
        </w:tc>
        <w:tc>
          <w:tcPr>
            <w:tcW w:type="dxa" w:w="2759"/>
          </w:tcPr>
          <w:p>
            <w:pPr>
              <w:spacing w:after="50" w:before="50" w:line="252" w:lineRule="auto"/>
            </w:pPr>
            <w:r>
              <w:rPr>
                <w:sz w:val="17"/>
              </w:rPr>
              <w:t>Fortnightly</w:t>
            </w:r>
          </w:p>
        </w:tc>
        <w:tc>
          <w:tcPr>
            <w:tcW w:type="dxa" w:w="3446"/>
          </w:tcPr>
          <w:p>
            <w:pPr>
              <w:spacing w:after="50" w:before="50" w:line="252" w:lineRule="auto"/>
            </w:pPr>
            <w:r>
              <w:rPr>
                <w:sz w:val="17"/>
              </w:rPr>
              <w:t>Programme Management Team</w:t>
            </w:r>
          </w:p>
        </w:tc>
      </w:tr>
      <w:tr>
        <w:tc>
          <w:tcPr>
            <w:tcW w:type="dxa" w:w="3263"/>
            <w:shd w:val="clear" w:color="auto" w:fill="EAF1F4"/>
          </w:tcPr>
          <w:p>
            <w:pPr>
              <w:spacing w:after="50" w:before="50" w:line="252" w:lineRule="auto"/>
            </w:pPr>
            <w:r>
              <w:rPr>
                <w:sz w:val="17"/>
              </w:rPr>
              <w:t>Pipeline report</w:t>
            </w:r>
          </w:p>
        </w:tc>
        <w:tc>
          <w:tcPr>
            <w:tcW w:type="dxa" w:w="2759"/>
            <w:shd w:val="clear" w:color="auto" w:fill="EAF1F4"/>
          </w:tcPr>
          <w:p>
            <w:pPr>
              <w:spacing w:after="50" w:before="50" w:line="252" w:lineRule="auto"/>
            </w:pPr>
            <w:r>
              <w:rPr>
                <w:sz w:val="17"/>
              </w:rPr>
              <w:t>Fortnightly</w:t>
            </w:r>
          </w:p>
        </w:tc>
        <w:tc>
          <w:tcPr>
            <w:tcW w:type="dxa" w:w="3446"/>
            <w:shd w:val="clear" w:color="auto" w:fill="EAF1F4"/>
          </w:tcPr>
          <w:p>
            <w:pPr>
              <w:spacing w:after="50" w:before="50" w:line="252" w:lineRule="auto"/>
            </w:pPr>
            <w:r>
              <w:rPr>
                <w:sz w:val="17"/>
              </w:rPr>
              <w:t>Programme Management Team</w:t>
            </w:r>
          </w:p>
        </w:tc>
      </w:tr>
      <w:tr>
        <w:tc>
          <w:tcPr>
            <w:tcW w:type="dxa" w:w="3263"/>
          </w:tcPr>
          <w:p>
            <w:pPr>
              <w:spacing w:after="50" w:before="50" w:line="252" w:lineRule="auto"/>
            </w:pPr>
            <w:r>
              <w:rPr>
                <w:sz w:val="17"/>
              </w:rPr>
              <w:t>Partnership scorecards</w:t>
            </w:r>
          </w:p>
        </w:tc>
        <w:tc>
          <w:tcPr>
            <w:tcW w:type="dxa" w:w="2759"/>
          </w:tcPr>
          <w:p>
            <w:pPr>
              <w:spacing w:after="50" w:before="50" w:line="252" w:lineRule="auto"/>
            </w:pPr>
            <w:r>
              <w:rPr>
                <w:sz w:val="17"/>
              </w:rPr>
              <w:t>Quarterly, rolling</w:t>
            </w:r>
          </w:p>
        </w:tc>
        <w:tc>
          <w:tcPr>
            <w:tcW w:type="dxa" w:w="3446"/>
          </w:tcPr>
          <w:p>
            <w:pPr>
              <w:spacing w:after="50" w:before="50" w:line="252" w:lineRule="auto"/>
            </w:pPr>
            <w:r>
              <w:rPr>
                <w:sz w:val="17"/>
              </w:rPr>
              <w:t>Programme Board</w:t>
            </w:r>
          </w:p>
        </w:tc>
      </w:tr>
      <w:tr>
        <w:tc>
          <w:tcPr>
            <w:tcW w:type="dxa" w:w="3263"/>
            <w:shd w:val="clear" w:color="auto" w:fill="EAF1F4"/>
          </w:tcPr>
          <w:p>
            <w:pPr>
              <w:spacing w:after="50" w:before="50" w:line="252" w:lineRule="auto"/>
            </w:pPr>
            <w:r>
              <w:rPr>
                <w:sz w:val="17"/>
              </w:rPr>
              <w:t>Financial pack</w:t>
            </w:r>
          </w:p>
        </w:tc>
        <w:tc>
          <w:tcPr>
            <w:tcW w:type="dxa" w:w="2759"/>
            <w:shd w:val="clear" w:color="auto" w:fill="EAF1F4"/>
          </w:tcPr>
          <w:p>
            <w:pPr>
              <w:spacing w:after="50" w:before="50" w:line="252" w:lineRule="auto"/>
            </w:pPr>
            <w:r>
              <w:rPr>
                <w:sz w:val="17"/>
              </w:rPr>
              <w:t>Quarterly</w:t>
            </w:r>
          </w:p>
        </w:tc>
        <w:tc>
          <w:tcPr>
            <w:tcW w:type="dxa" w:w="3446"/>
            <w:shd w:val="clear" w:color="auto" w:fill="EAF1F4"/>
          </w:tcPr>
          <w:p>
            <w:pPr>
              <w:spacing w:after="50" w:before="50" w:line="252" w:lineRule="auto"/>
            </w:pPr>
            <w:r>
              <w:rPr>
                <w:sz w:val="17"/>
              </w:rPr>
              <w:t>Programme Board</w:t>
            </w:r>
          </w:p>
        </w:tc>
      </w:tr>
      <w:tr>
        <w:tc>
          <w:tcPr>
            <w:tcW w:type="dxa" w:w="3263"/>
          </w:tcPr>
          <w:p>
            <w:pPr>
              <w:spacing w:after="50" w:before="50" w:line="252" w:lineRule="auto"/>
            </w:pPr>
            <w:r>
              <w:rPr>
                <w:sz w:val="17"/>
              </w:rPr>
              <w:t>Quality report</w:t>
            </w:r>
          </w:p>
        </w:tc>
        <w:tc>
          <w:tcPr>
            <w:tcW w:type="dxa" w:w="2759"/>
          </w:tcPr>
          <w:p>
            <w:pPr>
              <w:spacing w:after="50" w:before="50" w:line="252" w:lineRule="auto"/>
            </w:pPr>
            <w:r>
              <w:rPr>
                <w:sz w:val="17"/>
              </w:rPr>
              <w:t>Quarterly</w:t>
            </w:r>
          </w:p>
        </w:tc>
        <w:tc>
          <w:tcPr>
            <w:tcW w:type="dxa" w:w="3446"/>
          </w:tcPr>
          <w:p>
            <w:pPr>
              <w:spacing w:after="50" w:before="50" w:line="252" w:lineRule="auto"/>
            </w:pPr>
            <w:r>
              <w:rPr>
                <w:sz w:val="17"/>
              </w:rPr>
              <w:t>Programme Board</w:t>
            </w:r>
          </w:p>
        </w:tc>
      </w:tr>
      <w:tr>
        <w:tc>
          <w:tcPr>
            <w:tcW w:type="dxa" w:w="3263"/>
            <w:shd w:val="clear" w:color="auto" w:fill="EAF1F4"/>
          </w:tcPr>
          <w:p>
            <w:pPr>
              <w:spacing w:after="50" w:before="50" w:line="252" w:lineRule="auto"/>
            </w:pPr>
            <w:r>
              <w:rPr>
                <w:sz w:val="17"/>
              </w:rPr>
              <w:t>Risk and incident report</w:t>
            </w:r>
          </w:p>
        </w:tc>
        <w:tc>
          <w:tcPr>
            <w:tcW w:type="dxa" w:w="2759"/>
            <w:shd w:val="clear" w:color="auto" w:fill="EAF1F4"/>
          </w:tcPr>
          <w:p>
            <w:pPr>
              <w:spacing w:after="50" w:before="50" w:line="252" w:lineRule="auto"/>
            </w:pPr>
            <w:r>
              <w:rPr>
                <w:sz w:val="17"/>
              </w:rPr>
              <w:t>Quarterly, immediate on L4</w:t>
            </w:r>
          </w:p>
        </w:tc>
        <w:tc>
          <w:tcPr>
            <w:tcW w:type="dxa" w:w="3446"/>
            <w:shd w:val="clear" w:color="auto" w:fill="EAF1F4"/>
          </w:tcPr>
          <w:p>
            <w:pPr>
              <w:spacing w:after="50" w:before="50" w:line="252" w:lineRule="auto"/>
            </w:pPr>
            <w:r>
              <w:rPr>
                <w:sz w:val="17"/>
              </w:rPr>
              <w:t>Programme Board</w:t>
            </w:r>
          </w:p>
        </w:tc>
      </w:tr>
      <w:tr>
        <w:tc>
          <w:tcPr>
            <w:tcW w:type="dxa" w:w="3263"/>
          </w:tcPr>
          <w:p>
            <w:pPr>
              <w:spacing w:after="50" w:before="50" w:line="252" w:lineRule="auto"/>
            </w:pPr>
            <w:r>
              <w:rPr>
                <w:sz w:val="17"/>
              </w:rPr>
              <w:t>Annual programme review</w:t>
            </w:r>
          </w:p>
        </w:tc>
        <w:tc>
          <w:tcPr>
            <w:tcW w:type="dxa" w:w="2759"/>
          </w:tcPr>
          <w:p>
            <w:pPr>
              <w:spacing w:after="50" w:before="50" w:line="252" w:lineRule="auto"/>
            </w:pPr>
            <w:r>
              <w:rPr>
                <w:sz w:val="17"/>
              </w:rPr>
              <w:t>Annual</w:t>
            </w:r>
          </w:p>
        </w:tc>
        <w:tc>
          <w:tcPr>
            <w:tcW w:type="dxa" w:w="3446"/>
          </w:tcPr>
          <w:p>
            <w:pPr>
              <w:spacing w:after="50" w:before="50" w:line="252" w:lineRule="auto"/>
            </w:pPr>
            <w:r>
              <w:rPr>
                <w:sz w:val="17"/>
              </w:rPr>
              <w:t>Board of Equator Resolution</w:t>
            </w:r>
          </w:p>
        </w:tc>
      </w:tr>
    </w:tbl>
    <w:p>
      <w:pPr>
        <w:spacing w:after="80" w:before="0"/>
      </w:pPr>
    </w:p>
    <w:p>
      <w:pPr>
        <w:spacing w:before="80" w:after="160"/>
        <w:pBdr>
          <w:bottom w:val="single" w:sz="6" w:space="1" w:color="C9D6DE"/>
        </w:pBdr>
      </w:pPr>
    </w:p>
    <w:p>
      <w:pPr>
        <w:pStyle w:val="Heading1"/>
        <w:pBdr>
          <w:bottom w:val="single" w:sz="8" w:space="4" w:color="C9D6DE"/>
        </w:pBdr>
      </w:pPr>
      <w:r>
        <w:t>6. Data quality rules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Registered, attended, completed and certified are four different numbers and are always reported separately</w:t>
            </w:r>
          </w:p>
        </w:tc>
      </w:tr>
      <w:tr>
        <w:tc>
          <w:tcPr>
            <w:tcW w:type="dxa" w:w="9468"/>
            <w:shd w:val="clear" w:color="auto" w:fill="EAF1F4"/>
          </w:tcPr>
          <w:p>
            <w:pPr>
              <w:spacing w:after="50" w:before="50" w:line="252" w:lineRule="auto"/>
            </w:pPr>
            <w:r>
              <w:rPr>
                <w:sz w:val="17"/>
              </w:rPr>
              <w:t>Attendance is taken from the register, never estimated</w:t>
            </w:r>
          </w:p>
        </w:tc>
      </w:tr>
      <w:tr>
        <w:tc>
          <w:tcPr>
            <w:tcW w:type="dxa" w:w="9468"/>
          </w:tcPr>
          <w:p>
            <w:pPr>
              <w:spacing w:after="50" w:before="50" w:line="252" w:lineRule="auto"/>
            </w:pPr>
            <w:r>
              <w:rPr>
                <w:sz w:val="17"/>
              </w:rPr>
              <w:t>Revenue is recognised on delivery, not on invoice</w:t>
            </w:r>
          </w:p>
        </w:tc>
      </w:tr>
      <w:tr>
        <w:tc>
          <w:tcPr>
            <w:tcW w:type="dxa" w:w="9468"/>
            <w:shd w:val="clear" w:color="auto" w:fill="EAF1F4"/>
          </w:tcPr>
          <w:p>
            <w:pPr>
              <w:spacing w:after="50" w:before="50" w:line="252" w:lineRule="auto"/>
            </w:pPr>
            <w:r>
              <w:rPr>
                <w:sz w:val="17"/>
              </w:rPr>
              <w:t>Contribution is computed after all directly attributable costs including travel</w:t>
            </w:r>
          </w:p>
        </w:tc>
      </w:tr>
      <w:tr>
        <w:tc>
          <w:tcPr>
            <w:tcW w:type="dxa" w:w="9468"/>
          </w:tcPr>
          <w:p>
            <w:pPr>
              <w:spacing w:after="50" w:before="50" w:line="252" w:lineRule="auto"/>
            </w:pPr>
            <w:r>
              <w:rPr>
                <w:sz w:val="17"/>
              </w:rPr>
              <w:t>Person-days are logged weekly, not reconstructed</w:t>
            </w:r>
          </w:p>
        </w:tc>
      </w:tr>
      <w:tr>
        <w:tc>
          <w:tcPr>
            <w:tcW w:type="dxa" w:w="9468"/>
            <w:shd w:val="clear" w:color="auto" w:fill="EAF1F4"/>
          </w:tcPr>
          <w:p>
            <w:pPr>
              <w:spacing w:after="50" w:before="50" w:line="252" w:lineRule="auto"/>
            </w:pPr>
            <w:r>
              <w:rPr>
                <w:sz w:val="17"/>
              </w:rPr>
              <w:t>Feedback response rates below 70% are reported alongside the score</w:t>
            </w:r>
          </w:p>
        </w:tc>
      </w:tr>
      <w:tr>
        <w:tc>
          <w:tcPr>
            <w:tcW w:type="dxa" w:w="9468"/>
          </w:tcPr>
          <w:p>
            <w:pPr>
              <w:spacing w:after="50" w:before="50" w:line="252" w:lineRule="auto"/>
            </w:pPr>
            <w:r>
              <w:rPr>
                <w:sz w:val="17"/>
              </w:rPr>
              <w:t>A KPI with no owner is removed from the framework</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KPI Framework &amp; Partnership Scorecard</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37D6B65-FFEB-4611-A97E-6DC374AB8B4C}"/>
</file>

<file path=customXml/itemProps3.xml><?xml version="1.0" encoding="utf-8"?>
<ds:datastoreItem xmlns:ds="http://schemas.openxmlformats.org/officeDocument/2006/customXml" ds:itemID="{5C1A6E20-69F2-4098-B4E7-8E5C5BCA0C29}"/>
</file>

<file path=customXml/itemProps4.xml><?xml version="1.0" encoding="utf-8"?>
<ds:datastoreItem xmlns:ds="http://schemas.openxmlformats.org/officeDocument/2006/customXml" ds:itemID="{842615AA-8F0B-43EC-81E5-AA1D0C1B86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