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Renewal, Exit &amp; Wind-Down SOP</w:t>
      </w:r>
    </w:p>
    <w:p>
      <w:pPr>
        <w:spacing w:after="280" w:line="276" w:lineRule="auto"/>
      </w:pPr>
      <w:r>
        <w:rPr>
          <w:rFonts w:ascii="Calibri" w:hAnsi="Calibri"/>
          <w:i/>
          <w:color w:val="3E6B8A"/>
          <w:sz w:val="25"/>
        </w:rPr>
        <w:t>Deciding whether to renew, how to let a partnership lapse well, and how to wind one down without damage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w:t>
      </w:r>
    </w:p>
    <w:p>
      <w:r>
        <w:rPr>
          <w:b/>
        </w:rPr>
        <w:t>Letting a partnership end is a normal, healthy management action, not a failure.</w:t>
      </w:r>
      <w:r>
        <w:t xml:space="preserve"> A programme with sixty-eight partnerships of which twelve are dormant is worse off than one with fifty-six that are active, because the dormant twelve consume attention, distort reporting and dilute the brand.</w:t>
      </w:r>
    </w:p>
    <w:p>
      <w:r>
        <w:t>The purpose of this SOP is to make ending a partnership as ordinary and as well-executed as starting one.</w:t>
      </w:r>
    </w:p>
    <w:p>
      <w:pPr>
        <w:spacing w:before="80" w:after="160"/>
        <w:pBdr>
          <w:bottom w:val="single" w:sz="6" w:space="1" w:color="C9D6DE"/>
        </w:pBdr>
      </w:pPr>
    </w:p>
    <w:p>
      <w:pPr>
        <w:pStyle w:val="Heading1"/>
        <w:pBdr>
          <w:bottom w:val="single" w:sz="8" w:space="4" w:color="C9D6DE"/>
        </w:pBdr>
      </w:pPr>
      <w:r>
        <w:t>2. Renewal timeline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148"/>
            <w:shd w:val="clear" w:color="auto" w:fill="10375C"/>
          </w:tcPr>
          <w:p>
            <w:pPr>
              <w:spacing w:after="50" w:before="50"/>
            </w:pPr>
            <w:r>
              <w:rPr>
                <w:b/>
                <w:color w:val="FFFFFF"/>
                <w:sz w:val="17"/>
              </w:rPr>
              <w:t>Days before expiry</w:t>
            </w:r>
          </w:p>
        </w:tc>
        <w:tc>
          <w:tcPr>
            <w:tcW w:type="dxa" w:w="6808"/>
            <w:shd w:val="clear" w:color="auto" w:fill="10375C"/>
          </w:tcPr>
          <w:p>
            <w:pPr>
              <w:spacing w:after="50" w:before="50"/>
            </w:pPr>
            <w:r>
              <w:rPr>
                <w:b/>
                <w:color w:val="FFFFFF"/>
                <w:sz w:val="17"/>
              </w:rPr>
              <w:t>Step</w:t>
            </w:r>
          </w:p>
        </w:tc>
        <w:tc>
          <w:tcPr>
            <w:tcW w:type="dxa" w:w="1512"/>
            <w:shd w:val="clear" w:color="auto" w:fill="10375C"/>
          </w:tcPr>
          <w:p>
            <w:pPr>
              <w:spacing w:after="50" w:before="50"/>
            </w:pPr>
            <w:r>
              <w:rPr>
                <w:b/>
                <w:color w:val="FFFFFF"/>
                <w:sz w:val="17"/>
              </w:rPr>
              <w:t>Owner</w:t>
            </w:r>
          </w:p>
        </w:tc>
      </w:tr>
      <w:tr>
        <w:tc>
          <w:tcPr>
            <w:tcW w:type="dxa" w:w="1148"/>
          </w:tcPr>
          <w:p>
            <w:pPr>
              <w:spacing w:after="50" w:before="50" w:line="252" w:lineRule="auto"/>
            </w:pPr>
            <w:r>
              <w:rPr>
                <w:sz w:val="17"/>
              </w:rPr>
              <w:t>150</w:t>
            </w:r>
          </w:p>
        </w:tc>
        <w:tc>
          <w:tcPr>
            <w:tcW w:type="dxa" w:w="6808"/>
          </w:tcPr>
          <w:p>
            <w:pPr>
              <w:spacing w:after="50" w:before="50" w:line="252" w:lineRule="auto"/>
            </w:pPr>
            <w:r>
              <w:rPr>
                <w:sz w:val="17"/>
              </w:rPr>
              <w:t>Renewal flagged from the diary entry created at activation</w:t>
            </w:r>
          </w:p>
        </w:tc>
        <w:tc>
          <w:tcPr>
            <w:tcW w:type="dxa" w:w="1512"/>
          </w:tcPr>
          <w:p>
            <w:pPr>
              <w:spacing w:after="50" w:before="50" w:line="252" w:lineRule="auto"/>
            </w:pPr>
            <w:r>
              <w:rPr>
                <w:sz w:val="17"/>
              </w:rPr>
              <w:t>Operations</w:t>
            </w:r>
          </w:p>
        </w:tc>
      </w:tr>
      <w:tr>
        <w:tc>
          <w:tcPr>
            <w:tcW w:type="dxa" w:w="1148"/>
            <w:shd w:val="clear" w:color="auto" w:fill="EAF1F4"/>
          </w:tcPr>
          <w:p>
            <w:pPr>
              <w:spacing w:after="50" w:before="50" w:line="252" w:lineRule="auto"/>
            </w:pPr>
            <w:r>
              <w:rPr>
                <w:sz w:val="17"/>
              </w:rPr>
              <w:t>135</w:t>
            </w:r>
          </w:p>
        </w:tc>
        <w:tc>
          <w:tcPr>
            <w:tcW w:type="dxa" w:w="6808"/>
            <w:shd w:val="clear" w:color="auto" w:fill="EAF1F4"/>
          </w:tcPr>
          <w:p>
            <w:pPr>
              <w:spacing w:after="50" w:before="50" w:line="252" w:lineRule="auto"/>
            </w:pPr>
            <w:r>
              <w:rPr>
                <w:sz w:val="17"/>
              </w:rPr>
              <w:t>Scorecard prepared</w:t>
            </w:r>
          </w:p>
        </w:tc>
        <w:tc>
          <w:tcPr>
            <w:tcW w:type="dxa" w:w="1512"/>
            <w:shd w:val="clear" w:color="auto" w:fill="EAF1F4"/>
          </w:tcPr>
          <w:p>
            <w:pPr>
              <w:spacing w:after="50" w:before="50" w:line="252" w:lineRule="auto"/>
            </w:pPr>
            <w:r>
              <w:rPr>
                <w:sz w:val="17"/>
              </w:rPr>
              <w:t>Director</w:t>
            </w:r>
          </w:p>
        </w:tc>
      </w:tr>
      <w:tr>
        <w:tc>
          <w:tcPr>
            <w:tcW w:type="dxa" w:w="1148"/>
          </w:tcPr>
          <w:p>
            <w:pPr>
              <w:spacing w:after="50" w:before="50" w:line="252" w:lineRule="auto"/>
            </w:pPr>
            <w:r>
              <w:rPr>
                <w:sz w:val="17"/>
              </w:rPr>
              <w:t>120</w:t>
            </w:r>
          </w:p>
        </w:tc>
        <w:tc>
          <w:tcPr>
            <w:tcW w:type="dxa" w:w="6808"/>
          </w:tcPr>
          <w:p>
            <w:pPr>
              <w:spacing w:after="50" w:before="50" w:line="252" w:lineRule="auto"/>
            </w:pPr>
            <w:r>
              <w:rPr>
                <w:sz w:val="17"/>
              </w:rPr>
              <w:t>Annual review drafted</w:t>
            </w:r>
          </w:p>
        </w:tc>
        <w:tc>
          <w:tcPr>
            <w:tcW w:type="dxa" w:w="1512"/>
          </w:tcPr>
          <w:p>
            <w:pPr>
              <w:spacing w:after="50" w:before="50" w:line="252" w:lineRule="auto"/>
            </w:pPr>
            <w:r>
              <w:rPr>
                <w:sz w:val="17"/>
              </w:rPr>
              <w:t>Director</w:t>
            </w:r>
          </w:p>
        </w:tc>
      </w:tr>
      <w:tr>
        <w:tc>
          <w:tcPr>
            <w:tcW w:type="dxa" w:w="1148"/>
            <w:shd w:val="clear" w:color="auto" w:fill="EAF1F4"/>
          </w:tcPr>
          <w:p>
            <w:pPr>
              <w:spacing w:after="50" w:before="50" w:line="252" w:lineRule="auto"/>
            </w:pPr>
            <w:r>
              <w:rPr>
                <w:sz w:val="17"/>
              </w:rPr>
              <w:t>110</w:t>
            </w:r>
          </w:p>
        </w:tc>
        <w:tc>
          <w:tcPr>
            <w:tcW w:type="dxa" w:w="6808"/>
            <w:shd w:val="clear" w:color="auto" w:fill="EAF1F4"/>
          </w:tcPr>
          <w:p>
            <w:pPr>
              <w:spacing w:after="50" w:before="50" w:line="252" w:lineRule="auto"/>
            </w:pPr>
            <w:r>
              <w:rPr>
                <w:sz w:val="17"/>
              </w:rPr>
              <w:t>Steering Committee considers the review and makes a recommendation</w:t>
            </w:r>
          </w:p>
        </w:tc>
        <w:tc>
          <w:tcPr>
            <w:tcW w:type="dxa" w:w="1512"/>
            <w:shd w:val="clear" w:color="auto" w:fill="EAF1F4"/>
          </w:tcPr>
          <w:p>
            <w:pPr>
              <w:spacing w:after="50" w:before="50" w:line="252" w:lineRule="auto"/>
            </w:pPr>
            <w:r>
              <w:rPr>
                <w:sz w:val="17"/>
              </w:rPr>
              <w:t>Committee</w:t>
            </w:r>
          </w:p>
        </w:tc>
      </w:tr>
      <w:tr>
        <w:tc>
          <w:tcPr>
            <w:tcW w:type="dxa" w:w="1148"/>
          </w:tcPr>
          <w:p>
            <w:pPr>
              <w:spacing w:after="50" w:before="50" w:line="252" w:lineRule="auto"/>
            </w:pPr>
            <w:r>
              <w:rPr>
                <w:sz w:val="17"/>
              </w:rPr>
              <w:t>100</w:t>
            </w:r>
          </w:p>
        </w:tc>
        <w:tc>
          <w:tcPr>
            <w:tcW w:type="dxa" w:w="6808"/>
          </w:tcPr>
          <w:p>
            <w:pPr>
              <w:spacing w:after="50" w:before="50" w:line="252" w:lineRule="auto"/>
            </w:pPr>
            <w:r>
              <w:rPr>
                <w:b/>
                <w:sz w:val="17"/>
              </w:rPr>
              <w:t>Internal decision</w:t>
            </w:r>
            <w:r>
              <w:rPr>
                <w:sz w:val="17"/>
              </w:rPr>
              <w:t xml:space="preserve"> under the Delegation of Authority</w:t>
            </w:r>
          </w:p>
        </w:tc>
        <w:tc>
          <w:tcPr>
            <w:tcW w:type="dxa" w:w="1512"/>
          </w:tcPr>
          <w:p>
            <w:pPr>
              <w:spacing w:after="50" w:before="50" w:line="252" w:lineRule="auto"/>
            </w:pPr>
            <w:r>
              <w:rPr>
                <w:sz w:val="17"/>
              </w:rPr>
              <w:t>Director / Board</w:t>
            </w:r>
          </w:p>
        </w:tc>
      </w:tr>
      <w:tr>
        <w:tc>
          <w:tcPr>
            <w:tcW w:type="dxa" w:w="1148"/>
            <w:shd w:val="clear" w:color="auto" w:fill="EAF1F4"/>
          </w:tcPr>
          <w:p>
            <w:pPr>
              <w:spacing w:after="50" w:before="50" w:line="252" w:lineRule="auto"/>
            </w:pPr>
            <w:r>
              <w:rPr>
                <w:sz w:val="17"/>
              </w:rPr>
              <w:t>90</w:t>
            </w:r>
          </w:p>
        </w:tc>
        <w:tc>
          <w:tcPr>
            <w:tcW w:type="dxa" w:w="6808"/>
            <w:shd w:val="clear" w:color="auto" w:fill="EAF1F4"/>
          </w:tcPr>
          <w:p>
            <w:pPr>
              <w:spacing w:after="50" w:before="50" w:line="252" w:lineRule="auto"/>
            </w:pPr>
            <w:r>
              <w:rPr>
                <w:sz w:val="17"/>
              </w:rPr>
              <w:t>Renewal notice (L-19) or non-renewal notice (L-20) issued</w:t>
            </w:r>
          </w:p>
        </w:tc>
        <w:tc>
          <w:tcPr>
            <w:tcW w:type="dxa" w:w="1512"/>
            <w:shd w:val="clear" w:color="auto" w:fill="EAF1F4"/>
          </w:tcPr>
          <w:p>
            <w:pPr>
              <w:spacing w:after="50" w:before="50" w:line="252" w:lineRule="auto"/>
            </w:pPr>
            <w:r>
              <w:rPr>
                <w:sz w:val="17"/>
              </w:rPr>
              <w:t>Director</w:t>
            </w:r>
          </w:p>
        </w:tc>
      </w:tr>
      <w:tr>
        <w:tc>
          <w:tcPr>
            <w:tcW w:type="dxa" w:w="1148"/>
          </w:tcPr>
          <w:p>
            <w:pPr>
              <w:spacing w:after="50" w:before="50" w:line="252" w:lineRule="auto"/>
            </w:pPr>
            <w:r>
              <w:rPr>
                <w:sz w:val="17"/>
              </w:rPr>
              <w:t>75</w:t>
            </w:r>
          </w:p>
        </w:tc>
        <w:tc>
          <w:tcPr>
            <w:tcW w:type="dxa" w:w="6808"/>
          </w:tcPr>
          <w:p>
            <w:pPr>
              <w:spacing w:after="50" w:before="50" w:line="252" w:lineRule="auto"/>
            </w:pPr>
            <w:r>
              <w:rPr>
                <w:sz w:val="17"/>
              </w:rPr>
              <w:t>Renewal terms negotiated; schedules revised</w:t>
            </w:r>
          </w:p>
        </w:tc>
        <w:tc>
          <w:tcPr>
            <w:tcW w:type="dxa" w:w="1512"/>
          </w:tcPr>
          <w:p>
            <w:pPr>
              <w:spacing w:after="50" w:before="50" w:line="252" w:lineRule="auto"/>
            </w:pPr>
            <w:r>
              <w:rPr>
                <w:sz w:val="17"/>
              </w:rPr>
              <w:t>BD</w:t>
            </w:r>
          </w:p>
        </w:tc>
      </w:tr>
      <w:tr>
        <w:tc>
          <w:tcPr>
            <w:tcW w:type="dxa" w:w="1148"/>
            <w:shd w:val="clear" w:color="auto" w:fill="EAF1F4"/>
          </w:tcPr>
          <w:p>
            <w:pPr>
              <w:spacing w:after="50" w:before="50" w:line="252" w:lineRule="auto"/>
            </w:pPr>
            <w:r>
              <w:rPr>
                <w:sz w:val="17"/>
              </w:rPr>
              <w:t>45</w:t>
            </w:r>
          </w:p>
        </w:tc>
        <w:tc>
          <w:tcPr>
            <w:tcW w:type="dxa" w:w="6808"/>
            <w:shd w:val="clear" w:color="auto" w:fill="EAF1F4"/>
          </w:tcPr>
          <w:p>
            <w:pPr>
              <w:spacing w:after="50" w:before="50" w:line="252" w:lineRule="auto"/>
            </w:pPr>
            <w:r>
              <w:rPr>
                <w:sz w:val="17"/>
              </w:rPr>
              <w:t>Renewal instrument issued for execution</w:t>
            </w:r>
          </w:p>
        </w:tc>
        <w:tc>
          <w:tcPr>
            <w:tcW w:type="dxa" w:w="1512"/>
            <w:shd w:val="clear" w:color="auto" w:fill="EAF1F4"/>
          </w:tcPr>
          <w:p>
            <w:pPr>
              <w:spacing w:after="50" w:before="50" w:line="252" w:lineRule="auto"/>
            </w:pPr>
            <w:r>
              <w:rPr>
                <w:sz w:val="17"/>
              </w:rPr>
              <w:t>Legal</w:t>
            </w:r>
          </w:p>
        </w:tc>
      </w:tr>
      <w:tr>
        <w:tc>
          <w:tcPr>
            <w:tcW w:type="dxa" w:w="1148"/>
          </w:tcPr>
          <w:p>
            <w:pPr>
              <w:spacing w:after="50" w:before="50" w:line="252" w:lineRule="auto"/>
            </w:pPr>
            <w:r>
              <w:rPr>
                <w:sz w:val="17"/>
              </w:rPr>
              <w:t>15</w:t>
            </w:r>
          </w:p>
        </w:tc>
        <w:tc>
          <w:tcPr>
            <w:tcW w:type="dxa" w:w="6808"/>
          </w:tcPr>
          <w:p>
            <w:pPr>
              <w:spacing w:after="50" w:before="50" w:line="252" w:lineRule="auto"/>
            </w:pPr>
            <w:r>
              <w:rPr>
                <w:sz w:val="17"/>
              </w:rPr>
              <w:t>Executed</w:t>
            </w:r>
          </w:p>
        </w:tc>
        <w:tc>
          <w:tcPr>
            <w:tcW w:type="dxa" w:w="1512"/>
          </w:tcPr>
          <w:p>
            <w:pPr>
              <w:spacing w:after="50" w:before="50" w:line="252" w:lineRule="auto"/>
            </w:pPr>
            <w:r>
              <w:rPr>
                <w:sz w:val="17"/>
              </w:rPr>
              <w:t>Both</w:t>
            </w:r>
          </w:p>
        </w:tc>
      </w:tr>
      <w:tr>
        <w:tc>
          <w:tcPr>
            <w:tcW w:type="dxa" w:w="1148"/>
            <w:shd w:val="clear" w:color="auto" w:fill="EAF1F4"/>
          </w:tcPr>
          <w:p>
            <w:pPr>
              <w:spacing w:after="50" w:before="50" w:line="252" w:lineRule="auto"/>
            </w:pPr>
            <w:r>
              <w:rPr>
                <w:sz w:val="17"/>
              </w:rPr>
              <w:t>0</w:t>
            </w:r>
          </w:p>
        </w:tc>
        <w:tc>
          <w:tcPr>
            <w:tcW w:type="dxa" w:w="6808"/>
            <w:shd w:val="clear" w:color="auto" w:fill="EAF1F4"/>
          </w:tcPr>
          <w:p>
            <w:pPr>
              <w:spacing w:after="50" w:before="50" w:line="252" w:lineRule="auto"/>
            </w:pPr>
            <w:r>
              <w:rPr>
                <w:sz w:val="17"/>
              </w:rPr>
              <w:t>New term commences; calendar for the coming year already agreed</w:t>
            </w:r>
          </w:p>
        </w:tc>
        <w:tc>
          <w:tcPr>
            <w:tcW w:type="dxa" w:w="1512"/>
            <w:shd w:val="clear" w:color="auto" w:fill="EAF1F4"/>
          </w:tcPr>
          <w:p>
            <w:pPr>
              <w:spacing w:after="50" w:before="50" w:line="252" w:lineRule="auto"/>
            </w:pPr>
            <w:r>
              <w:rPr>
                <w:sz w:val="17"/>
              </w:rPr>
              <w:t>Operations</w:t>
            </w:r>
          </w:p>
        </w:tc>
      </w:tr>
    </w:tbl>
    <w:p>
      <w:pPr>
        <w:spacing w:after="80" w:before="0"/>
      </w:pPr>
    </w:p>
    <w:p>
      <w:r>
        <w:rPr>
          <w:b/>
        </w:rPr>
        <w:t>The reason the decision is taken at day 100 rather than day 30</w:t>
      </w:r>
      <w:r>
        <w:t xml:space="preserve"> is that the coming academic year's calendar must be agreed before the institution's own planning closes. A renewal signed a week before expiry produces a year with no activities in the first term.</w:t>
      </w:r>
    </w:p>
    <w:p>
      <w:pPr>
        <w:spacing w:before="80" w:after="160"/>
        <w:pBdr>
          <w:bottom w:val="single" w:sz="6" w:space="1" w:color="C9D6DE"/>
        </w:pBdr>
      </w:pPr>
    </w:p>
    <w:p>
      <w:pPr>
        <w:pStyle w:val="Heading1"/>
        <w:pBdr>
          <w:bottom w:val="single" w:sz="8" w:space="4" w:color="C9D6DE"/>
        </w:pBdr>
      </w:pPr>
      <w:r>
        <w:t>3. The decision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694"/>
            <w:shd w:val="clear" w:color="auto" w:fill="10375C"/>
          </w:tcPr>
          <w:p>
            <w:pPr>
              <w:spacing w:after="50" w:before="50"/>
            </w:pPr>
            <w:r>
              <w:rPr>
                <w:b/>
                <w:color w:val="FFFFFF"/>
                <w:sz w:val="17"/>
              </w:rPr>
              <w:t>Scorecard result</w:t>
            </w:r>
          </w:p>
        </w:tc>
        <w:tc>
          <w:tcPr>
            <w:tcW w:type="dxa" w:w="5773"/>
            <w:shd w:val="clear" w:color="auto" w:fill="10375C"/>
          </w:tcPr>
          <w:p>
            <w:pPr>
              <w:spacing w:after="50" w:before="50"/>
            </w:pPr>
            <w:r>
              <w:rPr>
                <w:b/>
                <w:color w:val="FFFFFF"/>
                <w:sz w:val="17"/>
              </w:rPr>
              <w:t>Default decision</w:t>
            </w:r>
          </w:p>
        </w:tc>
      </w:tr>
      <w:tr>
        <w:tc>
          <w:tcPr>
            <w:tcW w:type="dxa" w:w="3694"/>
          </w:tcPr>
          <w:p>
            <w:pPr>
              <w:spacing w:after="50" w:before="50" w:line="252" w:lineRule="auto"/>
            </w:pPr>
            <w:r>
              <w:rPr>
                <w:sz w:val="17"/>
              </w:rPr>
              <w:t>8 or 9 tests passed</w:t>
            </w:r>
          </w:p>
        </w:tc>
        <w:tc>
          <w:tcPr>
            <w:tcW w:type="dxa" w:w="5773"/>
          </w:tcPr>
          <w:p>
            <w:pPr>
              <w:spacing w:after="50" w:before="50" w:line="252" w:lineRule="auto"/>
            </w:pPr>
            <w:r>
              <w:rPr>
                <w:sz w:val="17"/>
              </w:rPr>
              <w:t>Renew; consider promotion a tier</w:t>
            </w:r>
          </w:p>
        </w:tc>
      </w:tr>
      <w:tr>
        <w:tc>
          <w:tcPr>
            <w:tcW w:type="dxa" w:w="3694"/>
            <w:shd w:val="clear" w:color="auto" w:fill="EAF1F4"/>
          </w:tcPr>
          <w:p>
            <w:pPr>
              <w:spacing w:after="50" w:before="50" w:line="252" w:lineRule="auto"/>
            </w:pPr>
            <w:r>
              <w:rPr>
                <w:sz w:val="17"/>
              </w:rPr>
              <w:t>6 or 7 passed</w:t>
            </w:r>
          </w:p>
        </w:tc>
        <w:tc>
          <w:tcPr>
            <w:tcW w:type="dxa" w:w="5773"/>
            <w:shd w:val="clear" w:color="auto" w:fill="EAF1F4"/>
          </w:tcPr>
          <w:p>
            <w:pPr>
              <w:spacing w:after="50" w:before="50" w:line="252" w:lineRule="auto"/>
            </w:pPr>
            <w:r>
              <w:rPr>
                <w:sz w:val="17"/>
              </w:rPr>
              <w:t>Renew as is; address the failed tests in the calendar</w:t>
            </w:r>
          </w:p>
        </w:tc>
      </w:tr>
      <w:tr>
        <w:tc>
          <w:tcPr>
            <w:tcW w:type="dxa" w:w="3694"/>
          </w:tcPr>
          <w:p>
            <w:pPr>
              <w:spacing w:after="50" w:before="50" w:line="252" w:lineRule="auto"/>
            </w:pPr>
            <w:r>
              <w:rPr>
                <w:sz w:val="17"/>
              </w:rPr>
              <w:t>4 or 5 passed</w:t>
            </w:r>
          </w:p>
        </w:tc>
        <w:tc>
          <w:tcPr>
            <w:tcW w:type="dxa" w:w="5773"/>
          </w:tcPr>
          <w:p>
            <w:pPr>
              <w:spacing w:after="50" w:before="50" w:line="252" w:lineRule="auto"/>
            </w:pPr>
            <w:r>
              <w:rPr>
                <w:sz w:val="17"/>
              </w:rPr>
              <w:t>Restructure to a lower tier</w:t>
            </w:r>
          </w:p>
        </w:tc>
      </w:tr>
      <w:tr>
        <w:tc>
          <w:tcPr>
            <w:tcW w:type="dxa" w:w="3694"/>
            <w:shd w:val="clear" w:color="auto" w:fill="EAF1F4"/>
          </w:tcPr>
          <w:p>
            <w:pPr>
              <w:spacing w:after="50" w:before="50" w:line="252" w:lineRule="auto"/>
            </w:pPr>
            <w:r>
              <w:rPr>
                <w:sz w:val="17"/>
              </w:rPr>
              <w:t>3 or fewer, first year</w:t>
            </w:r>
          </w:p>
        </w:tc>
        <w:tc>
          <w:tcPr>
            <w:tcW w:type="dxa" w:w="5773"/>
            <w:shd w:val="clear" w:color="auto" w:fill="EAF1F4"/>
          </w:tcPr>
          <w:p>
            <w:pPr>
              <w:spacing w:after="50" w:before="50" w:line="252" w:lineRule="auto"/>
            </w:pPr>
            <w:r>
              <w:rPr>
                <w:sz w:val="17"/>
              </w:rPr>
              <w:t>Restructure to Tier 3, with a specific recovery plan</w:t>
            </w:r>
          </w:p>
        </w:tc>
      </w:tr>
      <w:tr>
        <w:tc>
          <w:tcPr>
            <w:tcW w:type="dxa" w:w="3694"/>
          </w:tcPr>
          <w:p>
            <w:pPr>
              <w:spacing w:after="50" w:before="50" w:line="252" w:lineRule="auto"/>
            </w:pPr>
            <w:r>
              <w:rPr>
                <w:b/>
                <w:sz w:val="17"/>
              </w:rPr>
              <w:t>3 or fewer, two consecutive years</w:t>
            </w:r>
          </w:p>
        </w:tc>
        <w:tc>
          <w:tcPr>
            <w:tcW w:type="dxa" w:w="5773"/>
          </w:tcPr>
          <w:p>
            <w:pPr>
              <w:spacing w:after="50" w:before="50" w:line="252" w:lineRule="auto"/>
            </w:pPr>
            <w:r>
              <w:rPr>
                <w:b/>
                <w:sz w:val="17"/>
              </w:rPr>
              <w:t>Allow to lapse</w:t>
            </w:r>
          </w:p>
        </w:tc>
      </w:tr>
      <w:tr>
        <w:tc>
          <w:tcPr>
            <w:tcW w:type="dxa" w:w="3694"/>
            <w:shd w:val="clear" w:color="auto" w:fill="EAF1F4"/>
          </w:tcPr>
          <w:p>
            <w:pPr>
              <w:spacing w:after="50" w:before="50" w:line="252" w:lineRule="auto"/>
            </w:pPr>
            <w:r>
              <w:rPr>
                <w:sz w:val="17"/>
              </w:rPr>
              <w:t>Any failure of T9 (compliance)</w:t>
            </w:r>
          </w:p>
        </w:tc>
        <w:tc>
          <w:tcPr>
            <w:tcW w:type="dxa" w:w="5773"/>
            <w:shd w:val="clear" w:color="auto" w:fill="EAF1F4"/>
          </w:tcPr>
          <w:p>
            <w:pPr>
              <w:spacing w:after="50" w:before="50" w:line="252" w:lineRule="auto"/>
            </w:pPr>
            <w:r>
              <w:rPr>
                <w:sz w:val="17"/>
              </w:rPr>
              <w:t>Escalate to the Programme Board irrespective of other tests</w:t>
            </w:r>
          </w:p>
        </w:tc>
      </w:tr>
      <w:tr>
        <w:tc>
          <w:tcPr>
            <w:tcW w:type="dxa" w:w="3694"/>
          </w:tcPr>
          <w:p>
            <w:pPr>
              <w:spacing w:after="50" w:before="50" w:line="252" w:lineRule="auto"/>
            </w:pPr>
            <w:r>
              <w:rPr>
                <w:sz w:val="17"/>
              </w:rPr>
              <w:t>No champion (T7) for two years</w:t>
            </w:r>
          </w:p>
        </w:tc>
        <w:tc>
          <w:tcPr>
            <w:tcW w:type="dxa" w:w="5773"/>
          </w:tcPr>
          <w:p>
            <w:pPr>
              <w:spacing w:after="50" w:before="50" w:line="252" w:lineRule="auto"/>
            </w:pPr>
            <w:r>
              <w:rPr>
                <w:sz w:val="17"/>
              </w:rPr>
              <w:t>Restructure to Tier 3</w:t>
            </w:r>
          </w:p>
        </w:tc>
      </w:tr>
    </w:tbl>
    <w:p>
      <w:pPr>
        <w:spacing w:after="80" w:before="0"/>
      </w:pPr>
    </w:p>
    <w:p>
      <w:r>
        <w:rPr>
          <w:b/>
        </w:rPr>
        <w:t>Overriding considerations</w:t>
      </w:r>
      <w:r>
        <w:t xml:space="preserve"> requiring Programme Board approval: geographic importance where Equator has no other presence; brand value disproportionate to revenue; a Tier 1 termination; or a partnership where an incident has occurred.</w:t>
      </w:r>
    </w:p>
    <w:p>
      <w:pPr>
        <w:spacing w:before="80" w:after="160"/>
        <w:pBdr>
          <w:bottom w:val="single" w:sz="6" w:space="1" w:color="C9D6DE"/>
        </w:pBdr>
      </w:pPr>
    </w:p>
    <w:p>
      <w:pPr>
        <w:pStyle w:val="Heading1"/>
        <w:pBdr>
          <w:bottom w:val="single" w:sz="8" w:space="4" w:color="C9D6DE"/>
        </w:pBdr>
      </w:pPr>
      <w:r>
        <w:t>4. Restructuring rather than terminating</w:t>
      </w:r>
    </w:p>
    <w:p>
      <w:r>
        <w:t>Restructuring is usually better than termination. It preserves the relationship, reduces effort to a proportionate level, and leaves the door open.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098"/>
            <w:shd w:val="clear" w:color="auto" w:fill="10375C"/>
          </w:tcPr>
          <w:p>
            <w:pPr>
              <w:spacing w:after="50" w:before="50"/>
            </w:pPr>
            <w:r>
              <w:rPr>
                <w:b/>
                <w:color w:val="FFFFFF"/>
                <w:sz w:val="17"/>
              </w:rPr>
              <w:t>From</w:t>
            </w:r>
          </w:p>
        </w:tc>
        <w:tc>
          <w:tcPr>
            <w:tcW w:type="dxa" w:w="886"/>
            <w:shd w:val="clear" w:color="auto" w:fill="10375C"/>
          </w:tcPr>
          <w:p>
            <w:pPr>
              <w:spacing w:after="50" w:before="50"/>
            </w:pPr>
            <w:r>
              <w:rPr>
                <w:b/>
                <w:color w:val="FFFFFF"/>
                <w:sz w:val="17"/>
              </w:rPr>
              <w:t>To</w:t>
            </w:r>
          </w:p>
        </w:tc>
        <w:tc>
          <w:tcPr>
            <w:tcW w:type="dxa" w:w="7484"/>
            <w:shd w:val="clear" w:color="auto" w:fill="10375C"/>
          </w:tcPr>
          <w:p>
            <w:pPr>
              <w:spacing w:after="50" w:before="50"/>
            </w:pPr>
            <w:r>
              <w:rPr>
                <w:b/>
                <w:color w:val="FFFFFF"/>
                <w:sz w:val="17"/>
              </w:rPr>
              <w:t>What changes</w:t>
            </w:r>
          </w:p>
        </w:tc>
      </w:tr>
      <w:tr>
        <w:tc>
          <w:tcPr>
            <w:tcW w:type="dxa" w:w="1098"/>
          </w:tcPr>
          <w:p>
            <w:pPr>
              <w:spacing w:after="50" w:before="50" w:line="252" w:lineRule="auto"/>
            </w:pPr>
            <w:r>
              <w:rPr>
                <w:sz w:val="17"/>
              </w:rPr>
              <w:t>Tier 1</w:t>
            </w:r>
          </w:p>
        </w:tc>
        <w:tc>
          <w:tcPr>
            <w:tcW w:type="dxa" w:w="886"/>
          </w:tcPr>
          <w:p>
            <w:pPr>
              <w:spacing w:after="50" w:before="50" w:line="252" w:lineRule="auto"/>
            </w:pPr>
            <w:r>
              <w:rPr>
                <w:sz w:val="17"/>
              </w:rPr>
              <w:t>Tier 2</w:t>
            </w:r>
          </w:p>
        </w:tc>
        <w:tc>
          <w:tcPr>
            <w:tcW w:type="dxa" w:w="7484"/>
          </w:tcPr>
          <w:p>
            <w:pPr>
              <w:spacing w:after="50" w:before="50" w:line="252" w:lineRule="auto"/>
            </w:pPr>
            <w:r>
              <w:rPr>
                <w:sz w:val="17"/>
              </w:rPr>
              <w:t>ADR Laboratory naming ends; research chair ends; exclusivity ends; hosting rights become participation; effort norm falls from 104 to 39 person-days</w:t>
            </w:r>
          </w:p>
        </w:tc>
      </w:tr>
      <w:tr>
        <w:tc>
          <w:tcPr>
            <w:tcW w:type="dxa" w:w="1098"/>
            <w:shd w:val="clear" w:color="auto" w:fill="EAF1F4"/>
          </w:tcPr>
          <w:p>
            <w:pPr>
              <w:spacing w:after="50" w:before="50" w:line="252" w:lineRule="auto"/>
            </w:pPr>
            <w:r>
              <w:rPr>
                <w:sz w:val="17"/>
              </w:rPr>
              <w:t>Tier 2</w:t>
            </w:r>
          </w:p>
        </w:tc>
        <w:tc>
          <w:tcPr>
            <w:tcW w:type="dxa" w:w="886"/>
            <w:shd w:val="clear" w:color="auto" w:fill="EAF1F4"/>
          </w:tcPr>
          <w:p>
            <w:pPr>
              <w:spacing w:after="50" w:before="50" w:line="252" w:lineRule="auto"/>
            </w:pPr>
            <w:r>
              <w:rPr>
                <w:sz w:val="17"/>
              </w:rPr>
              <w:t>Tier 3</w:t>
            </w:r>
          </w:p>
        </w:tc>
        <w:tc>
          <w:tcPr>
            <w:tcW w:type="dxa" w:w="7484"/>
            <w:shd w:val="clear" w:color="auto" w:fill="EAF1F4"/>
          </w:tcPr>
          <w:p>
            <w:pPr>
              <w:spacing w:after="50" w:before="50" w:line="252" w:lineRule="auto"/>
            </w:pPr>
            <w:r>
              <w:rPr>
                <w:sz w:val="17"/>
              </w:rPr>
              <w:t>Paid programmes cease unless separately contracted; internship allocation becomes open application; webinars and competitions continue</w:t>
            </w:r>
          </w:p>
        </w:tc>
      </w:tr>
      <w:tr>
        <w:tc>
          <w:tcPr>
            <w:tcW w:type="dxa" w:w="1098"/>
          </w:tcPr>
          <w:p>
            <w:pPr>
              <w:spacing w:after="50" w:before="50" w:line="252" w:lineRule="auto"/>
            </w:pPr>
            <w:r>
              <w:rPr>
                <w:sz w:val="17"/>
              </w:rPr>
              <w:t>Any tier</w:t>
            </w:r>
          </w:p>
        </w:tc>
        <w:tc>
          <w:tcPr>
            <w:tcW w:type="dxa" w:w="886"/>
          </w:tcPr>
          <w:p>
            <w:pPr>
              <w:spacing w:after="50" w:before="50" w:line="252" w:lineRule="auto"/>
            </w:pPr>
            <w:r>
              <w:rPr>
                <w:sz w:val="17"/>
              </w:rPr>
              <w:t>Tier 3</w:t>
            </w:r>
          </w:p>
        </w:tc>
        <w:tc>
          <w:tcPr>
            <w:tcW w:type="dxa" w:w="7484"/>
          </w:tcPr>
          <w:p>
            <w:pPr>
              <w:spacing w:after="50" w:before="50" w:line="252" w:lineRule="auto"/>
            </w:pPr>
            <w:r>
              <w:rPr>
                <w:sz w:val="17"/>
              </w:rPr>
              <w:t>The relationship continues at near-zero cost to both</w:t>
            </w:r>
          </w:p>
        </w:tc>
      </w:tr>
    </w:tbl>
    <w:p>
      <w:pPr>
        <w:spacing w:after="80" w:before="0"/>
      </w:pPr>
    </w:p>
    <w:p>
      <w:r>
        <w:t xml:space="preserve">Restructuring is effected by a written variation to the schedules; the body of the MOU is unaffected. It should be presented honestly: </w:t>
      </w:r>
      <w:r>
        <w:rPr>
          <w:i/>
        </w:rPr>
        <w:t>the collaboration has not developed as either of us expected, and rather than let it sit unused we propose to simplify it to the things that are working.</w:t>
      </w:r>
    </w:p>
    <w:p>
      <w:pPr>
        <w:spacing w:before="80" w:after="160"/>
        <w:pBdr>
          <w:bottom w:val="single" w:sz="6" w:space="1" w:color="C9D6DE"/>
        </w:pBdr>
      </w:pPr>
    </w:p>
    <w:p>
      <w:pPr>
        <w:pStyle w:val="Heading1"/>
        <w:pBdr>
          <w:bottom w:val="single" w:sz="8" w:space="4" w:color="C9D6DE"/>
        </w:pBdr>
      </w:pPr>
      <w:r>
        <w:t>5. Letting a partnership lapse</w:t>
      </w:r>
    </w:p>
    <w:p>
      <w:r>
        <w:t>Where clause 6.4 has operated, or where the parties agree not to renew:</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Step</w:t>
            </w:r>
          </w:p>
        </w:tc>
        <w:tc>
          <w:tcPr>
            <w:tcW w:type="dxa" w:w="8607"/>
            <w:shd w:val="clear" w:color="auto" w:fill="10375C"/>
          </w:tcPr>
          <w:p>
            <w:pPr>
              <w:spacing w:after="50" w:before="50"/>
            </w:pPr>
            <w:r>
              <w:rPr>
                <w:b/>
                <w:color w:val="FFFFFF"/>
                <w:sz w:val="17"/>
              </w:rPr>
              <w:t>Action</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Non-renewal letter (L-20) issued at day 90, with the annual review attached</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Telephone call from the Programme Director to the Nodal Officer </w:t>
            </w:r>
            <w:r>
              <w:rPr>
                <w:b/>
                <w:sz w:val="17"/>
              </w:rPr>
              <w:t>before</w:t>
            </w:r>
            <w:r>
              <w:rPr>
                <w:sz w:val="17"/>
              </w:rPr>
              <w:t xml:space="preserve"> the letter arrives. A letter that arrives unannounced damages the relationship unnecessarily</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Activities in progress completed; participants assessed and certified normally</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Interns complete their placements</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Competition entries already accepted remain valid</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Wind-down checklist at section 7 executed</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Institution moved to the nurture register; re-approach diarised for 24 months</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Lessons recorded in the pipeline review</w:t>
            </w:r>
          </w:p>
        </w:tc>
      </w:tr>
    </w:tbl>
    <w:p>
      <w:pPr>
        <w:spacing w:after="80" w:before="0"/>
      </w:pPr>
    </w:p>
    <w:p>
      <w:r>
        <w:rPr>
          <w:b/>
        </w:rPr>
        <w:t>Tone.</w:t>
      </w:r>
      <w:r>
        <w:t xml:space="preserve"> The relationship is with individuals who may move to other institutions. A partnership that ends courteously frequently returns.</w:t>
      </w:r>
    </w:p>
    <w:p>
      <w:pPr>
        <w:spacing w:before="80" w:after="160"/>
        <w:pBdr>
          <w:bottom w:val="single" w:sz="6" w:space="1" w:color="C9D6DE"/>
        </w:pBdr>
      </w:pPr>
    </w:p>
    <w:p>
      <w:pPr>
        <w:pStyle w:val="Heading1"/>
        <w:pBdr>
          <w:bottom w:val="single" w:sz="8" w:space="4" w:color="C9D6DE"/>
        </w:pBdr>
      </w:pPr>
      <w:r>
        <w:t>6. Termination for cause</w:t>
      </w:r>
    </w:p>
    <w:p>
      <w:r>
        <w:t>Reserved for material breach, insolvency, regulatory action, reputational events, or breach of the confidentiality, data, safeguarding or anti-bribery clauses.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Step</w:t>
            </w:r>
          </w:p>
        </w:tc>
        <w:tc>
          <w:tcPr>
            <w:tcW w:type="dxa" w:w="8607"/>
            <w:shd w:val="clear" w:color="auto" w:fill="10375C"/>
          </w:tcPr>
          <w:p>
            <w:pPr>
              <w:spacing w:after="50" w:before="50"/>
            </w:pPr>
            <w:r>
              <w:rPr>
                <w:b/>
                <w:color w:val="FFFFFF"/>
                <w:sz w:val="17"/>
              </w:rPr>
              <w:t>Requirement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Programme Director and General Counsel assess against clause 5.4</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Where the breach is capable of remedy, a remedy notice giving 30 days</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Where not remediable, or unremedied, termination notice under clause 5.4</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Programme Board informed; Board of Equator Resolution informed for a Tier 1</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All activities suspended immediately pending the wind-down decision</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Participants notified of the effect on their programmes, and protected — no participant loses a certificate they have earned because of a dispute between institutions</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Communications: holding statement E only; no public comment</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Wind-down checklist executed on an accelerated timetable</w:t>
            </w:r>
          </w:p>
        </w:tc>
      </w:tr>
    </w:tbl>
    <w:p>
      <w:pPr>
        <w:spacing w:after="80" w:before="0"/>
      </w:pPr>
    </w:p>
    <w:p>
      <w:pPr>
        <w:spacing w:before="80" w:after="160"/>
        <w:pBdr>
          <w:bottom w:val="single" w:sz="6" w:space="1" w:color="C9D6DE"/>
        </w:pBdr>
      </w:pPr>
    </w:p>
    <w:p>
      <w:pPr>
        <w:pStyle w:val="Heading1"/>
        <w:pBdr>
          <w:bottom w:val="single" w:sz="8" w:space="4" w:color="C9D6DE"/>
        </w:pBdr>
      </w:pPr>
      <w:r>
        <w:t>7. Wind-down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6563"/>
            <w:shd w:val="clear" w:color="auto" w:fill="10375C"/>
          </w:tcPr>
          <w:p>
            <w:pPr>
              <w:spacing w:after="50" w:before="50"/>
            </w:pPr>
            <w:r>
              <w:rPr>
                <w:b/>
                <w:color w:val="FFFFFF"/>
                <w:sz w:val="17"/>
              </w:rPr>
              <w:t>Item</w:t>
            </w:r>
          </w:p>
        </w:tc>
        <w:tc>
          <w:tcPr>
            <w:tcW w:type="dxa" w:w="1399"/>
            <w:shd w:val="clear" w:color="auto" w:fill="10375C"/>
          </w:tcPr>
          <w:p>
            <w:pPr>
              <w:spacing w:after="50" w:before="50"/>
            </w:pPr>
            <w:r>
              <w:rPr>
                <w:b/>
                <w:color w:val="FFFFFF"/>
                <w:sz w:val="17"/>
              </w:rPr>
              <w:t>Owner</w:t>
            </w:r>
          </w:p>
        </w:tc>
        <w:tc>
          <w:tcPr>
            <w:tcW w:type="dxa" w:w="850"/>
            <w:shd w:val="clear" w:color="auto" w:fill="10375C"/>
          </w:tcPr>
          <w:p>
            <w:pPr>
              <w:spacing w:after="50" w:before="50"/>
            </w:pPr>
            <w:r>
              <w:rPr>
                <w:b/>
                <w:color w:val="FFFFFF"/>
                <w:sz w:val="17"/>
              </w:rPr>
              <w:t>By</w:t>
            </w:r>
          </w:p>
        </w:tc>
      </w:tr>
      <w:tr>
        <w:tc>
          <w:tcPr>
            <w:tcW w:type="dxa" w:w="850"/>
          </w:tcPr>
          <w:p>
            <w:pPr>
              <w:spacing w:after="50" w:before="50" w:line="252" w:lineRule="auto"/>
            </w:pPr>
            <w:r>
              <w:rPr>
                <w:sz w:val="17"/>
              </w:rPr>
              <w:t>1</w:t>
            </w:r>
          </w:p>
        </w:tc>
        <w:tc>
          <w:tcPr>
            <w:tcW w:type="dxa" w:w="6563"/>
          </w:tcPr>
          <w:p>
            <w:pPr>
              <w:spacing w:after="50" w:before="50" w:line="252" w:lineRule="auto"/>
            </w:pPr>
            <w:r>
              <w:rPr>
                <w:sz w:val="17"/>
              </w:rPr>
              <w:t>Activities in progress identified; completion or transfer plan agreed</w:t>
            </w:r>
          </w:p>
        </w:tc>
        <w:tc>
          <w:tcPr>
            <w:tcW w:type="dxa" w:w="1399"/>
          </w:tcPr>
          <w:p>
            <w:pPr>
              <w:spacing w:after="50" w:before="50" w:line="252" w:lineRule="auto"/>
            </w:pPr>
            <w:r>
              <w:rPr>
                <w:sz w:val="17"/>
              </w:rPr>
              <w:t>Operations</w:t>
            </w:r>
          </w:p>
        </w:tc>
        <w:tc>
          <w:tcPr>
            <w:tcW w:type="dxa" w:w="850"/>
          </w:tcPr>
          <w:p>
            <w:pPr>
              <w:spacing w:after="50" w:before="50" w:line="252" w:lineRule="auto"/>
            </w:pPr>
            <w:r>
              <w:rPr>
                <w:sz w:val="17"/>
              </w:rPr>
              <w:t>Day 7</w:t>
            </w:r>
          </w:p>
        </w:tc>
      </w:tr>
      <w:tr>
        <w:tc>
          <w:tcPr>
            <w:tcW w:type="dxa" w:w="850"/>
            <w:shd w:val="clear" w:color="auto" w:fill="EAF1F4"/>
          </w:tcPr>
          <w:p>
            <w:pPr>
              <w:spacing w:after="50" w:before="50" w:line="252" w:lineRule="auto"/>
            </w:pPr>
            <w:r>
              <w:rPr>
                <w:sz w:val="17"/>
              </w:rPr>
              <w:t>2</w:t>
            </w:r>
          </w:p>
        </w:tc>
        <w:tc>
          <w:tcPr>
            <w:tcW w:type="dxa" w:w="6563"/>
            <w:shd w:val="clear" w:color="auto" w:fill="EAF1F4"/>
          </w:tcPr>
          <w:p>
            <w:pPr>
              <w:spacing w:after="50" w:before="50" w:line="252" w:lineRule="auto"/>
            </w:pPr>
            <w:r>
              <w:rPr>
                <w:sz w:val="17"/>
              </w:rPr>
              <w:t>Participants notified in writing of the effect on their programme</w:t>
            </w:r>
          </w:p>
        </w:tc>
        <w:tc>
          <w:tcPr>
            <w:tcW w:type="dxa" w:w="1399"/>
            <w:shd w:val="clear" w:color="auto" w:fill="EAF1F4"/>
          </w:tcPr>
          <w:p>
            <w:pPr>
              <w:spacing w:after="50" w:before="50" w:line="252" w:lineRule="auto"/>
            </w:pPr>
            <w:r>
              <w:rPr>
                <w:sz w:val="17"/>
              </w:rPr>
              <w:t>Operations</w:t>
            </w:r>
          </w:p>
        </w:tc>
        <w:tc>
          <w:tcPr>
            <w:tcW w:type="dxa" w:w="850"/>
            <w:shd w:val="clear" w:color="auto" w:fill="EAF1F4"/>
          </w:tcPr>
          <w:p>
            <w:pPr>
              <w:spacing w:after="50" w:before="50" w:line="252" w:lineRule="auto"/>
            </w:pPr>
            <w:r>
              <w:rPr>
                <w:sz w:val="17"/>
              </w:rPr>
              <w:t>Day 10</w:t>
            </w:r>
          </w:p>
        </w:tc>
      </w:tr>
      <w:tr>
        <w:tc>
          <w:tcPr>
            <w:tcW w:type="dxa" w:w="850"/>
          </w:tcPr>
          <w:p>
            <w:pPr>
              <w:spacing w:after="50" w:before="50" w:line="252" w:lineRule="auto"/>
            </w:pPr>
            <w:r>
              <w:rPr>
                <w:sz w:val="17"/>
              </w:rPr>
              <w:t>3</w:t>
            </w:r>
          </w:p>
        </w:tc>
        <w:tc>
          <w:tcPr>
            <w:tcW w:type="dxa" w:w="6563"/>
          </w:tcPr>
          <w:p>
            <w:pPr>
              <w:spacing w:after="50" w:before="50" w:line="252" w:lineRule="auto"/>
            </w:pPr>
            <w:r>
              <w:rPr>
                <w:sz w:val="17"/>
              </w:rPr>
              <w:t>Interns notified; placements completed</w:t>
            </w:r>
          </w:p>
        </w:tc>
        <w:tc>
          <w:tcPr>
            <w:tcW w:type="dxa" w:w="1399"/>
          </w:tcPr>
          <w:p>
            <w:pPr>
              <w:spacing w:after="50" w:before="50" w:line="252" w:lineRule="auto"/>
            </w:pPr>
            <w:r>
              <w:rPr>
                <w:sz w:val="17"/>
              </w:rPr>
              <w:t>Coordinator</w:t>
            </w:r>
          </w:p>
        </w:tc>
        <w:tc>
          <w:tcPr>
            <w:tcW w:type="dxa" w:w="850"/>
          </w:tcPr>
          <w:p>
            <w:pPr>
              <w:spacing w:after="50" w:before="50" w:line="252" w:lineRule="auto"/>
            </w:pPr>
            <w:r>
              <w:rPr>
                <w:sz w:val="17"/>
              </w:rPr>
              <w:t>Day 10</w:t>
            </w:r>
          </w:p>
        </w:tc>
      </w:tr>
      <w:tr>
        <w:tc>
          <w:tcPr>
            <w:tcW w:type="dxa" w:w="850"/>
            <w:shd w:val="clear" w:color="auto" w:fill="EAF1F4"/>
          </w:tcPr>
          <w:p>
            <w:pPr>
              <w:spacing w:after="50" w:before="50" w:line="252" w:lineRule="auto"/>
            </w:pPr>
            <w:r>
              <w:rPr>
                <w:sz w:val="17"/>
              </w:rPr>
              <w:t>4</w:t>
            </w:r>
          </w:p>
        </w:tc>
        <w:tc>
          <w:tcPr>
            <w:tcW w:type="dxa" w:w="6563"/>
            <w:shd w:val="clear" w:color="auto" w:fill="EAF1F4"/>
          </w:tcPr>
          <w:p>
            <w:pPr>
              <w:spacing w:after="50" w:before="50" w:line="252" w:lineRule="auto"/>
            </w:pPr>
            <w:r>
              <w:rPr>
                <w:sz w:val="17"/>
              </w:rPr>
              <w:t>Certificates for completed programmes issued</w:t>
            </w:r>
          </w:p>
        </w:tc>
        <w:tc>
          <w:tcPr>
            <w:tcW w:type="dxa" w:w="1399"/>
            <w:shd w:val="clear" w:color="auto" w:fill="EAF1F4"/>
          </w:tcPr>
          <w:p>
            <w:pPr>
              <w:spacing w:after="50" w:before="50" w:line="252" w:lineRule="auto"/>
            </w:pPr>
            <w:r>
              <w:rPr>
                <w:sz w:val="17"/>
              </w:rPr>
              <w:t>Curriculum</w:t>
            </w:r>
          </w:p>
        </w:tc>
        <w:tc>
          <w:tcPr>
            <w:tcW w:type="dxa" w:w="850"/>
            <w:shd w:val="clear" w:color="auto" w:fill="EAF1F4"/>
          </w:tcPr>
          <w:p>
            <w:pPr>
              <w:spacing w:after="50" w:before="50" w:line="252" w:lineRule="auto"/>
            </w:pPr>
            <w:r>
              <w:rPr>
                <w:sz w:val="17"/>
              </w:rPr>
              <w:t>Day 21</w:t>
            </w:r>
          </w:p>
        </w:tc>
      </w:tr>
      <w:tr>
        <w:tc>
          <w:tcPr>
            <w:tcW w:type="dxa" w:w="850"/>
          </w:tcPr>
          <w:p>
            <w:pPr>
              <w:spacing w:after="50" w:before="50" w:line="252" w:lineRule="auto"/>
            </w:pPr>
            <w:r>
              <w:rPr>
                <w:sz w:val="17"/>
              </w:rPr>
              <w:t>5</w:t>
            </w:r>
          </w:p>
        </w:tc>
        <w:tc>
          <w:tcPr>
            <w:tcW w:type="dxa" w:w="6563"/>
          </w:tcPr>
          <w:p>
            <w:pPr>
              <w:spacing w:after="50" w:before="50" w:line="252" w:lineRule="auto"/>
            </w:pPr>
            <w:r>
              <w:rPr>
                <w:sz w:val="17"/>
              </w:rPr>
              <w:t>Competition entries confirmed as valid</w:t>
            </w:r>
          </w:p>
        </w:tc>
        <w:tc>
          <w:tcPr>
            <w:tcW w:type="dxa" w:w="1399"/>
          </w:tcPr>
          <w:p>
            <w:pPr>
              <w:spacing w:after="50" w:before="50" w:line="252" w:lineRule="auto"/>
            </w:pPr>
            <w:r>
              <w:rPr>
                <w:sz w:val="17"/>
              </w:rPr>
              <w:t>Convenor</w:t>
            </w:r>
          </w:p>
        </w:tc>
        <w:tc>
          <w:tcPr>
            <w:tcW w:type="dxa" w:w="850"/>
          </w:tcPr>
          <w:p>
            <w:pPr>
              <w:spacing w:after="50" w:before="50" w:line="252" w:lineRule="auto"/>
            </w:pPr>
            <w:r>
              <w:rPr>
                <w:sz w:val="17"/>
              </w:rPr>
              <w:t>Day 7</w:t>
            </w:r>
          </w:p>
        </w:tc>
      </w:tr>
      <w:tr>
        <w:tc>
          <w:tcPr>
            <w:tcW w:type="dxa" w:w="850"/>
            <w:shd w:val="clear" w:color="auto" w:fill="EAF1F4"/>
          </w:tcPr>
          <w:p>
            <w:pPr>
              <w:spacing w:after="50" w:before="50" w:line="252" w:lineRule="auto"/>
            </w:pPr>
            <w:r>
              <w:rPr>
                <w:sz w:val="17"/>
              </w:rPr>
              <w:t>6</w:t>
            </w:r>
          </w:p>
        </w:tc>
        <w:tc>
          <w:tcPr>
            <w:tcW w:type="dxa" w:w="6563"/>
            <w:shd w:val="clear" w:color="auto" w:fill="EAF1F4"/>
          </w:tcPr>
          <w:p>
            <w:pPr>
              <w:spacing w:after="50" w:before="50" w:line="252" w:lineRule="auto"/>
            </w:pPr>
            <w:r>
              <w:rPr>
                <w:b/>
                <w:sz w:val="17"/>
              </w:rPr>
              <w:t>Marks removed</w:t>
            </w:r>
            <w:r>
              <w:rPr>
                <w:sz w:val="17"/>
              </w:rPr>
              <w:t xml:space="preserve"> from both parties' websites, social media and collateral</w:t>
            </w:r>
          </w:p>
        </w:tc>
        <w:tc>
          <w:tcPr>
            <w:tcW w:type="dxa" w:w="1399"/>
            <w:shd w:val="clear" w:color="auto" w:fill="EAF1F4"/>
          </w:tcPr>
          <w:p>
            <w:pPr>
              <w:spacing w:after="50" w:before="50" w:line="252" w:lineRule="auto"/>
            </w:pPr>
            <w:r>
              <w:rPr>
                <w:sz w:val="17"/>
              </w:rPr>
              <w:t>Marketing</w:t>
            </w:r>
          </w:p>
        </w:tc>
        <w:tc>
          <w:tcPr>
            <w:tcW w:type="dxa" w:w="850"/>
            <w:shd w:val="clear" w:color="auto" w:fill="EAF1F4"/>
          </w:tcPr>
          <w:p>
            <w:pPr>
              <w:spacing w:after="50" w:before="50" w:line="252" w:lineRule="auto"/>
            </w:pPr>
            <w:r>
              <w:rPr>
                <w:sz w:val="17"/>
              </w:rPr>
              <w:t>Day 30</w:t>
            </w:r>
          </w:p>
        </w:tc>
      </w:tr>
      <w:tr>
        <w:tc>
          <w:tcPr>
            <w:tcW w:type="dxa" w:w="850"/>
          </w:tcPr>
          <w:p>
            <w:pPr>
              <w:spacing w:after="50" w:before="50" w:line="252" w:lineRule="auto"/>
            </w:pPr>
            <w:r>
              <w:rPr>
                <w:sz w:val="17"/>
              </w:rPr>
              <w:t>7</w:t>
            </w:r>
          </w:p>
        </w:tc>
        <w:tc>
          <w:tcPr>
            <w:tcW w:type="dxa" w:w="6563"/>
          </w:tcPr>
          <w:p>
            <w:pPr>
              <w:spacing w:after="50" w:before="50" w:line="252" w:lineRule="auto"/>
            </w:pPr>
            <w:r>
              <w:rPr>
                <w:sz w:val="17"/>
              </w:rPr>
              <w:t>Campus signage removed; branded items retrieved</w:t>
            </w:r>
          </w:p>
        </w:tc>
        <w:tc>
          <w:tcPr>
            <w:tcW w:type="dxa" w:w="1399"/>
          </w:tcPr>
          <w:p>
            <w:pPr>
              <w:spacing w:after="50" w:before="50" w:line="252" w:lineRule="auto"/>
            </w:pPr>
            <w:r>
              <w:rPr>
                <w:sz w:val="17"/>
              </w:rPr>
              <w:t>Operations</w:t>
            </w:r>
          </w:p>
        </w:tc>
        <w:tc>
          <w:tcPr>
            <w:tcW w:type="dxa" w:w="850"/>
          </w:tcPr>
          <w:p>
            <w:pPr>
              <w:spacing w:after="50" w:before="50" w:line="252" w:lineRule="auto"/>
            </w:pPr>
            <w:r>
              <w:rPr>
                <w:sz w:val="17"/>
              </w:rPr>
              <w:t>Day 30</w:t>
            </w:r>
          </w:p>
        </w:tc>
      </w:tr>
      <w:tr>
        <w:tc>
          <w:tcPr>
            <w:tcW w:type="dxa" w:w="850"/>
            <w:shd w:val="clear" w:color="auto" w:fill="EAF1F4"/>
          </w:tcPr>
          <w:p>
            <w:pPr>
              <w:spacing w:after="50" w:before="50" w:line="252" w:lineRule="auto"/>
            </w:pPr>
            <w:r>
              <w:rPr>
                <w:sz w:val="17"/>
              </w:rPr>
              <w:t>8</w:t>
            </w:r>
          </w:p>
        </w:tc>
        <w:tc>
          <w:tcPr>
            <w:tcW w:type="dxa" w:w="6563"/>
            <w:shd w:val="clear" w:color="auto" w:fill="EAF1F4"/>
          </w:tcPr>
          <w:p>
            <w:pPr>
              <w:spacing w:after="50" w:before="50" w:line="252" w:lineRule="auto"/>
            </w:pPr>
            <w:r>
              <w:rPr>
                <w:sz w:val="17"/>
              </w:rPr>
              <w:t>Confidential information returned or destroyed; certification exchanged</w:t>
            </w:r>
          </w:p>
        </w:tc>
        <w:tc>
          <w:tcPr>
            <w:tcW w:type="dxa" w:w="1399"/>
            <w:shd w:val="clear" w:color="auto" w:fill="EAF1F4"/>
          </w:tcPr>
          <w:p>
            <w:pPr>
              <w:spacing w:after="50" w:before="50" w:line="252" w:lineRule="auto"/>
            </w:pPr>
            <w:r>
              <w:rPr>
                <w:sz w:val="17"/>
              </w:rPr>
              <w:t>Legal</w:t>
            </w:r>
          </w:p>
        </w:tc>
        <w:tc>
          <w:tcPr>
            <w:tcW w:type="dxa" w:w="850"/>
            <w:shd w:val="clear" w:color="auto" w:fill="EAF1F4"/>
          </w:tcPr>
          <w:p>
            <w:pPr>
              <w:spacing w:after="50" w:before="50" w:line="252" w:lineRule="auto"/>
            </w:pPr>
            <w:r>
              <w:rPr>
                <w:sz w:val="17"/>
              </w:rPr>
              <w:t>Day 30</w:t>
            </w:r>
          </w:p>
        </w:tc>
      </w:tr>
      <w:tr>
        <w:tc>
          <w:tcPr>
            <w:tcW w:type="dxa" w:w="850"/>
          </w:tcPr>
          <w:p>
            <w:pPr>
              <w:spacing w:after="50" w:before="50" w:line="252" w:lineRule="auto"/>
            </w:pPr>
            <w:r>
              <w:rPr>
                <w:sz w:val="17"/>
              </w:rPr>
              <w:t>9</w:t>
            </w:r>
          </w:p>
        </w:tc>
        <w:tc>
          <w:tcPr>
            <w:tcW w:type="dxa" w:w="6563"/>
          </w:tcPr>
          <w:p>
            <w:pPr>
              <w:spacing w:after="50" w:before="50" w:line="252" w:lineRule="auto"/>
            </w:pPr>
            <w:r>
              <w:rPr>
                <w:b/>
                <w:sz w:val="17"/>
              </w:rPr>
              <w:t>Personal data dealt with per the Data Addendum</w:t>
            </w:r>
            <w:r>
              <w:rPr>
                <w:sz w:val="17"/>
              </w:rPr>
              <w:t>; erasure certified</w:t>
            </w:r>
          </w:p>
        </w:tc>
        <w:tc>
          <w:tcPr>
            <w:tcW w:type="dxa" w:w="1399"/>
          </w:tcPr>
          <w:p>
            <w:pPr>
              <w:spacing w:after="50" w:before="50" w:line="252" w:lineRule="auto"/>
            </w:pPr>
            <w:r>
              <w:rPr>
                <w:sz w:val="17"/>
              </w:rPr>
              <w:t>DPO</w:t>
            </w:r>
          </w:p>
        </w:tc>
        <w:tc>
          <w:tcPr>
            <w:tcW w:type="dxa" w:w="850"/>
          </w:tcPr>
          <w:p>
            <w:pPr>
              <w:spacing w:after="50" w:before="50" w:line="252" w:lineRule="auto"/>
            </w:pPr>
            <w:r>
              <w:rPr>
                <w:sz w:val="17"/>
              </w:rPr>
              <w:t>Day 60</w:t>
            </w:r>
          </w:p>
        </w:tc>
      </w:tr>
      <w:tr>
        <w:tc>
          <w:tcPr>
            <w:tcW w:type="dxa" w:w="850"/>
            <w:shd w:val="clear" w:color="auto" w:fill="EAF1F4"/>
          </w:tcPr>
          <w:p>
            <w:pPr>
              <w:spacing w:after="50" w:before="50" w:line="252" w:lineRule="auto"/>
            </w:pPr>
            <w:r>
              <w:rPr>
                <w:sz w:val="17"/>
              </w:rPr>
              <w:t>10</w:t>
            </w:r>
          </w:p>
        </w:tc>
        <w:tc>
          <w:tcPr>
            <w:tcW w:type="dxa" w:w="6563"/>
            <w:shd w:val="clear" w:color="auto" w:fill="EAF1F4"/>
          </w:tcPr>
          <w:p>
            <w:pPr>
              <w:spacing w:after="50" w:before="50" w:line="252" w:lineRule="auto"/>
            </w:pPr>
            <w:r>
              <w:rPr>
                <w:sz w:val="17"/>
              </w:rPr>
              <w:t>Research data returned or deleted; deletion certified</w:t>
            </w:r>
          </w:p>
        </w:tc>
        <w:tc>
          <w:tcPr>
            <w:tcW w:type="dxa" w:w="1399"/>
            <w:shd w:val="clear" w:color="auto" w:fill="EAF1F4"/>
          </w:tcPr>
          <w:p>
            <w:pPr>
              <w:spacing w:after="50" w:before="50" w:line="252" w:lineRule="auto"/>
            </w:pPr>
            <w:r>
              <w:rPr>
                <w:sz w:val="17"/>
              </w:rPr>
              <w:t>Research Lead</w:t>
            </w:r>
          </w:p>
        </w:tc>
        <w:tc>
          <w:tcPr>
            <w:tcW w:type="dxa" w:w="850"/>
            <w:shd w:val="clear" w:color="auto" w:fill="EAF1F4"/>
          </w:tcPr>
          <w:p>
            <w:pPr>
              <w:spacing w:after="50" w:before="50" w:line="252" w:lineRule="auto"/>
            </w:pPr>
            <w:r>
              <w:rPr>
                <w:sz w:val="17"/>
              </w:rPr>
              <w:t>Day 60</w:t>
            </w:r>
          </w:p>
        </w:tc>
      </w:tr>
      <w:tr>
        <w:tc>
          <w:tcPr>
            <w:tcW w:type="dxa" w:w="850"/>
          </w:tcPr>
          <w:p>
            <w:pPr>
              <w:spacing w:after="50" w:before="50" w:line="252" w:lineRule="auto"/>
            </w:pPr>
            <w:r>
              <w:rPr>
                <w:sz w:val="17"/>
              </w:rPr>
              <w:t>11</w:t>
            </w:r>
          </w:p>
        </w:tc>
        <w:tc>
          <w:tcPr>
            <w:tcW w:type="dxa" w:w="6563"/>
          </w:tcPr>
          <w:p>
            <w:pPr>
              <w:spacing w:after="50" w:before="50" w:line="252" w:lineRule="auto"/>
            </w:pPr>
            <w:r>
              <w:rPr>
                <w:sz w:val="17"/>
              </w:rPr>
              <w:t>Final invoices raised; revenue share settled</w:t>
            </w:r>
          </w:p>
        </w:tc>
        <w:tc>
          <w:tcPr>
            <w:tcW w:type="dxa" w:w="1399"/>
          </w:tcPr>
          <w:p>
            <w:pPr>
              <w:spacing w:after="50" w:before="50" w:line="252" w:lineRule="auto"/>
            </w:pPr>
            <w:r>
              <w:rPr>
                <w:sz w:val="17"/>
              </w:rPr>
              <w:t>Finance</w:t>
            </w:r>
          </w:p>
        </w:tc>
        <w:tc>
          <w:tcPr>
            <w:tcW w:type="dxa" w:w="850"/>
          </w:tcPr>
          <w:p>
            <w:pPr>
              <w:spacing w:after="50" w:before="50" w:line="252" w:lineRule="auto"/>
            </w:pPr>
            <w:r>
              <w:rPr>
                <w:sz w:val="17"/>
              </w:rPr>
              <w:t>Day 30</w:t>
            </w:r>
          </w:p>
        </w:tc>
      </w:tr>
      <w:tr>
        <w:tc>
          <w:tcPr>
            <w:tcW w:type="dxa" w:w="850"/>
            <w:shd w:val="clear" w:color="auto" w:fill="EAF1F4"/>
          </w:tcPr>
          <w:p>
            <w:pPr>
              <w:spacing w:after="50" w:before="50" w:line="252" w:lineRule="auto"/>
            </w:pPr>
            <w:r>
              <w:rPr>
                <w:sz w:val="17"/>
              </w:rPr>
              <w:t>12</w:t>
            </w:r>
          </w:p>
        </w:tc>
        <w:tc>
          <w:tcPr>
            <w:tcW w:type="dxa" w:w="6563"/>
            <w:shd w:val="clear" w:color="auto" w:fill="EAF1F4"/>
          </w:tcPr>
          <w:p>
            <w:pPr>
              <w:spacing w:after="50" w:before="50" w:line="252" w:lineRule="auto"/>
            </w:pPr>
            <w:r>
              <w:rPr>
                <w:sz w:val="17"/>
              </w:rPr>
              <w:t>Outstanding amounts pursued or written off with approval</w:t>
            </w:r>
          </w:p>
        </w:tc>
        <w:tc>
          <w:tcPr>
            <w:tcW w:type="dxa" w:w="1399"/>
            <w:shd w:val="clear" w:color="auto" w:fill="EAF1F4"/>
          </w:tcPr>
          <w:p>
            <w:pPr>
              <w:spacing w:after="50" w:before="50" w:line="252" w:lineRule="auto"/>
            </w:pPr>
            <w:r>
              <w:rPr>
                <w:sz w:val="17"/>
              </w:rPr>
              <w:t>Finance</w:t>
            </w:r>
          </w:p>
        </w:tc>
        <w:tc>
          <w:tcPr>
            <w:tcW w:type="dxa" w:w="850"/>
            <w:shd w:val="clear" w:color="auto" w:fill="EAF1F4"/>
          </w:tcPr>
          <w:p>
            <w:pPr>
              <w:spacing w:after="50" w:before="50" w:line="252" w:lineRule="auto"/>
            </w:pPr>
            <w:r>
              <w:rPr>
                <w:sz w:val="17"/>
              </w:rPr>
              <w:t>Day 60</w:t>
            </w:r>
          </w:p>
        </w:tc>
      </w:tr>
      <w:tr>
        <w:tc>
          <w:tcPr>
            <w:tcW w:type="dxa" w:w="850"/>
          </w:tcPr>
          <w:p>
            <w:pPr>
              <w:spacing w:after="50" w:before="50" w:line="252" w:lineRule="auto"/>
            </w:pPr>
            <w:r>
              <w:rPr>
                <w:sz w:val="17"/>
              </w:rPr>
              <w:t>13</w:t>
            </w:r>
          </w:p>
        </w:tc>
        <w:tc>
          <w:tcPr>
            <w:tcW w:type="dxa" w:w="6563"/>
          </w:tcPr>
          <w:p>
            <w:pPr>
              <w:spacing w:after="50" w:before="50" w:line="252" w:lineRule="auto"/>
            </w:pPr>
            <w:r>
              <w:rPr>
                <w:sz w:val="17"/>
              </w:rPr>
              <w:t>Facilities vacated; keys and access returned</w:t>
            </w:r>
          </w:p>
        </w:tc>
        <w:tc>
          <w:tcPr>
            <w:tcW w:type="dxa" w:w="1399"/>
          </w:tcPr>
          <w:p>
            <w:pPr>
              <w:spacing w:after="50" w:before="50" w:line="252" w:lineRule="auto"/>
            </w:pPr>
            <w:r>
              <w:rPr>
                <w:sz w:val="17"/>
              </w:rPr>
              <w:t>Operations</w:t>
            </w:r>
          </w:p>
        </w:tc>
        <w:tc>
          <w:tcPr>
            <w:tcW w:type="dxa" w:w="850"/>
          </w:tcPr>
          <w:p>
            <w:pPr>
              <w:spacing w:after="50" w:before="50" w:line="252" w:lineRule="auto"/>
            </w:pPr>
            <w:r>
              <w:rPr>
                <w:sz w:val="17"/>
              </w:rPr>
              <w:t>Day 30</w:t>
            </w:r>
          </w:p>
        </w:tc>
      </w:tr>
      <w:tr>
        <w:tc>
          <w:tcPr>
            <w:tcW w:type="dxa" w:w="850"/>
            <w:shd w:val="clear" w:color="auto" w:fill="EAF1F4"/>
          </w:tcPr>
          <w:p>
            <w:pPr>
              <w:spacing w:after="50" w:before="50" w:line="252" w:lineRule="auto"/>
            </w:pPr>
            <w:r>
              <w:rPr>
                <w:sz w:val="17"/>
              </w:rPr>
              <w:t>14</w:t>
            </w:r>
          </w:p>
        </w:tc>
        <w:tc>
          <w:tcPr>
            <w:tcW w:type="dxa" w:w="6563"/>
            <w:shd w:val="clear" w:color="auto" w:fill="EAF1F4"/>
          </w:tcPr>
          <w:p>
            <w:pPr>
              <w:spacing w:after="50" w:before="50" w:line="252" w:lineRule="auto"/>
            </w:pPr>
            <w:r>
              <w:rPr>
                <w:sz w:val="17"/>
              </w:rPr>
              <w:t>Fixtures dealt with per Schedule F</w:t>
            </w:r>
          </w:p>
        </w:tc>
        <w:tc>
          <w:tcPr>
            <w:tcW w:type="dxa" w:w="1399"/>
            <w:shd w:val="clear" w:color="auto" w:fill="EAF1F4"/>
          </w:tcPr>
          <w:p>
            <w:pPr>
              <w:spacing w:after="50" w:before="50" w:line="252" w:lineRule="auto"/>
            </w:pPr>
            <w:r>
              <w:rPr>
                <w:sz w:val="17"/>
              </w:rPr>
              <w:t>Operations</w:t>
            </w:r>
          </w:p>
        </w:tc>
        <w:tc>
          <w:tcPr>
            <w:tcW w:type="dxa" w:w="850"/>
            <w:shd w:val="clear" w:color="auto" w:fill="EAF1F4"/>
          </w:tcPr>
          <w:p>
            <w:pPr>
              <w:spacing w:after="50" w:before="50" w:line="252" w:lineRule="auto"/>
            </w:pPr>
            <w:r>
              <w:rPr>
                <w:sz w:val="17"/>
              </w:rPr>
              <w:t>Day 45</w:t>
            </w:r>
          </w:p>
        </w:tc>
      </w:tr>
      <w:tr>
        <w:tc>
          <w:tcPr>
            <w:tcW w:type="dxa" w:w="850"/>
          </w:tcPr>
          <w:p>
            <w:pPr>
              <w:spacing w:after="50" w:before="50" w:line="252" w:lineRule="auto"/>
            </w:pPr>
            <w:r>
              <w:rPr>
                <w:sz w:val="17"/>
              </w:rPr>
              <w:t>15</w:t>
            </w:r>
          </w:p>
        </w:tc>
        <w:tc>
          <w:tcPr>
            <w:tcW w:type="dxa" w:w="6563"/>
          </w:tcPr>
          <w:p>
            <w:pPr>
              <w:spacing w:after="50" w:before="50" w:line="252" w:lineRule="auto"/>
            </w:pPr>
            <w:r>
              <w:rPr>
                <w:sz w:val="17"/>
              </w:rPr>
              <w:t>Faculty empanelments reviewed — these ordinarily continue, being personal</w:t>
            </w:r>
          </w:p>
        </w:tc>
        <w:tc>
          <w:tcPr>
            <w:tcW w:type="dxa" w:w="1399"/>
          </w:tcPr>
          <w:p>
            <w:pPr>
              <w:spacing w:after="50" w:before="50" w:line="252" w:lineRule="auto"/>
            </w:pPr>
            <w:r>
              <w:rPr>
                <w:sz w:val="17"/>
              </w:rPr>
              <w:t>Director</w:t>
            </w:r>
          </w:p>
        </w:tc>
        <w:tc>
          <w:tcPr>
            <w:tcW w:type="dxa" w:w="850"/>
          </w:tcPr>
          <w:p>
            <w:pPr>
              <w:spacing w:after="50" w:before="50" w:line="252" w:lineRule="auto"/>
            </w:pPr>
            <w:r>
              <w:rPr>
                <w:sz w:val="17"/>
              </w:rPr>
              <w:t>Day 30</w:t>
            </w:r>
          </w:p>
        </w:tc>
      </w:tr>
      <w:tr>
        <w:tc>
          <w:tcPr>
            <w:tcW w:type="dxa" w:w="850"/>
            <w:shd w:val="clear" w:color="auto" w:fill="EAF1F4"/>
          </w:tcPr>
          <w:p>
            <w:pPr>
              <w:spacing w:after="50" w:before="50" w:line="252" w:lineRule="auto"/>
            </w:pPr>
            <w:r>
              <w:rPr>
                <w:sz w:val="17"/>
              </w:rPr>
              <w:t>16</w:t>
            </w:r>
          </w:p>
        </w:tc>
        <w:tc>
          <w:tcPr>
            <w:tcW w:type="dxa" w:w="6563"/>
            <w:shd w:val="clear" w:color="auto" w:fill="EAF1F4"/>
          </w:tcPr>
          <w:p>
            <w:pPr>
              <w:spacing w:after="50" w:before="50" w:line="252" w:lineRule="auto"/>
            </w:pPr>
            <w:r>
              <w:rPr>
                <w:sz w:val="17"/>
              </w:rPr>
              <w:t>Alumni and ambassadors informed; their access continues</w:t>
            </w:r>
          </w:p>
        </w:tc>
        <w:tc>
          <w:tcPr>
            <w:tcW w:type="dxa" w:w="1399"/>
            <w:shd w:val="clear" w:color="auto" w:fill="EAF1F4"/>
          </w:tcPr>
          <w:p>
            <w:pPr>
              <w:spacing w:after="50" w:before="50" w:line="252" w:lineRule="auto"/>
            </w:pPr>
            <w:r>
              <w:rPr>
                <w:sz w:val="17"/>
              </w:rPr>
              <w:t>Marketing</w:t>
            </w:r>
          </w:p>
        </w:tc>
        <w:tc>
          <w:tcPr>
            <w:tcW w:type="dxa" w:w="850"/>
            <w:shd w:val="clear" w:color="auto" w:fill="EAF1F4"/>
          </w:tcPr>
          <w:p>
            <w:pPr>
              <w:spacing w:after="50" w:before="50" w:line="252" w:lineRule="auto"/>
            </w:pPr>
            <w:r>
              <w:rPr>
                <w:sz w:val="17"/>
              </w:rPr>
              <w:t>Day 30</w:t>
            </w:r>
          </w:p>
        </w:tc>
      </w:tr>
      <w:tr>
        <w:tc>
          <w:tcPr>
            <w:tcW w:type="dxa" w:w="850"/>
          </w:tcPr>
          <w:p>
            <w:pPr>
              <w:spacing w:after="50" w:before="50" w:line="252" w:lineRule="auto"/>
            </w:pPr>
            <w:r>
              <w:rPr>
                <w:sz w:val="17"/>
              </w:rPr>
              <w:t>17</w:t>
            </w:r>
          </w:p>
        </w:tc>
        <w:tc>
          <w:tcPr>
            <w:tcW w:type="dxa" w:w="6563"/>
          </w:tcPr>
          <w:p>
            <w:pPr>
              <w:spacing w:after="50" w:before="50" w:line="252" w:lineRule="auto"/>
            </w:pPr>
            <w:r>
              <w:rPr>
                <w:sz w:val="17"/>
              </w:rPr>
              <w:t>CRM updated; status changed; re-approach diarised</w:t>
            </w:r>
          </w:p>
        </w:tc>
        <w:tc>
          <w:tcPr>
            <w:tcW w:type="dxa" w:w="1399"/>
          </w:tcPr>
          <w:p>
            <w:pPr>
              <w:spacing w:after="50" w:before="50" w:line="252" w:lineRule="auto"/>
            </w:pPr>
            <w:r>
              <w:rPr>
                <w:sz w:val="17"/>
              </w:rPr>
              <w:t>BD</w:t>
            </w:r>
          </w:p>
        </w:tc>
        <w:tc>
          <w:tcPr>
            <w:tcW w:type="dxa" w:w="850"/>
          </w:tcPr>
          <w:p>
            <w:pPr>
              <w:spacing w:after="50" w:before="50" w:line="252" w:lineRule="auto"/>
            </w:pPr>
            <w:r>
              <w:rPr>
                <w:sz w:val="17"/>
              </w:rPr>
              <w:t>Day 7</w:t>
            </w:r>
          </w:p>
        </w:tc>
      </w:tr>
      <w:tr>
        <w:tc>
          <w:tcPr>
            <w:tcW w:type="dxa" w:w="850"/>
            <w:shd w:val="clear" w:color="auto" w:fill="EAF1F4"/>
          </w:tcPr>
          <w:p>
            <w:pPr>
              <w:spacing w:after="50" w:before="50" w:line="252" w:lineRule="auto"/>
            </w:pPr>
            <w:r>
              <w:rPr>
                <w:sz w:val="17"/>
              </w:rPr>
              <w:t>18</w:t>
            </w:r>
          </w:p>
        </w:tc>
        <w:tc>
          <w:tcPr>
            <w:tcW w:type="dxa" w:w="6563"/>
            <w:shd w:val="clear" w:color="auto" w:fill="EAF1F4"/>
          </w:tcPr>
          <w:p>
            <w:pPr>
              <w:spacing w:after="50" w:before="50" w:line="252" w:lineRule="auto"/>
            </w:pPr>
            <w:r>
              <w:rPr>
                <w:sz w:val="17"/>
              </w:rPr>
              <w:t>Partnership file closed and archived; retention date set</w:t>
            </w:r>
          </w:p>
        </w:tc>
        <w:tc>
          <w:tcPr>
            <w:tcW w:type="dxa" w:w="1399"/>
            <w:shd w:val="clear" w:color="auto" w:fill="EAF1F4"/>
          </w:tcPr>
          <w:p>
            <w:pPr>
              <w:spacing w:after="50" w:before="50" w:line="252" w:lineRule="auto"/>
            </w:pPr>
            <w:r>
              <w:rPr>
                <w:sz w:val="17"/>
              </w:rPr>
              <w:t>Operations</w:t>
            </w:r>
          </w:p>
        </w:tc>
        <w:tc>
          <w:tcPr>
            <w:tcW w:type="dxa" w:w="850"/>
            <w:shd w:val="clear" w:color="auto" w:fill="EAF1F4"/>
          </w:tcPr>
          <w:p>
            <w:pPr>
              <w:spacing w:after="50" w:before="50" w:line="252" w:lineRule="auto"/>
            </w:pPr>
            <w:r>
              <w:rPr>
                <w:sz w:val="17"/>
              </w:rPr>
              <w:t>Day 60</w:t>
            </w:r>
          </w:p>
        </w:tc>
      </w:tr>
      <w:tr>
        <w:tc>
          <w:tcPr>
            <w:tcW w:type="dxa" w:w="850"/>
          </w:tcPr>
          <w:p>
            <w:pPr>
              <w:spacing w:after="50" w:before="50" w:line="252" w:lineRule="auto"/>
            </w:pPr>
            <w:r>
              <w:rPr>
                <w:sz w:val="17"/>
              </w:rPr>
              <w:t>19</w:t>
            </w:r>
          </w:p>
        </w:tc>
        <w:tc>
          <w:tcPr>
            <w:tcW w:type="dxa" w:w="6563"/>
          </w:tcPr>
          <w:p>
            <w:pPr>
              <w:spacing w:after="50" w:before="50" w:line="252" w:lineRule="auto"/>
            </w:pPr>
            <w:r>
              <w:rPr>
                <w:sz w:val="17"/>
              </w:rPr>
              <w:t>Final letter confirming completion of wind-down</w:t>
            </w:r>
          </w:p>
        </w:tc>
        <w:tc>
          <w:tcPr>
            <w:tcW w:type="dxa" w:w="1399"/>
          </w:tcPr>
          <w:p>
            <w:pPr>
              <w:spacing w:after="50" w:before="50" w:line="252" w:lineRule="auto"/>
            </w:pPr>
            <w:r>
              <w:rPr>
                <w:sz w:val="17"/>
              </w:rPr>
              <w:t>Director</w:t>
            </w:r>
          </w:p>
        </w:tc>
        <w:tc>
          <w:tcPr>
            <w:tcW w:type="dxa" w:w="850"/>
          </w:tcPr>
          <w:p>
            <w:pPr>
              <w:spacing w:after="50" w:before="50" w:line="252" w:lineRule="auto"/>
            </w:pPr>
            <w:r>
              <w:rPr>
                <w:sz w:val="17"/>
              </w:rPr>
              <w:t>Day 65</w:t>
            </w:r>
          </w:p>
        </w:tc>
      </w:tr>
      <w:tr>
        <w:tc>
          <w:tcPr>
            <w:tcW w:type="dxa" w:w="850"/>
            <w:shd w:val="clear" w:color="auto" w:fill="EAF1F4"/>
          </w:tcPr>
          <w:p>
            <w:pPr>
              <w:spacing w:after="50" w:before="50" w:line="252" w:lineRule="auto"/>
            </w:pPr>
            <w:r>
              <w:rPr>
                <w:sz w:val="17"/>
              </w:rPr>
              <w:t>20</w:t>
            </w:r>
          </w:p>
        </w:tc>
        <w:tc>
          <w:tcPr>
            <w:tcW w:type="dxa" w:w="6563"/>
            <w:shd w:val="clear" w:color="auto" w:fill="EAF1F4"/>
          </w:tcPr>
          <w:p>
            <w:pPr>
              <w:spacing w:after="50" w:before="50" w:line="252" w:lineRule="auto"/>
            </w:pPr>
            <w:r>
              <w:rPr>
                <w:sz w:val="17"/>
              </w:rPr>
              <w:t>Lessons recorded</w:t>
            </w:r>
          </w:p>
        </w:tc>
        <w:tc>
          <w:tcPr>
            <w:tcW w:type="dxa" w:w="1399"/>
            <w:shd w:val="clear" w:color="auto" w:fill="EAF1F4"/>
          </w:tcPr>
          <w:p>
            <w:pPr>
              <w:spacing w:after="50" w:before="50" w:line="252" w:lineRule="auto"/>
            </w:pPr>
            <w:r>
              <w:rPr>
                <w:sz w:val="17"/>
              </w:rPr>
              <w:t>Director</w:t>
            </w:r>
          </w:p>
        </w:tc>
        <w:tc>
          <w:tcPr>
            <w:tcW w:type="dxa" w:w="850"/>
            <w:shd w:val="clear" w:color="auto" w:fill="EAF1F4"/>
          </w:tcPr>
          <w:p>
            <w:pPr>
              <w:spacing w:after="50" w:before="50" w:line="252" w:lineRule="auto"/>
            </w:pPr>
            <w:r>
              <w:rPr>
                <w:sz w:val="17"/>
              </w:rPr>
              <w:t>Day 60</w:t>
            </w:r>
          </w:p>
        </w:tc>
      </w:tr>
    </w:tbl>
    <w:p>
      <w:pPr>
        <w:spacing w:after="80" w:before="0"/>
      </w:pPr>
    </w:p>
    <w:p>
      <w:pPr>
        <w:spacing w:before="80" w:after="160"/>
        <w:pBdr>
          <w:bottom w:val="single" w:sz="6" w:space="1" w:color="C9D6DE"/>
        </w:pBdr>
      </w:pPr>
    </w:p>
    <w:p>
      <w:pPr>
        <w:pStyle w:val="Heading1"/>
        <w:pBdr>
          <w:bottom w:val="single" w:sz="8" w:space="4" w:color="C9D6DE"/>
        </w:pBdr>
      </w:pPr>
      <w:r>
        <w:t>8. What continues after the partnership ends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064"/>
            <w:shd w:val="clear" w:color="auto" w:fill="10375C"/>
          </w:tcPr>
          <w:p>
            <w:pPr>
              <w:spacing w:after="50" w:before="50"/>
            </w:pPr>
            <w:r>
              <w:rPr>
                <w:b/>
                <w:color w:val="FFFFFF"/>
                <w:sz w:val="17"/>
              </w:rPr>
              <w:t>Item</w:t>
            </w:r>
          </w:p>
        </w:tc>
        <w:tc>
          <w:tcPr>
            <w:tcW w:type="dxa" w:w="5403"/>
            <w:shd w:val="clear" w:color="auto" w:fill="10375C"/>
          </w:tcPr>
          <w:p>
            <w:pPr>
              <w:spacing w:after="50" w:before="50"/>
            </w:pPr>
            <w:r>
              <w:rPr>
                <w:b/>
                <w:color w:val="FFFFFF"/>
                <w:sz w:val="17"/>
              </w:rPr>
              <w:t>Position</w:t>
            </w:r>
          </w:p>
        </w:tc>
      </w:tr>
      <w:tr>
        <w:tc>
          <w:tcPr>
            <w:tcW w:type="dxa" w:w="4064"/>
          </w:tcPr>
          <w:p>
            <w:pPr>
              <w:spacing w:after="50" w:before="50" w:line="252" w:lineRule="auto"/>
            </w:pPr>
            <w:r>
              <w:rPr>
                <w:sz w:val="17"/>
              </w:rPr>
              <w:t>Certificates already issued</w:t>
            </w:r>
          </w:p>
        </w:tc>
        <w:tc>
          <w:tcPr>
            <w:tcW w:type="dxa" w:w="5403"/>
          </w:tcPr>
          <w:p>
            <w:pPr>
              <w:spacing w:after="50" w:before="50" w:line="252" w:lineRule="auto"/>
            </w:pPr>
            <w:r>
              <w:rPr>
                <w:sz w:val="17"/>
              </w:rPr>
              <w:t>Valid permanently; verifiable on request</w:t>
            </w:r>
          </w:p>
        </w:tc>
      </w:tr>
      <w:tr>
        <w:tc>
          <w:tcPr>
            <w:tcW w:type="dxa" w:w="4064"/>
            <w:shd w:val="clear" w:color="auto" w:fill="EAF1F4"/>
          </w:tcPr>
          <w:p>
            <w:pPr>
              <w:spacing w:after="50" w:before="50" w:line="252" w:lineRule="auto"/>
            </w:pPr>
            <w:r>
              <w:rPr>
                <w:sz w:val="17"/>
              </w:rPr>
              <w:t>The certification register</w:t>
            </w:r>
          </w:p>
        </w:tc>
        <w:tc>
          <w:tcPr>
            <w:tcW w:type="dxa" w:w="5403"/>
            <w:shd w:val="clear" w:color="auto" w:fill="EAF1F4"/>
          </w:tcPr>
          <w:p>
            <w:pPr>
              <w:spacing w:after="50" w:before="50" w:line="252" w:lineRule="auto"/>
            </w:pPr>
            <w:r>
              <w:rPr>
                <w:sz w:val="17"/>
              </w:rPr>
              <w:t>Retained permanently in minimum form</w:t>
            </w:r>
          </w:p>
        </w:tc>
      </w:tr>
      <w:tr>
        <w:tc>
          <w:tcPr>
            <w:tcW w:type="dxa" w:w="4064"/>
          </w:tcPr>
          <w:p>
            <w:pPr>
              <w:spacing w:after="50" w:before="50" w:line="252" w:lineRule="auto"/>
            </w:pPr>
            <w:r>
              <w:rPr>
                <w:sz w:val="17"/>
              </w:rPr>
              <w:t>Faculty empanelment</w:t>
            </w:r>
          </w:p>
        </w:tc>
        <w:tc>
          <w:tcPr>
            <w:tcW w:type="dxa" w:w="5403"/>
          </w:tcPr>
          <w:p>
            <w:pPr>
              <w:spacing w:after="50" w:before="50" w:line="252" w:lineRule="auto"/>
            </w:pPr>
            <w:r>
              <w:rPr>
                <w:sz w:val="17"/>
              </w:rPr>
              <w:t>Continues — it is a personal engagement with the individual, not with the institution</w:t>
            </w:r>
          </w:p>
        </w:tc>
      </w:tr>
      <w:tr>
        <w:tc>
          <w:tcPr>
            <w:tcW w:type="dxa" w:w="4064"/>
            <w:shd w:val="clear" w:color="auto" w:fill="EAF1F4"/>
          </w:tcPr>
          <w:p>
            <w:pPr>
              <w:spacing w:after="50" w:before="50" w:line="252" w:lineRule="auto"/>
            </w:pPr>
            <w:r>
              <w:rPr>
                <w:sz w:val="17"/>
              </w:rPr>
              <w:t>Alumni access to webinars</w:t>
            </w:r>
          </w:p>
        </w:tc>
        <w:tc>
          <w:tcPr>
            <w:tcW w:type="dxa" w:w="5403"/>
            <w:shd w:val="clear" w:color="auto" w:fill="EAF1F4"/>
          </w:tcPr>
          <w:p>
            <w:pPr>
              <w:spacing w:after="50" w:before="50" w:line="252" w:lineRule="auto"/>
            </w:pPr>
            <w:r>
              <w:rPr>
                <w:sz w:val="17"/>
              </w:rPr>
              <w:t>Continues</w:t>
            </w:r>
          </w:p>
        </w:tc>
      </w:tr>
      <w:tr>
        <w:tc>
          <w:tcPr>
            <w:tcW w:type="dxa" w:w="4064"/>
          </w:tcPr>
          <w:p>
            <w:pPr>
              <w:spacing w:after="50" w:before="50" w:line="252" w:lineRule="auto"/>
            </w:pPr>
            <w:r>
              <w:rPr>
                <w:sz w:val="17"/>
              </w:rPr>
              <w:t>Competition eligibility</w:t>
            </w:r>
          </w:p>
        </w:tc>
        <w:tc>
          <w:tcPr>
            <w:tcW w:type="dxa" w:w="5403"/>
          </w:tcPr>
          <w:p>
            <w:pPr>
              <w:spacing w:after="50" w:before="50" w:line="252" w:lineRule="auto"/>
            </w:pPr>
            <w:r>
              <w:rPr>
                <w:sz w:val="17"/>
              </w:rPr>
              <w:t>Continues; institutions need no MOU to enter</w:t>
            </w:r>
          </w:p>
        </w:tc>
      </w:tr>
      <w:tr>
        <w:tc>
          <w:tcPr>
            <w:tcW w:type="dxa" w:w="4064"/>
            <w:shd w:val="clear" w:color="auto" w:fill="EAF1F4"/>
          </w:tcPr>
          <w:p>
            <w:pPr>
              <w:spacing w:after="50" w:before="50" w:line="252" w:lineRule="auto"/>
            </w:pPr>
            <w:r>
              <w:rPr>
                <w:sz w:val="17"/>
              </w:rPr>
              <w:t>Student ambassador appointments</w:t>
            </w:r>
          </w:p>
        </w:tc>
        <w:tc>
          <w:tcPr>
            <w:tcW w:type="dxa" w:w="5403"/>
            <w:shd w:val="clear" w:color="auto" w:fill="EAF1F4"/>
          </w:tcPr>
          <w:p>
            <w:pPr>
              <w:spacing w:after="50" w:before="50" w:line="252" w:lineRule="auto"/>
            </w:pPr>
            <w:r>
              <w:rPr>
                <w:sz w:val="17"/>
              </w:rPr>
              <w:t>Complete their term</w:t>
            </w:r>
          </w:p>
        </w:tc>
      </w:tr>
      <w:tr>
        <w:tc>
          <w:tcPr>
            <w:tcW w:type="dxa" w:w="4064"/>
          </w:tcPr>
          <w:p>
            <w:pPr>
              <w:spacing w:after="50" w:before="50" w:line="252" w:lineRule="auto"/>
            </w:pPr>
            <w:r>
              <w:rPr>
                <w:sz w:val="17"/>
              </w:rPr>
              <w:t>Confidentiality obligations</w:t>
            </w:r>
          </w:p>
        </w:tc>
        <w:tc>
          <w:tcPr>
            <w:tcW w:type="dxa" w:w="5403"/>
          </w:tcPr>
          <w:p>
            <w:pPr>
              <w:spacing w:after="50" w:before="50" w:line="252" w:lineRule="auto"/>
            </w:pPr>
            <w:r>
              <w:rPr>
                <w:sz w:val="17"/>
              </w:rPr>
              <w:t>Continue per clause 10.6</w:t>
            </w:r>
          </w:p>
        </w:tc>
      </w:tr>
      <w:tr>
        <w:tc>
          <w:tcPr>
            <w:tcW w:type="dxa" w:w="4064"/>
            <w:shd w:val="clear" w:color="auto" w:fill="EAF1F4"/>
          </w:tcPr>
          <w:p>
            <w:pPr>
              <w:spacing w:after="50" w:before="50" w:line="252" w:lineRule="auto"/>
            </w:pPr>
            <w:r>
              <w:rPr>
                <w:sz w:val="17"/>
              </w:rPr>
              <w:t>Statutory confidentiality on live matters</w:t>
            </w:r>
          </w:p>
        </w:tc>
        <w:tc>
          <w:tcPr>
            <w:tcW w:type="dxa" w:w="5403"/>
            <w:shd w:val="clear" w:color="auto" w:fill="EAF1F4"/>
          </w:tcPr>
          <w:p>
            <w:pPr>
              <w:spacing w:after="50" w:before="50" w:line="252" w:lineRule="auto"/>
            </w:pPr>
            <w:r>
              <w:rPr>
                <w:b/>
                <w:sz w:val="17"/>
              </w:rPr>
              <w:t>Permanent</w:t>
            </w:r>
          </w:p>
        </w:tc>
      </w:tr>
      <w:tr>
        <w:tc>
          <w:tcPr>
            <w:tcW w:type="dxa" w:w="4064"/>
          </w:tcPr>
          <w:p>
            <w:pPr>
              <w:spacing w:after="50" w:before="50" w:line="252" w:lineRule="auto"/>
            </w:pPr>
            <w:r>
              <w:rPr>
                <w:sz w:val="17"/>
              </w:rPr>
              <w:t>Jointly owned research</w:t>
            </w:r>
          </w:p>
        </w:tc>
        <w:tc>
          <w:tcPr>
            <w:tcW w:type="dxa" w:w="5403"/>
          </w:tcPr>
          <w:p>
            <w:pPr>
              <w:spacing w:after="50" w:before="50" w:line="252" w:lineRule="auto"/>
            </w:pPr>
            <w:r>
              <w:rPr>
                <w:sz w:val="17"/>
              </w:rPr>
              <w:t>Continues to be usable by both parties per 08.2</w:t>
            </w:r>
          </w:p>
        </w:tc>
      </w:tr>
      <w:tr>
        <w:tc>
          <w:tcPr>
            <w:tcW w:type="dxa" w:w="4064"/>
            <w:shd w:val="clear" w:color="auto" w:fill="EAF1F4"/>
          </w:tcPr>
          <w:p>
            <w:pPr>
              <w:spacing w:after="50" w:before="50" w:line="252" w:lineRule="auto"/>
            </w:pPr>
            <w:r>
              <w:rPr>
                <w:sz w:val="17"/>
              </w:rPr>
              <w:t>Publication of jointly authored work in progress</w:t>
            </w:r>
          </w:p>
        </w:tc>
        <w:tc>
          <w:tcPr>
            <w:tcW w:type="dxa" w:w="5403"/>
            <w:shd w:val="clear" w:color="auto" w:fill="EAF1F4"/>
          </w:tcPr>
          <w:p>
            <w:pPr>
              <w:spacing w:after="50" w:before="50" w:line="252" w:lineRule="auto"/>
            </w:pPr>
            <w:r>
              <w:rPr>
                <w:sz w:val="17"/>
              </w:rPr>
              <w:t>Completed; neither party may block it</w:t>
            </w:r>
          </w:p>
        </w:tc>
      </w:tr>
      <w:tr>
        <w:tc>
          <w:tcPr>
            <w:tcW w:type="dxa" w:w="4064"/>
          </w:tcPr>
          <w:p>
            <w:pPr>
              <w:spacing w:after="50" w:before="50" w:line="252" w:lineRule="auto"/>
            </w:pPr>
            <w:r>
              <w:rPr>
                <w:sz w:val="17"/>
              </w:rPr>
              <w:t>Historic factual reference to the collaboration</w:t>
            </w:r>
          </w:p>
        </w:tc>
        <w:tc>
          <w:tcPr>
            <w:tcW w:type="dxa" w:w="5403"/>
          </w:tcPr>
          <w:p>
            <w:pPr>
              <w:spacing w:after="50" w:before="50" w:line="252" w:lineRule="auto"/>
            </w:pPr>
            <w:r>
              <w:rPr>
                <w:sz w:val="17"/>
              </w:rPr>
              <w:t>Permitted, in the past tense, accurately</w:t>
            </w:r>
          </w:p>
        </w:tc>
      </w:tr>
    </w:tbl>
    <w:p>
      <w:pPr>
        <w:spacing w:after="80" w:before="0"/>
      </w:pPr>
    </w:p>
    <w:p>
      <w:pPr>
        <w:spacing w:before="80" w:after="160"/>
        <w:pBdr>
          <w:bottom w:val="single" w:sz="6" w:space="1" w:color="C9D6DE"/>
        </w:pBdr>
      </w:pPr>
    </w:p>
    <w:p>
      <w:pPr>
        <w:pStyle w:val="Heading1"/>
        <w:pBdr>
          <w:bottom w:val="single" w:sz="8" w:space="4" w:color="C9D6DE"/>
        </w:pBdr>
      </w:pPr>
      <w:r>
        <w:t>9. Records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916"/>
            <w:shd w:val="clear" w:color="auto" w:fill="10375C"/>
          </w:tcPr>
          <w:p>
            <w:pPr>
              <w:spacing w:after="50" w:before="50"/>
            </w:pPr>
            <w:r>
              <w:rPr>
                <w:b/>
                <w:color w:val="FFFFFF"/>
                <w:sz w:val="17"/>
              </w:rPr>
              <w:t>Record</w:t>
            </w:r>
          </w:p>
        </w:tc>
        <w:tc>
          <w:tcPr>
            <w:tcW w:type="dxa" w:w="2551"/>
            <w:shd w:val="clear" w:color="auto" w:fill="10375C"/>
          </w:tcPr>
          <w:p>
            <w:pPr>
              <w:spacing w:after="50" w:before="50"/>
            </w:pPr>
            <w:r>
              <w:rPr>
                <w:b/>
                <w:color w:val="FFFFFF"/>
                <w:sz w:val="17"/>
              </w:rPr>
              <w:t>Retention</w:t>
            </w:r>
          </w:p>
        </w:tc>
      </w:tr>
      <w:tr>
        <w:tc>
          <w:tcPr>
            <w:tcW w:type="dxa" w:w="6916"/>
          </w:tcPr>
          <w:p>
            <w:pPr>
              <w:spacing w:after="50" w:before="50" w:line="252" w:lineRule="auto"/>
            </w:pPr>
            <w:r>
              <w:rPr>
                <w:sz w:val="17"/>
              </w:rPr>
              <w:t>Executed MOU, schedules and variations</w:t>
            </w:r>
          </w:p>
        </w:tc>
        <w:tc>
          <w:tcPr>
            <w:tcW w:type="dxa" w:w="2551"/>
          </w:tcPr>
          <w:p>
            <w:pPr>
              <w:spacing w:after="50" w:before="50" w:line="252" w:lineRule="auto"/>
            </w:pPr>
            <w:r>
              <w:rPr>
                <w:sz w:val="17"/>
              </w:rPr>
              <w:t>7 years from expiry</w:t>
            </w:r>
          </w:p>
        </w:tc>
      </w:tr>
      <w:tr>
        <w:tc>
          <w:tcPr>
            <w:tcW w:type="dxa" w:w="6916"/>
            <w:shd w:val="clear" w:color="auto" w:fill="EAF1F4"/>
          </w:tcPr>
          <w:p>
            <w:pPr>
              <w:spacing w:after="50" w:before="50" w:line="252" w:lineRule="auto"/>
            </w:pPr>
            <w:r>
              <w:rPr>
                <w:sz w:val="17"/>
              </w:rPr>
              <w:t>Annual reviews and scorecards</w:t>
            </w:r>
          </w:p>
        </w:tc>
        <w:tc>
          <w:tcPr>
            <w:tcW w:type="dxa" w:w="2551"/>
            <w:shd w:val="clear" w:color="auto" w:fill="EAF1F4"/>
          </w:tcPr>
          <w:p>
            <w:pPr>
              <w:spacing w:after="50" w:before="50" w:line="252" w:lineRule="auto"/>
            </w:pPr>
            <w:r>
              <w:rPr>
                <w:sz w:val="17"/>
              </w:rPr>
              <w:t>7 years</w:t>
            </w:r>
          </w:p>
        </w:tc>
      </w:tr>
      <w:tr>
        <w:tc>
          <w:tcPr>
            <w:tcW w:type="dxa" w:w="6916"/>
          </w:tcPr>
          <w:p>
            <w:pPr>
              <w:spacing w:after="50" w:before="50" w:line="252" w:lineRule="auto"/>
            </w:pPr>
            <w:r>
              <w:rPr>
                <w:sz w:val="17"/>
              </w:rPr>
              <w:t>Termination or non-renewal correspondence</w:t>
            </w:r>
          </w:p>
        </w:tc>
        <w:tc>
          <w:tcPr>
            <w:tcW w:type="dxa" w:w="2551"/>
          </w:tcPr>
          <w:p>
            <w:pPr>
              <w:spacing w:after="50" w:before="50" w:line="252" w:lineRule="auto"/>
            </w:pPr>
            <w:r>
              <w:rPr>
                <w:sz w:val="17"/>
              </w:rPr>
              <w:t>7 years</w:t>
            </w:r>
          </w:p>
        </w:tc>
      </w:tr>
      <w:tr>
        <w:tc>
          <w:tcPr>
            <w:tcW w:type="dxa" w:w="6916"/>
            <w:shd w:val="clear" w:color="auto" w:fill="EAF1F4"/>
          </w:tcPr>
          <w:p>
            <w:pPr>
              <w:spacing w:after="50" w:before="50" w:line="252" w:lineRule="auto"/>
            </w:pPr>
            <w:r>
              <w:rPr>
                <w:sz w:val="17"/>
              </w:rPr>
              <w:t>Wind-down checklist, signed</w:t>
            </w:r>
          </w:p>
        </w:tc>
        <w:tc>
          <w:tcPr>
            <w:tcW w:type="dxa" w:w="2551"/>
            <w:shd w:val="clear" w:color="auto" w:fill="EAF1F4"/>
          </w:tcPr>
          <w:p>
            <w:pPr>
              <w:spacing w:after="50" w:before="50" w:line="252" w:lineRule="auto"/>
            </w:pPr>
            <w:r>
              <w:rPr>
                <w:sz w:val="17"/>
              </w:rPr>
              <w:t>7 years</w:t>
            </w:r>
          </w:p>
        </w:tc>
      </w:tr>
      <w:tr>
        <w:tc>
          <w:tcPr>
            <w:tcW w:type="dxa" w:w="6916"/>
          </w:tcPr>
          <w:p>
            <w:pPr>
              <w:spacing w:after="50" w:before="50" w:line="252" w:lineRule="auto"/>
            </w:pPr>
            <w:r>
              <w:rPr>
                <w:sz w:val="17"/>
              </w:rPr>
              <w:t>Data erasure certifications</w:t>
            </w:r>
          </w:p>
        </w:tc>
        <w:tc>
          <w:tcPr>
            <w:tcW w:type="dxa" w:w="2551"/>
          </w:tcPr>
          <w:p>
            <w:pPr>
              <w:spacing w:after="50" w:before="50" w:line="252" w:lineRule="auto"/>
            </w:pPr>
            <w:r>
              <w:rPr>
                <w:sz w:val="17"/>
              </w:rPr>
              <w:t>7 years</w:t>
            </w:r>
          </w:p>
        </w:tc>
      </w:tr>
      <w:tr>
        <w:tc>
          <w:tcPr>
            <w:tcW w:type="dxa" w:w="6916"/>
            <w:shd w:val="clear" w:color="auto" w:fill="EAF1F4"/>
          </w:tcPr>
          <w:p>
            <w:pPr>
              <w:spacing w:after="50" w:before="50" w:line="252" w:lineRule="auto"/>
            </w:pPr>
            <w:r>
              <w:rPr>
                <w:sz w:val="17"/>
              </w:rPr>
              <w:t>Certification register</w:t>
            </w:r>
          </w:p>
        </w:tc>
        <w:tc>
          <w:tcPr>
            <w:tcW w:type="dxa" w:w="2551"/>
            <w:shd w:val="clear" w:color="auto" w:fill="EAF1F4"/>
          </w:tcPr>
          <w:p>
            <w:pPr>
              <w:spacing w:after="50" w:before="50" w:line="252" w:lineRule="auto"/>
            </w:pPr>
            <w:r>
              <w:rPr>
                <w:sz w:val="17"/>
              </w:rPr>
              <w:t>Permanent</w:t>
            </w:r>
          </w:p>
        </w:tc>
      </w:tr>
      <w:tr>
        <w:tc>
          <w:tcPr>
            <w:tcW w:type="dxa" w:w="6916"/>
          </w:tcPr>
          <w:p>
            <w:pPr>
              <w:spacing w:after="50" w:before="50" w:line="252" w:lineRule="auto"/>
            </w:pPr>
            <w:r>
              <w:rPr>
                <w:sz w:val="17"/>
              </w:rPr>
              <w:t>Safeguarding or incident records arising</w:t>
            </w:r>
          </w:p>
        </w:tc>
        <w:tc>
          <w:tcPr>
            <w:tcW w:type="dxa" w:w="2551"/>
          </w:tcPr>
          <w:p>
            <w:pPr>
              <w:spacing w:after="50" w:before="50" w:line="252" w:lineRule="auto"/>
            </w:pPr>
            <w:r>
              <w:rPr>
                <w:sz w:val="17"/>
              </w:rPr>
              <w:t>Permanent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Renewal, Exit &amp; Wind-Down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D0EEE2-D9D2-4B24-84ED-CFC15ED59426}"/>
</file>

<file path=customXml/itemProps3.xml><?xml version="1.0" encoding="utf-8"?>
<ds:datastoreItem xmlns:ds="http://schemas.openxmlformats.org/officeDocument/2006/customXml" ds:itemID="{614CA1DD-5D02-469D-99B2-055B0AF2F3C1}"/>
</file>

<file path=customXml/itemProps4.xml><?xml version="1.0" encoding="utf-8"?>
<ds:datastoreItem xmlns:ds="http://schemas.openxmlformats.org/officeDocument/2006/customXml" ds:itemID="{5E29963B-3412-4A4F-B7E9-BC2B43B04F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