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Organisation Design &amp; Role Descriptions</w:t>
      </w:r>
    </w:p>
    <w:p>
      <w:pPr>
        <w:spacing w:after="280" w:line="276" w:lineRule="auto"/>
      </w:pPr>
      <w:r>
        <w:rPr>
          <w:rFonts w:ascii="Calibri" w:hAnsi="Calibri"/>
          <w:i/>
          <w:color w:val="3E6B8A"/>
          <w:sz w:val="25"/>
        </w:rPr>
        <w:t>Eleven roles — purpose, accountabilities, deliverables, capability requirements and indicative packages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EQ-UAP-107</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Organisation</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Design principles</w:t>
      </w:r>
    </w:p>
    <w:p>
      <w:pPr>
        <w:pStyle w:val="ListNumber"/>
      </w:pPr>
      <w:r>
        <w:rPr>
          <w:b/>
          <w:sz w:val="21"/>
        </w:rPr>
        <w:t>Hire against contracted revenue, not against ambition.</w:t>
      </w:r>
      <w:r>
        <w:rPr>
          <w:sz w:val="21"/>
        </w:rPr>
        <w:t xml:space="preserve"> Each role below has a stated trigger.</w:t>
      </w:r>
    </w:p>
    <w:p>
      <w:pPr>
        <w:pStyle w:val="ListNumber"/>
      </w:pPr>
      <w:r>
        <w:rPr>
          <w:b/>
          <w:sz w:val="21"/>
        </w:rPr>
        <w:t>Senior and few before junior and many.</w:t>
      </w:r>
      <w:r>
        <w:rPr>
          <w:sz w:val="21"/>
        </w:rPr>
        <w:t xml:space="preserve"> The Phase 1 revenue mix — advisory, coaching, faculty development — is delivered by experienced people, not by volume.</w:t>
      </w:r>
    </w:p>
    <w:p>
      <w:pPr>
        <w:pStyle w:val="ListNumber"/>
      </w:pPr>
      <w:r>
        <w:rPr>
          <w:b/>
          <w:sz w:val="21"/>
        </w:rPr>
        <w:t>Contract the delivery, employ the design.</w:t>
      </w:r>
      <w:r>
        <w:rPr>
          <w:sz w:val="21"/>
        </w:rPr>
        <w:t xml:space="preserve"> Trainers are a contracted bench (07.11). Curriculum, quality and relationships are employed.</w:t>
      </w:r>
    </w:p>
    <w:p>
      <w:pPr>
        <w:pStyle w:val="ListNumber"/>
      </w:pPr>
      <w:r>
        <w:rPr>
          <w:b/>
          <w:sz w:val="21"/>
        </w:rPr>
        <w:t>Shared services stay shared.</w:t>
      </w:r>
      <w:r>
        <w:rPr>
          <w:sz w:val="21"/>
        </w:rPr>
        <w:t xml:space="preserve"> Finance, legal and data protection are drawn from the group; the programme carries an allocation, not a headcount.</w:t>
      </w:r>
    </w:p>
    <w:p>
      <w:pPr>
        <w:pStyle w:val="ListNumber"/>
      </w:pPr>
      <w:r>
        <w:rPr>
          <w:b/>
          <w:sz w:val="21"/>
        </w:rPr>
        <w:t>Nobody owns two roles from the reserved list.</w:t>
      </w:r>
      <w:r>
        <w:rPr>
          <w:sz w:val="21"/>
        </w:rPr>
        <w:t xml:space="preserve"> The Head of Curriculum may not also be the Competition Convenor at scale, because assessment integrity depends on separation.</w:t>
      </w:r>
    </w:p>
    <w:p>
      <w:pPr>
        <w:spacing w:before="80" w:after="160"/>
        <w:pBdr>
          <w:bottom w:val="single" w:sz="6" w:space="1" w:color="C9D6DE"/>
        </w:pBdr>
      </w:pPr>
    </w:p>
    <w:p>
      <w:pPr>
        <w:pStyle w:val="Heading1"/>
        <w:pBdr>
          <w:bottom w:val="single" w:sz="8" w:space="4" w:color="C9D6DE"/>
        </w:pBdr>
      </w:pPr>
      <w:r>
        <w:t>2. Structure at each stage</w:t>
      </w:r>
    </w:p>
    <w:p>
      <w:pPr>
        <w:pStyle w:val="Heading2"/>
      </w:pPr>
      <w:r>
        <w:t>2.1 Year 1 — Scenario A, founder-led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726"/>
            <w:shd w:val="clear" w:color="auto" w:fill="10375C"/>
          </w:tcPr>
          <w:p>
            <w:pPr>
              <w:spacing w:after="50" w:before="50"/>
            </w:pPr>
            <w:r>
              <w:rPr>
                <w:b/>
                <w:color w:val="FFFFFF"/>
                <w:sz w:val="17"/>
              </w:rPr>
              <w:t>Role</w:t>
            </w:r>
          </w:p>
        </w:tc>
        <w:tc>
          <w:tcPr>
            <w:tcW w:type="dxa" w:w="1036"/>
            <w:shd w:val="clear" w:color="auto" w:fill="10375C"/>
          </w:tcPr>
          <w:p>
            <w:pPr>
              <w:spacing w:after="50" w:before="50"/>
            </w:pPr>
            <w:r>
              <w:rPr>
                <w:b/>
                <w:color w:val="FFFFFF"/>
                <w:sz w:val="17"/>
              </w:rPr>
              <w:t>FTE</w:t>
            </w:r>
          </w:p>
        </w:tc>
        <w:tc>
          <w:tcPr>
            <w:tcW w:type="dxa" w:w="3705"/>
            <w:shd w:val="clear" w:color="auto" w:fill="10375C"/>
          </w:tcPr>
          <w:p>
            <w:pPr>
              <w:spacing w:after="50" w:before="50"/>
            </w:pPr>
            <w:r>
              <w:rPr>
                <w:b/>
                <w:color w:val="FFFFFF"/>
                <w:sz w:val="17"/>
              </w:rPr>
              <w:t>Status</w:t>
            </w:r>
          </w:p>
        </w:tc>
      </w:tr>
      <w:tr>
        <w:tc>
          <w:tcPr>
            <w:tcW w:type="dxa" w:w="4726"/>
          </w:tcPr>
          <w:p>
            <w:pPr>
              <w:spacing w:after="50" w:before="50" w:line="252" w:lineRule="auto"/>
            </w:pPr>
            <w:r>
              <w:rPr>
                <w:sz w:val="17"/>
              </w:rPr>
              <w:t>Programme Director</w:t>
            </w:r>
          </w:p>
        </w:tc>
        <w:tc>
          <w:tcPr>
            <w:tcW w:type="dxa" w:w="1036"/>
          </w:tcPr>
          <w:p>
            <w:pPr>
              <w:spacing w:after="50" w:before="50" w:line="252" w:lineRule="auto"/>
            </w:pPr>
            <w:r>
              <w:rPr>
                <w:sz w:val="17"/>
              </w:rPr>
              <w:t>0.5</w:t>
            </w:r>
          </w:p>
        </w:tc>
        <w:tc>
          <w:tcPr>
            <w:tcW w:type="dxa" w:w="3705"/>
          </w:tcPr>
          <w:p>
            <w:pPr>
              <w:spacing w:after="50" w:before="50" w:line="252" w:lineRule="auto"/>
            </w:pPr>
            <w:r>
              <w:rPr>
                <w:sz w:val="17"/>
              </w:rPr>
              <w:t>Existing Equator executive, allocated</w:t>
            </w:r>
          </w:p>
        </w:tc>
      </w:tr>
      <w:tr>
        <w:tc>
          <w:tcPr>
            <w:tcW w:type="dxa" w:w="4726"/>
            <w:shd w:val="clear" w:color="auto" w:fill="EAF1F4"/>
          </w:tcPr>
          <w:p>
            <w:pPr>
              <w:spacing w:after="50" w:before="50" w:line="252" w:lineRule="auto"/>
            </w:pPr>
            <w:r>
              <w:rPr>
                <w:sz w:val="17"/>
              </w:rPr>
              <w:t>Manager — Business Development &amp; Programmes</w:t>
            </w:r>
          </w:p>
        </w:tc>
        <w:tc>
          <w:tcPr>
            <w:tcW w:type="dxa" w:w="1036"/>
            <w:shd w:val="clear" w:color="auto" w:fill="EAF1F4"/>
          </w:tcPr>
          <w:p>
            <w:pPr>
              <w:spacing w:after="50" w:before="50" w:line="252" w:lineRule="auto"/>
            </w:pPr>
            <w:r>
              <w:rPr>
                <w:sz w:val="17"/>
              </w:rPr>
              <w:t>1.0</w:t>
            </w:r>
          </w:p>
        </w:tc>
        <w:tc>
          <w:tcPr>
            <w:tcW w:type="dxa" w:w="3705"/>
            <w:shd w:val="clear" w:color="auto" w:fill="EAF1F4"/>
          </w:tcPr>
          <w:p>
            <w:pPr>
              <w:spacing w:after="50" w:before="50" w:line="252" w:lineRule="auto"/>
            </w:pPr>
            <w:r>
              <w:rPr>
                <w:sz w:val="17"/>
              </w:rPr>
              <w:t>Hire, month 1</w:t>
            </w:r>
          </w:p>
        </w:tc>
      </w:tr>
      <w:tr>
        <w:tc>
          <w:tcPr>
            <w:tcW w:type="dxa" w:w="4726"/>
          </w:tcPr>
          <w:p>
            <w:pPr>
              <w:spacing w:after="50" w:before="50" w:line="252" w:lineRule="auto"/>
            </w:pPr>
            <w:r>
              <w:rPr>
                <w:sz w:val="17"/>
              </w:rPr>
              <w:t>Coordinator — Programmes &amp; Administration</w:t>
            </w:r>
          </w:p>
        </w:tc>
        <w:tc>
          <w:tcPr>
            <w:tcW w:type="dxa" w:w="1036"/>
          </w:tcPr>
          <w:p>
            <w:pPr>
              <w:spacing w:after="50" w:before="50" w:line="252" w:lineRule="auto"/>
            </w:pPr>
            <w:r>
              <w:rPr>
                <w:sz w:val="17"/>
              </w:rPr>
              <w:t>0.4</w:t>
            </w:r>
          </w:p>
        </w:tc>
        <w:tc>
          <w:tcPr>
            <w:tcW w:type="dxa" w:w="3705"/>
          </w:tcPr>
          <w:p>
            <w:pPr>
              <w:spacing w:after="50" w:before="50" w:line="252" w:lineRule="auto"/>
            </w:pPr>
            <w:r>
              <w:rPr>
                <w:sz w:val="17"/>
              </w:rPr>
              <w:t>Hire, month 3</w:t>
            </w:r>
          </w:p>
        </w:tc>
      </w:tr>
      <w:tr>
        <w:tc>
          <w:tcPr>
            <w:tcW w:type="dxa" w:w="4726"/>
            <w:shd w:val="clear" w:color="auto" w:fill="EAF1F4"/>
          </w:tcPr>
          <w:p>
            <w:pPr>
              <w:spacing w:after="50" w:before="50" w:line="252" w:lineRule="auto"/>
            </w:pPr>
            <w:r>
              <w:rPr>
                <w:sz w:val="17"/>
              </w:rPr>
              <w:t>Head of Curriculum &amp; Certification</w:t>
            </w:r>
          </w:p>
        </w:tc>
        <w:tc>
          <w:tcPr>
            <w:tcW w:type="dxa" w:w="1036"/>
            <w:shd w:val="clear" w:color="auto" w:fill="EAF1F4"/>
          </w:tcPr>
          <w:p>
            <w:pPr>
              <w:spacing w:after="50" w:before="50" w:line="252" w:lineRule="auto"/>
            </w:pPr>
            <w:r>
              <w:rPr>
                <w:sz w:val="17"/>
              </w:rPr>
              <w:t>0.3</w:t>
            </w:r>
          </w:p>
        </w:tc>
        <w:tc>
          <w:tcPr>
            <w:tcW w:type="dxa" w:w="3705"/>
            <w:shd w:val="clear" w:color="auto" w:fill="EAF1F4"/>
          </w:tcPr>
          <w:p>
            <w:pPr>
              <w:spacing w:after="50" w:before="50" w:line="252" w:lineRule="auto"/>
            </w:pPr>
            <w:r>
              <w:rPr>
                <w:sz w:val="17"/>
              </w:rPr>
              <w:t>Contracted Principal trainer, retained</w:t>
            </w:r>
          </w:p>
        </w:tc>
      </w:tr>
      <w:tr>
        <w:tc>
          <w:tcPr>
            <w:tcW w:type="dxa" w:w="4726"/>
          </w:tcPr>
          <w:p>
            <w:pPr>
              <w:spacing w:after="50" w:before="50" w:line="252" w:lineRule="auto"/>
            </w:pPr>
            <w:r>
              <w:rPr>
                <w:sz w:val="17"/>
              </w:rPr>
              <w:t>Finance, Legal, DPO, Marketing</w:t>
            </w:r>
          </w:p>
        </w:tc>
        <w:tc>
          <w:tcPr>
            <w:tcW w:type="dxa" w:w="1036"/>
          </w:tcPr>
          <w:p>
            <w:pPr>
              <w:spacing w:after="50" w:before="50" w:line="252" w:lineRule="auto"/>
            </w:pPr>
            <w:r>
              <w:rPr>
                <w:sz w:val="17"/>
              </w:rPr>
              <w:t>Allocation</w:t>
            </w:r>
          </w:p>
        </w:tc>
        <w:tc>
          <w:tcPr>
            <w:tcW w:type="dxa" w:w="3705"/>
          </w:tcPr>
          <w:p>
            <w:pPr>
              <w:spacing w:after="50" w:before="50" w:line="252" w:lineRule="auto"/>
            </w:pPr>
            <w:r>
              <w:rPr>
                <w:sz w:val="17"/>
              </w:rPr>
              <w:t>Shared services</w:t>
            </w:r>
          </w:p>
        </w:tc>
      </w:tr>
      <w:tr>
        <w:tc>
          <w:tcPr>
            <w:tcW w:type="dxa" w:w="4726"/>
            <w:shd w:val="clear" w:color="auto" w:fill="EAF1F4"/>
          </w:tcPr>
          <w:p>
            <w:pPr>
              <w:spacing w:after="50" w:before="50" w:line="252" w:lineRule="auto"/>
            </w:pPr>
            <w:r>
              <w:rPr>
                <w:sz w:val="17"/>
              </w:rPr>
              <w:t>Trainer bench</w:t>
            </w:r>
          </w:p>
        </w:tc>
        <w:tc>
          <w:tcPr>
            <w:tcW w:type="dxa" w:w="1036"/>
            <w:shd w:val="clear" w:color="auto" w:fill="EAF1F4"/>
          </w:tcPr>
          <w:p>
            <w:pPr>
              <w:spacing w:after="50" w:before="50" w:line="252" w:lineRule="auto"/>
            </w:pPr>
            <w:r>
              <w:rPr>
                <w:sz w:val="17"/>
              </w:rPr>
              <w:t>Contracted</w:t>
            </w:r>
          </w:p>
        </w:tc>
        <w:tc>
          <w:tcPr>
            <w:tcW w:type="dxa" w:w="3705"/>
            <w:shd w:val="clear" w:color="auto" w:fill="EAF1F4"/>
          </w:tcPr>
          <w:p>
            <w:pPr>
              <w:spacing w:after="50" w:before="50" w:line="252" w:lineRule="auto"/>
            </w:pPr>
            <w:r>
              <w:rPr>
                <w:sz w:val="17"/>
              </w:rPr>
              <w:t>8 certified by month 6</w:t>
            </w:r>
          </w:p>
        </w:tc>
      </w:tr>
      <w:tr>
        <w:tc>
          <w:tcPr>
            <w:tcW w:type="dxa" w:w="4726"/>
          </w:tcPr>
          <w:p>
            <w:pPr>
              <w:spacing w:after="50" w:before="50" w:line="252" w:lineRule="auto"/>
            </w:pPr>
            <w:r>
              <w:rPr>
                <w:b/>
                <w:sz w:val="17"/>
              </w:rPr>
              <w:t>Employed FTE</w:t>
            </w:r>
          </w:p>
        </w:tc>
        <w:tc>
          <w:tcPr>
            <w:tcW w:type="dxa" w:w="1036"/>
          </w:tcPr>
          <w:p>
            <w:pPr>
              <w:spacing w:after="50" w:before="50" w:line="252" w:lineRule="auto"/>
            </w:pPr>
            <w:r>
              <w:rPr>
                <w:b/>
                <w:sz w:val="17"/>
              </w:rPr>
              <w:t>1.4</w:t>
            </w:r>
          </w:p>
        </w:tc>
        <w:tc>
          <w:tcPr>
            <w:tcW w:type="dxa" w:w="3705"/>
          </w:tcPr>
          <w:p>
            <w:pPr>
              <w:spacing w:after="50" w:before="50" w:line="252" w:lineRule="auto"/>
            </w:pPr>
          </w:p>
        </w:tc>
      </w:tr>
    </w:tbl>
    <w:p>
      <w:pPr>
        <w:spacing w:after="80" w:before="0"/>
      </w:pPr>
    </w:p>
    <w:p>
      <w:pPr>
        <w:pStyle w:val="Heading2"/>
      </w:pPr>
      <w:r>
        <w:t>2.2 Year 2 — trigger met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760"/>
            <w:shd w:val="clear" w:color="auto" w:fill="10375C"/>
          </w:tcPr>
          <w:p>
            <w:pPr>
              <w:spacing w:after="50" w:before="50"/>
            </w:pPr>
            <w:r>
              <w:rPr>
                <w:b/>
                <w:color w:val="FFFFFF"/>
                <w:sz w:val="17"/>
              </w:rPr>
              <w:t>Role</w:t>
            </w:r>
          </w:p>
        </w:tc>
        <w:tc>
          <w:tcPr>
            <w:tcW w:type="dxa" w:w="850"/>
            <w:shd w:val="clear" w:color="auto" w:fill="10375C"/>
          </w:tcPr>
          <w:p>
            <w:pPr>
              <w:spacing w:after="50" w:before="50"/>
            </w:pPr>
            <w:r>
              <w:rPr>
                <w:b/>
                <w:color w:val="FFFFFF"/>
                <w:sz w:val="17"/>
              </w:rPr>
              <w:t>FTE</w:t>
            </w:r>
          </w:p>
        </w:tc>
        <w:tc>
          <w:tcPr>
            <w:tcW w:type="dxa" w:w="4007"/>
            <w:shd w:val="clear" w:color="auto" w:fill="10375C"/>
          </w:tcPr>
          <w:p>
            <w:pPr>
              <w:spacing w:after="50" w:before="50"/>
            </w:pPr>
            <w:r>
              <w:rPr>
                <w:b/>
                <w:color w:val="FFFFFF"/>
                <w:sz w:val="17"/>
              </w:rPr>
              <w:t>Trigger to hire</w:t>
            </w:r>
          </w:p>
        </w:tc>
      </w:tr>
      <w:tr>
        <w:tc>
          <w:tcPr>
            <w:tcW w:type="dxa" w:w="4760"/>
          </w:tcPr>
          <w:p>
            <w:pPr>
              <w:spacing w:after="50" w:before="50" w:line="252" w:lineRule="auto"/>
            </w:pPr>
            <w:r>
              <w:rPr>
                <w:sz w:val="17"/>
              </w:rPr>
              <w:t>Programme Director</w:t>
            </w:r>
          </w:p>
        </w:tc>
        <w:tc>
          <w:tcPr>
            <w:tcW w:type="dxa" w:w="850"/>
          </w:tcPr>
          <w:p>
            <w:pPr>
              <w:spacing w:after="50" w:before="50" w:line="252" w:lineRule="auto"/>
            </w:pPr>
            <w:r>
              <w:rPr>
                <w:sz w:val="17"/>
              </w:rPr>
              <w:t>1.0</w:t>
            </w:r>
          </w:p>
        </w:tc>
        <w:tc>
          <w:tcPr>
            <w:tcW w:type="dxa" w:w="4007"/>
          </w:tcPr>
          <w:p>
            <w:pPr>
              <w:spacing w:after="50" w:before="50" w:line="252" w:lineRule="auto"/>
            </w:pPr>
            <w:r>
              <w:rPr>
                <w:sz w:val="17"/>
              </w:rPr>
              <w:t>Contracted forward revenue ≥ ₹1 crore</w:t>
            </w:r>
          </w:p>
        </w:tc>
      </w:tr>
      <w:tr>
        <w:tc>
          <w:tcPr>
            <w:tcW w:type="dxa" w:w="4760"/>
            <w:shd w:val="clear" w:color="auto" w:fill="EAF1F4"/>
          </w:tcPr>
          <w:p>
            <w:pPr>
              <w:spacing w:after="50" w:before="50" w:line="252" w:lineRule="auto"/>
            </w:pPr>
            <w:r>
              <w:rPr>
                <w:sz w:val="17"/>
              </w:rPr>
              <w:t>Manager — Business Development</w:t>
            </w:r>
          </w:p>
        </w:tc>
        <w:tc>
          <w:tcPr>
            <w:tcW w:type="dxa" w:w="850"/>
            <w:shd w:val="clear" w:color="auto" w:fill="EAF1F4"/>
          </w:tcPr>
          <w:p>
            <w:pPr>
              <w:spacing w:after="50" w:before="50" w:line="252" w:lineRule="auto"/>
            </w:pPr>
            <w:r>
              <w:rPr>
                <w:sz w:val="17"/>
              </w:rPr>
              <w:t>1.0</w:t>
            </w:r>
          </w:p>
        </w:tc>
        <w:tc>
          <w:tcPr>
            <w:tcW w:type="dxa" w:w="4007"/>
            <w:shd w:val="clear" w:color="auto" w:fill="EAF1F4"/>
          </w:tcPr>
          <w:p>
            <w:pPr>
              <w:spacing w:after="50" w:before="50" w:line="252" w:lineRule="auto"/>
            </w:pPr>
            <w:r>
              <w:rPr>
                <w:sz w:val="17"/>
              </w:rPr>
              <w:t>In place</w:t>
            </w:r>
          </w:p>
        </w:tc>
      </w:tr>
      <w:tr>
        <w:tc>
          <w:tcPr>
            <w:tcW w:type="dxa" w:w="4760"/>
          </w:tcPr>
          <w:p>
            <w:pPr>
              <w:spacing w:after="50" w:before="50" w:line="252" w:lineRule="auto"/>
            </w:pPr>
            <w:r>
              <w:rPr>
                <w:sz w:val="17"/>
              </w:rPr>
              <w:t>Head of Curriculum &amp; Certification</w:t>
            </w:r>
          </w:p>
        </w:tc>
        <w:tc>
          <w:tcPr>
            <w:tcW w:type="dxa" w:w="850"/>
          </w:tcPr>
          <w:p>
            <w:pPr>
              <w:spacing w:after="50" w:before="50" w:line="252" w:lineRule="auto"/>
            </w:pPr>
            <w:r>
              <w:rPr>
                <w:sz w:val="17"/>
              </w:rPr>
              <w:t>1.0</w:t>
            </w:r>
          </w:p>
        </w:tc>
        <w:tc>
          <w:tcPr>
            <w:tcW w:type="dxa" w:w="4007"/>
          </w:tcPr>
          <w:p>
            <w:pPr>
              <w:spacing w:after="50" w:before="50" w:line="252" w:lineRule="auto"/>
            </w:pPr>
            <w:r>
              <w:rPr>
                <w:sz w:val="17"/>
              </w:rPr>
              <w:t>15+ programmes a year, or 12+ bench trainers</w:t>
            </w:r>
          </w:p>
        </w:tc>
      </w:tr>
      <w:tr>
        <w:tc>
          <w:tcPr>
            <w:tcW w:type="dxa" w:w="4760"/>
            <w:shd w:val="clear" w:color="auto" w:fill="EAF1F4"/>
          </w:tcPr>
          <w:p>
            <w:pPr>
              <w:spacing w:after="50" w:before="50" w:line="252" w:lineRule="auto"/>
            </w:pPr>
            <w:r>
              <w:rPr>
                <w:sz w:val="17"/>
              </w:rPr>
              <w:t>Manager — Programme Operations</w:t>
            </w:r>
          </w:p>
        </w:tc>
        <w:tc>
          <w:tcPr>
            <w:tcW w:type="dxa" w:w="850"/>
            <w:shd w:val="clear" w:color="auto" w:fill="EAF1F4"/>
          </w:tcPr>
          <w:p>
            <w:pPr>
              <w:spacing w:after="50" w:before="50" w:line="252" w:lineRule="auto"/>
            </w:pPr>
            <w:r>
              <w:rPr>
                <w:sz w:val="17"/>
              </w:rPr>
              <w:t>1.0</w:t>
            </w:r>
          </w:p>
        </w:tc>
        <w:tc>
          <w:tcPr>
            <w:tcW w:type="dxa" w:w="4007"/>
            <w:shd w:val="clear" w:color="auto" w:fill="EAF1F4"/>
          </w:tcPr>
          <w:p>
            <w:pPr>
              <w:spacing w:after="50" w:before="50" w:line="252" w:lineRule="auto"/>
            </w:pPr>
            <w:r>
              <w:rPr>
                <w:sz w:val="17"/>
              </w:rPr>
              <w:t>20+ delivery events a year</w:t>
            </w:r>
          </w:p>
        </w:tc>
      </w:tr>
      <w:tr>
        <w:tc>
          <w:tcPr>
            <w:tcW w:type="dxa" w:w="4760"/>
          </w:tcPr>
          <w:p>
            <w:pPr>
              <w:spacing w:after="50" w:before="50" w:line="252" w:lineRule="auto"/>
            </w:pPr>
            <w:r>
              <w:rPr>
                <w:sz w:val="17"/>
              </w:rPr>
              <w:t>Coordinator — Internships &amp; Clinics</w:t>
            </w:r>
          </w:p>
        </w:tc>
        <w:tc>
          <w:tcPr>
            <w:tcW w:type="dxa" w:w="850"/>
          </w:tcPr>
          <w:p>
            <w:pPr>
              <w:spacing w:after="50" w:before="50" w:line="252" w:lineRule="auto"/>
            </w:pPr>
            <w:r>
              <w:rPr>
                <w:sz w:val="17"/>
              </w:rPr>
              <w:t>0.6</w:t>
            </w:r>
          </w:p>
        </w:tc>
        <w:tc>
          <w:tcPr>
            <w:tcW w:type="dxa" w:w="4007"/>
          </w:tcPr>
          <w:p>
            <w:pPr>
              <w:spacing w:after="50" w:before="50" w:line="252" w:lineRule="auto"/>
            </w:pPr>
            <w:r>
              <w:rPr>
                <w:sz w:val="17"/>
              </w:rPr>
              <w:t>15+ interns a cycle</w:t>
            </w:r>
          </w:p>
        </w:tc>
      </w:tr>
      <w:tr>
        <w:tc>
          <w:tcPr>
            <w:tcW w:type="dxa" w:w="4760"/>
            <w:shd w:val="clear" w:color="auto" w:fill="EAF1F4"/>
          </w:tcPr>
          <w:p>
            <w:pPr>
              <w:spacing w:after="50" w:before="50" w:line="252" w:lineRule="auto"/>
            </w:pPr>
            <w:r>
              <w:rPr>
                <w:sz w:val="17"/>
              </w:rPr>
              <w:t>Coordinator — Programmes &amp; Administration</w:t>
            </w:r>
          </w:p>
        </w:tc>
        <w:tc>
          <w:tcPr>
            <w:tcW w:type="dxa" w:w="850"/>
            <w:shd w:val="clear" w:color="auto" w:fill="EAF1F4"/>
          </w:tcPr>
          <w:p>
            <w:pPr>
              <w:spacing w:after="50" w:before="50" w:line="252" w:lineRule="auto"/>
            </w:pPr>
            <w:r>
              <w:rPr>
                <w:sz w:val="17"/>
              </w:rPr>
              <w:t>1.0</w:t>
            </w:r>
          </w:p>
        </w:tc>
        <w:tc>
          <w:tcPr>
            <w:tcW w:type="dxa" w:w="4007"/>
            <w:shd w:val="clear" w:color="auto" w:fill="EAF1F4"/>
          </w:tcPr>
          <w:p>
            <w:pPr>
              <w:spacing w:after="50" w:before="50" w:line="252" w:lineRule="auto"/>
            </w:pPr>
            <w:r>
              <w:rPr>
                <w:sz w:val="17"/>
              </w:rPr>
              <w:t>In place</w:t>
            </w:r>
          </w:p>
        </w:tc>
      </w:tr>
      <w:tr>
        <w:tc>
          <w:tcPr>
            <w:tcW w:type="dxa" w:w="4760"/>
          </w:tcPr>
          <w:p>
            <w:pPr>
              <w:spacing w:after="50" w:before="50" w:line="252" w:lineRule="auto"/>
            </w:pPr>
            <w:r>
              <w:rPr>
                <w:sz w:val="17"/>
              </w:rPr>
              <w:t>Competition Convenor</w:t>
            </w:r>
          </w:p>
        </w:tc>
        <w:tc>
          <w:tcPr>
            <w:tcW w:type="dxa" w:w="850"/>
          </w:tcPr>
          <w:p>
            <w:pPr>
              <w:spacing w:after="50" w:before="50" w:line="252" w:lineRule="auto"/>
            </w:pPr>
            <w:r>
              <w:rPr>
                <w:sz w:val="17"/>
              </w:rPr>
              <w:t>0.5</w:t>
            </w:r>
          </w:p>
        </w:tc>
        <w:tc>
          <w:tcPr>
            <w:tcW w:type="dxa" w:w="4007"/>
          </w:tcPr>
          <w:p>
            <w:pPr>
              <w:spacing w:after="50" w:before="50" w:line="252" w:lineRule="auto"/>
            </w:pPr>
            <w:r>
              <w:rPr>
                <w:sz w:val="17"/>
              </w:rPr>
              <w:t>Own competition launched</w:t>
            </w:r>
          </w:p>
        </w:tc>
      </w:tr>
      <w:tr>
        <w:tc>
          <w:tcPr>
            <w:tcW w:type="dxa" w:w="4760"/>
            <w:shd w:val="clear" w:color="auto" w:fill="EAF1F4"/>
          </w:tcPr>
          <w:p>
            <w:pPr>
              <w:spacing w:after="50" w:before="50" w:line="252" w:lineRule="auto"/>
            </w:pPr>
            <w:r>
              <w:rPr>
                <w:sz w:val="17"/>
              </w:rPr>
              <w:t>Marketing &amp; Communications Executive</w:t>
            </w:r>
          </w:p>
        </w:tc>
        <w:tc>
          <w:tcPr>
            <w:tcW w:type="dxa" w:w="850"/>
            <w:shd w:val="clear" w:color="auto" w:fill="EAF1F4"/>
          </w:tcPr>
          <w:p>
            <w:pPr>
              <w:spacing w:after="50" w:before="50" w:line="252" w:lineRule="auto"/>
            </w:pPr>
            <w:r>
              <w:rPr>
                <w:sz w:val="17"/>
              </w:rPr>
              <w:t>0.5</w:t>
            </w:r>
          </w:p>
        </w:tc>
        <w:tc>
          <w:tcPr>
            <w:tcW w:type="dxa" w:w="4007"/>
            <w:shd w:val="clear" w:color="auto" w:fill="EAF1F4"/>
          </w:tcPr>
          <w:p>
            <w:pPr>
              <w:spacing w:after="50" w:before="50" w:line="252" w:lineRule="auto"/>
            </w:pPr>
            <w:r>
              <w:rPr>
                <w:sz w:val="17"/>
              </w:rPr>
              <w:t>In place</w:t>
            </w:r>
          </w:p>
        </w:tc>
      </w:tr>
      <w:tr>
        <w:tc>
          <w:tcPr>
            <w:tcW w:type="dxa" w:w="4760"/>
          </w:tcPr>
          <w:p>
            <w:pPr>
              <w:spacing w:after="50" w:before="50" w:line="252" w:lineRule="auto"/>
            </w:pPr>
            <w:r>
              <w:rPr>
                <w:b/>
                <w:sz w:val="17"/>
              </w:rPr>
              <w:t>Employed FTE</w:t>
            </w:r>
          </w:p>
        </w:tc>
        <w:tc>
          <w:tcPr>
            <w:tcW w:type="dxa" w:w="850"/>
          </w:tcPr>
          <w:p>
            <w:pPr>
              <w:spacing w:after="50" w:before="50" w:line="252" w:lineRule="auto"/>
            </w:pPr>
            <w:r>
              <w:rPr>
                <w:b/>
                <w:sz w:val="17"/>
              </w:rPr>
              <w:t>6.6</w:t>
            </w:r>
          </w:p>
        </w:tc>
        <w:tc>
          <w:tcPr>
            <w:tcW w:type="dxa" w:w="4007"/>
          </w:tcPr>
          <w:p>
            <w:pPr>
              <w:spacing w:after="50" w:before="50" w:line="252" w:lineRule="auto"/>
            </w:pPr>
          </w:p>
        </w:tc>
      </w:tr>
    </w:tbl>
    <w:p>
      <w:pPr>
        <w:spacing w:after="80" w:before="0"/>
      </w:pPr>
    </w:p>
    <w:p>
      <w:pPr>
        <w:pStyle w:val="Heading2"/>
      </w:pPr>
      <w:r>
        <w:t>2.3 Year 3 — steady state</w:t>
      </w:r>
    </w:p>
    <w:p>
      <w:r>
        <w:t xml:space="preserve">Adds Research Lead (0.5), a second BD Manager (1.0), and a second Operations Coordinator (1.0). </w:t>
      </w:r>
      <w:r>
        <w:rPr>
          <w:b/>
        </w:rPr>
        <w:t>Employed FTE 9.6.</w:t>
      </w:r>
    </w:p>
    <w:p>
      <w:pPr>
        <w:spacing w:before="80" w:after="160"/>
        <w:pBdr>
          <w:bottom w:val="single" w:sz="6" w:space="1" w:color="C9D6DE"/>
        </w:pBdr>
      </w:pPr>
    </w:p>
    <w:p>
      <w:r>
        <w:br w:type="page"/>
      </w:r>
    </w:p>
    <w:p>
      <w:pPr>
        <w:pStyle w:val="Heading1"/>
        <w:pBdr>
          <w:bottom w:val="single" w:sz="8" w:space="4" w:color="C9D6DE"/>
        </w:pBdr>
      </w:pPr>
      <w:r>
        <w:t>3. Role descriptions</w:t>
      </w:r>
    </w:p>
    <w:p>
      <w:pPr>
        <w:pStyle w:val="Heading2"/>
      </w:pPr>
      <w:r>
        <w:t>R1 · Programme Director — Academic Partnerships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94"/>
            <w:shd w:val="clear" w:color="auto" w:fill="10375C"/>
          </w:tcPr>
          <w:p>
            <w:pPr>
              <w:spacing w:after="50" w:before="50"/>
            </w:pPr>
            <w:r>
              <w:rPr>
                <w:b/>
                <w:color w:val="FFFFFF"/>
                <w:sz w:val="17"/>
              </w:rPr>
              <w:t>Field</w:t>
            </w:r>
          </w:p>
        </w:tc>
        <w:tc>
          <w:tcPr>
            <w:tcW w:type="dxa" w:w="7274"/>
            <w:shd w:val="clear" w:color="auto" w:fill="10375C"/>
          </w:tcPr>
          <w:p>
            <w:pPr>
              <w:spacing w:after="50" w:before="50"/>
            </w:pPr>
            <w:r>
              <w:rPr>
                <w:b/>
                <w:color w:val="FFFFFF"/>
                <w:sz w:val="17"/>
              </w:rPr>
              <w:t>Detail</w:t>
            </w:r>
          </w:p>
        </w:tc>
      </w:tr>
      <w:tr>
        <w:tc>
          <w:tcPr>
            <w:tcW w:type="dxa" w:w="2194"/>
          </w:tcPr>
          <w:p>
            <w:pPr>
              <w:spacing w:after="50" w:before="50" w:line="252" w:lineRule="auto"/>
            </w:pPr>
            <w:r>
              <w:rPr>
                <w:b/>
                <w:sz w:val="17"/>
              </w:rPr>
              <w:t>Reports to</w:t>
            </w:r>
          </w:p>
        </w:tc>
        <w:tc>
          <w:tcPr>
            <w:tcW w:type="dxa" w:w="7274"/>
          </w:tcPr>
          <w:p>
            <w:pPr>
              <w:spacing w:after="50" w:before="50" w:line="252" w:lineRule="auto"/>
            </w:pPr>
            <w:r>
              <w:rPr>
                <w:sz w:val="17"/>
              </w:rPr>
              <w:t>Managing Director, Equator Resolution</w:t>
            </w:r>
          </w:p>
        </w:tc>
      </w:tr>
      <w:tr>
        <w:tc>
          <w:tcPr>
            <w:tcW w:type="dxa" w:w="2194"/>
            <w:shd w:val="clear" w:color="auto" w:fill="EAF1F4"/>
          </w:tcPr>
          <w:p>
            <w:pPr>
              <w:spacing w:after="50" w:before="50" w:line="252" w:lineRule="auto"/>
            </w:pPr>
            <w:r>
              <w:rPr>
                <w:b/>
                <w:sz w:val="17"/>
              </w:rPr>
              <w:t>Direct reports</w:t>
            </w:r>
          </w:p>
        </w:tc>
        <w:tc>
          <w:tcPr>
            <w:tcW w:type="dxa" w:w="7274"/>
            <w:shd w:val="clear" w:color="auto" w:fill="EAF1F4"/>
          </w:tcPr>
          <w:p>
            <w:pPr>
              <w:spacing w:after="50" w:before="50" w:line="252" w:lineRule="auto"/>
            </w:pPr>
            <w:r>
              <w:rPr>
                <w:sz w:val="17"/>
              </w:rPr>
              <w:t>Manager BD; Head of Curriculum; Manager Operations; Marketing Executive</w:t>
            </w:r>
          </w:p>
        </w:tc>
      </w:tr>
      <w:tr>
        <w:tc>
          <w:tcPr>
            <w:tcW w:type="dxa" w:w="2194"/>
          </w:tcPr>
          <w:p>
            <w:pPr>
              <w:spacing w:after="50" w:before="50" w:line="252" w:lineRule="auto"/>
            </w:pPr>
            <w:r>
              <w:rPr>
                <w:b/>
                <w:sz w:val="17"/>
              </w:rPr>
              <w:t>Purpose</w:t>
            </w:r>
          </w:p>
        </w:tc>
        <w:tc>
          <w:tcPr>
            <w:tcW w:type="dxa" w:w="7274"/>
          </w:tcPr>
          <w:p>
            <w:pPr>
              <w:spacing w:after="50" w:before="50" w:line="252" w:lineRule="auto"/>
            </w:pPr>
            <w:r>
              <w:rPr>
                <w:sz w:val="17"/>
              </w:rPr>
              <w:t>Own the strategy, the commercial result and the risk of the University &amp; Academic Partnership Programme</w:t>
            </w:r>
          </w:p>
        </w:tc>
      </w:tr>
      <w:tr>
        <w:tc>
          <w:tcPr>
            <w:tcW w:type="dxa" w:w="2194"/>
            <w:shd w:val="clear" w:color="auto" w:fill="EAF1F4"/>
          </w:tcPr>
          <w:p>
            <w:pPr>
              <w:spacing w:after="50" w:before="50" w:line="252" w:lineRule="auto"/>
            </w:pPr>
            <w:r>
              <w:rPr>
                <w:b/>
                <w:sz w:val="17"/>
              </w:rPr>
              <w:t>Trigger</w:t>
            </w:r>
          </w:p>
        </w:tc>
        <w:tc>
          <w:tcPr>
            <w:tcW w:type="dxa" w:w="7274"/>
            <w:shd w:val="clear" w:color="auto" w:fill="EAF1F4"/>
          </w:tcPr>
          <w:p>
            <w:pPr>
              <w:spacing w:after="50" w:before="50" w:line="252" w:lineRule="auto"/>
            </w:pPr>
            <w:r>
              <w:rPr>
                <w:sz w:val="17"/>
              </w:rPr>
              <w:t>0.5 allocation from month 1; full-time when contracted forward revenue reaches ₹1 crore</w:t>
            </w:r>
          </w:p>
        </w:tc>
      </w:tr>
    </w:tbl>
    <w:p>
      <w:pPr>
        <w:spacing w:after="80" w:before="0"/>
      </w:pPr>
    </w:p>
    <w:p>
      <w:r>
        <w:rPr>
          <w:b/>
        </w:rPr>
        <w:t>Accountabilities</w:t>
      </w:r>
    </w:p>
    <w:p>
      <w:pPr>
        <w:pStyle w:val="ListBullet"/>
      </w:pPr>
      <w:r>
        <w:rPr>
          <w:sz w:val="21"/>
        </w:rPr>
        <w:t>Deliver the annual revenue and contribution plan.</w:t>
      </w:r>
    </w:p>
    <w:p>
      <w:pPr>
        <w:pStyle w:val="ListBullet"/>
      </w:pPr>
      <w:r>
        <w:rPr>
          <w:sz w:val="21"/>
        </w:rPr>
        <w:t>Own Tier 1 relationships personally; sign or recommend every MOU per the Delegation of Authority.</w:t>
      </w:r>
    </w:p>
    <w:p>
      <w:pPr>
        <w:pStyle w:val="ListBullet"/>
      </w:pPr>
      <w:r>
        <w:rPr>
          <w:sz w:val="21"/>
        </w:rPr>
        <w:t>Chair the Programme Management Team; report to the Programme Board quarterly.</w:t>
      </w:r>
    </w:p>
    <w:p>
      <w:pPr>
        <w:pStyle w:val="ListBullet"/>
      </w:pPr>
      <w:r>
        <w:rPr>
          <w:sz w:val="21"/>
        </w:rPr>
        <w:t>Own the risk register and every L4 escalation.</w:t>
      </w:r>
    </w:p>
    <w:p>
      <w:pPr>
        <w:pStyle w:val="ListBullet"/>
      </w:pPr>
      <w:r>
        <w:rPr>
          <w:sz w:val="21"/>
        </w:rPr>
        <w:t>Approve tier assignments, calendars, pricing exceptions within limit, and all co-branded communications.</w:t>
      </w:r>
    </w:p>
    <w:p>
      <w:pPr>
        <w:pStyle w:val="ListBullet"/>
      </w:pPr>
      <w:r>
        <w:rPr>
          <w:sz w:val="21"/>
        </w:rPr>
        <w:t>Decide renewal, restructuring and lapse at each annual review.</w:t>
      </w:r>
    </w:p>
    <w:p>
      <w:pPr>
        <w:pStyle w:val="ListBullet"/>
      </w:pPr>
      <w:r>
        <w:rPr>
          <w:b/>
          <w:sz w:val="21"/>
        </w:rPr>
        <w:t>Personally contact every FDP participant within 14 days with an individual proposition.</w:t>
      </w:r>
    </w:p>
    <w:p>
      <w:r>
        <w:rPr>
          <w:b/>
        </w:rPr>
        <w:t>First-year deliverables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2"/>
            <w:shd w:val="clear" w:color="auto" w:fill="10375C"/>
          </w:tcPr>
          <w:p>
            <w:pPr>
              <w:spacing w:after="50" w:before="50"/>
            </w:pPr>
            <w:r>
              <w:rPr>
                <w:b/>
                <w:color w:val="FFFFFF"/>
                <w:sz w:val="17"/>
              </w:rPr>
              <w:t>#</w:t>
            </w:r>
          </w:p>
        </w:tc>
        <w:tc>
          <w:tcPr>
            <w:tcW w:type="dxa" w:w="7243"/>
            <w:shd w:val="clear" w:color="auto" w:fill="10375C"/>
          </w:tcPr>
          <w:p>
            <w:pPr>
              <w:spacing w:after="50" w:before="50"/>
            </w:pPr>
            <w:r>
              <w:rPr>
                <w:b/>
                <w:color w:val="FFFFFF"/>
                <w:sz w:val="17"/>
              </w:rPr>
              <w:t>Deliverable</w:t>
            </w:r>
          </w:p>
        </w:tc>
        <w:tc>
          <w:tcPr>
            <w:tcW w:type="dxa" w:w="1372"/>
            <w:shd w:val="clear" w:color="auto" w:fill="10375C"/>
          </w:tcPr>
          <w:p>
            <w:pPr>
              <w:spacing w:after="50" w:before="50"/>
            </w:pPr>
            <w:r>
              <w:rPr>
                <w:b/>
                <w:color w:val="FFFFFF"/>
                <w:sz w:val="17"/>
              </w:rPr>
              <w:t>By</w:t>
            </w:r>
          </w:p>
        </w:tc>
      </w:tr>
      <w:tr>
        <w:tc>
          <w:tcPr>
            <w:tcW w:type="dxa" w:w="852"/>
          </w:tcPr>
          <w:p>
            <w:pPr>
              <w:spacing w:after="50" w:before="50" w:line="252" w:lineRule="auto"/>
            </w:pPr>
            <w:r>
              <w:rPr>
                <w:sz w:val="17"/>
              </w:rPr>
              <w:t>1</w:t>
            </w:r>
          </w:p>
        </w:tc>
        <w:tc>
          <w:tcPr>
            <w:tcW w:type="dxa" w:w="7243"/>
          </w:tcPr>
          <w:p>
            <w:pPr>
              <w:spacing w:after="50" w:before="50" w:line="252" w:lineRule="auto"/>
            </w:pPr>
            <w:r>
              <w:rPr>
                <w:sz w:val="17"/>
              </w:rPr>
              <w:t>Bench city selected; longlist scored; wave 1 launched</w:t>
            </w:r>
          </w:p>
        </w:tc>
        <w:tc>
          <w:tcPr>
            <w:tcW w:type="dxa" w:w="1372"/>
          </w:tcPr>
          <w:p>
            <w:pPr>
              <w:spacing w:after="50" w:before="50" w:line="252" w:lineRule="auto"/>
            </w:pPr>
            <w:r>
              <w:rPr>
                <w:sz w:val="17"/>
              </w:rPr>
              <w:t>Month 1</w:t>
            </w:r>
          </w:p>
        </w:tc>
      </w:tr>
      <w:tr>
        <w:tc>
          <w:tcPr>
            <w:tcW w:type="dxa" w:w="852"/>
            <w:shd w:val="clear" w:color="auto" w:fill="EAF1F4"/>
          </w:tcPr>
          <w:p>
            <w:pPr>
              <w:spacing w:after="50" w:before="50" w:line="252" w:lineRule="auto"/>
            </w:pPr>
            <w:r>
              <w:rPr>
                <w:sz w:val="17"/>
              </w:rPr>
              <w:t>2</w:t>
            </w:r>
          </w:p>
        </w:tc>
        <w:tc>
          <w:tcPr>
            <w:tcW w:type="dxa" w:w="7243"/>
            <w:shd w:val="clear" w:color="auto" w:fill="EAF1F4"/>
          </w:tcPr>
          <w:p>
            <w:pPr>
              <w:spacing w:after="50" w:before="50" w:line="252" w:lineRule="auto"/>
            </w:pPr>
            <w:r>
              <w:rPr>
                <w:sz w:val="17"/>
              </w:rPr>
              <w:t>Six advisory retainers signed</w:t>
            </w:r>
          </w:p>
        </w:tc>
        <w:tc>
          <w:tcPr>
            <w:tcW w:type="dxa" w:w="1372"/>
            <w:shd w:val="clear" w:color="auto" w:fill="EAF1F4"/>
          </w:tcPr>
          <w:p>
            <w:pPr>
              <w:spacing w:after="50" w:before="50" w:line="252" w:lineRule="auto"/>
            </w:pPr>
            <w:r>
              <w:rPr>
                <w:sz w:val="17"/>
              </w:rPr>
              <w:t>Month 12</w:t>
            </w:r>
          </w:p>
        </w:tc>
      </w:tr>
      <w:tr>
        <w:tc>
          <w:tcPr>
            <w:tcW w:type="dxa" w:w="852"/>
          </w:tcPr>
          <w:p>
            <w:pPr>
              <w:spacing w:after="50" w:before="50" w:line="252" w:lineRule="auto"/>
            </w:pPr>
            <w:r>
              <w:rPr>
                <w:sz w:val="17"/>
              </w:rPr>
              <w:t>3</w:t>
            </w:r>
          </w:p>
        </w:tc>
        <w:tc>
          <w:tcPr>
            <w:tcW w:type="dxa" w:w="7243"/>
          </w:tcPr>
          <w:p>
            <w:pPr>
              <w:spacing w:after="50" w:before="50" w:line="252" w:lineRule="auto"/>
            </w:pPr>
            <w:r>
              <w:rPr>
                <w:sz w:val="17"/>
              </w:rPr>
              <w:t>Eight coaching engagements contracted</w:t>
            </w:r>
          </w:p>
        </w:tc>
        <w:tc>
          <w:tcPr>
            <w:tcW w:type="dxa" w:w="1372"/>
          </w:tcPr>
          <w:p>
            <w:pPr>
              <w:spacing w:after="50" w:before="50" w:line="252" w:lineRule="auto"/>
            </w:pPr>
            <w:r>
              <w:rPr>
                <w:sz w:val="17"/>
              </w:rPr>
              <w:t>Month 5</w:t>
            </w:r>
          </w:p>
        </w:tc>
      </w:tr>
      <w:tr>
        <w:tc>
          <w:tcPr>
            <w:tcW w:type="dxa" w:w="852"/>
            <w:shd w:val="clear" w:color="auto" w:fill="EAF1F4"/>
          </w:tcPr>
          <w:p>
            <w:pPr>
              <w:spacing w:after="50" w:before="50" w:line="252" w:lineRule="auto"/>
            </w:pPr>
            <w:r>
              <w:rPr>
                <w:sz w:val="17"/>
              </w:rPr>
              <w:t>4</w:t>
            </w:r>
          </w:p>
        </w:tc>
        <w:tc>
          <w:tcPr>
            <w:tcW w:type="dxa" w:w="7243"/>
            <w:shd w:val="clear" w:color="auto" w:fill="EAF1F4"/>
          </w:tcPr>
          <w:p>
            <w:pPr>
              <w:spacing w:after="50" w:before="50" w:line="252" w:lineRule="auto"/>
            </w:pPr>
            <w:r>
              <w:rPr>
                <w:sz w:val="17"/>
              </w:rPr>
              <w:t>Six FDPs delivered</w:t>
            </w:r>
          </w:p>
        </w:tc>
        <w:tc>
          <w:tcPr>
            <w:tcW w:type="dxa" w:w="1372"/>
            <w:shd w:val="clear" w:color="auto" w:fill="EAF1F4"/>
          </w:tcPr>
          <w:p>
            <w:pPr>
              <w:spacing w:after="50" w:before="50" w:line="252" w:lineRule="auto"/>
            </w:pPr>
            <w:r>
              <w:rPr>
                <w:sz w:val="17"/>
              </w:rPr>
              <w:t>Month 12</w:t>
            </w:r>
          </w:p>
        </w:tc>
      </w:tr>
      <w:tr>
        <w:tc>
          <w:tcPr>
            <w:tcW w:type="dxa" w:w="852"/>
          </w:tcPr>
          <w:p>
            <w:pPr>
              <w:spacing w:after="50" w:before="50" w:line="252" w:lineRule="auto"/>
            </w:pPr>
            <w:r>
              <w:rPr>
                <w:sz w:val="17"/>
              </w:rPr>
              <w:t>5</w:t>
            </w:r>
          </w:p>
        </w:tc>
        <w:tc>
          <w:tcPr>
            <w:tcW w:type="dxa" w:w="7243"/>
          </w:tcPr>
          <w:p>
            <w:pPr>
              <w:spacing w:after="50" w:before="50" w:line="252" w:lineRule="auto"/>
            </w:pPr>
            <w:r>
              <w:rPr>
                <w:sz w:val="17"/>
              </w:rPr>
              <w:t>Competition sponsorships for year 2 secured</w:t>
            </w:r>
          </w:p>
        </w:tc>
        <w:tc>
          <w:tcPr>
            <w:tcW w:type="dxa" w:w="1372"/>
          </w:tcPr>
          <w:p>
            <w:pPr>
              <w:spacing w:after="50" w:before="50" w:line="252" w:lineRule="auto"/>
            </w:pPr>
            <w:r>
              <w:rPr>
                <w:sz w:val="17"/>
              </w:rPr>
              <w:t>Month 12</w:t>
            </w:r>
          </w:p>
        </w:tc>
      </w:tr>
      <w:tr>
        <w:tc>
          <w:tcPr>
            <w:tcW w:type="dxa" w:w="852"/>
            <w:shd w:val="clear" w:color="auto" w:fill="EAF1F4"/>
          </w:tcPr>
          <w:p>
            <w:pPr>
              <w:spacing w:after="50" w:before="50" w:line="252" w:lineRule="auto"/>
            </w:pPr>
            <w:r>
              <w:rPr>
                <w:sz w:val="17"/>
              </w:rPr>
              <w:t>6</w:t>
            </w:r>
          </w:p>
        </w:tc>
        <w:tc>
          <w:tcPr>
            <w:tcW w:type="dxa" w:w="7243"/>
            <w:shd w:val="clear" w:color="auto" w:fill="EAF1F4"/>
          </w:tcPr>
          <w:p>
            <w:pPr>
              <w:spacing w:after="50" w:before="50" w:line="252" w:lineRule="auto"/>
            </w:pPr>
            <w:r>
              <w:rPr>
                <w:sz w:val="17"/>
              </w:rPr>
              <w:t>Year 1 result within ₹2 lakh of plan</w:t>
            </w:r>
          </w:p>
        </w:tc>
        <w:tc>
          <w:tcPr>
            <w:tcW w:type="dxa" w:w="1372"/>
            <w:shd w:val="clear" w:color="auto" w:fill="EAF1F4"/>
          </w:tcPr>
          <w:p>
            <w:pPr>
              <w:spacing w:after="50" w:before="50" w:line="252" w:lineRule="auto"/>
            </w:pPr>
            <w:r>
              <w:rPr>
                <w:sz w:val="17"/>
              </w:rPr>
              <w:t>Month 12</w:t>
            </w:r>
          </w:p>
        </w:tc>
      </w:tr>
    </w:tbl>
    <w:p>
      <w:pPr>
        <w:spacing w:after="80" w:before="0"/>
      </w:pPr>
    </w:p>
    <w:p>
      <w:r>
        <w:rPr>
          <w:b/>
        </w:rPr>
        <w:t>Capability</w:t>
      </w:r>
    </w:p>
    <w:p>
      <w:r>
        <w:t>Essential — 10+ years in legal services, professional education or institutional business development; demonstrable record of selling to institutions; credibility with academics and senior practitioners; commercial numeracy; sound judgement on risk and conflicts.</w:t>
      </w:r>
    </w:p>
    <w:p>
      <w:r>
        <w:t>Desirable — mediation or arbitration practice; existing relationships in Indian higher education; published work.</w:t>
      </w:r>
    </w:p>
    <w:p>
      <w:r>
        <w:rPr>
          <w:b/>
        </w:rPr>
        <w:t>Indicative package</w:t>
      </w:r>
      <w:r>
        <w:t xml:space="preserve"> ₹24,00,000 to ₹32,00,000 full-time, with a performance element tied to contribution and to renewal rate. </w:t>
      </w:r>
      <w:r>
        <w:rPr>
          <w:b/>
        </w:rPr>
        <w:t>[verify — benchmark against market.]</w:t>
      </w:r>
    </w:p>
    <w:p>
      <w:pPr>
        <w:spacing w:before="80" w:after="160"/>
        <w:pBdr>
          <w:bottom w:val="single" w:sz="6" w:space="1" w:color="C9D6DE"/>
        </w:pBdr>
      </w:pPr>
    </w:p>
    <w:p>
      <w:pPr>
        <w:pStyle w:val="Heading2"/>
      </w:pPr>
      <w:r>
        <w:t>R2 · Manager — Business Development &amp; Programmes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09"/>
            <w:shd w:val="clear" w:color="auto" w:fill="10375C"/>
          </w:tcPr>
          <w:p>
            <w:pPr>
              <w:spacing w:after="50" w:before="50"/>
            </w:pPr>
            <w:r>
              <w:rPr>
                <w:b/>
                <w:color w:val="FFFFFF"/>
                <w:sz w:val="17"/>
              </w:rPr>
              <w:t>Field</w:t>
            </w:r>
          </w:p>
        </w:tc>
        <w:tc>
          <w:tcPr>
            <w:tcW w:type="dxa" w:w="7559"/>
            <w:shd w:val="clear" w:color="auto" w:fill="10375C"/>
          </w:tcPr>
          <w:p>
            <w:pPr>
              <w:spacing w:after="50" w:before="50"/>
            </w:pPr>
            <w:r>
              <w:rPr>
                <w:b/>
                <w:color w:val="FFFFFF"/>
                <w:sz w:val="17"/>
              </w:rPr>
              <w:t>Detail</w:t>
            </w:r>
          </w:p>
        </w:tc>
      </w:tr>
      <w:tr>
        <w:tc>
          <w:tcPr>
            <w:tcW w:type="dxa" w:w="1909"/>
          </w:tcPr>
          <w:p>
            <w:pPr>
              <w:spacing w:after="50" w:before="50" w:line="252" w:lineRule="auto"/>
            </w:pPr>
            <w:r>
              <w:rPr>
                <w:b/>
                <w:sz w:val="17"/>
              </w:rPr>
              <w:t>Reports to</w:t>
            </w:r>
          </w:p>
        </w:tc>
        <w:tc>
          <w:tcPr>
            <w:tcW w:type="dxa" w:w="7559"/>
          </w:tcPr>
          <w:p>
            <w:pPr>
              <w:spacing w:after="50" w:before="50" w:line="252" w:lineRule="auto"/>
            </w:pPr>
            <w:r>
              <w:rPr>
                <w:sz w:val="17"/>
              </w:rPr>
              <w:t>Programme Director</w:t>
            </w:r>
          </w:p>
        </w:tc>
      </w:tr>
      <w:tr>
        <w:tc>
          <w:tcPr>
            <w:tcW w:type="dxa" w:w="1909"/>
            <w:shd w:val="clear" w:color="auto" w:fill="EAF1F4"/>
          </w:tcPr>
          <w:p>
            <w:pPr>
              <w:spacing w:after="50" w:before="50" w:line="252" w:lineRule="auto"/>
            </w:pPr>
            <w:r>
              <w:rPr>
                <w:b/>
                <w:sz w:val="17"/>
              </w:rPr>
              <w:t>Purpose</w:t>
            </w:r>
          </w:p>
        </w:tc>
        <w:tc>
          <w:tcPr>
            <w:tcW w:type="dxa" w:w="7559"/>
            <w:shd w:val="clear" w:color="auto" w:fill="EAF1F4"/>
          </w:tcPr>
          <w:p>
            <w:pPr>
              <w:spacing w:after="50" w:before="50" w:line="252" w:lineRule="auto"/>
            </w:pPr>
            <w:r>
              <w:rPr>
                <w:sz w:val="17"/>
              </w:rPr>
              <w:t>Convert the scored pipeline into signed, active partnerships and delivered programmes</w:t>
            </w:r>
          </w:p>
        </w:tc>
      </w:tr>
      <w:tr>
        <w:tc>
          <w:tcPr>
            <w:tcW w:type="dxa" w:w="1909"/>
          </w:tcPr>
          <w:p>
            <w:pPr>
              <w:spacing w:after="50" w:before="50" w:line="252" w:lineRule="auto"/>
            </w:pPr>
            <w:r>
              <w:rPr>
                <w:b/>
                <w:sz w:val="17"/>
              </w:rPr>
              <w:t>Trigger</w:t>
            </w:r>
          </w:p>
        </w:tc>
        <w:tc>
          <w:tcPr>
            <w:tcW w:type="dxa" w:w="7559"/>
          </w:tcPr>
          <w:p>
            <w:pPr>
              <w:spacing w:after="50" w:before="50" w:line="252" w:lineRule="auto"/>
            </w:pPr>
            <w:r>
              <w:rPr>
                <w:sz w:val="17"/>
              </w:rPr>
              <w:t xml:space="preserve">Month 1. </w:t>
            </w:r>
            <w:r>
              <w:rPr>
                <w:b/>
                <w:sz w:val="17"/>
              </w:rPr>
              <w:t>The first hire.</w:t>
            </w:r>
          </w:p>
        </w:tc>
      </w:tr>
    </w:tbl>
    <w:p>
      <w:pPr>
        <w:spacing w:after="80" w:before="0"/>
      </w:pPr>
    </w:p>
    <w:p>
      <w:r>
        <w:rPr>
          <w:b/>
        </w:rPr>
        <w:t>Accountabilities</w:t>
      </w:r>
    </w:p>
    <w:p>
      <w:pPr>
        <w:pStyle w:val="ListBullet"/>
      </w:pPr>
      <w:r>
        <w:rPr>
          <w:sz w:val="21"/>
        </w:rPr>
        <w:t>Own the pipeline end to end; maintain CRM discipline; enforce stage caps.</w:t>
      </w:r>
    </w:p>
    <w:p>
      <w:pPr>
        <w:pStyle w:val="ListBullet"/>
      </w:pPr>
      <w:r>
        <w:rPr>
          <w:sz w:val="21"/>
        </w:rPr>
        <w:t>Score institutions; run discovery; write proposals; negotiate to signature within the standard form.</w:t>
      </w:r>
    </w:p>
    <w:p>
      <w:pPr>
        <w:pStyle w:val="ListBullet"/>
      </w:pPr>
      <w:r>
        <w:rPr>
          <w:sz w:val="21"/>
        </w:rPr>
        <w:t>Coordinate delivery logistics until a dedicated Operations manager exists.</w:t>
      </w:r>
    </w:p>
    <w:p>
      <w:pPr>
        <w:pStyle w:val="ListBullet"/>
      </w:pPr>
      <w:r>
        <w:rPr>
          <w:sz w:val="21"/>
        </w:rPr>
        <w:t>Maintain the deviation register and the quotation record.</w:t>
      </w:r>
    </w:p>
    <w:p>
      <w:pPr>
        <w:pStyle w:val="ListBullet"/>
      </w:pPr>
      <w:r>
        <w:rPr>
          <w:sz w:val="21"/>
        </w:rPr>
        <w:t>Run the outreach sequences; never quote off the rate card without authority.</w:t>
      </w:r>
    </w:p>
    <w:p>
      <w:r>
        <w:rPr>
          <w:b/>
        </w:rPr>
        <w:t>First-year deliverables</w:t>
      </w:r>
      <w:r>
        <w:t xml:space="preserve"> — 40 institutions approached; 20 discovery meetings; 12 partnerships activated; zero commitments outside the Delegation of Authority.</w:t>
      </w:r>
    </w:p>
    <w:p>
      <w:r>
        <w:rPr>
          <w:b/>
        </w:rPr>
        <w:t>Capability</w:t>
      </w:r>
      <w:r>
        <w:t xml:space="preserve"> — Essential: 4+ years in B2B or institutional sales, preferably education, professional services or legal; excellent written English; CRM discipline; comfortable with senior academics and administrators; willing to travel 40%. Desirable: law or management background; existing higher education network.</w:t>
      </w:r>
    </w:p>
    <w:p>
      <w:r>
        <w:rPr>
          <w:b/>
        </w:rPr>
        <w:t>Indicative package</w:t>
      </w:r>
      <w:r>
        <w:t xml:space="preserve"> ₹10,00,000 to ₹14,00,000 plus an incentive on signed and activated partnerships.</w:t>
      </w:r>
    </w:p>
    <w:p>
      <w:pPr>
        <w:spacing w:before="80" w:after="160"/>
        <w:pBdr>
          <w:bottom w:val="single" w:sz="6" w:space="1" w:color="C9D6DE"/>
        </w:pBdr>
      </w:pPr>
    </w:p>
    <w:p>
      <w:pPr>
        <w:pStyle w:val="Heading2"/>
      </w:pPr>
      <w:r>
        <w:t>R3 · Head of Curriculum &amp; Certification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09"/>
            <w:shd w:val="clear" w:color="auto" w:fill="10375C"/>
          </w:tcPr>
          <w:p>
            <w:pPr>
              <w:spacing w:after="50" w:before="50"/>
            </w:pPr>
            <w:r>
              <w:rPr>
                <w:b/>
                <w:color w:val="FFFFFF"/>
                <w:sz w:val="17"/>
              </w:rPr>
              <w:t>Field</w:t>
            </w:r>
          </w:p>
        </w:tc>
        <w:tc>
          <w:tcPr>
            <w:tcW w:type="dxa" w:w="7559"/>
            <w:shd w:val="clear" w:color="auto" w:fill="10375C"/>
          </w:tcPr>
          <w:p>
            <w:pPr>
              <w:spacing w:after="50" w:before="50"/>
            </w:pPr>
            <w:r>
              <w:rPr>
                <w:b/>
                <w:color w:val="FFFFFF"/>
                <w:sz w:val="17"/>
              </w:rPr>
              <w:t>Detail</w:t>
            </w:r>
          </w:p>
        </w:tc>
      </w:tr>
      <w:tr>
        <w:tc>
          <w:tcPr>
            <w:tcW w:type="dxa" w:w="1909"/>
          </w:tcPr>
          <w:p>
            <w:pPr>
              <w:spacing w:after="50" w:before="50" w:line="252" w:lineRule="auto"/>
            </w:pPr>
            <w:r>
              <w:rPr>
                <w:b/>
                <w:sz w:val="17"/>
              </w:rPr>
              <w:t>Reports to</w:t>
            </w:r>
          </w:p>
        </w:tc>
        <w:tc>
          <w:tcPr>
            <w:tcW w:type="dxa" w:w="7559"/>
          </w:tcPr>
          <w:p>
            <w:pPr>
              <w:spacing w:after="50" w:before="50" w:line="252" w:lineRule="auto"/>
            </w:pPr>
            <w:r>
              <w:rPr>
                <w:sz w:val="17"/>
              </w:rPr>
              <w:t>Programme Director</w:t>
            </w:r>
          </w:p>
        </w:tc>
      </w:tr>
      <w:tr>
        <w:tc>
          <w:tcPr>
            <w:tcW w:type="dxa" w:w="1909"/>
            <w:shd w:val="clear" w:color="auto" w:fill="EAF1F4"/>
          </w:tcPr>
          <w:p>
            <w:pPr>
              <w:spacing w:after="50" w:before="50" w:line="252" w:lineRule="auto"/>
            </w:pPr>
            <w:r>
              <w:rPr>
                <w:b/>
                <w:sz w:val="17"/>
              </w:rPr>
              <w:t>Purpose</w:t>
            </w:r>
          </w:p>
        </w:tc>
        <w:tc>
          <w:tcPr>
            <w:tcW w:type="dxa" w:w="7559"/>
            <w:shd w:val="clear" w:color="auto" w:fill="EAF1F4"/>
          </w:tcPr>
          <w:p>
            <w:pPr>
              <w:spacing w:after="50" w:before="50" w:line="252" w:lineRule="auto"/>
            </w:pPr>
            <w:r>
              <w:rPr>
                <w:sz w:val="17"/>
              </w:rPr>
              <w:t>Own what is taught, who teaches it, and the integrity of every certificate issued</w:t>
            </w:r>
          </w:p>
        </w:tc>
      </w:tr>
      <w:tr>
        <w:tc>
          <w:tcPr>
            <w:tcW w:type="dxa" w:w="1909"/>
          </w:tcPr>
          <w:p>
            <w:pPr>
              <w:spacing w:after="50" w:before="50" w:line="252" w:lineRule="auto"/>
            </w:pPr>
            <w:r>
              <w:rPr>
                <w:b/>
                <w:sz w:val="17"/>
              </w:rPr>
              <w:t>Trigger</w:t>
            </w:r>
          </w:p>
        </w:tc>
        <w:tc>
          <w:tcPr>
            <w:tcW w:type="dxa" w:w="7559"/>
          </w:tcPr>
          <w:p>
            <w:pPr>
              <w:spacing w:after="50" w:before="50" w:line="252" w:lineRule="auto"/>
            </w:pPr>
            <w:r>
              <w:rPr>
                <w:sz w:val="17"/>
              </w:rPr>
              <w:t>0.3 retained from month 1; full-time at 15 programmes a year or 12 bench trainers</w:t>
            </w:r>
          </w:p>
        </w:tc>
      </w:tr>
    </w:tbl>
    <w:p>
      <w:pPr>
        <w:spacing w:after="80" w:before="0"/>
      </w:pPr>
    </w:p>
    <w:p>
      <w:r>
        <w:rPr>
          <w:b/>
        </w:rPr>
        <w:t>Accountabilities</w:t>
      </w:r>
    </w:p>
    <w:p>
      <w:pPr>
        <w:pStyle w:val="ListBullet"/>
      </w:pPr>
      <w:r>
        <w:rPr>
          <w:sz w:val="21"/>
        </w:rPr>
        <w:t>Own the curriculum, session plans, simulation bank, assessment instruments and workbook.</w:t>
      </w:r>
    </w:p>
    <w:p>
      <w:pPr>
        <w:pStyle w:val="ListBullet"/>
      </w:pPr>
      <w:r>
        <w:rPr>
          <w:b/>
          <w:sz w:val="21"/>
        </w:rPr>
        <w:t>Build and maintain the trainer bench per 07.11</w:t>
      </w:r>
      <w:r>
        <w:rPr>
          <w:sz w:val="21"/>
        </w:rPr>
        <w:t xml:space="preserve"> — recruit, certify, observe, calibrate.</w:t>
      </w:r>
    </w:p>
    <w:p>
      <w:pPr>
        <w:pStyle w:val="ListBullet"/>
      </w:pPr>
      <w:r>
        <w:rPr>
          <w:sz w:val="21"/>
        </w:rPr>
        <w:t>Chair assessment moderation; sign off every mark release; issue certificates; maintain the register.</w:t>
      </w:r>
    </w:p>
    <w:p>
      <w:pPr>
        <w:pStyle w:val="ListBullet"/>
      </w:pPr>
      <w:r>
        <w:rPr>
          <w:sz w:val="21"/>
        </w:rPr>
        <w:t>Rule on assessment appeals at first stage; refer to the Committee.</w:t>
      </w:r>
    </w:p>
    <w:p>
      <w:pPr>
        <w:pStyle w:val="ListBullet"/>
      </w:pPr>
      <w:r>
        <w:rPr>
          <w:sz w:val="21"/>
        </w:rPr>
        <w:t>Keep the curriculum mapped to the prevailing benchmark and re-map on any change of law.</w:t>
      </w:r>
    </w:p>
    <w:p>
      <w:pPr>
        <w:pStyle w:val="ListBullet"/>
      </w:pPr>
      <w:r>
        <w:rPr>
          <w:b/>
          <w:sz w:val="21"/>
        </w:rPr>
        <w:t>Guard the representation discipline</w:t>
      </w:r>
      <w:r>
        <w:rPr>
          <w:sz w:val="21"/>
        </w:rPr>
        <w:t xml:space="preserve"> — no claim of recognition or accreditation, anywhere, by anyone.</w:t>
      </w:r>
    </w:p>
    <w:p>
      <w:r>
        <w:rPr>
          <w:b/>
        </w:rPr>
        <w:t>First-year deliverables</w:t>
      </w:r>
      <w:r>
        <w:t xml:space="preserve"> — simulation packs and workbook complete by month 2; T-TTT designed by month 2; 8 trainers certified by month 6; zero assessment integrity incidents; first cohort report within 21 days.</w:t>
      </w:r>
    </w:p>
    <w:p>
      <w:r>
        <w:rPr>
          <w:b/>
        </w:rPr>
        <w:t>Capability</w:t>
      </w:r>
      <w:r>
        <w:t xml:space="preserve"> — Essential: qualified mediator with 40+20 hours and substantial practice; demonstrable teaching or training design experience; assessment design; obsessive about records. Desirable: academic appointment; published; court-annexed centre experience.</w:t>
      </w:r>
    </w:p>
    <w:p>
      <w:r>
        <w:rPr>
          <w:b/>
        </w:rPr>
        <w:t>Indicative package</w:t>
      </w:r>
      <w:r>
        <w:t xml:space="preserve"> ₹18,00,000 to ₹24,00,000 full-time; ₹6,00,000 to ₹8,00,000 as a retained 0.3.</w:t>
      </w:r>
    </w:p>
    <w:p>
      <w:pPr>
        <w:spacing w:before="80" w:after="160"/>
        <w:pBdr>
          <w:bottom w:val="single" w:sz="6" w:space="1" w:color="C9D6DE"/>
        </w:pBdr>
      </w:pPr>
    </w:p>
    <w:p>
      <w:pPr>
        <w:pStyle w:val="Heading2"/>
      </w:pPr>
      <w:r>
        <w:t>R4 · Manager — Programme Operations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09"/>
            <w:shd w:val="clear" w:color="auto" w:fill="10375C"/>
          </w:tcPr>
          <w:p>
            <w:pPr>
              <w:spacing w:after="50" w:before="50"/>
            </w:pPr>
            <w:r>
              <w:rPr>
                <w:b/>
                <w:color w:val="FFFFFF"/>
                <w:sz w:val="17"/>
              </w:rPr>
              <w:t>Field</w:t>
            </w:r>
          </w:p>
        </w:tc>
        <w:tc>
          <w:tcPr>
            <w:tcW w:type="dxa" w:w="7559"/>
            <w:shd w:val="clear" w:color="auto" w:fill="10375C"/>
          </w:tcPr>
          <w:p>
            <w:pPr>
              <w:spacing w:after="50" w:before="50"/>
            </w:pPr>
            <w:r>
              <w:rPr>
                <w:b/>
                <w:color w:val="FFFFFF"/>
                <w:sz w:val="17"/>
              </w:rPr>
              <w:t>Detail</w:t>
            </w:r>
          </w:p>
        </w:tc>
      </w:tr>
      <w:tr>
        <w:tc>
          <w:tcPr>
            <w:tcW w:type="dxa" w:w="1909"/>
          </w:tcPr>
          <w:p>
            <w:pPr>
              <w:spacing w:after="50" w:before="50" w:line="252" w:lineRule="auto"/>
            </w:pPr>
            <w:r>
              <w:rPr>
                <w:b/>
                <w:sz w:val="17"/>
              </w:rPr>
              <w:t>Reports to</w:t>
            </w:r>
          </w:p>
        </w:tc>
        <w:tc>
          <w:tcPr>
            <w:tcW w:type="dxa" w:w="7559"/>
          </w:tcPr>
          <w:p>
            <w:pPr>
              <w:spacing w:after="50" w:before="50" w:line="252" w:lineRule="auto"/>
            </w:pPr>
            <w:r>
              <w:rPr>
                <w:sz w:val="17"/>
              </w:rPr>
              <w:t>Programme Director</w:t>
            </w:r>
          </w:p>
        </w:tc>
      </w:tr>
      <w:tr>
        <w:tc>
          <w:tcPr>
            <w:tcW w:type="dxa" w:w="1909"/>
            <w:shd w:val="clear" w:color="auto" w:fill="EAF1F4"/>
          </w:tcPr>
          <w:p>
            <w:pPr>
              <w:spacing w:after="50" w:before="50" w:line="252" w:lineRule="auto"/>
            </w:pPr>
            <w:r>
              <w:rPr>
                <w:b/>
                <w:sz w:val="17"/>
              </w:rPr>
              <w:t>Purpose</w:t>
            </w:r>
          </w:p>
        </w:tc>
        <w:tc>
          <w:tcPr>
            <w:tcW w:type="dxa" w:w="7559"/>
            <w:shd w:val="clear" w:color="auto" w:fill="EAF1F4"/>
          </w:tcPr>
          <w:p>
            <w:pPr>
              <w:spacing w:after="50" w:before="50" w:line="252" w:lineRule="auto"/>
            </w:pPr>
            <w:r>
              <w:rPr>
                <w:sz w:val="17"/>
              </w:rPr>
              <w:t>Make every programme and event happen on the agreed date, to the agreed standard, with the records to prove it</w:t>
            </w:r>
          </w:p>
        </w:tc>
      </w:tr>
      <w:tr>
        <w:tc>
          <w:tcPr>
            <w:tcW w:type="dxa" w:w="1909"/>
          </w:tcPr>
          <w:p>
            <w:pPr>
              <w:spacing w:after="50" w:before="50" w:line="252" w:lineRule="auto"/>
            </w:pPr>
            <w:r>
              <w:rPr>
                <w:b/>
                <w:sz w:val="17"/>
              </w:rPr>
              <w:t>Trigger</w:t>
            </w:r>
          </w:p>
        </w:tc>
        <w:tc>
          <w:tcPr>
            <w:tcW w:type="dxa" w:w="7559"/>
          </w:tcPr>
          <w:p>
            <w:pPr>
              <w:spacing w:after="50" w:before="50" w:line="252" w:lineRule="auto"/>
            </w:pPr>
            <w:r>
              <w:rPr>
                <w:sz w:val="17"/>
              </w:rPr>
              <w:t>20+ delivery events a year</w:t>
            </w:r>
          </w:p>
        </w:tc>
      </w:tr>
    </w:tbl>
    <w:p>
      <w:pPr>
        <w:spacing w:after="80" w:before="0"/>
      </w:pPr>
    </w:p>
    <w:p>
      <w:r>
        <w:rPr>
          <w:b/>
        </w:rPr>
        <w:t>Accountabilities</w:t>
      </w:r>
      <w:r>
        <w:t xml:space="preserve"> — Delivery calendar and trainer allocation; venue standards and the go/no-go decision at day −7; event planning to gate discipline; vendor management; attendance, feedback and reporting within 21 days; incident logging.</w:t>
      </w:r>
    </w:p>
    <w:p>
      <w:r>
        <w:rPr>
          <w:b/>
        </w:rPr>
        <w:t>Deliverables</w:t>
      </w:r>
      <w:r>
        <w:t xml:space="preserve"> — 95%+ of programmes delivered on the agreed date; 100% of reports issued within 21 days; zero programmes delivered in a room failing the standard.</w:t>
      </w:r>
    </w:p>
    <w:p>
      <w:r>
        <w:rPr>
          <w:b/>
        </w:rPr>
        <w:t>Capability</w:t>
      </w:r>
      <w:r>
        <w:t xml:space="preserve"> — 4+ years in events, training operations or programme management; unflappable; checklist-driven; willing to travel.</w:t>
      </w:r>
    </w:p>
    <w:p>
      <w:r>
        <w:rPr>
          <w:b/>
        </w:rPr>
        <w:t>Indicative package</w:t>
      </w:r>
      <w:r>
        <w:t xml:space="preserve"> ₹9,00,000 to ₹13,00,000.</w:t>
      </w:r>
    </w:p>
    <w:p>
      <w:pPr>
        <w:spacing w:before="80" w:after="160"/>
        <w:pBdr>
          <w:bottom w:val="single" w:sz="6" w:space="1" w:color="C9D6DE"/>
        </w:pBdr>
      </w:pPr>
    </w:p>
    <w:p>
      <w:pPr>
        <w:pStyle w:val="Heading2"/>
      </w:pPr>
      <w:r>
        <w:t>R5 · Coordinator — Internships &amp; Clinics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09"/>
            <w:shd w:val="clear" w:color="auto" w:fill="10375C"/>
          </w:tcPr>
          <w:p>
            <w:pPr>
              <w:spacing w:after="50" w:before="50"/>
            </w:pPr>
            <w:r>
              <w:rPr>
                <w:b/>
                <w:color w:val="FFFFFF"/>
                <w:sz w:val="17"/>
              </w:rPr>
              <w:t>Field</w:t>
            </w:r>
          </w:p>
        </w:tc>
        <w:tc>
          <w:tcPr>
            <w:tcW w:type="dxa" w:w="7559"/>
            <w:shd w:val="clear" w:color="auto" w:fill="10375C"/>
          </w:tcPr>
          <w:p>
            <w:pPr>
              <w:spacing w:after="50" w:before="50"/>
            </w:pPr>
            <w:r>
              <w:rPr>
                <w:b/>
                <w:color w:val="FFFFFF"/>
                <w:sz w:val="17"/>
              </w:rPr>
              <w:t>Detail</w:t>
            </w:r>
          </w:p>
        </w:tc>
      </w:tr>
      <w:tr>
        <w:tc>
          <w:tcPr>
            <w:tcW w:type="dxa" w:w="1909"/>
          </w:tcPr>
          <w:p>
            <w:pPr>
              <w:spacing w:after="50" w:before="50" w:line="252" w:lineRule="auto"/>
            </w:pPr>
            <w:r>
              <w:rPr>
                <w:b/>
                <w:sz w:val="17"/>
              </w:rPr>
              <w:t>Reports to</w:t>
            </w:r>
          </w:p>
        </w:tc>
        <w:tc>
          <w:tcPr>
            <w:tcW w:type="dxa" w:w="7559"/>
          </w:tcPr>
          <w:p>
            <w:pPr>
              <w:spacing w:after="50" w:before="50" w:line="252" w:lineRule="auto"/>
            </w:pPr>
            <w:r>
              <w:rPr>
                <w:sz w:val="17"/>
              </w:rPr>
              <w:t>Manager — Programme Operations</w:t>
            </w:r>
          </w:p>
        </w:tc>
      </w:tr>
      <w:tr>
        <w:tc>
          <w:tcPr>
            <w:tcW w:type="dxa" w:w="1909"/>
            <w:shd w:val="clear" w:color="auto" w:fill="EAF1F4"/>
          </w:tcPr>
          <w:p>
            <w:pPr>
              <w:spacing w:after="50" w:before="50" w:line="252" w:lineRule="auto"/>
            </w:pPr>
            <w:r>
              <w:rPr>
                <w:b/>
                <w:sz w:val="17"/>
              </w:rPr>
              <w:t>Purpose</w:t>
            </w:r>
          </w:p>
        </w:tc>
        <w:tc>
          <w:tcPr>
            <w:tcW w:type="dxa" w:w="7559"/>
            <w:shd w:val="clear" w:color="auto" w:fill="EAF1F4"/>
          </w:tcPr>
          <w:p>
            <w:pPr>
              <w:spacing w:after="50" w:before="50" w:line="252" w:lineRule="auto"/>
            </w:pPr>
            <w:r>
              <w:rPr>
                <w:sz w:val="17"/>
              </w:rPr>
              <w:t>Run the internship ladder and the live-exposure protocol without a single confidentiality failure</w:t>
            </w:r>
          </w:p>
        </w:tc>
      </w:tr>
      <w:tr>
        <w:tc>
          <w:tcPr>
            <w:tcW w:type="dxa" w:w="1909"/>
          </w:tcPr>
          <w:p>
            <w:pPr>
              <w:spacing w:after="50" w:before="50" w:line="252" w:lineRule="auto"/>
            </w:pPr>
            <w:r>
              <w:rPr>
                <w:b/>
                <w:sz w:val="17"/>
              </w:rPr>
              <w:t>Trigger</w:t>
            </w:r>
          </w:p>
        </w:tc>
        <w:tc>
          <w:tcPr>
            <w:tcW w:type="dxa" w:w="7559"/>
          </w:tcPr>
          <w:p>
            <w:pPr>
              <w:spacing w:after="50" w:before="50" w:line="252" w:lineRule="auto"/>
            </w:pPr>
            <w:r>
              <w:rPr>
                <w:sz w:val="17"/>
              </w:rPr>
              <w:t>15+ interns a cycle</w:t>
            </w:r>
          </w:p>
        </w:tc>
      </w:tr>
    </w:tbl>
    <w:p>
      <w:pPr>
        <w:spacing w:after="80" w:before="0"/>
      </w:pPr>
    </w:p>
    <w:p>
      <w:r>
        <w:rPr>
          <w:b/>
        </w:rPr>
        <w:t>Accountabilities</w:t>
      </w:r>
      <w:r>
        <w:t xml:space="preserve"> — Intake, selection, induction, supervision rota, assessment, certification; </w:t>
      </w:r>
      <w:r>
        <w:rPr>
          <w:b/>
        </w:rPr>
        <w:t>deliver the 45-minute confidentiality induction personally</w:t>
      </w:r>
      <w:r>
        <w:t>; administer the live exposure protocol at 07.6; maintain practice logs; track conversion.</w:t>
      </w:r>
    </w:p>
    <w:p>
      <w:r>
        <w:rPr>
          <w:b/>
        </w:rPr>
        <w:t>Deliverables</w:t>
      </w:r>
      <w:r>
        <w:t xml:space="preserve"> — supervision ratios never breached; every intern's undertaking executed before exposure; zero confidentiality incidents; conversion rate reported quarterly.</w:t>
      </w:r>
    </w:p>
    <w:p>
      <w:r>
        <w:rPr>
          <w:b/>
        </w:rPr>
        <w:t>Capability</w:t>
      </w:r>
      <w:r>
        <w:t xml:space="preserve"> — 3+ years in programme or student administration; scrupulous; comfortable saying no to a senior person about a protocol.</w:t>
      </w:r>
    </w:p>
    <w:p>
      <w:r>
        <w:rPr>
          <w:b/>
        </w:rPr>
        <w:t>Indicative package</w:t>
      </w:r>
      <w:r>
        <w:t xml:space="preserve"> ₹6,00,000 to ₹9,00,000.</w:t>
      </w:r>
    </w:p>
    <w:p>
      <w:pPr>
        <w:spacing w:before="80" w:after="160"/>
        <w:pBdr>
          <w:bottom w:val="single" w:sz="6" w:space="1" w:color="C9D6DE"/>
        </w:pBdr>
      </w:pPr>
    </w:p>
    <w:p>
      <w:pPr>
        <w:pStyle w:val="Heading2"/>
      </w:pPr>
      <w:r>
        <w:t>R6 · Competition Convenor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284"/>
            <w:shd w:val="clear" w:color="auto" w:fill="10375C"/>
          </w:tcPr>
          <w:p>
            <w:pPr>
              <w:spacing w:after="50" w:before="50"/>
            </w:pPr>
            <w:r>
              <w:rPr>
                <w:b/>
                <w:color w:val="FFFFFF"/>
                <w:sz w:val="17"/>
              </w:rPr>
              <w:t>Field</w:t>
            </w:r>
          </w:p>
        </w:tc>
        <w:tc>
          <w:tcPr>
            <w:tcW w:type="dxa" w:w="7184"/>
            <w:shd w:val="clear" w:color="auto" w:fill="10375C"/>
          </w:tcPr>
          <w:p>
            <w:pPr>
              <w:spacing w:after="50" w:before="50"/>
            </w:pPr>
            <w:r>
              <w:rPr>
                <w:b/>
                <w:color w:val="FFFFFF"/>
                <w:sz w:val="17"/>
              </w:rPr>
              <w:t>Detail</w:t>
            </w:r>
          </w:p>
        </w:tc>
      </w:tr>
      <w:tr>
        <w:tc>
          <w:tcPr>
            <w:tcW w:type="dxa" w:w="2284"/>
          </w:tcPr>
          <w:p>
            <w:pPr>
              <w:spacing w:after="50" w:before="50" w:line="252" w:lineRule="auto"/>
            </w:pPr>
            <w:r>
              <w:rPr>
                <w:b/>
                <w:sz w:val="17"/>
              </w:rPr>
              <w:t>Reports to</w:t>
            </w:r>
          </w:p>
        </w:tc>
        <w:tc>
          <w:tcPr>
            <w:tcW w:type="dxa" w:w="7184"/>
          </w:tcPr>
          <w:p>
            <w:pPr>
              <w:spacing w:after="50" w:before="50" w:line="252" w:lineRule="auto"/>
            </w:pPr>
            <w:r>
              <w:rPr>
                <w:sz w:val="17"/>
              </w:rPr>
              <w:t>Head of Curriculum &amp; Certification</w:t>
            </w:r>
          </w:p>
        </w:tc>
      </w:tr>
      <w:tr>
        <w:tc>
          <w:tcPr>
            <w:tcW w:type="dxa" w:w="2284"/>
            <w:shd w:val="clear" w:color="auto" w:fill="EAF1F4"/>
          </w:tcPr>
          <w:p>
            <w:pPr>
              <w:spacing w:after="50" w:before="50" w:line="252" w:lineRule="auto"/>
            </w:pPr>
            <w:r>
              <w:rPr>
                <w:b/>
                <w:sz w:val="17"/>
              </w:rPr>
              <w:t>Purpose</w:t>
            </w:r>
          </w:p>
        </w:tc>
        <w:tc>
          <w:tcPr>
            <w:tcW w:type="dxa" w:w="7184"/>
            <w:shd w:val="clear" w:color="auto" w:fill="EAF1F4"/>
          </w:tcPr>
          <w:p>
            <w:pPr>
              <w:spacing w:after="50" w:before="50" w:line="252" w:lineRule="auto"/>
            </w:pPr>
            <w:r>
              <w:rPr>
                <w:sz w:val="17"/>
              </w:rPr>
              <w:t>Run competitions whose results are never in doubt</w:t>
            </w:r>
          </w:p>
        </w:tc>
      </w:tr>
      <w:tr>
        <w:tc>
          <w:tcPr>
            <w:tcW w:type="dxa" w:w="2284"/>
          </w:tcPr>
          <w:p>
            <w:pPr>
              <w:spacing w:after="50" w:before="50" w:line="252" w:lineRule="auto"/>
            </w:pPr>
            <w:r>
              <w:rPr>
                <w:b/>
                <w:sz w:val="17"/>
              </w:rPr>
              <w:t>Trigger</w:t>
            </w:r>
          </w:p>
        </w:tc>
        <w:tc>
          <w:tcPr>
            <w:tcW w:type="dxa" w:w="7184"/>
          </w:tcPr>
          <w:p>
            <w:pPr>
              <w:spacing w:after="50" w:before="50" w:line="252" w:lineRule="auto"/>
            </w:pPr>
            <w:r>
              <w:rPr>
                <w:sz w:val="17"/>
              </w:rPr>
              <w:t>Own competition launched — year 2</w:t>
            </w:r>
          </w:p>
        </w:tc>
      </w:tr>
    </w:tbl>
    <w:p>
      <w:pPr>
        <w:spacing w:after="80" w:before="0"/>
      </w:pPr>
    </w:p>
    <w:p>
      <w:r>
        <w:rPr>
          <w:b/>
        </w:rPr>
        <w:t>Accountabilities</w:t>
      </w:r>
      <w:r>
        <w:t xml:space="preserve"> — Commission and approve problems; own the rules; recruit, brief and calibrate judges; run the integrity architecture; chair the Competition Committee; deliver each edition to budget.</w:t>
      </w:r>
    </w:p>
    <w:p>
      <w:r>
        <w:rPr>
          <w:b/>
        </w:rPr>
        <w:t>Reserved separations</w:t>
      </w:r>
      <w:r>
        <w:t xml:space="preserve"> — may not have authored the problem; may not judge; may not coach any team in that edition.</w:t>
      </w:r>
    </w:p>
    <w:p>
      <w:r>
        <w:rPr>
          <w:b/>
        </w:rPr>
        <w:t>Deliverables</w:t>
      </w:r>
      <w:r>
        <w:t xml:space="preserve"> — problem approved 8 weeks before release; every judge calibrated; zero materials leaks; every integrity challenge determined before the next round; edition delivered within the budget ceiling.</w:t>
      </w:r>
    </w:p>
    <w:p>
      <w:r>
        <w:rPr>
          <w:b/>
        </w:rPr>
        <w:t>Capability</w:t>
      </w:r>
      <w:r>
        <w:t xml:space="preserve"> — Practising mediator or arbitrator; competition experience as judge, coach or organiser; meticulous; able to make an unpopular ruling and explain it.</w:t>
      </w:r>
    </w:p>
    <w:p>
      <w:r>
        <w:rPr>
          <w:b/>
        </w:rPr>
        <w:t>Indicative package</w:t>
      </w:r>
      <w:r>
        <w:t xml:space="preserve"> ₹5,00,000 to ₹8,00,000 at 0.5 FTE, or a per-edition fee.</w:t>
      </w:r>
    </w:p>
    <w:p>
      <w:pPr>
        <w:spacing w:before="80" w:after="160"/>
        <w:pBdr>
          <w:bottom w:val="single" w:sz="6" w:space="1" w:color="C9D6DE"/>
        </w:pBdr>
      </w:pPr>
    </w:p>
    <w:p>
      <w:pPr>
        <w:pStyle w:val="Heading2"/>
      </w:pPr>
      <w:r>
        <w:t>R7 · Research Lead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909"/>
            <w:shd w:val="clear" w:color="auto" w:fill="10375C"/>
          </w:tcPr>
          <w:p>
            <w:pPr>
              <w:spacing w:after="50" w:before="50"/>
            </w:pPr>
            <w:r>
              <w:rPr>
                <w:b/>
                <w:color w:val="FFFFFF"/>
                <w:sz w:val="17"/>
              </w:rPr>
              <w:t>Field</w:t>
            </w:r>
          </w:p>
        </w:tc>
        <w:tc>
          <w:tcPr>
            <w:tcW w:type="dxa" w:w="7559"/>
            <w:shd w:val="clear" w:color="auto" w:fill="10375C"/>
          </w:tcPr>
          <w:p>
            <w:pPr>
              <w:spacing w:after="50" w:before="50"/>
            </w:pPr>
            <w:r>
              <w:rPr>
                <w:b/>
                <w:color w:val="FFFFFF"/>
                <w:sz w:val="17"/>
              </w:rPr>
              <w:t>Detail</w:t>
            </w:r>
          </w:p>
        </w:tc>
      </w:tr>
      <w:tr>
        <w:tc>
          <w:tcPr>
            <w:tcW w:type="dxa" w:w="1909"/>
          </w:tcPr>
          <w:p>
            <w:pPr>
              <w:spacing w:after="50" w:before="50" w:line="252" w:lineRule="auto"/>
            </w:pPr>
            <w:r>
              <w:rPr>
                <w:b/>
                <w:sz w:val="17"/>
              </w:rPr>
              <w:t>Reports to</w:t>
            </w:r>
          </w:p>
        </w:tc>
        <w:tc>
          <w:tcPr>
            <w:tcW w:type="dxa" w:w="7559"/>
          </w:tcPr>
          <w:p>
            <w:pPr>
              <w:spacing w:after="50" w:before="50" w:line="252" w:lineRule="auto"/>
            </w:pPr>
            <w:r>
              <w:rPr>
                <w:sz w:val="17"/>
              </w:rPr>
              <w:t>Programme Director</w:t>
            </w:r>
          </w:p>
        </w:tc>
      </w:tr>
      <w:tr>
        <w:tc>
          <w:tcPr>
            <w:tcW w:type="dxa" w:w="1909"/>
            <w:shd w:val="clear" w:color="auto" w:fill="EAF1F4"/>
          </w:tcPr>
          <w:p>
            <w:pPr>
              <w:spacing w:after="50" w:before="50" w:line="252" w:lineRule="auto"/>
            </w:pPr>
            <w:r>
              <w:rPr>
                <w:b/>
                <w:sz w:val="17"/>
              </w:rPr>
              <w:t>Purpose</w:t>
            </w:r>
          </w:p>
        </w:tc>
        <w:tc>
          <w:tcPr>
            <w:tcW w:type="dxa" w:w="7559"/>
            <w:shd w:val="clear" w:color="auto" w:fill="EAF1F4"/>
          </w:tcPr>
          <w:p>
            <w:pPr>
              <w:spacing w:after="50" w:before="50" w:line="252" w:lineRule="auto"/>
            </w:pPr>
            <w:r>
              <w:rPr>
                <w:sz w:val="17"/>
              </w:rPr>
              <w:t>Turn Equator's caseload into published evidence, safely</w:t>
            </w:r>
          </w:p>
        </w:tc>
      </w:tr>
      <w:tr>
        <w:tc>
          <w:tcPr>
            <w:tcW w:type="dxa" w:w="1909"/>
          </w:tcPr>
          <w:p>
            <w:pPr>
              <w:spacing w:after="50" w:before="50" w:line="252" w:lineRule="auto"/>
            </w:pPr>
            <w:r>
              <w:rPr>
                <w:b/>
                <w:sz w:val="17"/>
              </w:rPr>
              <w:t>Trigger</w:t>
            </w:r>
          </w:p>
        </w:tc>
        <w:tc>
          <w:tcPr>
            <w:tcW w:type="dxa" w:w="7559"/>
          </w:tcPr>
          <w:p>
            <w:pPr>
              <w:spacing w:after="50" w:before="50" w:line="252" w:lineRule="auto"/>
            </w:pPr>
            <w:r>
              <w:rPr>
                <w:sz w:val="17"/>
              </w:rPr>
              <w:t>Year 3, or earlier if an anchor partnership includes a research chair</w:t>
            </w:r>
          </w:p>
        </w:tc>
      </w:tr>
    </w:tbl>
    <w:p>
      <w:pPr>
        <w:spacing w:after="80" w:before="0"/>
      </w:pPr>
    </w:p>
    <w:p>
      <w:r>
        <w:rPr>
          <w:b/>
        </w:rPr>
        <w:t>Accountabilities</w:t>
      </w:r>
      <w:r>
        <w:t xml:space="preserve"> — Own the research agenda and framework; approve every data release jointly with the DPO; run the pre-publication confidentiality review; produce the annual report; maintain academic freedom protections.</w:t>
      </w:r>
    </w:p>
    <w:p>
      <w:r>
        <w:rPr>
          <w:b/>
        </w:rPr>
        <w:t>Deliverables</w:t>
      </w:r>
      <w:r>
        <w:t xml:space="preserve"> — annual report published every year without exception; 4 publications a year by year 3; zero re-identification incidents.</w:t>
      </w:r>
    </w:p>
    <w:p>
      <w:r>
        <w:rPr>
          <w:b/>
        </w:rPr>
        <w:t>Capability</w:t>
      </w:r>
      <w:r>
        <w:t xml:space="preserve"> — Research training with empirical method; publication record; understands anonymisation and disclosure control; able to say no to a commercially attractive but unsafe release.</w:t>
      </w:r>
    </w:p>
    <w:p>
      <w:r>
        <w:rPr>
          <w:b/>
        </w:rPr>
        <w:t>Indicative package</w:t>
      </w:r>
      <w:r>
        <w:t xml:space="preserve"> ₹8,00,000 to ₹12,00,000 at 0.5 FTE.</w:t>
      </w:r>
    </w:p>
    <w:p>
      <w:pPr>
        <w:spacing w:before="80" w:after="160"/>
        <w:pBdr>
          <w:bottom w:val="single" w:sz="6" w:space="1" w:color="C9D6DE"/>
        </w:pBdr>
      </w:pPr>
    </w:p>
    <w:p>
      <w:pPr>
        <w:pStyle w:val="Heading2"/>
      </w:pPr>
      <w:r>
        <w:t>R8 · Marketing &amp; Communications Executive</w:t>
      </w:r>
    </w:p>
    <w:p>
      <w:r>
        <w:rPr>
          <w:b/>
        </w:rPr>
        <w:t>Reports to</w:t>
      </w:r>
      <w:r>
        <w:t xml:space="preserve"> Programme Director, dotted to Group Marketing. </w:t>
      </w:r>
      <w:r>
        <w:rPr>
          <w:b/>
        </w:rPr>
        <w:t>Trigger</w:t>
      </w:r>
      <w:r>
        <w:t xml:space="preserve"> month 6.</w:t>
      </w:r>
    </w:p>
    <w:p>
      <w:r>
        <w:rPr>
          <w:b/>
        </w:rPr>
        <w:t>Accountabilities</w:t>
      </w:r>
      <w:r>
        <w:t xml:space="preserve"> — content calendar and channels; student ambassador programme and content review; co-branding approvals; press kit and holding statements; </w:t>
      </w:r>
      <w:r>
        <w:rPr>
          <w:b/>
        </w:rPr>
        <w:t>enforce the prohibited-statements list in every piece of collateral</w:t>
      </w:r>
      <w:r>
        <w:t>; measure enquiries generated, not impressions.</w:t>
      </w:r>
    </w:p>
    <w:p>
      <w:r>
        <w:rPr>
          <w:b/>
        </w:rPr>
        <w:t>Deliverables</w:t>
      </w:r>
      <w:r>
        <w:t xml:space="preserve"> — pitch deck and advisory collateral complete by month 2; ambassador programme live at 4 institutions by month 9; zero prohibited statements published.</w:t>
      </w:r>
    </w:p>
    <w:p>
      <w:r>
        <w:rPr>
          <w:b/>
        </w:rPr>
        <w:t>Capability</w:t>
      </w:r>
      <w:r>
        <w:t xml:space="preserve"> — 3+ years in B2B or education marketing; excellent written English; design judgement; genuinely careful about claims.</w:t>
      </w:r>
    </w:p>
    <w:p>
      <w:r>
        <w:rPr>
          <w:b/>
        </w:rPr>
        <w:t>Indicative package</w:t>
      </w:r>
      <w:r>
        <w:t xml:space="preserve"> ₹6,00,000 to ₹9,00,000.</w:t>
      </w:r>
    </w:p>
    <w:p>
      <w:pPr>
        <w:spacing w:before="80" w:after="160"/>
        <w:pBdr>
          <w:bottom w:val="single" w:sz="6" w:space="1" w:color="C9D6DE"/>
        </w:pBdr>
      </w:pPr>
    </w:p>
    <w:p>
      <w:pPr>
        <w:pStyle w:val="Heading2"/>
      </w:pPr>
      <w:r>
        <w:t>R9–R11 · Shared services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810"/>
            <w:shd w:val="clear" w:color="auto" w:fill="10375C"/>
          </w:tcPr>
          <w:p>
            <w:pPr>
              <w:spacing w:after="50" w:before="50"/>
            </w:pPr>
            <w:r>
              <w:rPr>
                <w:b/>
                <w:color w:val="FFFFFF"/>
                <w:sz w:val="17"/>
              </w:rPr>
              <w:t>Role</w:t>
            </w:r>
          </w:p>
        </w:tc>
        <w:tc>
          <w:tcPr>
            <w:tcW w:type="dxa" w:w="850"/>
            <w:shd w:val="clear" w:color="auto" w:fill="10375C"/>
          </w:tcPr>
          <w:p>
            <w:pPr>
              <w:spacing w:after="50" w:before="50"/>
            </w:pPr>
            <w:r>
              <w:rPr>
                <w:b/>
                <w:color w:val="FFFFFF"/>
                <w:sz w:val="17"/>
              </w:rPr>
              <w:t>Allocation</w:t>
            </w:r>
          </w:p>
        </w:tc>
        <w:tc>
          <w:tcPr>
            <w:tcW w:type="dxa" w:w="5853"/>
            <w:shd w:val="clear" w:color="auto" w:fill="10375C"/>
          </w:tcPr>
          <w:p>
            <w:pPr>
              <w:spacing w:after="50" w:before="50"/>
            </w:pPr>
            <w:r>
              <w:rPr>
                <w:b/>
                <w:color w:val="FFFFFF"/>
                <w:sz w:val="17"/>
              </w:rPr>
              <w:t>Accountabilities</w:t>
            </w:r>
          </w:p>
        </w:tc>
      </w:tr>
      <w:tr>
        <w:tc>
          <w:tcPr>
            <w:tcW w:type="dxa" w:w="2810"/>
          </w:tcPr>
          <w:p>
            <w:pPr>
              <w:spacing w:after="50" w:before="50" w:line="252" w:lineRule="auto"/>
            </w:pPr>
            <w:r>
              <w:rPr>
                <w:b/>
                <w:sz w:val="17"/>
              </w:rPr>
              <w:t>Finance Business Partner</w:t>
            </w:r>
          </w:p>
        </w:tc>
        <w:tc>
          <w:tcPr>
            <w:tcW w:type="dxa" w:w="850"/>
          </w:tcPr>
          <w:p>
            <w:pPr>
              <w:spacing w:after="50" w:before="50" w:line="252" w:lineRule="auto"/>
            </w:pPr>
            <w:r>
              <w:rPr>
                <w:sz w:val="17"/>
              </w:rPr>
              <w:t>0.3</w:t>
            </w:r>
          </w:p>
        </w:tc>
        <w:tc>
          <w:tcPr>
            <w:tcW w:type="dxa" w:w="5853"/>
          </w:tcPr>
          <w:p>
            <w:pPr>
              <w:spacing w:after="50" w:before="50" w:line="252" w:lineRule="auto"/>
            </w:pPr>
            <w:r>
              <w:rPr>
                <w:sz w:val="17"/>
              </w:rPr>
              <w:t>Pricing compliance; invoicing and collections; revenue-share settlement and reconciliation; GST and withholding; exceptions register; quarterly financial pack</w:t>
            </w:r>
          </w:p>
        </w:tc>
      </w:tr>
      <w:tr>
        <w:tc>
          <w:tcPr>
            <w:tcW w:type="dxa" w:w="2810"/>
            <w:shd w:val="clear" w:color="auto" w:fill="EAF1F4"/>
          </w:tcPr>
          <w:p>
            <w:pPr>
              <w:spacing w:after="50" w:before="50" w:line="252" w:lineRule="auto"/>
            </w:pPr>
            <w:r>
              <w:rPr>
                <w:b/>
                <w:sz w:val="17"/>
              </w:rPr>
              <w:t>Legal Counsel</w:t>
            </w:r>
          </w:p>
        </w:tc>
        <w:tc>
          <w:tcPr>
            <w:tcW w:type="dxa" w:w="850"/>
            <w:shd w:val="clear" w:color="auto" w:fill="EAF1F4"/>
          </w:tcPr>
          <w:p>
            <w:pPr>
              <w:spacing w:after="50" w:before="50" w:line="252" w:lineRule="auto"/>
            </w:pPr>
            <w:r>
              <w:rPr>
                <w:sz w:val="17"/>
              </w:rPr>
              <w:t>0.3</w:t>
            </w:r>
          </w:p>
        </w:tc>
        <w:tc>
          <w:tcPr>
            <w:tcW w:type="dxa" w:w="5853"/>
            <w:shd w:val="clear" w:color="auto" w:fill="EAF1F4"/>
          </w:tcPr>
          <w:p>
            <w:pPr>
              <w:spacing w:after="50" w:before="50" w:line="252" w:lineRule="auto"/>
            </w:pPr>
            <w:r>
              <w:rPr>
                <w:sz w:val="17"/>
              </w:rPr>
              <w:t>MOU and schedule review; clause bank; IP and trade marks; regulatory watch; L3 and L4 support</w:t>
            </w:r>
          </w:p>
        </w:tc>
      </w:tr>
      <w:tr>
        <w:tc>
          <w:tcPr>
            <w:tcW w:type="dxa" w:w="2810"/>
          </w:tcPr>
          <w:p>
            <w:pPr>
              <w:spacing w:after="50" w:before="50" w:line="252" w:lineRule="auto"/>
            </w:pPr>
            <w:r>
              <w:rPr>
                <w:b/>
                <w:sz w:val="17"/>
              </w:rPr>
              <w:t>Data Protection Officer</w:t>
            </w:r>
          </w:p>
        </w:tc>
        <w:tc>
          <w:tcPr>
            <w:tcW w:type="dxa" w:w="850"/>
          </w:tcPr>
          <w:p>
            <w:pPr>
              <w:spacing w:after="50" w:before="50" w:line="252" w:lineRule="auto"/>
            </w:pPr>
            <w:r>
              <w:rPr>
                <w:sz w:val="17"/>
              </w:rPr>
              <w:t>0.2</w:t>
            </w:r>
          </w:p>
        </w:tc>
        <w:tc>
          <w:tcPr>
            <w:tcW w:type="dxa" w:w="5853"/>
          </w:tcPr>
          <w:p>
            <w:pPr>
              <w:spacing w:after="50" w:before="50" w:line="252" w:lineRule="auto"/>
            </w:pPr>
            <w:r>
              <w:rPr>
                <w:sz w:val="17"/>
              </w:rPr>
              <w:t xml:space="preserve">Consent architecture; data releases jointly with Research Lead; breach response; annual training; </w:t>
            </w:r>
            <w:r>
              <w:rPr>
                <w:b/>
                <w:sz w:val="17"/>
              </w:rPr>
              <w:t>sign-off before any registration portal opens</w:t>
            </w:r>
          </w:p>
        </w:tc>
      </w:tr>
    </w:tbl>
    <w:p>
      <w:pPr>
        <w:spacing w:after="80" w:before="0"/>
      </w:pPr>
    </w:p>
    <w:p>
      <w:pPr>
        <w:spacing w:before="80" w:after="160"/>
        <w:pBdr>
          <w:bottom w:val="single" w:sz="6" w:space="1" w:color="C9D6DE"/>
        </w:pBdr>
      </w:pPr>
    </w:p>
    <w:p>
      <w:pPr>
        <w:pStyle w:val="Heading1"/>
        <w:pBdr>
          <w:bottom w:val="single" w:sz="8" w:space="4" w:color="C9D6DE"/>
        </w:pBdr>
      </w:pPr>
      <w:r>
        <w:t>4. Capability matrix</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052"/>
        <w:gridCol w:w="1052"/>
        <w:gridCol w:w="1052"/>
        <w:gridCol w:w="1052"/>
        <w:gridCol w:w="1052"/>
        <w:gridCol w:w="1052"/>
        <w:gridCol w:w="1052"/>
        <w:gridCol w:w="1052"/>
        <w:gridCol w:w="1052"/>
      </w:tblGrid>
      <w:tr>
        <w:trPr>
          <w:tblHeader w:val="true"/>
        </w:trPr>
        <w:tc>
          <w:tcPr>
            <w:tcW w:type="dxa" w:w="3701"/>
            <w:shd w:val="clear" w:color="auto" w:fill="10375C"/>
          </w:tcPr>
          <w:p>
            <w:pPr>
              <w:spacing w:after="50" w:before="50"/>
            </w:pPr>
            <w:r>
              <w:rPr>
                <w:b/>
                <w:color w:val="FFFFFF"/>
                <w:sz w:val="17"/>
              </w:rPr>
              <w:t>Capability</w:t>
            </w:r>
          </w:p>
        </w:tc>
        <w:tc>
          <w:tcPr>
            <w:tcW w:type="dxa" w:w="850"/>
            <w:shd w:val="clear" w:color="auto" w:fill="10375C"/>
          </w:tcPr>
          <w:p>
            <w:pPr>
              <w:spacing w:after="50" w:before="50"/>
            </w:pPr>
            <w:r>
              <w:rPr>
                <w:b/>
                <w:color w:val="FFFFFF"/>
                <w:sz w:val="17"/>
              </w:rPr>
              <w:t>Director</w:t>
            </w:r>
          </w:p>
        </w:tc>
        <w:tc>
          <w:tcPr>
            <w:tcW w:type="dxa" w:w="850"/>
            <w:shd w:val="clear" w:color="auto" w:fill="10375C"/>
          </w:tcPr>
          <w:p>
            <w:pPr>
              <w:spacing w:after="50" w:before="50"/>
            </w:pPr>
            <w:r>
              <w:rPr>
                <w:b/>
                <w:color w:val="FFFFFF"/>
                <w:sz w:val="17"/>
              </w:rPr>
              <w:t>BD</w:t>
            </w:r>
          </w:p>
        </w:tc>
        <w:tc>
          <w:tcPr>
            <w:tcW w:type="dxa" w:w="850"/>
            <w:shd w:val="clear" w:color="auto" w:fill="10375C"/>
          </w:tcPr>
          <w:p>
            <w:pPr>
              <w:spacing w:after="50" w:before="50"/>
            </w:pPr>
            <w:r>
              <w:rPr>
                <w:b/>
                <w:color w:val="FFFFFF"/>
                <w:sz w:val="17"/>
              </w:rPr>
              <w:t>Curriculum</w:t>
            </w:r>
          </w:p>
        </w:tc>
        <w:tc>
          <w:tcPr>
            <w:tcW w:type="dxa" w:w="850"/>
            <w:shd w:val="clear" w:color="auto" w:fill="10375C"/>
          </w:tcPr>
          <w:p>
            <w:pPr>
              <w:spacing w:after="50" w:before="50"/>
            </w:pPr>
            <w:r>
              <w:rPr>
                <w:b/>
                <w:color w:val="FFFFFF"/>
                <w:sz w:val="17"/>
              </w:rPr>
              <w:t>Operations</w:t>
            </w:r>
          </w:p>
        </w:tc>
        <w:tc>
          <w:tcPr>
            <w:tcW w:type="dxa" w:w="850"/>
            <w:shd w:val="clear" w:color="auto" w:fill="10375C"/>
          </w:tcPr>
          <w:p>
            <w:pPr>
              <w:spacing w:after="50" w:before="50"/>
            </w:pPr>
            <w:r>
              <w:rPr>
                <w:b/>
                <w:color w:val="FFFFFF"/>
                <w:sz w:val="17"/>
              </w:rPr>
              <w:t>Internships</w:t>
            </w:r>
          </w:p>
        </w:tc>
        <w:tc>
          <w:tcPr>
            <w:tcW w:type="dxa" w:w="850"/>
            <w:shd w:val="clear" w:color="auto" w:fill="10375C"/>
          </w:tcPr>
          <w:p>
            <w:pPr>
              <w:spacing w:after="50" w:before="50"/>
            </w:pPr>
            <w:r>
              <w:rPr>
                <w:b/>
                <w:color w:val="FFFFFF"/>
                <w:sz w:val="17"/>
              </w:rPr>
              <w:t>Convenor</w:t>
            </w:r>
          </w:p>
        </w:tc>
        <w:tc>
          <w:tcPr>
            <w:tcW w:type="dxa" w:w="850"/>
            <w:shd w:val="clear" w:color="auto" w:fill="10375C"/>
          </w:tcPr>
          <w:p>
            <w:pPr>
              <w:spacing w:after="50" w:before="50"/>
            </w:pPr>
            <w:r>
              <w:rPr>
                <w:b/>
                <w:color w:val="FFFFFF"/>
                <w:sz w:val="17"/>
              </w:rPr>
              <w:t>Research</w:t>
            </w:r>
          </w:p>
        </w:tc>
        <w:tc>
          <w:tcPr>
            <w:tcW w:type="dxa" w:w="850"/>
            <w:shd w:val="clear" w:color="auto" w:fill="10375C"/>
          </w:tcPr>
          <w:p>
            <w:pPr>
              <w:spacing w:after="50" w:before="50"/>
            </w:pPr>
            <w:r>
              <w:rPr>
                <w:b/>
                <w:color w:val="FFFFFF"/>
                <w:sz w:val="17"/>
              </w:rPr>
              <w:t>Marketing</w:t>
            </w:r>
          </w:p>
        </w:tc>
      </w:tr>
      <w:tr>
        <w:tc>
          <w:tcPr>
            <w:tcW w:type="dxa" w:w="3701"/>
          </w:tcPr>
          <w:p>
            <w:pPr>
              <w:spacing w:after="50" w:before="50" w:line="252" w:lineRule="auto"/>
            </w:pPr>
            <w:r>
              <w:rPr>
                <w:sz w:val="17"/>
              </w:rPr>
              <w:t>Institutional selling</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3701"/>
            <w:shd w:val="clear" w:color="auto" w:fill="EAF1F4"/>
          </w:tcPr>
          <w:p>
            <w:pPr>
              <w:spacing w:after="50" w:before="50" w:line="252" w:lineRule="auto"/>
            </w:pPr>
            <w:r>
              <w:rPr>
                <w:sz w:val="17"/>
              </w:rPr>
              <w:t>Mediation practice</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3701"/>
          </w:tcPr>
          <w:p>
            <w:pPr>
              <w:spacing w:after="50" w:before="50" w:line="252" w:lineRule="auto"/>
            </w:pPr>
            <w:r>
              <w:rPr>
                <w:sz w:val="17"/>
              </w:rPr>
              <w:t>Curriculum and assessment design</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3701"/>
            <w:shd w:val="clear" w:color="auto" w:fill="EAF1F4"/>
          </w:tcPr>
          <w:p>
            <w:pPr>
              <w:spacing w:after="50" w:before="50" w:line="252" w:lineRule="auto"/>
            </w:pPr>
            <w:r>
              <w:rPr>
                <w:sz w:val="17"/>
              </w:rPr>
              <w:t>Delivery logistics</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3701"/>
          </w:tcPr>
          <w:p>
            <w:pPr>
              <w:spacing w:after="50" w:before="50" w:line="252" w:lineRule="auto"/>
            </w:pPr>
            <w:r>
              <w:rPr>
                <w:sz w:val="17"/>
              </w:rPr>
              <w:t>Commercial numeracy</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3701"/>
            <w:shd w:val="clear" w:color="auto" w:fill="EAF1F4"/>
          </w:tcPr>
          <w:p>
            <w:pPr>
              <w:spacing w:after="50" w:before="50" w:line="252" w:lineRule="auto"/>
            </w:pPr>
            <w:r>
              <w:rPr>
                <w:sz w:val="17"/>
              </w:rPr>
              <w:t>Risk and compliance judgement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3701"/>
          </w:tcPr>
          <w:p>
            <w:pPr>
              <w:spacing w:after="50" w:before="50" w:line="252" w:lineRule="auto"/>
            </w:pPr>
            <w:r>
              <w:rPr>
                <w:sz w:val="17"/>
              </w:rPr>
              <w:t>Written English</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3701"/>
            <w:shd w:val="clear" w:color="auto" w:fill="EAF1F4"/>
          </w:tcPr>
          <w:p>
            <w:pPr>
              <w:spacing w:after="50" w:before="50" w:line="252" w:lineRule="auto"/>
            </w:pPr>
            <w:r>
              <w:rPr>
                <w:sz w:val="17"/>
              </w:rPr>
              <w:t>Academic credibility</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5. Reserved separations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Cannot be held by the same person</w:t>
            </w:r>
          </w:p>
        </w:tc>
      </w:tr>
      <w:tr>
        <w:tc>
          <w:tcPr>
            <w:tcW w:type="dxa" w:w="9468"/>
          </w:tcPr>
          <w:p>
            <w:pPr>
              <w:spacing w:after="50" w:before="50" w:line="252" w:lineRule="auto"/>
            </w:pPr>
            <w:r>
              <w:rPr>
                <w:sz w:val="17"/>
              </w:rPr>
              <w:t>Problem author and competition judge, in the same edition</w:t>
            </w:r>
          </w:p>
        </w:tc>
      </w:tr>
      <w:tr>
        <w:tc>
          <w:tcPr>
            <w:tcW w:type="dxa" w:w="9468"/>
            <w:shd w:val="clear" w:color="auto" w:fill="EAF1F4"/>
          </w:tcPr>
          <w:p>
            <w:pPr>
              <w:spacing w:after="50" w:before="50" w:line="252" w:lineRule="auto"/>
            </w:pPr>
            <w:r>
              <w:rPr>
                <w:sz w:val="17"/>
              </w:rPr>
              <w:t>Coach and judge, in the same edition</w:t>
            </w:r>
          </w:p>
        </w:tc>
      </w:tr>
      <w:tr>
        <w:tc>
          <w:tcPr>
            <w:tcW w:type="dxa" w:w="9468"/>
          </w:tcPr>
          <w:p>
            <w:pPr>
              <w:spacing w:after="50" w:before="50" w:line="252" w:lineRule="auto"/>
            </w:pPr>
            <w:r>
              <w:rPr>
                <w:sz w:val="17"/>
              </w:rPr>
              <w:t>Trainer and assessor of the same participant, where numbers permit otherwise</w:t>
            </w:r>
          </w:p>
        </w:tc>
      </w:tr>
      <w:tr>
        <w:tc>
          <w:tcPr>
            <w:tcW w:type="dxa" w:w="9468"/>
            <w:shd w:val="clear" w:color="auto" w:fill="EAF1F4"/>
          </w:tcPr>
          <w:p>
            <w:pPr>
              <w:spacing w:after="50" w:before="50" w:line="252" w:lineRule="auto"/>
            </w:pPr>
            <w:r>
              <w:rPr>
                <w:sz w:val="17"/>
              </w:rPr>
              <w:t>Person collecting fees and person reconciling collections</w:t>
            </w:r>
          </w:p>
        </w:tc>
      </w:tr>
      <w:tr>
        <w:tc>
          <w:tcPr>
            <w:tcW w:type="dxa" w:w="9468"/>
          </w:tcPr>
          <w:p>
            <w:pPr>
              <w:spacing w:after="50" w:before="50" w:line="252" w:lineRule="auto"/>
            </w:pPr>
            <w:r>
              <w:rPr>
                <w:sz w:val="17"/>
              </w:rPr>
              <w:t>Person entering scores and person judging</w:t>
            </w:r>
          </w:p>
        </w:tc>
      </w:tr>
      <w:tr>
        <w:tc>
          <w:tcPr>
            <w:tcW w:type="dxa" w:w="9468"/>
            <w:shd w:val="clear" w:color="auto" w:fill="EAF1F4"/>
          </w:tcPr>
          <w:p>
            <w:pPr>
              <w:spacing w:after="50" w:before="50" w:line="252" w:lineRule="auto"/>
            </w:pPr>
            <w:r>
              <w:rPr>
                <w:sz w:val="17"/>
              </w:rPr>
              <w:t>Research Lead alone approving a data release — the DPO must co-approve</w:t>
            </w:r>
          </w:p>
        </w:tc>
      </w:tr>
      <w:tr>
        <w:tc>
          <w:tcPr>
            <w:tcW w:type="dxa" w:w="9468"/>
          </w:tcPr>
          <w:p>
            <w:pPr>
              <w:spacing w:after="50" w:before="50" w:line="252" w:lineRule="auto"/>
            </w:pPr>
            <w:r>
              <w:rPr>
                <w:sz w:val="17"/>
              </w:rPr>
              <w:t>Programme Director alone approving their own expense or a pricing exception below floor</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EQ-UAP-107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Organisation Design &amp; Role Descriptions</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242420-3A02-4072-82C4-44ECEC0305EB}"/>
</file>

<file path=customXml/itemProps3.xml><?xml version="1.0" encoding="utf-8"?>
<ds:datastoreItem xmlns:ds="http://schemas.openxmlformats.org/officeDocument/2006/customXml" ds:itemID="{439268A6-80BE-41E4-8F73-FBBEEF960577}"/>
</file>

<file path=customXml/itemProps4.xml><?xml version="1.0" encoding="utf-8"?>
<ds:datastoreItem xmlns:ds="http://schemas.openxmlformats.org/officeDocument/2006/customXml" ds:itemID="{235F6BED-4E58-4194-B2AF-D502ECC3F47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