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Platform &amp; ODR Integration Plan for Academic Partnerships</w:t>
      </w:r>
    </w:p>
    <w:p>
      <w:pPr>
        <w:spacing w:after="280" w:line="276" w:lineRule="auto"/>
      </w:pPr>
      <w:r>
        <w:rPr>
          <w:rFonts w:ascii="Calibri" w:hAnsi="Calibri"/>
          <w:i/>
          <w:color w:val="3E6B8A"/>
          <w:sz w:val="25"/>
        </w:rPr>
        <w:t>Connecting the academic programme to Equator's platform layer — student access, campus cell tooling, ODR pilots, research pipeline and the AI evaluation asset</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EQ-UAP-109</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Technology</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Internal</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1. The gap this closes</w:t>
      </w:r>
    </w:p>
    <w:p>
      <w:r>
        <w:t>Equator operates a platform layer described in the group master index: shared platform services with a common core data model, a unified dispute explorer, an ODR capability, an AI safety and evaluation framework, and a consolidated assurance and security posture.</w:t>
      </w:r>
    </w:p>
    <w:p>
      <w:r>
        <w:rPr>
          <w:b/>
        </w:rPr>
        <w:t>The academic programme currently uses none of it.</w:t>
      </w:r>
    </w:p>
    <w:p>
      <w:r>
        <w:t xml:space="preserve">That is a missed defence as much as a missed opportunity. Curriculum can be copied. Competitions can be copied. A working dispute-resolution platform with a live case core, an evaluation harness and a research data pipeline </w:t>
      </w:r>
      <w:r>
        <w:rPr>
          <w:b/>
        </w:rPr>
        <w:t>cannot be copied by a training provider</w:t>
      </w:r>
      <w:r>
        <w:t>, and it is the one asset in the group that no competitor in the landscape at 01.7 possesses.</w:t>
      </w:r>
    </w:p>
    <w:p>
      <w:pPr>
        <w:spacing w:before="80" w:after="160"/>
        <w:pBdr>
          <w:bottom w:val="single" w:sz="6" w:space="1" w:color="C9D6DE"/>
        </w:pBdr>
      </w:pPr>
    </w:p>
    <w:p>
      <w:pPr>
        <w:pStyle w:val="Heading1"/>
        <w:pBdr>
          <w:bottom w:val="single" w:sz="8" w:space="4" w:color="C9D6DE"/>
        </w:pBdr>
      </w:pPr>
      <w:r>
        <w:t>2. Seven integrations, in order of value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850"/>
            <w:shd w:val="clear" w:color="auto" w:fill="10375C"/>
          </w:tcPr>
          <w:p>
            <w:pPr>
              <w:spacing w:after="50" w:before="50"/>
            </w:pPr>
            <w:r>
              <w:rPr>
                <w:b/>
                <w:color w:val="FFFFFF"/>
                <w:sz w:val="17"/>
              </w:rPr>
              <w:t>#</w:t>
            </w:r>
          </w:p>
        </w:tc>
        <w:tc>
          <w:tcPr>
            <w:tcW w:type="dxa" w:w="4197"/>
            <w:shd w:val="clear" w:color="auto" w:fill="10375C"/>
          </w:tcPr>
          <w:p>
            <w:pPr>
              <w:spacing w:after="50" w:before="50"/>
            </w:pPr>
            <w:r>
              <w:rPr>
                <w:b/>
                <w:color w:val="FFFFFF"/>
                <w:sz w:val="17"/>
              </w:rPr>
              <w:t>Integration</w:t>
            </w:r>
          </w:p>
        </w:tc>
        <w:tc>
          <w:tcPr>
            <w:tcW w:type="dxa" w:w="3895"/>
            <w:shd w:val="clear" w:color="auto" w:fill="10375C"/>
          </w:tcPr>
          <w:p>
            <w:pPr>
              <w:spacing w:after="50" w:before="50"/>
            </w:pPr>
            <w:r>
              <w:rPr>
                <w:b/>
                <w:color w:val="FFFFFF"/>
                <w:sz w:val="17"/>
              </w:rPr>
              <w:t>Value</w:t>
            </w:r>
          </w:p>
        </w:tc>
        <w:tc>
          <w:tcPr>
            <w:tcW w:type="dxa" w:w="850"/>
            <w:shd w:val="clear" w:color="auto" w:fill="10375C"/>
          </w:tcPr>
          <w:p>
            <w:pPr>
              <w:spacing w:after="50" w:before="50"/>
            </w:pPr>
            <w:r>
              <w:rPr>
                <w:b/>
                <w:color w:val="FFFFFF"/>
                <w:sz w:val="17"/>
              </w:rPr>
              <w:t>Effort</w:t>
            </w:r>
          </w:p>
        </w:tc>
        <w:tc>
          <w:tcPr>
            <w:tcW w:type="dxa" w:w="850"/>
            <w:shd w:val="clear" w:color="auto" w:fill="10375C"/>
          </w:tcPr>
          <w:p>
            <w:pPr>
              <w:spacing w:after="50" w:before="50"/>
            </w:pPr>
            <w:r>
              <w:rPr>
                <w:b/>
                <w:color w:val="FFFFFF"/>
                <w:sz w:val="17"/>
              </w:rPr>
              <w:t>Year</w:t>
            </w:r>
          </w:p>
        </w:tc>
      </w:tr>
      <w:tr>
        <w:tc>
          <w:tcPr>
            <w:tcW w:type="dxa" w:w="850"/>
          </w:tcPr>
          <w:p>
            <w:pPr>
              <w:spacing w:after="50" w:before="50" w:line="252" w:lineRule="auto"/>
            </w:pPr>
            <w:r>
              <w:rPr>
                <w:sz w:val="17"/>
              </w:rPr>
              <w:t>I1</w:t>
            </w:r>
          </w:p>
        </w:tc>
        <w:tc>
          <w:tcPr>
            <w:tcW w:type="dxa" w:w="4197"/>
          </w:tcPr>
          <w:p>
            <w:pPr>
              <w:spacing w:after="50" w:before="50" w:line="252" w:lineRule="auto"/>
            </w:pPr>
            <w:r>
              <w:rPr>
                <w:sz w:val="17"/>
              </w:rPr>
              <w:t>Student and alumni access tier — sandboxed</w:t>
            </w:r>
          </w:p>
        </w:tc>
        <w:tc>
          <w:tcPr>
            <w:tcW w:type="dxa" w:w="3895"/>
          </w:tcPr>
          <w:p>
            <w:pPr>
              <w:spacing w:after="50" w:before="50" w:line="252" w:lineRule="auto"/>
            </w:pPr>
            <w:r>
              <w:rPr>
                <w:sz w:val="17"/>
              </w:rPr>
              <w:t>Retention, differentiation, pipeline</w:t>
            </w:r>
          </w:p>
        </w:tc>
        <w:tc>
          <w:tcPr>
            <w:tcW w:type="dxa" w:w="850"/>
          </w:tcPr>
          <w:p>
            <w:pPr>
              <w:spacing w:after="50" w:before="50" w:line="252" w:lineRule="auto"/>
            </w:pPr>
            <w:r>
              <w:rPr>
                <w:sz w:val="17"/>
              </w:rPr>
              <w:t>Medium</w:t>
            </w:r>
          </w:p>
        </w:tc>
        <w:tc>
          <w:tcPr>
            <w:tcW w:type="dxa" w:w="850"/>
          </w:tcPr>
          <w:p>
            <w:pPr>
              <w:spacing w:after="50" w:before="50" w:line="252" w:lineRule="auto"/>
            </w:pPr>
            <w:r>
              <w:rPr>
                <w:sz w:val="17"/>
              </w:rPr>
              <w:t>1–2</w:t>
            </w:r>
          </w:p>
        </w:tc>
      </w:tr>
      <w:tr>
        <w:tc>
          <w:tcPr>
            <w:tcW w:type="dxa" w:w="850"/>
            <w:shd w:val="clear" w:color="auto" w:fill="EAF1F4"/>
          </w:tcPr>
          <w:p>
            <w:pPr>
              <w:spacing w:after="50" w:before="50" w:line="252" w:lineRule="auto"/>
            </w:pPr>
            <w:r>
              <w:rPr>
                <w:sz w:val="17"/>
              </w:rPr>
              <w:t>I2</w:t>
            </w:r>
          </w:p>
        </w:tc>
        <w:tc>
          <w:tcPr>
            <w:tcW w:type="dxa" w:w="4197"/>
            <w:shd w:val="clear" w:color="auto" w:fill="EAF1F4"/>
          </w:tcPr>
          <w:p>
            <w:pPr>
              <w:spacing w:after="50" w:before="50" w:line="252" w:lineRule="auto"/>
            </w:pPr>
            <w:r>
              <w:rPr>
                <w:sz w:val="17"/>
              </w:rPr>
              <w:t>Campus Mediation Cell case log on the platform</w:t>
            </w:r>
          </w:p>
        </w:tc>
        <w:tc>
          <w:tcPr>
            <w:tcW w:type="dxa" w:w="3895"/>
            <w:shd w:val="clear" w:color="auto" w:fill="EAF1F4"/>
          </w:tcPr>
          <w:p>
            <w:pPr>
              <w:spacing w:after="50" w:before="50" w:line="252" w:lineRule="auto"/>
            </w:pPr>
            <w:r>
              <w:rPr>
                <w:sz w:val="17"/>
              </w:rPr>
              <w:t>Operational; data quality; visible presence</w:t>
            </w:r>
          </w:p>
        </w:tc>
        <w:tc>
          <w:tcPr>
            <w:tcW w:type="dxa" w:w="850"/>
            <w:shd w:val="clear" w:color="auto" w:fill="EAF1F4"/>
          </w:tcPr>
          <w:p>
            <w:pPr>
              <w:spacing w:after="50" w:before="50" w:line="252" w:lineRule="auto"/>
            </w:pPr>
            <w:r>
              <w:rPr>
                <w:sz w:val="17"/>
              </w:rPr>
              <w:t>Low</w:t>
            </w:r>
          </w:p>
        </w:tc>
        <w:tc>
          <w:tcPr>
            <w:tcW w:type="dxa" w:w="850"/>
            <w:shd w:val="clear" w:color="auto" w:fill="EAF1F4"/>
          </w:tcPr>
          <w:p>
            <w:pPr>
              <w:spacing w:after="50" w:before="50" w:line="252" w:lineRule="auto"/>
            </w:pPr>
            <w:r>
              <w:rPr>
                <w:sz w:val="17"/>
              </w:rPr>
              <w:t>1</w:t>
            </w:r>
          </w:p>
        </w:tc>
      </w:tr>
      <w:tr>
        <w:tc>
          <w:tcPr>
            <w:tcW w:type="dxa" w:w="850"/>
          </w:tcPr>
          <w:p>
            <w:pPr>
              <w:spacing w:after="50" w:before="50" w:line="252" w:lineRule="auto"/>
            </w:pPr>
            <w:r>
              <w:rPr>
                <w:sz w:val="17"/>
              </w:rPr>
              <w:t>I3</w:t>
            </w:r>
          </w:p>
        </w:tc>
        <w:tc>
          <w:tcPr>
            <w:tcW w:type="dxa" w:w="4197"/>
          </w:tcPr>
          <w:p>
            <w:pPr>
              <w:spacing w:after="50" w:before="50" w:line="252" w:lineRule="auto"/>
            </w:pPr>
            <w:r>
              <w:rPr>
                <w:sz w:val="17"/>
              </w:rPr>
              <w:t>Certification register with public verification</w:t>
            </w:r>
          </w:p>
        </w:tc>
        <w:tc>
          <w:tcPr>
            <w:tcW w:type="dxa" w:w="3895"/>
          </w:tcPr>
          <w:p>
            <w:pPr>
              <w:spacing w:after="50" w:before="50" w:line="252" w:lineRule="auto"/>
            </w:pPr>
            <w:r>
              <w:rPr>
                <w:sz w:val="17"/>
              </w:rPr>
              <w:t>Credential integrity; trust</w:t>
            </w:r>
          </w:p>
        </w:tc>
        <w:tc>
          <w:tcPr>
            <w:tcW w:type="dxa" w:w="850"/>
          </w:tcPr>
          <w:p>
            <w:pPr>
              <w:spacing w:after="50" w:before="50" w:line="252" w:lineRule="auto"/>
            </w:pPr>
            <w:r>
              <w:rPr>
                <w:sz w:val="17"/>
              </w:rPr>
              <w:t>Low</w:t>
            </w:r>
          </w:p>
        </w:tc>
        <w:tc>
          <w:tcPr>
            <w:tcW w:type="dxa" w:w="850"/>
          </w:tcPr>
          <w:p>
            <w:pPr>
              <w:spacing w:after="50" w:before="50" w:line="252" w:lineRule="auto"/>
            </w:pPr>
            <w:r>
              <w:rPr>
                <w:sz w:val="17"/>
              </w:rPr>
              <w:t>1</w:t>
            </w:r>
          </w:p>
        </w:tc>
      </w:tr>
      <w:tr>
        <w:tc>
          <w:tcPr>
            <w:tcW w:type="dxa" w:w="850"/>
            <w:shd w:val="clear" w:color="auto" w:fill="EAF1F4"/>
          </w:tcPr>
          <w:p>
            <w:pPr>
              <w:spacing w:after="50" w:before="50" w:line="252" w:lineRule="auto"/>
            </w:pPr>
            <w:r>
              <w:rPr>
                <w:sz w:val="17"/>
              </w:rPr>
              <w:t>I4</w:t>
            </w:r>
          </w:p>
        </w:tc>
        <w:tc>
          <w:tcPr>
            <w:tcW w:type="dxa" w:w="4197"/>
            <w:shd w:val="clear" w:color="auto" w:fill="EAF1F4"/>
          </w:tcPr>
          <w:p>
            <w:pPr>
              <w:spacing w:after="50" w:before="50" w:line="252" w:lineRule="auto"/>
            </w:pPr>
            <w:r>
              <w:rPr>
                <w:sz w:val="17"/>
              </w:rPr>
              <w:t>Competition registration, scoring and results</w:t>
            </w:r>
          </w:p>
        </w:tc>
        <w:tc>
          <w:tcPr>
            <w:tcW w:type="dxa" w:w="3895"/>
            <w:shd w:val="clear" w:color="auto" w:fill="EAF1F4"/>
          </w:tcPr>
          <w:p>
            <w:pPr>
              <w:spacing w:after="50" w:before="50" w:line="252" w:lineRule="auto"/>
            </w:pPr>
            <w:r>
              <w:rPr>
                <w:sz w:val="17"/>
              </w:rPr>
              <w:t>Removes the largest operational risk in competitions</w:t>
            </w:r>
          </w:p>
        </w:tc>
        <w:tc>
          <w:tcPr>
            <w:tcW w:type="dxa" w:w="850"/>
            <w:shd w:val="clear" w:color="auto" w:fill="EAF1F4"/>
          </w:tcPr>
          <w:p>
            <w:pPr>
              <w:spacing w:after="50" w:before="50" w:line="252" w:lineRule="auto"/>
            </w:pPr>
            <w:r>
              <w:rPr>
                <w:sz w:val="17"/>
              </w:rPr>
              <w:t>Medium</w:t>
            </w:r>
          </w:p>
        </w:tc>
        <w:tc>
          <w:tcPr>
            <w:tcW w:type="dxa" w:w="850"/>
            <w:shd w:val="clear" w:color="auto" w:fill="EAF1F4"/>
          </w:tcPr>
          <w:p>
            <w:pPr>
              <w:spacing w:after="50" w:before="50" w:line="252" w:lineRule="auto"/>
            </w:pPr>
            <w:r>
              <w:rPr>
                <w:sz w:val="17"/>
              </w:rPr>
              <w:t>2</w:t>
            </w:r>
          </w:p>
        </w:tc>
      </w:tr>
      <w:tr>
        <w:tc>
          <w:tcPr>
            <w:tcW w:type="dxa" w:w="850"/>
          </w:tcPr>
          <w:p>
            <w:pPr>
              <w:spacing w:after="50" w:before="50" w:line="252" w:lineRule="auto"/>
            </w:pPr>
            <w:r>
              <w:rPr>
                <w:sz w:val="17"/>
              </w:rPr>
              <w:t>I5</w:t>
            </w:r>
          </w:p>
        </w:tc>
        <w:tc>
          <w:tcPr>
            <w:tcW w:type="dxa" w:w="4197"/>
          </w:tcPr>
          <w:p>
            <w:pPr>
              <w:spacing w:after="50" w:before="50" w:line="252" w:lineRule="auto"/>
            </w:pPr>
            <w:r>
              <w:rPr>
                <w:sz w:val="17"/>
              </w:rPr>
              <w:t>ODR pilot with a technical university</w:t>
            </w:r>
          </w:p>
        </w:tc>
        <w:tc>
          <w:tcPr>
            <w:tcW w:type="dxa" w:w="3895"/>
          </w:tcPr>
          <w:p>
            <w:pPr>
              <w:spacing w:after="50" w:before="50" w:line="252" w:lineRule="auto"/>
            </w:pPr>
            <w:r>
              <w:rPr>
                <w:sz w:val="17"/>
              </w:rPr>
              <w:t>Research, credibility, genuinely novel</w:t>
            </w:r>
          </w:p>
        </w:tc>
        <w:tc>
          <w:tcPr>
            <w:tcW w:type="dxa" w:w="850"/>
          </w:tcPr>
          <w:p>
            <w:pPr>
              <w:spacing w:after="50" w:before="50" w:line="252" w:lineRule="auto"/>
            </w:pPr>
            <w:r>
              <w:rPr>
                <w:sz w:val="17"/>
              </w:rPr>
              <w:t>High</w:t>
            </w:r>
          </w:p>
        </w:tc>
        <w:tc>
          <w:tcPr>
            <w:tcW w:type="dxa" w:w="850"/>
          </w:tcPr>
          <w:p>
            <w:pPr>
              <w:spacing w:after="50" w:before="50" w:line="252" w:lineRule="auto"/>
            </w:pPr>
            <w:r>
              <w:rPr>
                <w:sz w:val="17"/>
              </w:rPr>
              <w:t>2</w:t>
            </w:r>
          </w:p>
        </w:tc>
      </w:tr>
      <w:tr>
        <w:tc>
          <w:tcPr>
            <w:tcW w:type="dxa" w:w="850"/>
            <w:shd w:val="clear" w:color="auto" w:fill="EAF1F4"/>
          </w:tcPr>
          <w:p>
            <w:pPr>
              <w:spacing w:after="50" w:before="50" w:line="252" w:lineRule="auto"/>
            </w:pPr>
            <w:r>
              <w:rPr>
                <w:sz w:val="17"/>
              </w:rPr>
              <w:t>I6</w:t>
            </w:r>
          </w:p>
        </w:tc>
        <w:tc>
          <w:tcPr>
            <w:tcW w:type="dxa" w:w="4197"/>
            <w:shd w:val="clear" w:color="auto" w:fill="EAF1F4"/>
          </w:tcPr>
          <w:p>
            <w:pPr>
              <w:spacing w:after="50" w:before="50" w:line="252" w:lineRule="auto"/>
            </w:pPr>
            <w:r>
              <w:rPr>
                <w:sz w:val="17"/>
              </w:rPr>
              <w:t>Anonymised research data pipeline</w:t>
            </w:r>
          </w:p>
        </w:tc>
        <w:tc>
          <w:tcPr>
            <w:tcW w:type="dxa" w:w="3895"/>
            <w:shd w:val="clear" w:color="auto" w:fill="EAF1F4"/>
          </w:tcPr>
          <w:p>
            <w:pPr>
              <w:spacing w:after="50" w:before="50" w:line="252" w:lineRule="auto"/>
            </w:pPr>
            <w:r>
              <w:rPr>
                <w:sz w:val="17"/>
              </w:rPr>
              <w:t>The research programme depends on it</w:t>
            </w:r>
          </w:p>
        </w:tc>
        <w:tc>
          <w:tcPr>
            <w:tcW w:type="dxa" w:w="850"/>
            <w:shd w:val="clear" w:color="auto" w:fill="EAF1F4"/>
          </w:tcPr>
          <w:p>
            <w:pPr>
              <w:spacing w:after="50" w:before="50" w:line="252" w:lineRule="auto"/>
            </w:pPr>
            <w:r>
              <w:rPr>
                <w:sz w:val="17"/>
              </w:rPr>
              <w:t>Medium</w:t>
            </w:r>
          </w:p>
        </w:tc>
        <w:tc>
          <w:tcPr>
            <w:tcW w:type="dxa" w:w="850"/>
            <w:shd w:val="clear" w:color="auto" w:fill="EAF1F4"/>
          </w:tcPr>
          <w:p>
            <w:pPr>
              <w:spacing w:after="50" w:before="50" w:line="252" w:lineRule="auto"/>
            </w:pPr>
            <w:r>
              <w:rPr>
                <w:sz w:val="17"/>
              </w:rPr>
              <w:t>2</w:t>
            </w:r>
          </w:p>
        </w:tc>
      </w:tr>
      <w:tr>
        <w:tc>
          <w:tcPr>
            <w:tcW w:type="dxa" w:w="850"/>
          </w:tcPr>
          <w:p>
            <w:pPr>
              <w:spacing w:after="50" w:before="50" w:line="252" w:lineRule="auto"/>
            </w:pPr>
            <w:r>
              <w:rPr>
                <w:sz w:val="17"/>
              </w:rPr>
              <w:t>I7</w:t>
            </w:r>
          </w:p>
        </w:tc>
        <w:tc>
          <w:tcPr>
            <w:tcW w:type="dxa" w:w="4197"/>
          </w:tcPr>
          <w:p>
            <w:pPr>
              <w:spacing w:after="50" w:before="50" w:line="252" w:lineRule="auto"/>
            </w:pPr>
            <w:r>
              <w:rPr>
                <w:sz w:val="17"/>
              </w:rPr>
              <w:t>AI evaluation harness as a teaching and research asset</w:t>
            </w:r>
          </w:p>
        </w:tc>
        <w:tc>
          <w:tcPr>
            <w:tcW w:type="dxa" w:w="3895"/>
          </w:tcPr>
          <w:p>
            <w:pPr>
              <w:spacing w:after="50" w:before="50" w:line="252" w:lineRule="auto"/>
            </w:pPr>
            <w:r>
              <w:rPr>
                <w:sz w:val="17"/>
              </w:rPr>
              <w:t>Unique; hackathons, publications, policy relevance</w:t>
            </w:r>
          </w:p>
        </w:tc>
        <w:tc>
          <w:tcPr>
            <w:tcW w:type="dxa" w:w="850"/>
          </w:tcPr>
          <w:p>
            <w:pPr>
              <w:spacing w:after="50" w:before="50" w:line="252" w:lineRule="auto"/>
            </w:pPr>
            <w:r>
              <w:rPr>
                <w:sz w:val="17"/>
              </w:rPr>
              <w:t>Medium</w:t>
            </w:r>
          </w:p>
        </w:tc>
        <w:tc>
          <w:tcPr>
            <w:tcW w:type="dxa" w:w="850"/>
          </w:tcPr>
          <w:p>
            <w:pPr>
              <w:spacing w:after="50" w:before="50" w:line="252" w:lineRule="auto"/>
            </w:pPr>
            <w:r>
              <w:rPr>
                <w:sz w:val="17"/>
              </w:rPr>
              <w:t>2–3</w:t>
            </w:r>
          </w:p>
        </w:tc>
      </w:tr>
    </w:tbl>
    <w:p>
      <w:pPr>
        <w:spacing w:after="80" w:before="0"/>
      </w:pPr>
    </w:p>
    <w:p>
      <w:pPr>
        <w:spacing w:before="80" w:after="160"/>
        <w:pBdr>
          <w:bottom w:val="single" w:sz="6" w:space="1" w:color="C9D6DE"/>
        </w:pBdr>
      </w:pPr>
    </w:p>
    <w:p>
      <w:pPr>
        <w:pStyle w:val="Heading1"/>
        <w:pBdr>
          <w:bottom w:val="single" w:sz="8" w:space="4" w:color="C9D6DE"/>
        </w:pBdr>
      </w:pPr>
      <w:r>
        <w:t>3. I1 · Student and alumni access tier</w:t>
      </w:r>
    </w:p>
    <w:p>
      <w:r>
        <w:rPr>
          <w:b/>
        </w:rPr>
        <w:t>What it is.</w:t>
      </w:r>
      <w:r>
        <w:t xml:space="preserve"> A sandboxed tier of the platform for enrolled participants and alumni, containing </w:t>
      </w:r>
      <w:r>
        <w:rPr>
          <w:b/>
        </w:rPr>
        <w:t>no live case data of any kind</w:t>
      </w:r>
      <w:r>
        <w: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5973"/>
            <w:shd w:val="clear" w:color="auto" w:fill="10375C"/>
          </w:tcPr>
          <w:p>
            <w:pPr>
              <w:spacing w:after="50" w:before="50"/>
            </w:pPr>
            <w:r>
              <w:rPr>
                <w:b/>
                <w:color w:val="FFFFFF"/>
                <w:sz w:val="17"/>
              </w:rPr>
              <w:t>Contains</w:t>
            </w:r>
          </w:p>
        </w:tc>
        <w:tc>
          <w:tcPr>
            <w:tcW w:type="dxa" w:w="3494"/>
            <w:shd w:val="clear" w:color="auto" w:fill="10375C"/>
          </w:tcPr>
          <w:p>
            <w:pPr>
              <w:spacing w:after="50" w:before="50"/>
            </w:pPr>
            <w:r>
              <w:rPr>
                <w:b/>
                <w:color w:val="FFFFFF"/>
                <w:sz w:val="17"/>
              </w:rPr>
              <w:t>Does not contain</w:t>
            </w:r>
          </w:p>
        </w:tc>
      </w:tr>
      <w:tr>
        <w:tc>
          <w:tcPr>
            <w:tcW w:type="dxa" w:w="5973"/>
          </w:tcPr>
          <w:p>
            <w:pPr>
              <w:spacing w:after="50" w:before="50" w:line="252" w:lineRule="auto"/>
            </w:pPr>
            <w:r>
              <w:rPr>
                <w:sz w:val="17"/>
              </w:rPr>
              <w:t>The Unified Dispute Explorer, as a teaching tool</w:t>
            </w:r>
          </w:p>
        </w:tc>
        <w:tc>
          <w:tcPr>
            <w:tcW w:type="dxa" w:w="3494"/>
          </w:tcPr>
          <w:p>
            <w:pPr>
              <w:spacing w:after="50" w:before="50" w:line="252" w:lineRule="auto"/>
            </w:pPr>
            <w:r>
              <w:rPr>
                <w:sz w:val="17"/>
              </w:rPr>
              <w:t>Any live matter</w:t>
            </w:r>
          </w:p>
        </w:tc>
      </w:tr>
      <w:tr>
        <w:tc>
          <w:tcPr>
            <w:tcW w:type="dxa" w:w="5973"/>
            <w:shd w:val="clear" w:color="auto" w:fill="EAF1F4"/>
          </w:tcPr>
          <w:p>
            <w:pPr>
              <w:spacing w:after="50" w:before="50" w:line="252" w:lineRule="auto"/>
            </w:pPr>
            <w:r>
              <w:rPr>
                <w:sz w:val="17"/>
              </w:rPr>
              <w:t>A simulated case environment seeded with the S-01 to S-08 fact patterns</w:t>
            </w:r>
          </w:p>
        </w:tc>
        <w:tc>
          <w:tcPr>
            <w:tcW w:type="dxa" w:w="3494"/>
            <w:shd w:val="clear" w:color="auto" w:fill="EAF1F4"/>
          </w:tcPr>
          <w:p>
            <w:pPr>
              <w:spacing w:after="50" w:before="50" w:line="252" w:lineRule="auto"/>
            </w:pPr>
            <w:r>
              <w:rPr>
                <w:sz w:val="17"/>
              </w:rPr>
              <w:t>Any party data</w:t>
            </w:r>
          </w:p>
        </w:tc>
      </w:tr>
      <w:tr>
        <w:tc>
          <w:tcPr>
            <w:tcW w:type="dxa" w:w="5973"/>
          </w:tcPr>
          <w:p>
            <w:pPr>
              <w:spacing w:after="50" w:before="50" w:line="252" w:lineRule="auto"/>
            </w:pPr>
            <w:r>
              <w:rPr>
                <w:sz w:val="17"/>
              </w:rPr>
              <w:t>Process walkthroughs — intake, clock, escrow, signposting</w:t>
            </w:r>
          </w:p>
        </w:tc>
        <w:tc>
          <w:tcPr>
            <w:tcW w:type="dxa" w:w="3494"/>
          </w:tcPr>
          <w:p>
            <w:pPr>
              <w:spacing w:after="50" w:before="50" w:line="252" w:lineRule="auto"/>
            </w:pPr>
            <w:r>
              <w:rPr>
                <w:sz w:val="17"/>
              </w:rPr>
              <w:t>Any neutral's file</w:t>
            </w:r>
          </w:p>
        </w:tc>
      </w:tr>
      <w:tr>
        <w:tc>
          <w:tcPr>
            <w:tcW w:type="dxa" w:w="5973"/>
            <w:shd w:val="clear" w:color="auto" w:fill="EAF1F4"/>
          </w:tcPr>
          <w:p>
            <w:pPr>
              <w:spacing w:after="50" w:before="50" w:line="252" w:lineRule="auto"/>
            </w:pPr>
            <w:r>
              <w:rPr>
                <w:sz w:val="17"/>
              </w:rPr>
              <w:t>Drafting templates and precedents</w:t>
            </w:r>
          </w:p>
        </w:tc>
        <w:tc>
          <w:tcPr>
            <w:tcW w:type="dxa" w:w="3494"/>
            <w:shd w:val="clear" w:color="auto" w:fill="EAF1F4"/>
          </w:tcPr>
          <w:p>
            <w:pPr>
              <w:spacing w:after="50" w:before="50" w:line="252" w:lineRule="auto"/>
            </w:pPr>
            <w:r>
              <w:rPr>
                <w:sz w:val="17"/>
              </w:rPr>
              <w:t>Any settlement agreement</w:t>
            </w:r>
          </w:p>
        </w:tc>
      </w:tr>
      <w:tr>
        <w:tc>
          <w:tcPr>
            <w:tcW w:type="dxa" w:w="5973"/>
          </w:tcPr>
          <w:p>
            <w:pPr>
              <w:spacing w:after="50" w:before="50" w:line="252" w:lineRule="auto"/>
            </w:pPr>
            <w:r>
              <w:rPr>
                <w:sz w:val="17"/>
              </w:rPr>
              <w:t>Statute and case reference set</w:t>
            </w:r>
          </w:p>
        </w:tc>
        <w:tc>
          <w:tcPr>
            <w:tcW w:type="dxa" w:w="3494"/>
          </w:tcPr>
          <w:p>
            <w:pPr>
              <w:spacing w:after="50" w:before="50" w:line="252" w:lineRule="auto"/>
            </w:pPr>
            <w:r>
              <w:rPr>
                <w:sz w:val="17"/>
              </w:rPr>
              <w:t>Anything from which a real matter could be inferred</w:t>
            </w:r>
          </w:p>
        </w:tc>
      </w:tr>
      <w:tr>
        <w:tc>
          <w:tcPr>
            <w:tcW w:type="dxa" w:w="5973"/>
            <w:shd w:val="clear" w:color="auto" w:fill="EAF1F4"/>
          </w:tcPr>
          <w:p>
            <w:pPr>
              <w:spacing w:after="50" w:before="50" w:line="252" w:lineRule="auto"/>
            </w:pPr>
            <w:r>
              <w:rPr>
                <w:sz w:val="17"/>
              </w:rPr>
              <w:t>Webinar library and CPD tracker</w:t>
            </w:r>
          </w:p>
        </w:tc>
        <w:tc>
          <w:tcPr>
            <w:tcW w:type="dxa" w:w="3494"/>
            <w:shd w:val="clear" w:color="auto" w:fill="EAF1F4"/>
          </w:tcPr>
          <w:p>
            <w:pPr>
              <w:spacing w:after="50" w:before="50" w:line="252" w:lineRule="auto"/>
            </w:pPr>
          </w:p>
        </w:tc>
      </w:tr>
      <w:tr>
        <w:tc>
          <w:tcPr>
            <w:tcW w:type="dxa" w:w="5973"/>
          </w:tcPr>
          <w:p>
            <w:pPr>
              <w:spacing w:after="50" w:before="50" w:line="252" w:lineRule="auto"/>
            </w:pPr>
            <w:r>
              <w:rPr>
                <w:sz w:val="17"/>
              </w:rPr>
              <w:t>The participant's own record — programmes, certificates, practice log</w:t>
            </w:r>
          </w:p>
        </w:tc>
        <w:tc>
          <w:tcPr>
            <w:tcW w:type="dxa" w:w="3494"/>
          </w:tcPr>
          <w:p>
            <w:pPr>
              <w:spacing w:after="50" w:before="50" w:line="252" w:lineRule="auto"/>
            </w:pPr>
          </w:p>
        </w:tc>
      </w:tr>
    </w:tbl>
    <w:p>
      <w:pPr>
        <w:spacing w:after="80" w:before="0"/>
      </w:pPr>
    </w:p>
    <w:p>
      <w:r>
        <w:rPr>
          <w:b/>
        </w:rPr>
        <w:t>Why it matters.</w:t>
      </w:r>
      <w:r>
        <w:t xml:space="preserve"> A certificate is a document. </w:t>
      </w:r>
      <w:r>
        <w:rPr>
          <w:b/>
        </w:rPr>
        <w:t>An account is a relationship.</w:t>
      </w:r>
      <w:r>
        <w:t xml:space="preserve"> An alumnus who logs in for a precedent two years after the course is a referral source, a coaching customer and a future trainer. It also converts the practice log from a paper form into a verifiable record.</w:t>
      </w:r>
    </w:p>
    <w:p>
      <w:r>
        <w:rPr>
          <w:b/>
        </w:rPr>
        <w:t>Controls.</w:t>
      </w:r>
      <w:r>
        <w:t xml:space="preserve"> Separate tenancy from live case data; no shared credentials with the case system; read-only; access expires unless renewed by CPD activity; DPDP notice and consent at registration; access revoked on certificate revocation.</w:t>
      </w:r>
    </w:p>
    <w:p>
      <w:pPr>
        <w:spacing w:before="80" w:after="160"/>
        <w:pBdr>
          <w:bottom w:val="single" w:sz="6" w:space="1" w:color="C9D6DE"/>
        </w:pBdr>
      </w:pPr>
    </w:p>
    <w:p>
      <w:pPr>
        <w:pStyle w:val="Heading1"/>
        <w:pBdr>
          <w:bottom w:val="single" w:sz="8" w:space="4" w:color="C9D6DE"/>
        </w:pBdr>
      </w:pPr>
      <w:r>
        <w:t>4. I2 · Campus Mediation Cell tooling</w:t>
      </w:r>
    </w:p>
    <w:p>
      <w:r>
        <w:t xml:space="preserve">The Cell manual at 07.5 specifies an anonymised case log, a referral form, consent capture and monthly supervision. </w:t>
      </w:r>
      <w:r>
        <w:rPr>
          <w:b/>
        </w:rPr>
        <w:t>Today that is paper.</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446"/>
            <w:shd w:val="clear" w:color="auto" w:fill="10375C"/>
          </w:tcPr>
          <w:p>
            <w:pPr>
              <w:spacing w:after="50" w:before="50"/>
            </w:pPr>
            <w:r>
              <w:rPr>
                <w:b/>
                <w:color w:val="FFFFFF"/>
                <w:sz w:val="17"/>
              </w:rPr>
              <w:t>Function</w:t>
            </w:r>
          </w:p>
        </w:tc>
        <w:tc>
          <w:tcPr>
            <w:tcW w:type="dxa" w:w="7022"/>
            <w:shd w:val="clear" w:color="auto" w:fill="10375C"/>
          </w:tcPr>
          <w:p>
            <w:pPr>
              <w:spacing w:after="50" w:before="50"/>
            </w:pPr>
            <w:r>
              <w:rPr>
                <w:b/>
                <w:color w:val="FFFFFF"/>
                <w:sz w:val="17"/>
              </w:rPr>
              <w:t>On the platform</w:t>
            </w:r>
          </w:p>
        </w:tc>
      </w:tr>
      <w:tr>
        <w:tc>
          <w:tcPr>
            <w:tcW w:type="dxa" w:w="2446"/>
          </w:tcPr>
          <w:p>
            <w:pPr>
              <w:spacing w:after="50" w:before="50" w:line="252" w:lineRule="auto"/>
            </w:pPr>
            <w:r>
              <w:rPr>
                <w:sz w:val="17"/>
              </w:rPr>
              <w:t>Referral intake</w:t>
            </w:r>
          </w:p>
        </w:tc>
        <w:tc>
          <w:tcPr>
            <w:tcW w:type="dxa" w:w="7022"/>
          </w:tcPr>
          <w:p>
            <w:pPr>
              <w:spacing w:after="50" w:before="50" w:line="252" w:lineRule="auto"/>
            </w:pPr>
            <w:r>
              <w:rPr>
                <w:sz w:val="17"/>
              </w:rPr>
              <w:t>Structured form with automatic screening prompts against the out-of-scope list at 07.5 s.4.2</w:t>
            </w:r>
          </w:p>
        </w:tc>
      </w:tr>
      <w:tr>
        <w:tc>
          <w:tcPr>
            <w:tcW w:type="dxa" w:w="2446"/>
            <w:shd w:val="clear" w:color="auto" w:fill="EAF1F4"/>
          </w:tcPr>
          <w:p>
            <w:pPr>
              <w:spacing w:after="50" w:before="50" w:line="252" w:lineRule="auto"/>
            </w:pPr>
            <w:r>
              <w:rPr>
                <w:b/>
                <w:sz w:val="17"/>
              </w:rPr>
              <w:t>Out-of-scope routing</w:t>
            </w:r>
          </w:p>
        </w:tc>
        <w:tc>
          <w:tcPr>
            <w:tcW w:type="dxa" w:w="7022"/>
            <w:shd w:val="clear" w:color="auto" w:fill="EAF1F4"/>
          </w:tcPr>
          <w:p>
            <w:pPr>
              <w:spacing w:after="50" w:before="50" w:line="252" w:lineRule="auto"/>
            </w:pPr>
            <w:r>
              <w:rPr>
                <w:sz w:val="17"/>
              </w:rPr>
              <w:t>The form refuses to proceed and displays the referral route where a category is flagged — POSH, ragging, discrimination, criminal allegation, staff-student, safety concern</w:t>
            </w:r>
          </w:p>
        </w:tc>
      </w:tr>
      <w:tr>
        <w:tc>
          <w:tcPr>
            <w:tcW w:type="dxa" w:w="2446"/>
          </w:tcPr>
          <w:p>
            <w:pPr>
              <w:spacing w:after="50" w:before="50" w:line="252" w:lineRule="auto"/>
            </w:pPr>
            <w:r>
              <w:rPr>
                <w:sz w:val="17"/>
              </w:rPr>
              <w:t>Consent capture</w:t>
            </w:r>
          </w:p>
        </w:tc>
        <w:tc>
          <w:tcPr>
            <w:tcW w:type="dxa" w:w="7022"/>
          </w:tcPr>
          <w:p>
            <w:pPr>
              <w:spacing w:after="50" w:before="50" w:line="252" w:lineRule="auto"/>
            </w:pPr>
            <w:r>
              <w:rPr>
                <w:sz w:val="17"/>
              </w:rPr>
              <w:t>Digital, with the notice version and timestamp retained</w:t>
            </w:r>
          </w:p>
        </w:tc>
      </w:tr>
      <w:tr>
        <w:tc>
          <w:tcPr>
            <w:tcW w:type="dxa" w:w="2446"/>
            <w:shd w:val="clear" w:color="auto" w:fill="EAF1F4"/>
          </w:tcPr>
          <w:p>
            <w:pPr>
              <w:spacing w:after="50" w:before="50" w:line="252" w:lineRule="auto"/>
            </w:pPr>
            <w:r>
              <w:rPr>
                <w:sz w:val="17"/>
              </w:rPr>
              <w:t>Allocation</w:t>
            </w:r>
          </w:p>
        </w:tc>
        <w:tc>
          <w:tcPr>
            <w:tcW w:type="dxa" w:w="7022"/>
            <w:shd w:val="clear" w:color="auto" w:fill="EAF1F4"/>
          </w:tcPr>
          <w:p>
            <w:pPr>
              <w:spacing w:after="50" w:before="50" w:line="252" w:lineRule="auto"/>
            </w:pPr>
            <w:r>
              <w:rPr>
                <w:sz w:val="17"/>
              </w:rPr>
              <w:t>Conflict check against the mediator roster</w:t>
            </w:r>
          </w:p>
        </w:tc>
      </w:tr>
      <w:tr>
        <w:tc>
          <w:tcPr>
            <w:tcW w:type="dxa" w:w="2446"/>
          </w:tcPr>
          <w:p>
            <w:pPr>
              <w:spacing w:after="50" w:before="50" w:line="252" w:lineRule="auto"/>
            </w:pPr>
            <w:r>
              <w:rPr>
                <w:sz w:val="17"/>
              </w:rPr>
              <w:t>Case log</w:t>
            </w:r>
          </w:p>
        </w:tc>
        <w:tc>
          <w:tcPr>
            <w:tcW w:type="dxa" w:w="7022"/>
          </w:tcPr>
          <w:p>
            <w:pPr>
              <w:spacing w:after="50" w:before="50" w:line="252" w:lineRule="auto"/>
            </w:pPr>
            <w:r>
              <w:rPr>
                <w:sz w:val="17"/>
              </w:rPr>
              <w:t>Anonymised at the point of entry, not later</w:t>
            </w:r>
          </w:p>
        </w:tc>
      </w:tr>
      <w:tr>
        <w:tc>
          <w:tcPr>
            <w:tcW w:type="dxa" w:w="2446"/>
            <w:shd w:val="clear" w:color="auto" w:fill="EAF1F4"/>
          </w:tcPr>
          <w:p>
            <w:pPr>
              <w:spacing w:after="50" w:before="50" w:line="252" w:lineRule="auto"/>
            </w:pPr>
            <w:r>
              <w:rPr>
                <w:sz w:val="17"/>
              </w:rPr>
              <w:t>Supervision</w:t>
            </w:r>
          </w:p>
        </w:tc>
        <w:tc>
          <w:tcPr>
            <w:tcW w:type="dxa" w:w="7022"/>
            <w:shd w:val="clear" w:color="auto" w:fill="EAF1F4"/>
          </w:tcPr>
          <w:p>
            <w:pPr>
              <w:spacing w:after="50" w:before="50" w:line="252" w:lineRule="auto"/>
            </w:pPr>
            <w:r>
              <w:rPr>
                <w:sz w:val="17"/>
              </w:rPr>
              <w:t>Monthly export for the Equator supervisor</w:t>
            </w:r>
          </w:p>
        </w:tc>
      </w:tr>
      <w:tr>
        <w:tc>
          <w:tcPr>
            <w:tcW w:type="dxa" w:w="2446"/>
          </w:tcPr>
          <w:p>
            <w:pPr>
              <w:spacing w:after="50" w:before="50" w:line="252" w:lineRule="auto"/>
            </w:pPr>
            <w:r>
              <w:rPr>
                <w:sz w:val="17"/>
              </w:rPr>
              <w:t>Reporting</w:t>
            </w:r>
          </w:p>
        </w:tc>
        <w:tc>
          <w:tcPr>
            <w:tcW w:type="dxa" w:w="7022"/>
          </w:tcPr>
          <w:p>
            <w:pPr>
              <w:spacing w:after="50" w:before="50" w:line="252" w:lineRule="auto"/>
            </w:pPr>
            <w:r>
              <w:rPr>
                <w:sz w:val="17"/>
              </w:rPr>
              <w:t>Anonymised aggregate to the Faculty Convenor and to Equator</w:t>
            </w:r>
          </w:p>
        </w:tc>
      </w:tr>
    </w:tbl>
    <w:p>
      <w:pPr>
        <w:spacing w:after="80" w:before="0"/>
      </w:pPr>
    </w:p>
    <w:p>
      <w:r>
        <w:rPr>
          <w:b/>
        </w:rPr>
        <w:t>The screening prompt is the point.</w:t>
      </w:r>
      <w:r>
        <w:t xml:space="preserve"> The most serious risk in a student peer-mediation cell is a case being mediated that should have been referred. </w:t>
      </w:r>
      <w:r>
        <w:rPr>
          <w:b/>
        </w:rPr>
        <w:t>A form that will not let a student proceed is a stronger control than a rule in a manual.</w:t>
      </w:r>
    </w:p>
    <w:p>
      <w:r>
        <w:t>Low effort, high safety value, and it puts an Equator-built system on the campus permanently.</w:t>
      </w:r>
    </w:p>
    <w:p>
      <w:pPr>
        <w:spacing w:before="80" w:after="160"/>
        <w:pBdr>
          <w:bottom w:val="single" w:sz="6" w:space="1" w:color="C9D6DE"/>
        </w:pBdr>
      </w:pPr>
    </w:p>
    <w:p>
      <w:pPr>
        <w:pStyle w:val="Heading1"/>
        <w:pBdr>
          <w:bottom w:val="single" w:sz="8" w:space="4" w:color="C9D6DE"/>
        </w:pBdr>
      </w:pPr>
      <w:r>
        <w:t>5. I3 · Certification register and verification</w:t>
      </w:r>
    </w:p>
    <w:p>
      <w:r>
        <w:t>The register at 05.7 and 11.3 is a permanent record and the basis of every verification response.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530"/>
            <w:shd w:val="clear" w:color="auto" w:fill="10375C"/>
          </w:tcPr>
          <w:p>
            <w:pPr>
              <w:spacing w:after="50" w:before="50"/>
            </w:pPr>
            <w:r>
              <w:rPr>
                <w:b/>
                <w:color w:val="FFFFFF"/>
                <w:sz w:val="17"/>
              </w:rPr>
              <w:t>Function</w:t>
            </w:r>
          </w:p>
        </w:tc>
        <w:tc>
          <w:tcPr>
            <w:tcW w:type="dxa" w:w="6937"/>
            <w:shd w:val="clear" w:color="auto" w:fill="10375C"/>
          </w:tcPr>
          <w:p>
            <w:pPr>
              <w:spacing w:after="50" w:before="50"/>
            </w:pPr>
            <w:r>
              <w:rPr>
                <w:b/>
                <w:color w:val="FFFFFF"/>
                <w:sz w:val="17"/>
              </w:rPr>
              <w:t>Detail</w:t>
            </w:r>
          </w:p>
        </w:tc>
      </w:tr>
      <w:tr>
        <w:tc>
          <w:tcPr>
            <w:tcW w:type="dxa" w:w="2530"/>
          </w:tcPr>
          <w:p>
            <w:pPr>
              <w:spacing w:after="50" w:before="50" w:line="252" w:lineRule="auto"/>
            </w:pPr>
            <w:r>
              <w:rPr>
                <w:sz w:val="17"/>
              </w:rPr>
              <w:t>Register of record</w:t>
            </w:r>
          </w:p>
        </w:tc>
        <w:tc>
          <w:tcPr>
            <w:tcW w:type="dxa" w:w="6937"/>
          </w:tcPr>
          <w:p>
            <w:pPr>
              <w:spacing w:after="50" w:before="50" w:line="252" w:lineRule="auto"/>
            </w:pPr>
            <w:r>
              <w:rPr>
                <w:sz w:val="17"/>
              </w:rPr>
              <w:t>Certificate number, holder, programme, hours, dates, outcome, status</w:t>
            </w:r>
          </w:p>
        </w:tc>
      </w:tr>
      <w:tr>
        <w:tc>
          <w:tcPr>
            <w:tcW w:type="dxa" w:w="2530"/>
            <w:shd w:val="clear" w:color="auto" w:fill="EAF1F4"/>
          </w:tcPr>
          <w:p>
            <w:pPr>
              <w:spacing w:after="50" w:before="50" w:line="252" w:lineRule="auto"/>
            </w:pPr>
            <w:r>
              <w:rPr>
                <w:b/>
                <w:sz w:val="17"/>
              </w:rPr>
              <w:t>Public verification</w:t>
            </w:r>
          </w:p>
        </w:tc>
        <w:tc>
          <w:tcPr>
            <w:tcW w:type="dxa" w:w="6937"/>
            <w:shd w:val="clear" w:color="auto" w:fill="EAF1F4"/>
          </w:tcPr>
          <w:p>
            <w:pPr>
              <w:spacing w:after="50" w:before="50" w:line="252" w:lineRule="auto"/>
            </w:pPr>
            <w:r>
              <w:rPr>
                <w:sz w:val="17"/>
              </w:rPr>
              <w:t xml:space="preserve">A page where a number is entered and the response is: issued to the named person, programme, dates, and status — </w:t>
            </w:r>
            <w:r>
              <w:rPr>
                <w:b/>
                <w:sz w:val="17"/>
              </w:rPr>
              <w:t>and nothing else</w:t>
            </w:r>
          </w:p>
        </w:tc>
      </w:tr>
      <w:tr>
        <w:tc>
          <w:tcPr>
            <w:tcW w:type="dxa" w:w="2530"/>
          </w:tcPr>
          <w:p>
            <w:pPr>
              <w:spacing w:after="50" w:before="50" w:line="252" w:lineRule="auto"/>
            </w:pPr>
            <w:r>
              <w:rPr>
                <w:sz w:val="17"/>
              </w:rPr>
              <w:t>Digital certificate</w:t>
            </w:r>
          </w:p>
        </w:tc>
        <w:tc>
          <w:tcPr>
            <w:tcW w:type="dxa" w:w="6937"/>
          </w:tcPr>
          <w:p>
            <w:pPr>
              <w:spacing w:after="50" w:before="50" w:line="252" w:lineRule="auto"/>
            </w:pPr>
            <w:r>
              <w:rPr>
                <w:sz w:val="17"/>
              </w:rPr>
              <w:t>Verification reference; tamper-evident where available</w:t>
            </w:r>
          </w:p>
        </w:tc>
      </w:tr>
      <w:tr>
        <w:tc>
          <w:tcPr>
            <w:tcW w:type="dxa" w:w="2530"/>
            <w:shd w:val="clear" w:color="auto" w:fill="EAF1F4"/>
          </w:tcPr>
          <w:p>
            <w:pPr>
              <w:spacing w:after="50" w:before="50" w:line="252" w:lineRule="auto"/>
            </w:pPr>
            <w:r>
              <w:rPr>
                <w:sz w:val="17"/>
              </w:rPr>
              <w:t>Revocation</w:t>
            </w:r>
          </w:p>
        </w:tc>
        <w:tc>
          <w:tcPr>
            <w:tcW w:type="dxa" w:w="6937"/>
            <w:shd w:val="clear" w:color="auto" w:fill="EAF1F4"/>
          </w:tcPr>
          <w:p>
            <w:pPr>
              <w:spacing w:after="50" w:before="50" w:line="252" w:lineRule="auto"/>
            </w:pPr>
            <w:r>
              <w:rPr>
                <w:sz w:val="17"/>
              </w:rPr>
              <w:t xml:space="preserve">Status updates immediately; verification returns </w:t>
            </w:r>
            <w:r>
              <w:rPr>
                <w:i/>
                <w:sz w:val="17"/>
              </w:rPr>
              <w:t>revoked</w:t>
            </w:r>
          </w:p>
        </w:tc>
      </w:tr>
      <w:tr>
        <w:tc>
          <w:tcPr>
            <w:tcW w:type="dxa" w:w="2530"/>
          </w:tcPr>
          <w:p>
            <w:pPr>
              <w:spacing w:after="50" w:before="50" w:line="252" w:lineRule="auto"/>
            </w:pPr>
            <w:r>
              <w:rPr>
                <w:sz w:val="17"/>
              </w:rPr>
              <w:t>Audit</w:t>
            </w:r>
          </w:p>
        </w:tc>
        <w:tc>
          <w:tcPr>
            <w:tcW w:type="dxa" w:w="6937"/>
          </w:tcPr>
          <w:p>
            <w:pPr>
              <w:spacing w:after="50" w:before="50" w:line="252" w:lineRule="auto"/>
            </w:pPr>
            <w:r>
              <w:rPr>
                <w:sz w:val="17"/>
              </w:rPr>
              <w:t>Every verification request logged</w:t>
            </w:r>
          </w:p>
        </w:tc>
      </w:tr>
    </w:tbl>
    <w:p>
      <w:pPr>
        <w:spacing w:after="80" w:before="0"/>
      </w:pPr>
    </w:p>
    <w:p>
      <w:r>
        <w:rPr>
          <w:b/>
        </w:rPr>
        <w:t>Why it is worth doing early.</w:t>
      </w:r>
      <w:r>
        <w:t xml:space="preserve"> It is cheap, it is the single most-used long-term function, and a provider whose certificates can be verified in ten seconds is treated differently from one whose cannot.</w:t>
      </w:r>
    </w:p>
    <w:p>
      <w:pPr>
        <w:spacing w:before="80" w:after="160"/>
        <w:pBdr>
          <w:bottom w:val="single" w:sz="6" w:space="1" w:color="C9D6DE"/>
        </w:pBdr>
      </w:pPr>
    </w:p>
    <w:p>
      <w:pPr>
        <w:pStyle w:val="Heading1"/>
        <w:pBdr>
          <w:bottom w:val="single" w:sz="8" w:space="4" w:color="C9D6DE"/>
        </w:pBdr>
      </w:pPr>
      <w:r>
        <w:t>6. I4 · Competition platform</w:t>
      </w:r>
    </w:p>
    <w:p>
      <w:r>
        <w:t>Competition scoring is currently paper-first by design, and it should remain so — the physical scoresheet is the record. The platform handles everything around it.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912"/>
            <w:shd w:val="clear" w:color="auto" w:fill="10375C"/>
          </w:tcPr>
          <w:p>
            <w:pPr>
              <w:spacing w:after="50" w:before="50"/>
            </w:pPr>
            <w:r>
              <w:rPr>
                <w:b/>
                <w:color w:val="FFFFFF"/>
                <w:sz w:val="17"/>
              </w:rPr>
              <w:t>Function</w:t>
            </w:r>
          </w:p>
        </w:tc>
        <w:tc>
          <w:tcPr>
            <w:tcW w:type="dxa" w:w="6555"/>
            <w:shd w:val="clear" w:color="auto" w:fill="10375C"/>
          </w:tcPr>
          <w:p>
            <w:pPr>
              <w:spacing w:after="50" w:before="50"/>
            </w:pPr>
            <w:r>
              <w:rPr>
                <w:b/>
                <w:color w:val="FFFFFF"/>
                <w:sz w:val="17"/>
              </w:rPr>
              <w:t>Control it enforces</w:t>
            </w:r>
          </w:p>
        </w:tc>
      </w:tr>
      <w:tr>
        <w:tc>
          <w:tcPr>
            <w:tcW w:type="dxa" w:w="2912"/>
          </w:tcPr>
          <w:p>
            <w:pPr>
              <w:spacing w:after="50" w:before="50" w:line="252" w:lineRule="auto"/>
            </w:pPr>
            <w:r>
              <w:rPr>
                <w:sz w:val="17"/>
              </w:rPr>
              <w:t>Registration and eligibility</w:t>
            </w:r>
          </w:p>
        </w:tc>
        <w:tc>
          <w:tcPr>
            <w:tcW w:type="dxa" w:w="6555"/>
          </w:tcPr>
          <w:p>
            <w:pPr>
              <w:spacing w:after="50" w:before="50" w:line="252" w:lineRule="auto"/>
            </w:pPr>
            <w:r>
              <w:rPr>
                <w:sz w:val="17"/>
              </w:rPr>
              <w:t>Institution certification captured; declarations F-06 and F-08 executed digitally</w:t>
            </w:r>
          </w:p>
        </w:tc>
      </w:tr>
      <w:tr>
        <w:tc>
          <w:tcPr>
            <w:tcW w:type="dxa" w:w="2912"/>
            <w:shd w:val="clear" w:color="auto" w:fill="EAF1F4"/>
          </w:tcPr>
          <w:p>
            <w:pPr>
              <w:spacing w:after="50" w:before="50" w:line="252" w:lineRule="auto"/>
            </w:pPr>
            <w:r>
              <w:rPr>
                <w:b/>
                <w:sz w:val="17"/>
              </w:rPr>
              <w:t>Materials despatch</w:t>
            </w:r>
          </w:p>
        </w:tc>
        <w:tc>
          <w:tcPr>
            <w:tcW w:type="dxa" w:w="6555"/>
            <w:shd w:val="clear" w:color="auto" w:fill="EAF1F4"/>
          </w:tcPr>
          <w:p>
            <w:pPr>
              <w:spacing w:after="50" w:before="50" w:line="252" w:lineRule="auto"/>
            </w:pPr>
            <w:r>
              <w:rPr>
                <w:sz w:val="17"/>
              </w:rPr>
              <w:t xml:space="preserve">Side-specific release; </w:t>
            </w:r>
            <w:r>
              <w:rPr>
                <w:b/>
                <w:sz w:val="17"/>
              </w:rPr>
              <w:t>a team can only ever receive its own confidential brief</w:t>
            </w:r>
            <w:r>
              <w:rPr>
                <w:sz w:val="17"/>
              </w:rPr>
              <w:t>; every despatch logged with recipient and timestamp</w:t>
            </w:r>
          </w:p>
        </w:tc>
      </w:tr>
      <w:tr>
        <w:tc>
          <w:tcPr>
            <w:tcW w:type="dxa" w:w="2912"/>
          </w:tcPr>
          <w:p>
            <w:pPr>
              <w:spacing w:after="50" w:before="50" w:line="252" w:lineRule="auto"/>
            </w:pPr>
            <w:r>
              <w:rPr>
                <w:sz w:val="17"/>
              </w:rPr>
              <w:t>Draw and allocation</w:t>
            </w:r>
          </w:p>
        </w:tc>
        <w:tc>
          <w:tcPr>
            <w:tcW w:type="dxa" w:w="6555"/>
          </w:tcPr>
          <w:p>
            <w:pPr>
              <w:spacing w:after="50" w:before="50" w:line="252" w:lineRule="auto"/>
            </w:pPr>
            <w:r>
              <w:rPr>
                <w:sz w:val="17"/>
              </w:rPr>
              <w:t>Conflict rules applied automatically to judge allocation</w:t>
            </w:r>
          </w:p>
        </w:tc>
      </w:tr>
      <w:tr>
        <w:tc>
          <w:tcPr>
            <w:tcW w:type="dxa" w:w="2912"/>
            <w:shd w:val="clear" w:color="auto" w:fill="EAF1F4"/>
          </w:tcPr>
          <w:p>
            <w:pPr>
              <w:spacing w:after="50" w:before="50" w:line="252" w:lineRule="auto"/>
            </w:pPr>
            <w:r>
              <w:rPr>
                <w:sz w:val="17"/>
              </w:rPr>
              <w:t>Score entry</w:t>
            </w:r>
          </w:p>
        </w:tc>
        <w:tc>
          <w:tcPr>
            <w:tcW w:type="dxa" w:w="6555"/>
            <w:shd w:val="clear" w:color="auto" w:fill="EAF1F4"/>
          </w:tcPr>
          <w:p>
            <w:pPr>
              <w:spacing w:after="50" w:before="50" w:line="252" w:lineRule="auto"/>
            </w:pPr>
            <w:r>
              <w:rPr>
                <w:sz w:val="17"/>
              </w:rPr>
              <w:t>Two-person entry and verification enforced by the system</w:t>
            </w:r>
          </w:p>
        </w:tc>
      </w:tr>
      <w:tr>
        <w:tc>
          <w:tcPr>
            <w:tcW w:type="dxa" w:w="2912"/>
          </w:tcPr>
          <w:p>
            <w:pPr>
              <w:spacing w:after="50" w:before="50" w:line="252" w:lineRule="auto"/>
            </w:pPr>
            <w:r>
              <w:rPr>
                <w:sz w:val="17"/>
              </w:rPr>
              <w:t>Ranking</w:t>
            </w:r>
          </w:p>
        </w:tc>
        <w:tc>
          <w:tcPr>
            <w:tcW w:type="dxa" w:w="6555"/>
          </w:tcPr>
          <w:p>
            <w:pPr>
              <w:spacing w:after="50" w:before="50" w:line="252" w:lineRule="auto"/>
            </w:pPr>
            <w:r>
              <w:rPr>
                <w:sz w:val="17"/>
              </w:rPr>
              <w:t>Computed by rule; Convenor's signature required before publication</w:t>
            </w:r>
          </w:p>
        </w:tc>
      </w:tr>
      <w:tr>
        <w:tc>
          <w:tcPr>
            <w:tcW w:type="dxa" w:w="2912"/>
            <w:shd w:val="clear" w:color="auto" w:fill="EAF1F4"/>
          </w:tcPr>
          <w:p>
            <w:pPr>
              <w:spacing w:after="50" w:before="50" w:line="252" w:lineRule="auto"/>
            </w:pPr>
            <w:r>
              <w:rPr>
                <w:sz w:val="17"/>
              </w:rPr>
              <w:t>Results and scoresheets</w:t>
            </w:r>
          </w:p>
        </w:tc>
        <w:tc>
          <w:tcPr>
            <w:tcW w:type="dxa" w:w="6555"/>
            <w:shd w:val="clear" w:color="auto" w:fill="EAF1F4"/>
          </w:tcPr>
          <w:p>
            <w:pPr>
              <w:spacing w:after="50" w:before="50" w:line="252" w:lineRule="auto"/>
            </w:pPr>
            <w:r>
              <w:rPr>
                <w:sz w:val="17"/>
              </w:rPr>
              <w:t>Returned to teams after the edition</w:t>
            </w:r>
          </w:p>
        </w:tc>
      </w:tr>
    </w:tbl>
    <w:p>
      <w:pPr>
        <w:spacing w:after="80" w:before="0"/>
      </w:pPr>
    </w:p>
    <w:p>
      <w:r>
        <w:rPr>
          <w:b/>
        </w:rPr>
        <w:t>Integration I4 removes risk I19</w:t>
      </w:r>
      <w:r>
        <w:t xml:space="preserve"> — the leak of a confidential brief to the wrong side, which is the single most damaging thing that can happen to a competition. A manual despatch of eighty briefs across forty teams will eventually go wrong; a system that cannot address a brief to the wrong side will not.</w:t>
      </w:r>
    </w:p>
    <w:p>
      <w:pPr>
        <w:spacing w:before="80" w:after="160"/>
        <w:pBdr>
          <w:bottom w:val="single" w:sz="6" w:space="1" w:color="C9D6DE"/>
        </w:pBdr>
      </w:pPr>
    </w:p>
    <w:p>
      <w:pPr>
        <w:pStyle w:val="Heading1"/>
        <w:pBdr>
          <w:bottom w:val="single" w:sz="8" w:space="4" w:color="C9D6DE"/>
        </w:pBdr>
      </w:pPr>
      <w:r>
        <w:t>7. I5 · ODR pilot with a technical university</w:t>
      </w:r>
    </w:p>
    <w:p>
      <w:r>
        <w:rPr>
          <w:b/>
        </w:rPr>
        <w:t>The proposition.</w:t>
      </w:r>
      <w:r>
        <w:t xml:space="preserve"> Equator provides the dispute-resolution domain, a live ODR capability and real process design. The university provides computer science and design capability, students and academic supervision. Together they run a pilot on a defined, low-value, high-volume dispute type.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568"/>
            <w:shd w:val="clear" w:color="auto" w:fill="10375C"/>
          </w:tcPr>
          <w:p>
            <w:pPr>
              <w:spacing w:after="50" w:before="50"/>
            </w:pPr>
            <w:r>
              <w:rPr>
                <w:b/>
                <w:color w:val="FFFFFF"/>
                <w:sz w:val="17"/>
              </w:rPr>
              <w:t>Element</w:t>
            </w:r>
          </w:p>
        </w:tc>
        <w:tc>
          <w:tcPr>
            <w:tcW w:type="dxa" w:w="6899"/>
            <w:shd w:val="clear" w:color="auto" w:fill="10375C"/>
          </w:tcPr>
          <w:p>
            <w:pPr>
              <w:spacing w:after="50" w:before="50"/>
            </w:pPr>
            <w:r>
              <w:rPr>
                <w:b/>
                <w:color w:val="FFFFFF"/>
                <w:sz w:val="17"/>
              </w:rPr>
              <w:t>Detail</w:t>
            </w:r>
          </w:p>
        </w:tc>
      </w:tr>
      <w:tr>
        <w:tc>
          <w:tcPr>
            <w:tcW w:type="dxa" w:w="2568"/>
          </w:tcPr>
          <w:p>
            <w:pPr>
              <w:spacing w:after="50" w:before="50" w:line="252" w:lineRule="auto"/>
            </w:pPr>
            <w:r>
              <w:rPr>
                <w:sz w:val="17"/>
              </w:rPr>
              <w:t>Candidate dispute types</w:t>
            </w:r>
          </w:p>
        </w:tc>
        <w:tc>
          <w:tcPr>
            <w:tcW w:type="dxa" w:w="6899"/>
          </w:tcPr>
          <w:p>
            <w:pPr>
              <w:spacing w:after="50" w:before="50" w:line="252" w:lineRule="auto"/>
            </w:pPr>
            <w:r>
              <w:rPr>
                <w:sz w:val="17"/>
              </w:rPr>
              <w:t>Student–landlord deposit disputes; small-value consumer complaints with a partner platform; campus service and facility disputes; MSME payment disputes below a threshold</w:t>
            </w:r>
          </w:p>
        </w:tc>
      </w:tr>
      <w:tr>
        <w:tc>
          <w:tcPr>
            <w:tcW w:type="dxa" w:w="2568"/>
            <w:shd w:val="clear" w:color="auto" w:fill="EAF1F4"/>
          </w:tcPr>
          <w:p>
            <w:pPr>
              <w:spacing w:after="50" w:before="50" w:line="252" w:lineRule="auto"/>
            </w:pPr>
            <w:r>
              <w:rPr>
                <w:sz w:val="17"/>
              </w:rPr>
              <w:t>University contribution</w:t>
            </w:r>
          </w:p>
        </w:tc>
        <w:tc>
          <w:tcPr>
            <w:tcW w:type="dxa" w:w="6899"/>
            <w:shd w:val="clear" w:color="auto" w:fill="EAF1F4"/>
          </w:tcPr>
          <w:p>
            <w:pPr>
              <w:spacing w:after="50" w:before="50" w:line="252" w:lineRule="auto"/>
            </w:pPr>
            <w:r>
              <w:rPr>
                <w:sz w:val="17"/>
              </w:rPr>
              <w:t>Student project teams; supervision; evaluation; publication</w:t>
            </w:r>
          </w:p>
        </w:tc>
      </w:tr>
      <w:tr>
        <w:tc>
          <w:tcPr>
            <w:tcW w:type="dxa" w:w="2568"/>
          </w:tcPr>
          <w:p>
            <w:pPr>
              <w:spacing w:after="50" w:before="50" w:line="252" w:lineRule="auto"/>
            </w:pPr>
            <w:r>
              <w:rPr>
                <w:sz w:val="17"/>
              </w:rPr>
              <w:t>Equator contribution</w:t>
            </w:r>
          </w:p>
        </w:tc>
        <w:tc>
          <w:tcPr>
            <w:tcW w:type="dxa" w:w="6899"/>
          </w:tcPr>
          <w:p>
            <w:pPr>
              <w:spacing w:after="50" w:before="50" w:line="252" w:lineRule="auto"/>
            </w:pPr>
            <w:r>
              <w:rPr>
                <w:sz w:val="17"/>
              </w:rPr>
              <w:t>Process design; neutrals; platform; compliance; case administration</w:t>
            </w:r>
          </w:p>
        </w:tc>
      </w:tr>
      <w:tr>
        <w:tc>
          <w:tcPr>
            <w:tcW w:type="dxa" w:w="2568"/>
            <w:shd w:val="clear" w:color="auto" w:fill="EAF1F4"/>
          </w:tcPr>
          <w:p>
            <w:pPr>
              <w:spacing w:after="50" w:before="50" w:line="252" w:lineRule="auto"/>
            </w:pPr>
            <w:r>
              <w:rPr>
                <w:sz w:val="17"/>
              </w:rPr>
              <w:t>Governance</w:t>
            </w:r>
          </w:p>
        </w:tc>
        <w:tc>
          <w:tcPr>
            <w:tcW w:type="dxa" w:w="6899"/>
            <w:shd w:val="clear" w:color="auto" w:fill="EAF1F4"/>
          </w:tcPr>
          <w:p>
            <w:pPr>
              <w:spacing w:after="50" w:before="50" w:line="252" w:lineRule="auto"/>
            </w:pPr>
            <w:r>
              <w:rPr>
                <w:sz w:val="17"/>
              </w:rPr>
              <w:t>Ethics approval; DPDP assessment before any real dispute enters; a defined stop rule</w:t>
            </w:r>
          </w:p>
        </w:tc>
      </w:tr>
      <w:tr>
        <w:tc>
          <w:tcPr>
            <w:tcW w:type="dxa" w:w="2568"/>
          </w:tcPr>
          <w:p>
            <w:pPr>
              <w:spacing w:after="50" w:before="50" w:line="252" w:lineRule="auto"/>
            </w:pPr>
            <w:r>
              <w:rPr>
                <w:sz w:val="17"/>
              </w:rPr>
              <w:t>Outputs</w:t>
            </w:r>
          </w:p>
        </w:tc>
        <w:tc>
          <w:tcPr>
            <w:tcW w:type="dxa" w:w="6899"/>
          </w:tcPr>
          <w:p>
            <w:pPr>
              <w:spacing w:after="50" w:before="50" w:line="252" w:lineRule="auto"/>
            </w:pPr>
            <w:r>
              <w:rPr>
                <w:sz w:val="17"/>
              </w:rPr>
              <w:t>A working pilot; an empirical paper; a hackathon; press and policy visibility</w:t>
            </w:r>
          </w:p>
        </w:tc>
      </w:tr>
      <w:tr>
        <w:tc>
          <w:tcPr>
            <w:tcW w:type="dxa" w:w="2568"/>
            <w:shd w:val="clear" w:color="auto" w:fill="EAF1F4"/>
          </w:tcPr>
          <w:p>
            <w:pPr>
              <w:spacing w:after="50" w:before="50" w:line="252" w:lineRule="auto"/>
            </w:pPr>
            <w:r>
              <w:rPr>
                <w:sz w:val="17"/>
              </w:rPr>
              <w:t>Commercial</w:t>
            </w:r>
          </w:p>
        </w:tc>
        <w:tc>
          <w:tcPr>
            <w:tcW w:type="dxa" w:w="6899"/>
            <w:shd w:val="clear" w:color="auto" w:fill="EAF1F4"/>
          </w:tcPr>
          <w:p>
            <w:pPr>
              <w:spacing w:after="50" w:before="50" w:line="252" w:lineRule="auto"/>
            </w:pPr>
            <w:r>
              <w:rPr>
                <w:sz w:val="17"/>
              </w:rPr>
              <w:t>Non-commercial pilot; the value is credibility, research and the partnership itself</w:t>
            </w:r>
          </w:p>
        </w:tc>
      </w:tr>
    </w:tbl>
    <w:p>
      <w:pPr>
        <w:spacing w:after="80" w:before="0"/>
      </w:pPr>
    </w:p>
    <w:p>
      <w:r>
        <w:rPr>
          <w:b/>
        </w:rPr>
        <w:t>Caution.</w:t>
      </w:r>
      <w:r>
        <w:t xml:space="preserve"> A pilot handling real disputes is not a student project. Real parties, real consent, real confidentiality, real complaint routes. </w:t>
      </w:r>
      <w:r>
        <w:rPr>
          <w:b/>
        </w:rPr>
        <w:t>Run the first pilot on simulated disputes end to end before a single real matter enters</w:t>
      </w:r>
      <w:r>
        <w:t>, and make the stop rule explicit.</w:t>
      </w:r>
    </w:p>
    <w:p>
      <w:pPr>
        <w:spacing w:before="80" w:after="160"/>
        <w:pBdr>
          <w:bottom w:val="single" w:sz="6" w:space="1" w:color="C9D6DE"/>
        </w:pBdr>
      </w:pPr>
    </w:p>
    <w:p>
      <w:pPr>
        <w:pStyle w:val="Heading1"/>
        <w:pBdr>
          <w:bottom w:val="single" w:sz="8" w:space="4" w:color="C9D6DE"/>
        </w:pBdr>
      </w:pPr>
      <w:r>
        <w:t>8. I6 · Research data pipeline</w:t>
      </w:r>
    </w:p>
    <w:p>
      <w:r>
        <w:t xml:space="preserve">The Research Ethics and Data Protocol at 08.3 requires anonymisation at source, small-cell suppression, secondary suppression, dominance rules and a documented re-identification test. </w:t>
      </w:r>
      <w:r>
        <w:rPr>
          <w:b/>
        </w:rPr>
        <w:t>Doing this by hand for each release is slow and error-prone, and errors here are irreversible.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069"/>
            <w:shd w:val="clear" w:color="auto" w:fill="10375C"/>
          </w:tcPr>
          <w:p>
            <w:pPr>
              <w:spacing w:after="50" w:before="50"/>
            </w:pPr>
            <w:r>
              <w:rPr>
                <w:b/>
                <w:color w:val="FFFFFF"/>
                <w:sz w:val="17"/>
              </w:rPr>
              <w:t>Function</w:t>
            </w:r>
          </w:p>
        </w:tc>
        <w:tc>
          <w:tcPr>
            <w:tcW w:type="dxa" w:w="7399"/>
            <w:shd w:val="clear" w:color="auto" w:fill="10375C"/>
          </w:tcPr>
          <w:p>
            <w:pPr>
              <w:spacing w:after="50" w:before="50"/>
            </w:pPr>
            <w:r>
              <w:rPr>
                <w:b/>
                <w:color w:val="FFFFFF"/>
                <w:sz w:val="17"/>
              </w:rPr>
              <w:t>Detail</w:t>
            </w:r>
          </w:p>
        </w:tc>
      </w:tr>
      <w:tr>
        <w:tc>
          <w:tcPr>
            <w:tcW w:type="dxa" w:w="2069"/>
          </w:tcPr>
          <w:p>
            <w:pPr>
              <w:spacing w:after="50" w:before="50" w:line="252" w:lineRule="auto"/>
            </w:pPr>
            <w:r>
              <w:rPr>
                <w:sz w:val="17"/>
              </w:rPr>
              <w:t>Extract</w:t>
            </w:r>
          </w:p>
        </w:tc>
        <w:tc>
          <w:tcPr>
            <w:tcW w:type="dxa" w:w="7399"/>
          </w:tcPr>
          <w:p>
            <w:pPr>
              <w:spacing w:after="50" w:before="50" w:line="252" w:lineRule="auto"/>
            </w:pPr>
            <w:r>
              <w:rPr>
                <w:sz w:val="17"/>
              </w:rPr>
              <w:t>Defined field sets by research question; nothing else extractable</w:t>
            </w:r>
          </w:p>
        </w:tc>
      </w:tr>
      <w:tr>
        <w:tc>
          <w:tcPr>
            <w:tcW w:type="dxa" w:w="2069"/>
            <w:shd w:val="clear" w:color="auto" w:fill="EAF1F4"/>
          </w:tcPr>
          <w:p>
            <w:pPr>
              <w:spacing w:after="50" w:before="50" w:line="252" w:lineRule="auto"/>
            </w:pPr>
            <w:r>
              <w:rPr>
                <w:sz w:val="17"/>
              </w:rPr>
              <w:t>Anonymise at source</w:t>
            </w:r>
          </w:p>
        </w:tc>
        <w:tc>
          <w:tcPr>
            <w:tcW w:type="dxa" w:w="7399"/>
            <w:shd w:val="clear" w:color="auto" w:fill="EAF1F4"/>
          </w:tcPr>
          <w:p>
            <w:pPr>
              <w:spacing w:after="50" w:before="50" w:line="252" w:lineRule="auto"/>
            </w:pPr>
            <w:r>
              <w:rPr>
                <w:sz w:val="17"/>
              </w:rPr>
              <w:t>Identifiers stripped before the data leaves the case core; key held separately by the DPO</w:t>
            </w:r>
          </w:p>
        </w:tc>
      </w:tr>
      <w:tr>
        <w:tc>
          <w:tcPr>
            <w:tcW w:type="dxa" w:w="2069"/>
          </w:tcPr>
          <w:p>
            <w:pPr>
              <w:spacing w:after="50" w:before="50" w:line="252" w:lineRule="auto"/>
            </w:pPr>
            <w:r>
              <w:rPr>
                <w:sz w:val="17"/>
              </w:rPr>
              <w:t>Suppression</w:t>
            </w:r>
          </w:p>
        </w:tc>
        <w:tc>
          <w:tcPr>
            <w:tcW w:type="dxa" w:w="7399"/>
          </w:tcPr>
          <w:p>
            <w:pPr>
              <w:spacing w:after="50" w:before="50" w:line="252" w:lineRule="auto"/>
            </w:pPr>
            <w:r>
              <w:rPr>
                <w:sz w:val="17"/>
              </w:rPr>
              <w:t>Small-cell and secondary suppression applied automatically at the configured threshold</w:t>
            </w:r>
          </w:p>
        </w:tc>
      </w:tr>
      <w:tr>
        <w:tc>
          <w:tcPr>
            <w:tcW w:type="dxa" w:w="2069"/>
            <w:shd w:val="clear" w:color="auto" w:fill="EAF1F4"/>
          </w:tcPr>
          <w:p>
            <w:pPr>
              <w:spacing w:after="50" w:before="50" w:line="252" w:lineRule="auto"/>
            </w:pPr>
            <w:r>
              <w:rPr>
                <w:sz w:val="17"/>
              </w:rPr>
              <w:t>Banding</w:t>
            </w:r>
          </w:p>
        </w:tc>
        <w:tc>
          <w:tcPr>
            <w:tcW w:type="dxa" w:w="7399"/>
            <w:shd w:val="clear" w:color="auto" w:fill="EAF1F4"/>
          </w:tcPr>
          <w:p>
            <w:pPr>
              <w:spacing w:after="50" w:before="50" w:line="252" w:lineRule="auto"/>
            </w:pPr>
            <w:r>
              <w:rPr>
                <w:sz w:val="17"/>
              </w:rPr>
              <w:t>Amounts and dates banded by rule</w:t>
            </w:r>
          </w:p>
        </w:tc>
      </w:tr>
      <w:tr>
        <w:tc>
          <w:tcPr>
            <w:tcW w:type="dxa" w:w="2069"/>
          </w:tcPr>
          <w:p>
            <w:pPr>
              <w:spacing w:after="50" w:before="50" w:line="252" w:lineRule="auto"/>
            </w:pPr>
            <w:r>
              <w:rPr>
                <w:sz w:val="17"/>
              </w:rPr>
              <w:t>Free text</w:t>
            </w:r>
          </w:p>
        </w:tc>
        <w:tc>
          <w:tcPr>
            <w:tcW w:type="dxa" w:w="7399"/>
          </w:tcPr>
          <w:p>
            <w:pPr>
              <w:spacing w:after="50" w:before="50" w:line="252" w:lineRule="auto"/>
            </w:pPr>
            <w:r>
              <w:rPr>
                <w:b/>
                <w:sz w:val="17"/>
              </w:rPr>
              <w:t>Structurally excluded.</w:t>
            </w:r>
            <w:r>
              <w:rPr>
                <w:sz w:val="17"/>
              </w:rPr>
              <w:t xml:space="preserve"> Never available for extract</w:t>
            </w:r>
          </w:p>
        </w:tc>
      </w:tr>
      <w:tr>
        <w:tc>
          <w:tcPr>
            <w:tcW w:type="dxa" w:w="2069"/>
            <w:shd w:val="clear" w:color="auto" w:fill="EAF1F4"/>
          </w:tcPr>
          <w:p>
            <w:pPr>
              <w:spacing w:after="50" w:before="50" w:line="252" w:lineRule="auto"/>
            </w:pPr>
            <w:r>
              <w:rPr>
                <w:sz w:val="17"/>
              </w:rPr>
              <w:t>Release note</w:t>
            </w:r>
          </w:p>
        </w:tc>
        <w:tc>
          <w:tcPr>
            <w:tcW w:type="dxa" w:w="7399"/>
            <w:shd w:val="clear" w:color="auto" w:fill="EAF1F4"/>
          </w:tcPr>
          <w:p>
            <w:pPr>
              <w:spacing w:after="50" w:before="50" w:line="252" w:lineRule="auto"/>
            </w:pPr>
            <w:r>
              <w:rPr>
                <w:sz w:val="17"/>
              </w:rPr>
              <w:t>Generated from the extract configuration; approved by Research Lead and DPO in the system</w:t>
            </w:r>
          </w:p>
        </w:tc>
      </w:tr>
      <w:tr>
        <w:tc>
          <w:tcPr>
            <w:tcW w:type="dxa" w:w="2069"/>
          </w:tcPr>
          <w:p>
            <w:pPr>
              <w:spacing w:after="50" w:before="50" w:line="252" w:lineRule="auto"/>
            </w:pPr>
            <w:r>
              <w:rPr>
                <w:sz w:val="17"/>
              </w:rPr>
              <w:t>Deletion</w:t>
            </w:r>
          </w:p>
        </w:tc>
        <w:tc>
          <w:tcPr>
            <w:tcW w:type="dxa" w:w="7399"/>
          </w:tcPr>
          <w:p>
            <w:pPr>
              <w:spacing w:after="50" w:before="50" w:line="252" w:lineRule="auto"/>
            </w:pPr>
            <w:r>
              <w:rPr>
                <w:sz w:val="17"/>
              </w:rPr>
              <w:t>Scheduled; recipients prompted; certification captured</w:t>
            </w:r>
          </w:p>
        </w:tc>
      </w:tr>
    </w:tbl>
    <w:p>
      <w:pPr>
        <w:spacing w:after="80" w:before="0"/>
      </w:pPr>
    </w:p>
    <w:p>
      <w:r>
        <w:rPr>
          <w:b/>
        </w:rPr>
        <w:t>This turns a protocol into a control.</w:t>
      </w:r>
      <w:r>
        <w:t xml:space="preserve"> A researcher cannot extract free text because the pipeline does not offer it.</w:t>
      </w:r>
    </w:p>
    <w:p>
      <w:pPr>
        <w:spacing w:before="80" w:after="160"/>
        <w:pBdr>
          <w:bottom w:val="single" w:sz="6" w:space="1" w:color="C9D6DE"/>
        </w:pBdr>
      </w:pPr>
    </w:p>
    <w:p>
      <w:pPr>
        <w:pStyle w:val="Heading1"/>
        <w:pBdr>
          <w:bottom w:val="single" w:sz="8" w:space="4" w:color="C9D6DE"/>
        </w:pBdr>
      </w:pPr>
      <w:r>
        <w:t>9. I7 · The AI evaluation harness as an academic asset</w:t>
      </w:r>
    </w:p>
    <w:p>
      <w:r>
        <w:t xml:space="preserve">The group operates a unified AI safety and evaluation framework with a guardrail taxonomy, vertical packs and release gates. </w:t>
      </w:r>
      <w:r>
        <w:rPr>
          <w:b/>
        </w:rPr>
        <w:t>Almost nobody in Indian legal academia has access to anything comparable, and the questions it raises are exactly the questions the field is now asking.</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001"/>
            <w:shd w:val="clear" w:color="auto" w:fill="10375C"/>
          </w:tcPr>
          <w:p>
            <w:pPr>
              <w:spacing w:after="50" w:before="50"/>
            </w:pPr>
            <w:r>
              <w:rPr>
                <w:b/>
                <w:color w:val="FFFFFF"/>
                <w:sz w:val="17"/>
              </w:rPr>
              <w:t>Use</w:t>
            </w:r>
          </w:p>
        </w:tc>
        <w:tc>
          <w:tcPr>
            <w:tcW w:type="dxa" w:w="7466"/>
            <w:shd w:val="clear" w:color="auto" w:fill="10375C"/>
          </w:tcPr>
          <w:p>
            <w:pPr>
              <w:spacing w:after="50" w:before="50"/>
            </w:pPr>
            <w:r>
              <w:rPr>
                <w:b/>
                <w:color w:val="FFFFFF"/>
                <w:sz w:val="17"/>
              </w:rPr>
              <w:t>Description</w:t>
            </w:r>
          </w:p>
        </w:tc>
      </w:tr>
      <w:tr>
        <w:tc>
          <w:tcPr>
            <w:tcW w:type="dxa" w:w="2001"/>
          </w:tcPr>
          <w:p>
            <w:pPr>
              <w:spacing w:after="50" w:before="50" w:line="252" w:lineRule="auto"/>
            </w:pPr>
            <w:r>
              <w:rPr>
                <w:b/>
                <w:sz w:val="17"/>
              </w:rPr>
              <w:t>Teaching</w:t>
            </w:r>
          </w:p>
        </w:tc>
        <w:tc>
          <w:tcPr>
            <w:tcW w:type="dxa" w:w="7466"/>
          </w:tcPr>
          <w:p>
            <w:pPr>
              <w:spacing w:after="50" w:before="50" w:line="252" w:lineRule="auto"/>
            </w:pPr>
            <w:r>
              <w:rPr>
                <w:sz w:val="17"/>
              </w:rPr>
              <w:t>A module in the ODR workshop: how would you evaluate an AI system used in dispute resolution? What would a failure look like? Who is accountable?</w:t>
            </w:r>
          </w:p>
        </w:tc>
      </w:tr>
      <w:tr>
        <w:tc>
          <w:tcPr>
            <w:tcW w:type="dxa" w:w="2001"/>
            <w:shd w:val="clear" w:color="auto" w:fill="EAF1F4"/>
          </w:tcPr>
          <w:p>
            <w:pPr>
              <w:spacing w:after="50" w:before="50" w:line="252" w:lineRule="auto"/>
            </w:pPr>
            <w:r>
              <w:rPr>
                <w:b/>
                <w:sz w:val="17"/>
              </w:rPr>
              <w:t>Hackathon</w:t>
            </w:r>
          </w:p>
        </w:tc>
        <w:tc>
          <w:tcPr>
            <w:tcW w:type="dxa" w:w="7466"/>
            <w:shd w:val="clear" w:color="auto" w:fill="EAF1F4"/>
          </w:tcPr>
          <w:p>
            <w:pPr>
              <w:spacing w:after="50" w:before="50" w:line="252" w:lineRule="auto"/>
            </w:pPr>
            <w:r>
              <w:rPr>
                <w:sz w:val="17"/>
              </w:rPr>
              <w:t>Teams build an evaluation set for a defined risk — leading a party, misstating law, breaching confidentiality, false confidence</w:t>
            </w:r>
          </w:p>
        </w:tc>
      </w:tr>
      <w:tr>
        <w:tc>
          <w:tcPr>
            <w:tcW w:type="dxa" w:w="2001"/>
          </w:tcPr>
          <w:p>
            <w:pPr>
              <w:spacing w:after="50" w:before="50" w:line="252" w:lineRule="auto"/>
            </w:pPr>
            <w:r>
              <w:rPr>
                <w:b/>
                <w:sz w:val="17"/>
              </w:rPr>
              <w:t>Research</w:t>
            </w:r>
          </w:p>
        </w:tc>
        <w:tc>
          <w:tcPr>
            <w:tcW w:type="dxa" w:w="7466"/>
          </w:tcPr>
          <w:p>
            <w:pPr>
              <w:spacing w:after="50" w:before="50" w:line="252" w:lineRule="auto"/>
            </w:pPr>
            <w:r>
              <w:rPr>
                <w:sz w:val="17"/>
              </w:rPr>
              <w:t>Joint publication on evaluation methodology for AI in dispute resolution. This is publishable in India and internationally</w:t>
            </w:r>
          </w:p>
        </w:tc>
      </w:tr>
      <w:tr>
        <w:tc>
          <w:tcPr>
            <w:tcW w:type="dxa" w:w="2001"/>
            <w:shd w:val="clear" w:color="auto" w:fill="EAF1F4"/>
          </w:tcPr>
          <w:p>
            <w:pPr>
              <w:spacing w:after="50" w:before="50" w:line="252" w:lineRule="auto"/>
            </w:pPr>
            <w:r>
              <w:rPr>
                <w:b/>
                <w:sz w:val="17"/>
              </w:rPr>
              <w:t>Policy</w:t>
            </w:r>
          </w:p>
        </w:tc>
        <w:tc>
          <w:tcPr>
            <w:tcW w:type="dxa" w:w="7466"/>
            <w:shd w:val="clear" w:color="auto" w:fill="EAF1F4"/>
          </w:tcPr>
          <w:p>
            <w:pPr>
              <w:spacing w:after="50" w:before="50" w:line="252" w:lineRule="auto"/>
            </w:pPr>
            <w:r>
              <w:rPr>
                <w:sz w:val="17"/>
              </w:rPr>
              <w:t>Positions Equator credibly if regulators or the Mediation Council examine AI in mediation</w:t>
            </w:r>
          </w:p>
        </w:tc>
      </w:tr>
      <w:tr>
        <w:tc>
          <w:tcPr>
            <w:tcW w:type="dxa" w:w="2001"/>
          </w:tcPr>
          <w:p>
            <w:pPr>
              <w:spacing w:after="50" w:before="50" w:line="252" w:lineRule="auto"/>
            </w:pPr>
            <w:r>
              <w:rPr>
                <w:b/>
                <w:sz w:val="17"/>
              </w:rPr>
              <w:t>Competition</w:t>
            </w:r>
          </w:p>
        </w:tc>
        <w:tc>
          <w:tcPr>
            <w:tcW w:type="dxa" w:w="7466"/>
          </w:tcPr>
          <w:p>
            <w:pPr>
              <w:spacing w:after="50" w:before="50" w:line="252" w:lineRule="auto"/>
            </w:pPr>
            <w:r>
              <w:rPr>
                <w:sz w:val="17"/>
              </w:rPr>
              <w:t>An ODR Challenge track on AI evaluation rather than on building a chatbot</w:t>
            </w:r>
          </w:p>
        </w:tc>
      </w:tr>
    </w:tbl>
    <w:p>
      <w:pPr>
        <w:spacing w:after="80" w:before="0"/>
      </w:pPr>
    </w:p>
    <w:p>
      <w:r>
        <w:rPr>
          <w:b/>
        </w:rPr>
        <w:t>Disclosure boundary.</w:t>
      </w:r>
      <w:r>
        <w:t xml:space="preserve"> The harness itself, its guardrail taxonomy and its release gates are Equator intellectual property. What is shared academically is </w:t>
      </w:r>
      <w:r>
        <w:rPr>
          <w:b/>
        </w:rPr>
        <w:t>methodology and a redacted evaluation set</w:t>
      </w:r>
      <w:r>
        <w:t>, never the production configuration. Any release goes through the data release process at 08.3.</w:t>
      </w:r>
    </w:p>
    <w:p>
      <w:pPr>
        <w:spacing w:before="80" w:after="160"/>
        <w:pBdr>
          <w:bottom w:val="single" w:sz="6" w:space="1" w:color="C9D6DE"/>
        </w:pBdr>
      </w:pPr>
    </w:p>
    <w:p>
      <w:pPr>
        <w:pStyle w:val="Heading1"/>
        <w:pBdr>
          <w:bottom w:val="single" w:sz="8" w:space="4" w:color="C9D6DE"/>
        </w:pBdr>
      </w:pPr>
      <w:r>
        <w:t>10. Sequencing and dependencies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809"/>
            <w:shd w:val="clear" w:color="auto" w:fill="10375C"/>
          </w:tcPr>
          <w:p>
            <w:pPr>
              <w:spacing w:after="50" w:before="50"/>
            </w:pPr>
            <w:r>
              <w:rPr>
                <w:b/>
                <w:color w:val="FFFFFF"/>
                <w:sz w:val="17"/>
              </w:rPr>
              <w:t>Integration</w:t>
            </w:r>
          </w:p>
        </w:tc>
        <w:tc>
          <w:tcPr>
            <w:tcW w:type="dxa" w:w="850"/>
            <w:shd w:val="clear" w:color="auto" w:fill="10375C"/>
          </w:tcPr>
          <w:p>
            <w:pPr>
              <w:spacing w:after="50" w:before="50"/>
            </w:pPr>
            <w:r>
              <w:rPr>
                <w:b/>
                <w:color w:val="FFFFFF"/>
                <w:sz w:val="17"/>
              </w:rPr>
              <w:t>Year</w:t>
            </w:r>
          </w:p>
        </w:tc>
        <w:tc>
          <w:tcPr>
            <w:tcW w:type="dxa" w:w="3332"/>
            <w:shd w:val="clear" w:color="auto" w:fill="10375C"/>
          </w:tcPr>
          <w:p>
            <w:pPr>
              <w:spacing w:after="50" w:before="50"/>
            </w:pPr>
            <w:r>
              <w:rPr>
                <w:b/>
                <w:color w:val="FFFFFF"/>
                <w:sz w:val="17"/>
              </w:rPr>
              <w:t>Depends on</w:t>
            </w:r>
          </w:p>
        </w:tc>
        <w:tc>
          <w:tcPr>
            <w:tcW w:type="dxa" w:w="2485"/>
            <w:shd w:val="clear" w:color="auto" w:fill="10375C"/>
          </w:tcPr>
          <w:p>
            <w:pPr>
              <w:spacing w:after="50" w:before="50"/>
            </w:pPr>
            <w:r>
              <w:rPr>
                <w:b/>
                <w:color w:val="FFFFFF"/>
                <w:sz w:val="17"/>
              </w:rPr>
              <w:t>Owner</w:t>
            </w:r>
          </w:p>
        </w:tc>
      </w:tr>
      <w:tr>
        <w:tc>
          <w:tcPr>
            <w:tcW w:type="dxa" w:w="2809"/>
          </w:tcPr>
          <w:p>
            <w:pPr>
              <w:spacing w:after="50" w:before="50" w:line="252" w:lineRule="auto"/>
            </w:pPr>
            <w:r>
              <w:rPr>
                <w:sz w:val="17"/>
              </w:rPr>
              <w:t>I3 Certification register and verification</w:t>
            </w:r>
          </w:p>
        </w:tc>
        <w:tc>
          <w:tcPr>
            <w:tcW w:type="dxa" w:w="850"/>
          </w:tcPr>
          <w:p>
            <w:pPr>
              <w:spacing w:after="50" w:before="50" w:line="252" w:lineRule="auto"/>
            </w:pPr>
            <w:r>
              <w:rPr>
                <w:sz w:val="17"/>
              </w:rPr>
              <w:t>1, Q2</w:t>
            </w:r>
          </w:p>
        </w:tc>
        <w:tc>
          <w:tcPr>
            <w:tcW w:type="dxa" w:w="3332"/>
          </w:tcPr>
          <w:p>
            <w:pPr>
              <w:spacing w:after="50" w:before="50" w:line="252" w:lineRule="auto"/>
            </w:pPr>
            <w:r>
              <w:rPr>
                <w:sz w:val="17"/>
              </w:rPr>
              <w:t>Certification register live</w:t>
            </w:r>
          </w:p>
        </w:tc>
        <w:tc>
          <w:tcPr>
            <w:tcW w:type="dxa" w:w="2485"/>
          </w:tcPr>
          <w:p>
            <w:pPr>
              <w:spacing w:after="50" w:before="50" w:line="252" w:lineRule="auto"/>
            </w:pPr>
            <w:r>
              <w:rPr>
                <w:sz w:val="17"/>
              </w:rPr>
              <w:t>Head of Curriculum + Platform</w:t>
            </w:r>
          </w:p>
        </w:tc>
      </w:tr>
      <w:tr>
        <w:tc>
          <w:tcPr>
            <w:tcW w:type="dxa" w:w="2809"/>
            <w:shd w:val="clear" w:color="auto" w:fill="EAF1F4"/>
          </w:tcPr>
          <w:p>
            <w:pPr>
              <w:spacing w:after="50" w:before="50" w:line="252" w:lineRule="auto"/>
            </w:pPr>
            <w:r>
              <w:rPr>
                <w:sz w:val="17"/>
              </w:rPr>
              <w:t>I2 Campus Cell tooling</w:t>
            </w:r>
          </w:p>
        </w:tc>
        <w:tc>
          <w:tcPr>
            <w:tcW w:type="dxa" w:w="850"/>
            <w:shd w:val="clear" w:color="auto" w:fill="EAF1F4"/>
          </w:tcPr>
          <w:p>
            <w:pPr>
              <w:spacing w:after="50" w:before="50" w:line="252" w:lineRule="auto"/>
            </w:pPr>
            <w:r>
              <w:rPr>
                <w:sz w:val="17"/>
              </w:rPr>
              <w:t>1, Q3</w:t>
            </w:r>
          </w:p>
        </w:tc>
        <w:tc>
          <w:tcPr>
            <w:tcW w:type="dxa" w:w="3332"/>
            <w:shd w:val="clear" w:color="auto" w:fill="EAF1F4"/>
          </w:tcPr>
          <w:p>
            <w:pPr>
              <w:spacing w:after="50" w:before="50" w:line="252" w:lineRule="auto"/>
            </w:pPr>
            <w:r>
              <w:rPr>
                <w:sz w:val="17"/>
              </w:rPr>
              <w:t>First cell established</w:t>
            </w:r>
          </w:p>
        </w:tc>
        <w:tc>
          <w:tcPr>
            <w:tcW w:type="dxa" w:w="2485"/>
            <w:shd w:val="clear" w:color="auto" w:fill="EAF1F4"/>
          </w:tcPr>
          <w:p>
            <w:pPr>
              <w:spacing w:after="50" w:before="50" w:line="252" w:lineRule="auto"/>
            </w:pPr>
            <w:r>
              <w:rPr>
                <w:sz w:val="17"/>
              </w:rPr>
              <w:t>Operations + Platform</w:t>
            </w:r>
          </w:p>
        </w:tc>
      </w:tr>
      <w:tr>
        <w:tc>
          <w:tcPr>
            <w:tcW w:type="dxa" w:w="2809"/>
          </w:tcPr>
          <w:p>
            <w:pPr>
              <w:spacing w:after="50" w:before="50" w:line="252" w:lineRule="auto"/>
            </w:pPr>
            <w:r>
              <w:rPr>
                <w:sz w:val="17"/>
              </w:rPr>
              <w:t>I1 Student access tier</w:t>
            </w:r>
          </w:p>
        </w:tc>
        <w:tc>
          <w:tcPr>
            <w:tcW w:type="dxa" w:w="850"/>
          </w:tcPr>
          <w:p>
            <w:pPr>
              <w:spacing w:after="50" w:before="50" w:line="252" w:lineRule="auto"/>
            </w:pPr>
            <w:r>
              <w:rPr>
                <w:sz w:val="17"/>
              </w:rPr>
              <w:t>1, Q4 – 2, Q1</w:t>
            </w:r>
          </w:p>
        </w:tc>
        <w:tc>
          <w:tcPr>
            <w:tcW w:type="dxa" w:w="3332"/>
          </w:tcPr>
          <w:p>
            <w:pPr>
              <w:spacing w:after="50" w:before="50" w:line="252" w:lineRule="auto"/>
            </w:pPr>
            <w:r>
              <w:rPr>
                <w:sz w:val="17"/>
              </w:rPr>
              <w:t>Simulation packs; DPO sign-off</w:t>
            </w:r>
          </w:p>
        </w:tc>
        <w:tc>
          <w:tcPr>
            <w:tcW w:type="dxa" w:w="2485"/>
          </w:tcPr>
          <w:p>
            <w:pPr>
              <w:spacing w:after="50" w:before="50" w:line="252" w:lineRule="auto"/>
            </w:pPr>
            <w:r>
              <w:rPr>
                <w:sz w:val="17"/>
              </w:rPr>
              <w:t>Curriculum + Platform + DPO</w:t>
            </w:r>
          </w:p>
        </w:tc>
      </w:tr>
      <w:tr>
        <w:tc>
          <w:tcPr>
            <w:tcW w:type="dxa" w:w="2809"/>
            <w:shd w:val="clear" w:color="auto" w:fill="EAF1F4"/>
          </w:tcPr>
          <w:p>
            <w:pPr>
              <w:spacing w:after="50" w:before="50" w:line="252" w:lineRule="auto"/>
            </w:pPr>
            <w:r>
              <w:rPr>
                <w:sz w:val="17"/>
              </w:rPr>
              <w:t>I6 Research pipeline</w:t>
            </w:r>
          </w:p>
        </w:tc>
        <w:tc>
          <w:tcPr>
            <w:tcW w:type="dxa" w:w="850"/>
            <w:shd w:val="clear" w:color="auto" w:fill="EAF1F4"/>
          </w:tcPr>
          <w:p>
            <w:pPr>
              <w:spacing w:after="50" w:before="50" w:line="252" w:lineRule="auto"/>
            </w:pPr>
            <w:r>
              <w:rPr>
                <w:sz w:val="17"/>
              </w:rPr>
              <w:t>2, Q1</w:t>
            </w:r>
          </w:p>
        </w:tc>
        <w:tc>
          <w:tcPr>
            <w:tcW w:type="dxa" w:w="3332"/>
            <w:shd w:val="clear" w:color="auto" w:fill="EAF1F4"/>
          </w:tcPr>
          <w:p>
            <w:pPr>
              <w:spacing w:after="50" w:before="50" w:line="252" w:lineRule="auto"/>
            </w:pPr>
            <w:r>
              <w:rPr>
                <w:sz w:val="17"/>
              </w:rPr>
              <w:t>Data protocol; DPO</w:t>
            </w:r>
          </w:p>
        </w:tc>
        <w:tc>
          <w:tcPr>
            <w:tcW w:type="dxa" w:w="2485"/>
            <w:shd w:val="clear" w:color="auto" w:fill="EAF1F4"/>
          </w:tcPr>
          <w:p>
            <w:pPr>
              <w:spacing w:after="50" w:before="50" w:line="252" w:lineRule="auto"/>
            </w:pPr>
            <w:r>
              <w:rPr>
                <w:sz w:val="17"/>
              </w:rPr>
              <w:t>Research Lead + DPO + Platform</w:t>
            </w:r>
          </w:p>
        </w:tc>
      </w:tr>
      <w:tr>
        <w:tc>
          <w:tcPr>
            <w:tcW w:type="dxa" w:w="2809"/>
          </w:tcPr>
          <w:p>
            <w:pPr>
              <w:spacing w:after="50" w:before="50" w:line="252" w:lineRule="auto"/>
            </w:pPr>
            <w:r>
              <w:rPr>
                <w:sz w:val="17"/>
              </w:rPr>
              <w:t>I4 Competition platform</w:t>
            </w:r>
          </w:p>
        </w:tc>
        <w:tc>
          <w:tcPr>
            <w:tcW w:type="dxa" w:w="850"/>
          </w:tcPr>
          <w:p>
            <w:pPr>
              <w:spacing w:after="50" w:before="50" w:line="252" w:lineRule="auto"/>
            </w:pPr>
            <w:r>
              <w:rPr>
                <w:sz w:val="17"/>
              </w:rPr>
              <w:t>2, Q2</w:t>
            </w:r>
          </w:p>
        </w:tc>
        <w:tc>
          <w:tcPr>
            <w:tcW w:type="dxa" w:w="3332"/>
          </w:tcPr>
          <w:p>
            <w:pPr>
              <w:spacing w:after="50" w:before="50" w:line="252" w:lineRule="auto"/>
            </w:pPr>
            <w:r>
              <w:rPr>
                <w:sz w:val="17"/>
              </w:rPr>
              <w:t>Own competition approved</w:t>
            </w:r>
          </w:p>
        </w:tc>
        <w:tc>
          <w:tcPr>
            <w:tcW w:type="dxa" w:w="2485"/>
          </w:tcPr>
          <w:p>
            <w:pPr>
              <w:spacing w:after="50" w:before="50" w:line="252" w:lineRule="auto"/>
            </w:pPr>
            <w:r>
              <w:rPr>
                <w:sz w:val="17"/>
              </w:rPr>
              <w:t>Convenor + Platform</w:t>
            </w:r>
          </w:p>
        </w:tc>
      </w:tr>
      <w:tr>
        <w:tc>
          <w:tcPr>
            <w:tcW w:type="dxa" w:w="2809"/>
            <w:shd w:val="clear" w:color="auto" w:fill="EAF1F4"/>
          </w:tcPr>
          <w:p>
            <w:pPr>
              <w:spacing w:after="50" w:before="50" w:line="252" w:lineRule="auto"/>
            </w:pPr>
            <w:r>
              <w:rPr>
                <w:sz w:val="17"/>
              </w:rPr>
              <w:t>I5 ODR pilot</w:t>
            </w:r>
          </w:p>
        </w:tc>
        <w:tc>
          <w:tcPr>
            <w:tcW w:type="dxa" w:w="850"/>
            <w:shd w:val="clear" w:color="auto" w:fill="EAF1F4"/>
          </w:tcPr>
          <w:p>
            <w:pPr>
              <w:spacing w:after="50" w:before="50" w:line="252" w:lineRule="auto"/>
            </w:pPr>
            <w:r>
              <w:rPr>
                <w:sz w:val="17"/>
              </w:rPr>
              <w:t>2, Q3</w:t>
            </w:r>
          </w:p>
        </w:tc>
        <w:tc>
          <w:tcPr>
            <w:tcW w:type="dxa" w:w="3332"/>
            <w:shd w:val="clear" w:color="auto" w:fill="EAF1F4"/>
          </w:tcPr>
          <w:p>
            <w:pPr>
              <w:spacing w:after="50" w:before="50" w:line="252" w:lineRule="auto"/>
            </w:pPr>
            <w:r>
              <w:rPr>
                <w:sz w:val="17"/>
              </w:rPr>
              <w:t>Technical university partner; ethics approval</w:t>
            </w:r>
          </w:p>
        </w:tc>
        <w:tc>
          <w:tcPr>
            <w:tcW w:type="dxa" w:w="2485"/>
            <w:shd w:val="clear" w:color="auto" w:fill="EAF1F4"/>
          </w:tcPr>
          <w:p>
            <w:pPr>
              <w:spacing w:after="50" w:before="50" w:line="252" w:lineRule="auto"/>
            </w:pPr>
            <w:r>
              <w:rPr>
                <w:sz w:val="17"/>
              </w:rPr>
              <w:t>Director + Platform</w:t>
            </w:r>
          </w:p>
        </w:tc>
      </w:tr>
      <w:tr>
        <w:tc>
          <w:tcPr>
            <w:tcW w:type="dxa" w:w="2809"/>
          </w:tcPr>
          <w:p>
            <w:pPr>
              <w:spacing w:after="50" w:before="50" w:line="252" w:lineRule="auto"/>
            </w:pPr>
            <w:r>
              <w:rPr>
                <w:sz w:val="17"/>
              </w:rPr>
              <w:t>I7 AI evaluation asset</w:t>
            </w:r>
          </w:p>
        </w:tc>
        <w:tc>
          <w:tcPr>
            <w:tcW w:type="dxa" w:w="850"/>
          </w:tcPr>
          <w:p>
            <w:pPr>
              <w:spacing w:after="50" w:before="50" w:line="252" w:lineRule="auto"/>
            </w:pPr>
            <w:r>
              <w:rPr>
                <w:sz w:val="17"/>
              </w:rPr>
              <w:t>2, Q4 – 3</w:t>
            </w:r>
          </w:p>
        </w:tc>
        <w:tc>
          <w:tcPr>
            <w:tcW w:type="dxa" w:w="3332"/>
          </w:tcPr>
          <w:p>
            <w:pPr>
              <w:spacing w:after="50" w:before="50" w:line="252" w:lineRule="auto"/>
            </w:pPr>
            <w:r>
              <w:rPr>
                <w:sz w:val="17"/>
              </w:rPr>
              <w:t>Research partner; disclosure boundary agreed</w:t>
            </w:r>
          </w:p>
        </w:tc>
        <w:tc>
          <w:tcPr>
            <w:tcW w:type="dxa" w:w="2485"/>
          </w:tcPr>
          <w:p>
            <w:pPr>
              <w:spacing w:after="50" w:before="50" w:line="252" w:lineRule="auto"/>
            </w:pPr>
            <w:r>
              <w:rPr>
                <w:sz w:val="17"/>
              </w:rPr>
              <w:t>Research Lead + Platform</w:t>
            </w:r>
          </w:p>
        </w:tc>
      </w:tr>
    </w:tbl>
    <w:p>
      <w:pPr>
        <w:spacing w:after="80" w:before="0"/>
      </w:pPr>
    </w:p>
    <w:p>
      <w:pPr>
        <w:spacing w:before="80" w:after="160"/>
        <w:pBdr>
          <w:bottom w:val="single" w:sz="6" w:space="1" w:color="C9D6DE"/>
        </w:pBdr>
      </w:pPr>
    </w:p>
    <w:p>
      <w:pPr>
        <w:pStyle w:val="Heading1"/>
        <w:pBdr>
          <w:bottom w:val="single" w:sz="8" w:space="4" w:color="C9D6DE"/>
        </w:pBdr>
      </w:pPr>
      <w:r>
        <w:t>11. Controls that apply to all of it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861"/>
            <w:shd w:val="clear" w:color="auto" w:fill="10375C"/>
          </w:tcPr>
          <w:p>
            <w:pPr>
              <w:spacing w:after="50" w:before="50"/>
            </w:pPr>
            <w:r>
              <w:rPr>
                <w:b/>
                <w:color w:val="FFFFFF"/>
                <w:sz w:val="17"/>
              </w:rPr>
              <w:t>#</w:t>
            </w:r>
          </w:p>
        </w:tc>
        <w:tc>
          <w:tcPr>
            <w:tcW w:type="dxa" w:w="8607"/>
            <w:shd w:val="clear" w:color="auto" w:fill="10375C"/>
          </w:tcPr>
          <w:p>
            <w:pPr>
              <w:spacing w:after="50" w:before="50"/>
            </w:pPr>
            <w:r>
              <w:rPr>
                <w:b/>
                <w:color w:val="FFFFFF"/>
                <w:sz w:val="17"/>
              </w:rPr>
              <w:t>Control</w:t>
            </w:r>
          </w:p>
        </w:tc>
      </w:tr>
      <w:tr>
        <w:tc>
          <w:tcPr>
            <w:tcW w:type="dxa" w:w="861"/>
          </w:tcPr>
          <w:p>
            <w:pPr>
              <w:spacing w:after="50" w:before="50" w:line="252" w:lineRule="auto"/>
            </w:pPr>
            <w:r>
              <w:rPr>
                <w:sz w:val="17"/>
              </w:rPr>
              <w:t>1</w:t>
            </w:r>
          </w:p>
        </w:tc>
        <w:tc>
          <w:tcPr>
            <w:tcW w:type="dxa" w:w="8607"/>
          </w:tcPr>
          <w:p>
            <w:pPr>
              <w:spacing w:after="50" w:before="50" w:line="252" w:lineRule="auto"/>
            </w:pPr>
            <w:r>
              <w:rPr>
                <w:b/>
                <w:sz w:val="17"/>
              </w:rPr>
              <w:t>No live case data in any student-facing environment. Ever.</w:t>
            </w:r>
            <w:r>
              <w:rPr>
                <w:sz w:val="17"/>
              </w:rPr>
              <w:t xml:space="preserve"> Separate tenancy, separate credentials</w:t>
            </w:r>
          </w:p>
        </w:tc>
      </w:tr>
      <w:tr>
        <w:tc>
          <w:tcPr>
            <w:tcW w:type="dxa" w:w="861"/>
            <w:shd w:val="clear" w:color="auto" w:fill="EAF1F4"/>
          </w:tcPr>
          <w:p>
            <w:pPr>
              <w:spacing w:after="50" w:before="50" w:line="252" w:lineRule="auto"/>
            </w:pPr>
            <w:r>
              <w:rPr>
                <w:sz w:val="17"/>
              </w:rPr>
              <w:t>2</w:t>
            </w:r>
          </w:p>
        </w:tc>
        <w:tc>
          <w:tcPr>
            <w:tcW w:type="dxa" w:w="8607"/>
            <w:shd w:val="clear" w:color="auto" w:fill="EAF1F4"/>
          </w:tcPr>
          <w:p>
            <w:pPr>
              <w:spacing w:after="50" w:before="50" w:line="252" w:lineRule="auto"/>
            </w:pPr>
            <w:r>
              <w:rPr>
                <w:sz w:val="17"/>
              </w:rPr>
              <w:t xml:space="preserve">DPO sign-off before any environment opens to students — </w:t>
            </w:r>
            <w:r>
              <w:rPr>
                <w:b/>
                <w:sz w:val="17"/>
              </w:rPr>
              <w:t>open item U3 must be closed first</w:t>
            </w:r>
          </w:p>
        </w:tc>
      </w:tr>
      <w:tr>
        <w:tc>
          <w:tcPr>
            <w:tcW w:type="dxa" w:w="861"/>
          </w:tcPr>
          <w:p>
            <w:pPr>
              <w:spacing w:after="50" w:before="50" w:line="252" w:lineRule="auto"/>
            </w:pPr>
            <w:r>
              <w:rPr>
                <w:sz w:val="17"/>
              </w:rPr>
              <w:t>3</w:t>
            </w:r>
          </w:p>
        </w:tc>
        <w:tc>
          <w:tcPr>
            <w:tcW w:type="dxa" w:w="8607"/>
          </w:tcPr>
          <w:p>
            <w:pPr>
              <w:spacing w:after="50" w:before="50" w:line="252" w:lineRule="auto"/>
            </w:pPr>
            <w:r>
              <w:rPr>
                <w:sz w:val="17"/>
              </w:rPr>
              <w:t>DPDP-compliant notice and consent at every registration point</w:t>
            </w:r>
          </w:p>
        </w:tc>
      </w:tr>
      <w:tr>
        <w:tc>
          <w:tcPr>
            <w:tcW w:type="dxa" w:w="861"/>
            <w:shd w:val="clear" w:color="auto" w:fill="EAF1F4"/>
          </w:tcPr>
          <w:p>
            <w:pPr>
              <w:spacing w:after="50" w:before="50" w:line="252" w:lineRule="auto"/>
            </w:pPr>
            <w:r>
              <w:rPr>
                <w:sz w:val="17"/>
              </w:rPr>
              <w:t>4</w:t>
            </w:r>
          </w:p>
        </w:tc>
        <w:tc>
          <w:tcPr>
            <w:tcW w:type="dxa" w:w="8607"/>
            <w:shd w:val="clear" w:color="auto" w:fill="EAF1F4"/>
          </w:tcPr>
          <w:p>
            <w:pPr>
              <w:spacing w:after="50" w:before="50" w:line="252" w:lineRule="auto"/>
            </w:pPr>
            <w:r>
              <w:rPr>
                <w:sz w:val="17"/>
              </w:rPr>
              <w:t>Data residency in India; no transfer without consent and compliance</w:t>
            </w:r>
          </w:p>
        </w:tc>
      </w:tr>
      <w:tr>
        <w:tc>
          <w:tcPr>
            <w:tcW w:type="dxa" w:w="861"/>
          </w:tcPr>
          <w:p>
            <w:pPr>
              <w:spacing w:after="50" w:before="50" w:line="252" w:lineRule="auto"/>
            </w:pPr>
            <w:r>
              <w:rPr>
                <w:sz w:val="17"/>
              </w:rPr>
              <w:t>5</w:t>
            </w:r>
          </w:p>
        </w:tc>
        <w:tc>
          <w:tcPr>
            <w:tcW w:type="dxa" w:w="8607"/>
          </w:tcPr>
          <w:p>
            <w:pPr>
              <w:spacing w:after="50" w:before="50" w:line="252" w:lineRule="auto"/>
            </w:pPr>
            <w:r>
              <w:rPr>
                <w:sz w:val="17"/>
              </w:rPr>
              <w:t>Role-based access, least privilege, individual accounts, MFA for administrative access</w:t>
            </w:r>
          </w:p>
        </w:tc>
      </w:tr>
      <w:tr>
        <w:tc>
          <w:tcPr>
            <w:tcW w:type="dxa" w:w="861"/>
            <w:shd w:val="clear" w:color="auto" w:fill="EAF1F4"/>
          </w:tcPr>
          <w:p>
            <w:pPr>
              <w:spacing w:after="50" w:before="50" w:line="252" w:lineRule="auto"/>
            </w:pPr>
            <w:r>
              <w:rPr>
                <w:sz w:val="17"/>
              </w:rPr>
              <w:t>6</w:t>
            </w:r>
          </w:p>
        </w:tc>
        <w:tc>
          <w:tcPr>
            <w:tcW w:type="dxa" w:w="8607"/>
            <w:shd w:val="clear" w:color="auto" w:fill="EAF1F4"/>
          </w:tcPr>
          <w:p>
            <w:pPr>
              <w:spacing w:after="50" w:before="50" w:line="252" w:lineRule="auto"/>
            </w:pPr>
            <w:r>
              <w:rPr>
                <w:sz w:val="17"/>
              </w:rPr>
              <w:t>Access logs retained not less than twelve months</w:t>
            </w:r>
          </w:p>
        </w:tc>
      </w:tr>
      <w:tr>
        <w:tc>
          <w:tcPr>
            <w:tcW w:type="dxa" w:w="861"/>
          </w:tcPr>
          <w:p>
            <w:pPr>
              <w:spacing w:after="50" w:before="50" w:line="252" w:lineRule="auto"/>
            </w:pPr>
            <w:r>
              <w:rPr>
                <w:sz w:val="17"/>
              </w:rPr>
              <w:t>7</w:t>
            </w:r>
          </w:p>
        </w:tc>
        <w:tc>
          <w:tcPr>
            <w:tcW w:type="dxa" w:w="8607"/>
          </w:tcPr>
          <w:p>
            <w:pPr>
              <w:spacing w:after="50" w:before="50" w:line="252" w:lineRule="auto"/>
            </w:pPr>
            <w:r>
              <w:rPr>
                <w:sz w:val="17"/>
              </w:rPr>
              <w:t>Access expires on programme completion unless renewed</w:t>
            </w:r>
          </w:p>
        </w:tc>
      </w:tr>
      <w:tr>
        <w:tc>
          <w:tcPr>
            <w:tcW w:type="dxa" w:w="861"/>
            <w:shd w:val="clear" w:color="auto" w:fill="EAF1F4"/>
          </w:tcPr>
          <w:p>
            <w:pPr>
              <w:spacing w:after="50" w:before="50" w:line="252" w:lineRule="auto"/>
            </w:pPr>
            <w:r>
              <w:rPr>
                <w:sz w:val="17"/>
              </w:rPr>
              <w:t>8</w:t>
            </w:r>
          </w:p>
        </w:tc>
        <w:tc>
          <w:tcPr>
            <w:tcW w:type="dxa" w:w="8607"/>
            <w:shd w:val="clear" w:color="auto" w:fill="EAF1F4"/>
          </w:tcPr>
          <w:p>
            <w:pPr>
              <w:spacing w:after="50" w:before="50" w:line="252" w:lineRule="auto"/>
            </w:pPr>
            <w:r>
              <w:rPr>
                <w:sz w:val="17"/>
              </w:rPr>
              <w:t>Every student-facing environment covered by the platform security controls matrix</w:t>
            </w:r>
          </w:p>
        </w:tc>
      </w:tr>
      <w:tr>
        <w:tc>
          <w:tcPr>
            <w:tcW w:type="dxa" w:w="861"/>
          </w:tcPr>
          <w:p>
            <w:pPr>
              <w:spacing w:after="50" w:before="50" w:line="252" w:lineRule="auto"/>
            </w:pPr>
            <w:r>
              <w:rPr>
                <w:sz w:val="17"/>
              </w:rPr>
              <w:t>9</w:t>
            </w:r>
          </w:p>
        </w:tc>
        <w:tc>
          <w:tcPr>
            <w:tcW w:type="dxa" w:w="8607"/>
          </w:tcPr>
          <w:p>
            <w:pPr>
              <w:spacing w:after="50" w:before="50" w:line="252" w:lineRule="auto"/>
            </w:pPr>
            <w:r>
              <w:rPr>
                <w:b/>
                <w:sz w:val="17"/>
              </w:rPr>
              <w:t>No student, intern or university system integrated with the live case core, in any circumstance</w:t>
            </w:r>
          </w:p>
        </w:tc>
      </w:tr>
      <w:tr>
        <w:tc>
          <w:tcPr>
            <w:tcW w:type="dxa" w:w="861"/>
            <w:shd w:val="clear" w:color="auto" w:fill="EAF1F4"/>
          </w:tcPr>
          <w:p>
            <w:pPr>
              <w:spacing w:after="50" w:before="50" w:line="252" w:lineRule="auto"/>
            </w:pPr>
            <w:r>
              <w:rPr>
                <w:sz w:val="17"/>
              </w:rPr>
              <w:t>10</w:t>
            </w:r>
          </w:p>
        </w:tc>
        <w:tc>
          <w:tcPr>
            <w:tcW w:type="dxa" w:w="8607"/>
            <w:shd w:val="clear" w:color="auto" w:fill="EAF1F4"/>
          </w:tcPr>
          <w:p>
            <w:pPr>
              <w:spacing w:after="50" w:before="50" w:line="252" w:lineRule="auto"/>
            </w:pPr>
            <w:r>
              <w:rPr>
                <w:sz w:val="17"/>
              </w:rPr>
              <w:t>Breach protocol per the Data Addendum; 24-hour notification</w:t>
            </w:r>
          </w:p>
        </w:tc>
      </w:tr>
    </w:tbl>
    <w:p>
      <w:pPr>
        <w:spacing w:after="80" w:before="0"/>
      </w:pPr>
    </w:p>
    <w:p>
      <w:pPr>
        <w:spacing w:before="80" w:after="160"/>
        <w:pBdr>
          <w:bottom w:val="single" w:sz="6" w:space="1" w:color="C9D6DE"/>
        </w:pBdr>
      </w:pPr>
    </w:p>
    <w:p>
      <w:pPr>
        <w:pStyle w:val="Heading1"/>
        <w:pBdr>
          <w:bottom w:val="single" w:sz="8" w:space="4" w:color="C9D6DE"/>
        </w:pBdr>
      </w:pPr>
      <w:r>
        <w:t>12. What to do first</w:t>
      </w:r>
    </w:p>
    <w:p>
      <w:r>
        <w:rPr>
          <w:b/>
        </w:rPr>
        <w:t>I3, the certification register with public verification.</w:t>
      </w:r>
      <w:r>
        <w:t xml:space="preserve"> It is the cheapest, it is needed from the first certificate issued, it protects credential integrity, and a verifiable certificate is a competitive differentiator on the day it goes live.</w:t>
      </w:r>
    </w:p>
    <w:p>
      <w:r>
        <w:t xml:space="preserve">Then </w:t>
      </w:r>
      <w:r>
        <w:rPr>
          <w:b/>
        </w:rPr>
        <w:t>I2</w:t>
      </w:r>
      <w:r>
        <w:t>, because a screening form that will not let a student mediate an out-of-scope case is the strongest safeguarding control available in the Campus Mediation Cell, and it costs very little.</w:t>
      </w: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EQ-UAP-109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Platform &amp; ODR Integration Plan for Academic Partnerships</w:t>
    </w:r>
    <w:r>
      <w:rPr>
        <w:rFonts w:ascii="Calibri" w:hAnsi="Calibri"/>
        <w:color w:val="595959"/>
        <w:sz w:val="16"/>
      </w:rPr>
      <w:tab/>
      <w:t>Confidential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C21A93A-6C40-49D2-9CE8-39F2BD2B4808}"/>
</file>

<file path=customXml/itemProps3.xml><?xml version="1.0" encoding="utf-8"?>
<ds:datastoreItem xmlns:ds="http://schemas.openxmlformats.org/officeDocument/2006/customXml" ds:itemID="{A7B57B59-615B-4C82-9AF9-EA487279239D}"/>
</file>

<file path=customXml/itemProps4.xml><?xml version="1.0" encoding="utf-8"?>
<ds:datastoreItem xmlns:ds="http://schemas.openxmlformats.org/officeDocument/2006/customXml" ds:itemID="{172F25E9-38B0-4BC0-B0DC-775BFB078C8D}"/>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