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jc w:val="center"/>
      </w:pPr>
      <w:r>
        <w:rPr>
          <w:rFonts w:ascii="Calibri" w:hAnsi="Calibri"/>
          <w:b/>
          <w:i w:val="0"/>
          <w:color w:val="123B4F"/>
          <w:sz w:val="60"/>
        </w:rPr>
        <w:t>EQUATOR RESOLUTION</w:t>
      </w:r>
    </w:p>
    <w:p>
      <w:pPr>
        <w:spacing w:after="40"/>
        <w:jc w:val="center"/>
      </w:pPr>
      <w:r>
        <w:rPr>
          <w:rFonts w:ascii="Calibri" w:hAnsi="Calibri"/>
          <w:b w:val="0"/>
          <w:i/>
          <w:color w:val="1E7A8C"/>
          <w:sz w:val="25"/>
        </w:rPr>
        <w:t>Institutional Mediation, Conciliation &amp; POSH Support</w:t>
      </w:r>
    </w:p>
    <w:p>
      <w:pPr>
        <w:jc w:val="center"/>
        <w:pBdr>
          <w:bottom w:val="single" w:sz="18" w:space="3" w:color="C6A15B"/>
        </w:pBdr>
      </w:pPr>
      <w:r>
        <w:rPr>
          <w:rFonts w:ascii="Calibri" w:hAnsi="Calibri"/>
          <w:b w:val="0"/>
          <w:i w:val="0"/>
          <w:color w:val="556168"/>
          <w:sz w:val="19"/>
        </w:rPr>
        <w:t>www.equatorresolution.com   ·   An Infrabyx Group Venture</w:t>
      </w:r>
    </w:p>
    <w:p>
      <w:pPr>
        <w:spacing w:after="200"/>
      </w:pPr>
    </w:p>
    <w:p>
      <w:pPr>
        <w:spacing w:after="200"/>
      </w:pPr>
    </w:p>
    <w:p>
      <w:pPr>
        <w:spacing w:after="80"/>
        <w:jc w:val="center"/>
      </w:pPr>
      <w:r>
        <w:rPr>
          <w:rFonts w:ascii="Calibri" w:hAnsi="Calibri"/>
          <w:b/>
          <w:i w:val="0"/>
          <w:color w:val="123B4F"/>
          <w:sz w:val="50"/>
        </w:rPr>
        <w:t>Workplace &amp; HR Dispute Resolution</w:t>
      </w:r>
    </w:p>
    <w:p>
      <w:pPr>
        <w:jc w:val="center"/>
      </w:pPr>
      <w:r>
        <w:rPr>
          <w:rFonts w:ascii="Calibri" w:hAnsi="Calibri"/>
          <w:b w:val="0"/>
          <w:i w:val="0"/>
          <w:color w:val="1E7A8C"/>
          <w:sz w:val="30"/>
        </w:rPr>
        <w:t>Platform Design, Legal Framework &amp; Operating Blueprint</w:t>
      </w:r>
    </w:p>
    <w:p>
      <w:pPr>
        <w:spacing w:before="120"/>
        <w:jc w:val="center"/>
      </w:pPr>
      <w:r>
        <w:rPr>
          <w:rFonts w:ascii="Calibri" w:hAnsi="Calibri"/>
          <w:b w:val="0"/>
          <w:i/>
          <w:color w:val="1B2A32"/>
          <w:sz w:val="22"/>
        </w:rPr>
        <w:t>Resolving employment, wage, full-and-final, separation and grievance disputes —</w:t>
        <w:br/>
        <w:t>and supporting POSH compliance — fairly, confidentially and enforceably.</w:t>
      </w:r>
    </w:p>
    <w:p>
      <w:pPr>
        <w:spacing w:after="200"/>
      </w:pPr>
    </w:p>
    <w:p>
      <w:pPr>
        <w:spacing w:after="200"/>
      </w:pPr>
    </w:p>
    <w:p>
      <w:pPr>
        <w:spacing w:after="200"/>
      </w:pPr>
    </w:p>
    <w:tbl>
      <w:tblPr>
        <w:tblW w:type="auto" w:w="0"/>
        <w:jc w:val="center"/>
        <w:tblLayout w:type="fixed"/>
        <w:tblLook w:firstColumn="1" w:firstRow="1" w:lastColumn="0" w:lastRow="0" w:noHBand="0" w:noVBand="1" w:val="04A0"/>
        <w:tblBorders>
          <w:top w:val="single" w:sz="6" w:space="0" w:color="C6A15B"/>
          <w:left w:val="single" w:sz="6" w:space="0" w:color="C6A15B"/>
          <w:bottom w:val="single" w:sz="6" w:space="0" w:color="C6A15B"/>
          <w:right w:val="single" w:sz="6" w:space="0" w:color="C6A15B"/>
          <w:insideH w:val="single" w:sz="6" w:space="0" w:color="C6A15B"/>
          <w:insideV w:val="single" w:sz="6" w:space="0" w:color="C6A15B"/>
        </w:tblBorders>
      </w:tblPr>
      <w:tblGrid>
        <w:gridCol w:w="4752"/>
        <w:gridCol w:w="4752"/>
      </w:tblGrid>
      <w:tr>
        <w:tc>
          <w:tcPr>
            <w:tcW w:type="dxa" w:w="3024"/>
            <w:shd w:val="clear" w:color="auto" w:fill="123B4F"/>
            <w:tcMar>
              <w:top w:w="60" w:type="dxa"/>
              <w:bottom w:w="60" w:type="dxa"/>
              <w:start w:w="110" w:type="dxa"/>
              <w:end w:w="110" w:type="dxa"/>
            </w:tcMar>
          </w:tcPr>
          <w:p>
            <w:r>
              <w:rPr>
                <w:rFonts w:ascii="Calibri" w:hAnsi="Calibri"/>
                <w:b/>
                <w:i w:val="0"/>
                <w:color w:val="FFFFFF"/>
                <w:sz w:val="19"/>
              </w:rPr>
              <w:t>Document</w:t>
            </w:r>
          </w:p>
          <w:p>
            <w:r>
              <w:rPr>
                <w:rFonts w:ascii="Calibri" w:hAnsi="Calibri"/>
                <w:b/>
                <w:i w:val="0"/>
                <w:color w:val="FFFFFF"/>
                <w:sz w:val="19"/>
              </w:rPr>
              <w:t>Version / Date</w:t>
            </w:r>
          </w:p>
          <w:p>
            <w:r>
              <w:rPr>
                <w:rFonts w:ascii="Calibri" w:hAnsi="Calibri"/>
                <w:b/>
                <w:i w:val="0"/>
                <w:color w:val="FFFFFF"/>
                <w:sz w:val="19"/>
              </w:rPr>
              <w:t>Prepared for</w:t>
            </w:r>
          </w:p>
          <w:p>
            <w:r>
              <w:rPr>
                <w:rFonts w:ascii="Calibri" w:hAnsi="Calibri"/>
                <w:b/>
                <w:i w:val="0"/>
                <w:color w:val="FFFFFF"/>
                <w:sz w:val="19"/>
              </w:rPr>
              <w:t>Regulatory basis</w:t>
            </w:r>
          </w:p>
          <w:p>
            <w:r>
              <w:rPr>
                <w:rFonts w:ascii="Calibri" w:hAnsi="Calibri"/>
                <w:b/>
                <w:i w:val="0"/>
                <w:color w:val="FFFFFF"/>
                <w:sz w:val="19"/>
              </w:rPr>
              <w:t>Classification</w:t>
            </w:r>
          </w:p>
          <w:p>
            <w:r>
              <w:rPr>
                <w:rFonts w:ascii="Calibri" w:hAnsi="Calibri"/>
                <w:b/>
                <w:i w:val="0"/>
                <w:color w:val="FFFFFF"/>
                <w:sz w:val="19"/>
              </w:rPr>
              <w:t>Companion assets</w:t>
            </w:r>
          </w:p>
        </w:tc>
        <w:tc>
          <w:tcPr>
            <w:tcW w:type="dxa" w:w="6336"/>
            <w:shd w:val="clear" w:color="auto" w:fill="DCEAEF"/>
            <w:tcMar>
              <w:top w:w="60" w:type="dxa"/>
              <w:bottom w:w="60" w:type="dxa"/>
              <w:start w:w="110" w:type="dxa"/>
              <w:end w:w="110" w:type="dxa"/>
            </w:tcMar>
          </w:tcPr>
          <w:p>
            <w:r>
              <w:rPr>
                <w:rFonts w:ascii="Calibri" w:hAnsi="Calibri"/>
                <w:b w:val="0"/>
                <w:i w:val="0"/>
                <w:color w:val="1B2A32"/>
                <w:sz w:val="19"/>
              </w:rPr>
              <w:t>Master Blueprint — Workplace &amp; HR Vertical</w:t>
            </w:r>
          </w:p>
          <w:p>
            <w:r>
              <w:rPr>
                <w:rFonts w:ascii="Calibri" w:hAnsi="Calibri"/>
                <w:b w:val="0"/>
                <w:i w:val="0"/>
                <w:color w:val="1B2A32"/>
                <w:sz w:val="19"/>
              </w:rPr>
              <w:t>Version 1.0  ·  July 2026</w:t>
            </w:r>
          </w:p>
          <w:p>
            <w:r>
              <w:rPr>
                <w:rFonts w:ascii="Calibri" w:hAnsi="Calibri"/>
                <w:b w:val="0"/>
                <w:i w:val="0"/>
                <w:color w:val="1B2A32"/>
                <w:sz w:val="19"/>
              </w:rPr>
              <w:t>Equator Resolution (Infrabyx Group)</w:t>
            </w:r>
          </w:p>
          <w:p>
            <w:r>
              <w:rPr>
                <w:rFonts w:ascii="Calibri" w:hAnsi="Calibri"/>
                <w:b w:val="0"/>
                <w:i w:val="0"/>
                <w:color w:val="1B2A32"/>
                <w:sz w:val="19"/>
              </w:rPr>
              <w:t>POSH Act 2013; Mediation Act 2023; the four Labour Codes (in force 21 Nov 2025); DPDP Act 2023</w:t>
            </w:r>
          </w:p>
          <w:p>
            <w:r>
              <w:rPr>
                <w:rFonts w:ascii="Calibri" w:hAnsi="Calibri"/>
                <w:b w:val="0"/>
                <w:i w:val="0"/>
                <w:color w:val="1B2A32"/>
                <w:sz w:val="19"/>
              </w:rPr>
              <w:t>Strictly Confidential — Internal &amp; Advisory</w:t>
            </w:r>
          </w:p>
          <w:p>
            <w:r>
              <w:rPr>
                <w:rFonts w:ascii="Calibri" w:hAnsi="Calibri"/>
                <w:b w:val="0"/>
                <w:i w:val="0"/>
                <w:color w:val="1B2A32"/>
                <w:sz w:val="19"/>
              </w:rPr>
              <w:t>Forms Pack · Developer Workbook · Diagrams · Calculators · Deck · Toolkit · Prototype</w:t>
            </w:r>
          </w:p>
        </w:tc>
      </w:tr>
    </w:tbl>
    <w:p>
      <w:r>
        <w:br w:type="page"/>
      </w:r>
    </w:p>
    <w:p>
      <w:pPr>
        <w:keepNext/>
        <w:spacing w:before="320" w:after="140"/>
        <w:pBdr>
          <w:bottom w:val="single" w:sz="12" w:space="3" w:color="C6A15B"/>
        </w:pBdr>
      </w:pPr>
      <w:r>
        <w:rPr>
          <w:rFonts w:ascii="Calibri" w:hAnsi="Calibri"/>
          <w:b/>
          <w:i w:val="0"/>
          <w:color w:val="123B4F"/>
          <w:sz w:val="34"/>
        </w:rPr>
        <w:t>Document Control &amp; Disclaimer</w:t>
      </w:r>
    </w:p>
    <w:p>
      <w:pPr>
        <w:spacing w:after="140"/>
        <w:jc w:val="both"/>
      </w:pPr>
      <w:r>
        <w:rPr>
          <w:rFonts w:ascii="Calibri" w:hAnsi="Calibri"/>
          <w:b w:val="0"/>
          <w:i w:val="0"/>
          <w:color w:val="1B2A32"/>
          <w:sz w:val="21"/>
        </w:rPr>
        <w:t xml:space="preserve">This Master Blueprint is a </w:t>
      </w:r>
      <w:r>
        <w:rPr>
          <w:rFonts w:ascii="Calibri" w:hAnsi="Calibri"/>
          <w:b/>
          <w:i w:val="0"/>
          <w:color w:val="1B2A32"/>
          <w:sz w:val="21"/>
        </w:rPr>
        <w:t>working draft for legal sign-off</w:t>
      </w:r>
      <w:r>
        <w:rPr>
          <w:rFonts w:ascii="Calibri" w:hAnsi="Calibri"/>
          <w:b w:val="0"/>
          <w:i w:val="0"/>
          <w:color w:val="1B2A32"/>
          <w:sz w:val="21"/>
        </w:rPr>
        <w:t xml:space="preserve">, prepared for Equator Resolution (an Infrabyx Group venture; www.equatorresolution.com). It is </w:t>
      </w:r>
      <w:r>
        <w:rPr>
          <w:rFonts w:ascii="Calibri" w:hAnsi="Calibri"/>
          <w:b/>
          <w:i w:val="0"/>
          <w:color w:val="1B2A32"/>
          <w:sz w:val="21"/>
        </w:rPr>
        <w:t>not legal advice</w:t>
      </w:r>
      <w:r>
        <w:rPr>
          <w:rFonts w:ascii="Calibri" w:hAnsi="Calibri"/>
          <w:b w:val="0"/>
          <w:i w:val="0"/>
          <w:color w:val="1B2A32"/>
          <w:sz w:val="21"/>
        </w:rPr>
        <w:t>. All statutory references — the POSH Act, 2013, the four Labour Codes, the Mediation Act, 2023 and related rules — must be confirmed by qualified counsel and a Data Protection Officer before the platform goes live or any document is used with a real party.</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A note on sexual-harassment (POSH) matters</w:t>
            </w:r>
          </w:p>
          <w:p>
            <w:pPr>
              <w:jc w:val="both"/>
            </w:pPr>
            <w:r>
              <w:rPr>
                <w:rFonts w:ascii="Calibri" w:hAnsi="Calibri"/>
                <w:b w:val="0"/>
                <w:i w:val="0"/>
                <w:color w:val="1B2A32"/>
                <w:sz w:val="20"/>
              </w:rPr>
              <w:t xml:space="preserve">Equator supports employers' Internal Committees (including by providing trained external members and secure case management) and facilitates the statutory conciliation under s.10 of the POSH Act at the aggrieved woman's request. It does </w:t>
            </w:r>
            <w:r>
              <w:rPr>
                <w:rFonts w:ascii="Calibri" w:hAnsi="Calibri"/>
                <w:b/>
                <w:i w:val="0"/>
                <w:color w:val="1B2A32"/>
                <w:sz w:val="20"/>
              </w:rPr>
              <w:t>not</w:t>
            </w:r>
            <w:r>
              <w:rPr>
                <w:rFonts w:ascii="Calibri" w:hAnsi="Calibri"/>
                <w:b w:val="0"/>
                <w:i w:val="0"/>
                <w:color w:val="1B2A32"/>
                <w:sz w:val="20"/>
              </w:rPr>
              <w:t xml:space="preserve"> replace the Internal Committee, does not permit any monetary settlement as the basis of POSH conciliation, and does not handle criminal proceedings. Safety and the complainant's autonomy come first.</w:t>
            </w:r>
          </w:p>
        </w:tc>
      </w:tr>
    </w:tbl>
    <w:p>
      <w:pPr>
        <w:spacing w:after="120"/>
      </w:pPr>
    </w:p>
    <w:p>
      <w:pPr>
        <w:spacing w:after="140"/>
        <w:jc w:val="both"/>
      </w:pPr>
      <w:r>
        <w:rPr>
          <w:rFonts w:ascii="Calibri" w:hAnsi="Calibri"/>
          <w:b w:val="0"/>
          <w:i w:val="0"/>
          <w:color w:val="1B2A32"/>
          <w:sz w:val="19"/>
        </w:rPr>
        <w:t xml:space="preserve">Law stated as at </w:t>
      </w:r>
      <w:r>
        <w:rPr>
          <w:rFonts w:ascii="Calibri" w:hAnsi="Calibri"/>
          <w:b/>
          <w:i w:val="0"/>
          <w:color w:val="1B2A32"/>
          <w:sz w:val="19"/>
        </w:rPr>
        <w:t>July 2026</w:t>
      </w:r>
      <w:r>
        <w:rPr>
          <w:rFonts w:ascii="Calibri" w:hAnsi="Calibri"/>
          <w:b w:val="0"/>
          <w:i w:val="0"/>
          <w:color w:val="1B2A32"/>
          <w:sz w:val="19"/>
        </w:rPr>
        <w:t xml:space="preserve">. The four Labour Codes are in force nationwide from </w:t>
      </w:r>
      <w:r>
        <w:rPr>
          <w:rFonts w:ascii="Calibri" w:hAnsi="Calibri"/>
          <w:b/>
          <w:i w:val="0"/>
          <w:color w:val="1B2A32"/>
          <w:sz w:val="19"/>
        </w:rPr>
        <w:t>21 November 2025</w:t>
      </w:r>
      <w:r>
        <w:rPr>
          <w:rFonts w:ascii="Calibri" w:hAnsi="Calibri"/>
          <w:b w:val="0"/>
          <w:i w:val="0"/>
          <w:color w:val="1B2A32"/>
          <w:sz w:val="19"/>
        </w:rPr>
        <w:t>; state rules are being notified progressively — confirm the position in the relevant State.</w:t>
      </w:r>
    </w:p>
    <w:p>
      <w:pPr>
        <w:keepNext/>
        <w:spacing w:before="320" w:after="140"/>
        <w:pBdr>
          <w:bottom w:val="single" w:sz="12" w:space="3" w:color="C6A15B"/>
        </w:pBdr>
      </w:pPr>
      <w:r>
        <w:rPr>
          <w:rFonts w:ascii="Calibri" w:hAnsi="Calibri"/>
          <w:b/>
          <w:i w:val="0"/>
          <w:color w:val="123B4F"/>
          <w:sz w:val="34"/>
        </w:rPr>
        <w:t>Table of Contents</w:t>
      </w:r>
    </w:p>
    <w:p>
      <w:pPr>
        <w:spacing w:after="140"/>
        <w:jc w:val="both"/>
      </w:pPr>
      <w:r>
        <w:rPr>
          <w:rFonts w:ascii="Calibri" w:hAnsi="Calibri"/>
          <w:b w:val="0"/>
          <w:i w:val="0"/>
          <w:color w:val="1B2A32"/>
          <w:sz w:val="19"/>
        </w:rPr>
        <w:t>This document uses Word heading styles. Open in Microsoft Word and choose “Update Field” on the entry below to generate a clickable, page-numbered contents list.</w:t>
      </w:r>
    </w:p>
    <w:p>
      <w:r>
        <w:fldChar w:fldCharType="begin"/>
      </w:r>
      <w:r>
        <w:instrText xml:space="preserve">TOC \o "1-3" \h \z \u</w:instrText>
      </w:r>
      <w:r>
        <w:fldChar w:fldCharType="separate"/>
      </w:r>
      <w:r>
        <w:rPr>
          <w:rFonts w:ascii="Calibri" w:hAnsi="Calibri"/>
          <w:b w:val="0"/>
          <w:i/>
          <w:color w:val="556168"/>
          <w:sz w:val="19"/>
        </w:rPr>
        <w:t>Right-click and choose “Update Field” to build the Table of Contents.</w:t>
      </w:r>
      <w:r>
        <w:fldChar w:fldCharType="end"/>
      </w:r>
    </w:p>
    <w:p>
      <w:r>
        <w:br w:type="page"/>
      </w:r>
    </w:p>
    <w:p>
      <w:pPr>
        <w:spacing w:before="600" w:after="40"/>
      </w:pPr>
      <w:r>
        <w:rPr>
          <w:rFonts w:ascii="Calibri" w:hAnsi="Calibri"/>
          <w:b/>
          <w:i w:val="0"/>
          <w:color w:val="C6A15B"/>
          <w:sz w:val="26"/>
        </w:rPr>
        <w:t>PART A</w:t>
      </w:r>
    </w:p>
    <w:p>
      <w:pPr>
        <w:spacing w:after="200"/>
        <w:pBdr>
          <w:bottom w:val="single" w:sz="18" w:space="3" w:color="1E7A8C"/>
        </w:pBdr>
      </w:pPr>
      <w:r>
        <w:rPr>
          <w:rFonts w:ascii="Calibri" w:hAnsi="Calibri"/>
          <w:b/>
          <w:i w:val="0"/>
          <w:color w:val="123B4F"/>
          <w:sz w:val="46"/>
        </w:rPr>
        <w:t>Executive Summary &amp; Vision</w:t>
      </w:r>
    </w:p>
    <w:p>
      <w:pPr>
        <w:keepNext/>
        <w:spacing w:before="320" w:after="140"/>
        <w:pBdr>
          <w:bottom w:val="single" w:sz="12" w:space="3" w:color="C6A15B"/>
        </w:pBdr>
      </w:pPr>
      <w:r>
        <w:rPr>
          <w:rFonts w:ascii="Calibri" w:hAnsi="Calibri"/>
          <w:b/>
          <w:i w:val="0"/>
          <w:color w:val="123B4F"/>
          <w:sz w:val="34"/>
        </w:rPr>
        <w:t>1.  Executive Summary</w:t>
      </w:r>
    </w:p>
    <w:p>
      <w:pPr>
        <w:spacing w:after="140"/>
        <w:jc w:val="both"/>
      </w:pPr>
      <w:r>
        <w:rPr>
          <w:rFonts w:ascii="Calibri" w:hAnsi="Calibri"/>
          <w:b w:val="0"/>
          <w:i w:val="0"/>
          <w:color w:val="1B2A32"/>
          <w:sz w:val="21"/>
        </w:rPr>
        <w:t xml:space="preserve">Workplace disputes — unpaid wages and full-and-final dues, contested terminations, separation and notice-period disputes, benefits, grievances, and sexual harassment — are among the most common, most sensitive and most poorly served disputes in India. Litigation and labour adjudication are slow and adversarial; the sexual-harassment framework, though robust on paper, is unevenly implemented. </w:t>
      </w:r>
      <w:r>
        <w:rPr>
          <w:rFonts w:ascii="Calibri" w:hAnsi="Calibri"/>
          <w:b/>
          <w:i w:val="0"/>
          <w:color w:val="1B2A32"/>
          <w:sz w:val="21"/>
        </w:rPr>
        <w:t>Equator Resolution</w:t>
      </w:r>
      <w:r>
        <w:rPr>
          <w:rFonts w:ascii="Calibri" w:hAnsi="Calibri"/>
          <w:b w:val="0"/>
          <w:i w:val="0"/>
          <w:color w:val="1B2A32"/>
          <w:sz w:val="21"/>
        </w:rPr>
        <w:t xml:space="preserve"> offers an institutional, confidential, largely online service that mediates the disputes that are capable of settlement, supports employers' statutory obligations (especially POSH), and routes every matter to the right forum.</w:t>
      </w:r>
    </w:p>
    <w:p>
      <w:pPr>
        <w:spacing w:after="140"/>
        <w:jc w:val="both"/>
      </w:pPr>
      <w:r>
        <w:rPr>
          <w:rFonts w:ascii="Calibri" w:hAnsi="Calibri"/>
          <w:b w:val="0"/>
          <w:i w:val="0"/>
          <w:color w:val="1B2A32"/>
          <w:sz w:val="21"/>
        </w:rPr>
        <w:t>This Blueprint sets out the legal landscape, the platform design, the forms, the governance and commercials, global best practice, the technology layer, and the full set of ready-to-use forms.</w:t>
      </w:r>
    </w:p>
    <w:p>
      <w:pPr>
        <w:keepNext/>
        <w:spacing w:before="320" w:after="140"/>
        <w:pBdr>
          <w:bottom w:val="single" w:sz="12" w:space="3" w:color="C6A15B"/>
        </w:pBdr>
      </w:pPr>
      <w:r>
        <w:rPr>
          <w:rFonts w:ascii="Calibri" w:hAnsi="Calibri"/>
          <w:b/>
          <w:i w:val="0"/>
          <w:color w:val="123B4F"/>
          <w:sz w:val="34"/>
        </w:rPr>
        <w:t>2.  The Opportunity</w:t>
      </w:r>
    </w:p>
    <w:p>
      <w:pPr>
        <w:pStyle w:val="ListBullet"/>
        <w:spacing w:after="60"/>
        <w:jc w:val="both"/>
      </w:pPr>
      <w:r>
        <w:rPr>
          <w:rFonts w:ascii="Calibri" w:hAnsi="Calibri"/>
          <w:b/>
          <w:i w:val="0"/>
          <w:color w:val="1B2A32"/>
          <w:sz w:val="21"/>
        </w:rPr>
        <w:t>Scale.</w:t>
      </w:r>
      <w:r>
        <w:rPr>
          <w:rFonts w:ascii="Calibri" w:hAnsi="Calibri"/>
          <w:b w:val="0"/>
          <w:i w:val="0"/>
          <w:color w:val="1B2A32"/>
          <w:sz w:val="21"/>
        </w:rPr>
        <w:t xml:space="preserve"> Every establishment has employment, wage, separation and grievance disputes; POSH compliance is mandatory for organisations with 10 or more workers.</w:t>
      </w:r>
    </w:p>
    <w:p>
      <w:pPr>
        <w:pStyle w:val="ListBullet"/>
        <w:spacing w:after="60"/>
        <w:jc w:val="both"/>
      </w:pPr>
      <w:r>
        <w:rPr>
          <w:rFonts w:ascii="Calibri" w:hAnsi="Calibri"/>
          <w:b/>
          <w:i w:val="0"/>
          <w:color w:val="1B2A32"/>
          <w:sz w:val="21"/>
        </w:rPr>
        <w:t>Pain.</w:t>
      </w:r>
      <w:r>
        <w:rPr>
          <w:rFonts w:ascii="Calibri" w:hAnsi="Calibri"/>
          <w:b w:val="0"/>
          <w:i w:val="0"/>
          <w:color w:val="1B2A32"/>
          <w:sz w:val="21"/>
        </w:rPr>
        <w:t xml:space="preserve"> Labour courts and tribunals are slow; F&amp;F and wage disputes drag; terminations breed litigation; POSH inquiries are often mishandled for want of trained committees.</w:t>
      </w:r>
    </w:p>
    <w:p>
      <w:pPr>
        <w:pStyle w:val="ListBullet"/>
        <w:spacing w:after="60"/>
        <w:jc w:val="both"/>
      </w:pPr>
      <w:r>
        <w:rPr>
          <w:rFonts w:ascii="Calibri" w:hAnsi="Calibri"/>
          <w:b/>
          <w:i w:val="0"/>
          <w:color w:val="1B2A32"/>
          <w:sz w:val="21"/>
        </w:rPr>
        <w:t>Regulatory push.</w:t>
      </w:r>
      <w:r>
        <w:rPr>
          <w:rFonts w:ascii="Calibri" w:hAnsi="Calibri"/>
          <w:b w:val="0"/>
          <w:i w:val="0"/>
          <w:color w:val="1B2A32"/>
          <w:sz w:val="21"/>
        </w:rPr>
        <w:t xml:space="preserve"> The four </w:t>
      </w:r>
      <w:r>
        <w:rPr>
          <w:rFonts w:ascii="Calibri" w:hAnsi="Calibri"/>
          <w:b/>
          <w:i w:val="0"/>
          <w:color w:val="1B2A32"/>
          <w:sz w:val="21"/>
        </w:rPr>
        <w:t>Labour Codes are now in force (21 Nov 2025)</w:t>
      </w:r>
      <w:r>
        <w:rPr>
          <w:rFonts w:ascii="Calibri" w:hAnsi="Calibri"/>
          <w:b w:val="0"/>
          <w:i w:val="0"/>
          <w:color w:val="1B2A32"/>
          <w:sz w:val="21"/>
        </w:rPr>
        <w:t xml:space="preserve">, consolidating 29 laws and formalising grievance-redressal machinery; the </w:t>
      </w:r>
      <w:r>
        <w:rPr>
          <w:rFonts w:ascii="Calibri" w:hAnsi="Calibri"/>
          <w:b/>
          <w:i w:val="0"/>
          <w:color w:val="1B2A32"/>
          <w:sz w:val="21"/>
        </w:rPr>
        <w:t>POSH Act</w:t>
      </w:r>
      <w:r>
        <w:rPr>
          <w:rFonts w:ascii="Calibri" w:hAnsi="Calibri"/>
          <w:b w:val="0"/>
          <w:i w:val="0"/>
          <w:color w:val="1B2A32"/>
          <w:sz w:val="21"/>
        </w:rPr>
        <w:t xml:space="preserve"> mandates Internal Committees with an external member; the </w:t>
      </w:r>
      <w:r>
        <w:rPr>
          <w:rFonts w:ascii="Calibri" w:hAnsi="Calibri"/>
          <w:b/>
          <w:i w:val="0"/>
          <w:color w:val="1B2A32"/>
          <w:sz w:val="21"/>
        </w:rPr>
        <w:t>Mediation Act, 2023</w:t>
      </w:r>
      <w:r>
        <w:rPr>
          <w:rFonts w:ascii="Calibri" w:hAnsi="Calibri"/>
          <w:b w:val="0"/>
          <w:i w:val="0"/>
          <w:color w:val="1B2A32"/>
          <w:sz w:val="21"/>
        </w:rPr>
        <w:t xml:space="preserve"> makes mediated settlements enforceable as decrees.</w:t>
      </w:r>
    </w:p>
    <w:p>
      <w:pPr>
        <w:pStyle w:val="ListBullet"/>
        <w:spacing w:after="60"/>
        <w:jc w:val="both"/>
      </w:pPr>
      <w:r>
        <w:rPr>
          <w:rFonts w:ascii="Calibri" w:hAnsi="Calibri"/>
          <w:b/>
          <w:i w:val="0"/>
          <w:color w:val="1B2A32"/>
          <w:sz w:val="21"/>
        </w:rPr>
        <w:t>Employer demand.</w:t>
      </w:r>
      <w:r>
        <w:rPr>
          <w:rFonts w:ascii="Calibri" w:hAnsi="Calibri"/>
          <w:b w:val="0"/>
          <w:i w:val="0"/>
          <w:color w:val="1B2A32"/>
          <w:sz w:val="21"/>
        </w:rPr>
        <w:t xml:space="preserve"> Employers want faster, cheaper, reputation-safe resolution and reliable POSH compliance; employees want fair, dignified, prompt outcomes and a clean exit.</w:t>
      </w:r>
    </w:p>
    <w:p>
      <w:pPr>
        <w:spacing w:after="40"/>
      </w:pPr>
    </w:p>
    <w:p>
      <w:pPr>
        <w:keepNext/>
        <w:spacing w:before="320" w:after="140"/>
        <w:pBdr>
          <w:bottom w:val="single" w:sz="12" w:space="3" w:color="C6A15B"/>
        </w:pBdr>
      </w:pPr>
      <w:r>
        <w:rPr>
          <w:rFonts w:ascii="Calibri" w:hAnsi="Calibri"/>
          <w:b/>
          <w:i w:val="0"/>
          <w:color w:val="123B4F"/>
          <w:sz w:val="34"/>
        </w:rPr>
        <w:t>3.  Vision</w:t>
      </w:r>
    </w:p>
    <w:p>
      <w:pPr>
        <w:spacing w:after="140"/>
        <w:jc w:val="both"/>
      </w:pPr>
      <w:r>
        <w:rPr>
          <w:rFonts w:ascii="Calibri" w:hAnsi="Calibri"/>
          <w:b w:val="0"/>
          <w:i w:val="0"/>
          <w:color w:val="1B2A32"/>
          <w:sz w:val="21"/>
        </w:rPr>
        <w:t>To be India's trusted institution for resolving workplace disputes — fair to employees, efficient for employers, and impeccable on the sensitive matters — delivered online, secured by escrow where money is involved, and enforceable in law.</w:t>
      </w:r>
    </w:p>
    <w:p>
      <w:pPr>
        <w:keepNext/>
        <w:spacing w:before="320" w:after="140"/>
        <w:pBdr>
          <w:bottom w:val="single" w:sz="12" w:space="3" w:color="C6A15B"/>
        </w:pBdr>
      </w:pPr>
      <w:r>
        <w:rPr>
          <w:rFonts w:ascii="Calibri" w:hAnsi="Calibri"/>
          <w:b/>
          <w:i w:val="0"/>
          <w:color w:val="123B4F"/>
          <w:sz w:val="34"/>
        </w:rPr>
        <w:t>4.  How Equator Works — Workplace</w:t>
      </w:r>
    </w:p>
    <w:p>
      <w:pPr>
        <w:spacing w:before="80" w:after="40"/>
        <w:jc w:val="center"/>
      </w:pPr>
      <w:r>
        <w:drawing>
          <wp:inline xmlns:a="http://schemas.openxmlformats.org/drawingml/2006/main" xmlns:pic="http://schemas.openxmlformats.org/drawingml/2006/picture">
            <wp:extent cx="5760720" cy="9162325"/>
            <wp:docPr id="1" name="Picture 1"/>
            <wp:cNvGraphicFramePr>
              <a:graphicFrameLocks noChangeAspect="1"/>
            </wp:cNvGraphicFramePr>
            <a:graphic>
              <a:graphicData uri="http://schemas.openxmlformats.org/drawingml/2006/picture">
                <pic:pic>
                  <pic:nvPicPr>
                    <pic:cNvPr id="0" name="wp01_lifecycle.png"/>
                    <pic:cNvPicPr/>
                  </pic:nvPicPr>
                  <pic:blipFill>
                    <a:blip r:embed="rId9"/>
                    <a:stretch>
                      <a:fillRect/>
                    </a:stretch>
                  </pic:blipFill>
                  <pic:spPr>
                    <a:xfrm>
                      <a:off x="0" y="0"/>
                      <a:ext cx="5760720" cy="9162325"/>
                    </a:xfrm>
                    <a:prstGeom prst="rect"/>
                  </pic:spPr>
                </pic:pic>
              </a:graphicData>
            </a:graphic>
          </wp:inline>
        </w:drawing>
      </w:r>
    </w:p>
    <w:p>
      <w:pPr>
        <w:spacing w:before="20" w:after="200"/>
        <w:jc w:val="center"/>
      </w:pPr>
      <w:r>
        <w:rPr>
          <w:rFonts w:ascii="Calibri" w:hAnsi="Calibri"/>
          <w:b w:val="0"/>
          <w:i/>
          <w:color w:val="556168"/>
          <w:sz w:val="17"/>
        </w:rPr>
        <w:t>Figure 1 — the workplace dispute lifecycle, from intake to enforceable outcome.</w:t>
      </w:r>
    </w:p>
    <w:p>
      <w:pPr>
        <w:pStyle w:val="ListNumber"/>
        <w:spacing w:after="60"/>
        <w:jc w:val="both"/>
      </w:pPr>
      <w:r>
        <w:rPr>
          <w:rFonts w:ascii="Calibri" w:hAnsi="Calibri"/>
          <w:b/>
          <w:i w:val="0"/>
          <w:color w:val="1B2A32"/>
          <w:sz w:val="21"/>
        </w:rPr>
        <w:t>Explore.</w:t>
      </w:r>
      <w:r>
        <w:rPr>
          <w:rFonts w:ascii="Calibri" w:hAnsi="Calibri"/>
          <w:b w:val="0"/>
          <w:i w:val="0"/>
          <w:color w:val="1B2A32"/>
          <w:sz w:val="21"/>
        </w:rPr>
        <w:t xml:space="preserve"> The AI Dispute Explorer helps a party understand the route, their rights and remedies, and drafts a first grievance/complaint.</w:t>
      </w:r>
    </w:p>
    <w:p>
      <w:pPr>
        <w:pStyle w:val="ListNumber"/>
        <w:spacing w:after="60"/>
        <w:jc w:val="both"/>
      </w:pPr>
      <w:r>
        <w:rPr>
          <w:rFonts w:ascii="Calibri" w:hAnsi="Calibri"/>
          <w:b/>
          <w:i w:val="0"/>
          <w:color w:val="1B2A32"/>
          <w:sz w:val="21"/>
        </w:rPr>
        <w:t>Register &amp; file.</w:t>
      </w:r>
      <w:r>
        <w:rPr>
          <w:rFonts w:ascii="Calibri" w:hAnsi="Calibri"/>
          <w:b w:val="0"/>
          <w:i w:val="0"/>
          <w:color w:val="1B2A32"/>
          <w:sz w:val="21"/>
        </w:rPr>
        <w:t xml:space="preserve"> KYC and DPDP consent; either the employee or the employer may initiate.</w:t>
      </w:r>
    </w:p>
    <w:p>
      <w:pPr>
        <w:pStyle w:val="ListNumber"/>
        <w:spacing w:after="60"/>
        <w:jc w:val="both"/>
      </w:pPr>
      <w:r>
        <w:rPr>
          <w:rFonts w:ascii="Calibri" w:hAnsi="Calibri"/>
          <w:b/>
          <w:i w:val="0"/>
          <w:color w:val="1B2A32"/>
          <w:sz w:val="21"/>
        </w:rPr>
        <w:t>Triage.</w:t>
      </w:r>
      <w:r>
        <w:rPr>
          <w:rFonts w:ascii="Calibri" w:hAnsi="Calibri"/>
          <w:b w:val="0"/>
          <w:i w:val="0"/>
          <w:color w:val="1B2A32"/>
          <w:sz w:val="21"/>
        </w:rPr>
        <w:t xml:space="preserve"> We classify the matter — mediable (wage/F&amp;F/separation/contract/grievance), </w:t>
      </w:r>
      <w:r>
        <w:rPr>
          <w:rFonts w:ascii="Calibri" w:hAnsi="Calibri"/>
          <w:b/>
          <w:i w:val="0"/>
          <w:color w:val="1B2A32"/>
          <w:sz w:val="21"/>
        </w:rPr>
        <w:t>POSH</w:t>
      </w:r>
      <w:r>
        <w:rPr>
          <w:rFonts w:ascii="Calibri" w:hAnsi="Calibri"/>
          <w:b w:val="0"/>
          <w:i w:val="0"/>
          <w:color w:val="1B2A32"/>
          <w:sz w:val="21"/>
        </w:rPr>
        <w:t xml:space="preserve"> (to the Internal Committee), or statutory-only (IR Code machinery) — and route accordingly.</w:t>
      </w:r>
    </w:p>
    <w:p>
      <w:pPr>
        <w:pStyle w:val="ListNumber"/>
        <w:spacing w:after="60"/>
        <w:jc w:val="both"/>
      </w:pPr>
      <w:r>
        <w:rPr>
          <w:rFonts w:ascii="Calibri" w:hAnsi="Calibri"/>
          <w:b/>
          <w:i w:val="0"/>
          <w:color w:val="1B2A32"/>
          <w:sz w:val="21"/>
        </w:rPr>
        <w:t>Resolve.</w:t>
      </w:r>
      <w:r>
        <w:rPr>
          <w:rFonts w:ascii="Calibri" w:hAnsi="Calibri"/>
          <w:b w:val="0"/>
          <w:i w:val="0"/>
          <w:color w:val="1B2A32"/>
          <w:sz w:val="21"/>
        </w:rPr>
        <w:t xml:space="preserve"> A conflict-checked neutral mediates; POSH matters are supported through the Internal Committee and s.10 conciliation where lawful.</w:t>
      </w:r>
    </w:p>
    <w:p>
      <w:pPr>
        <w:pStyle w:val="ListNumber"/>
        <w:spacing w:after="60"/>
        <w:jc w:val="both"/>
      </w:pPr>
      <w:r>
        <w:rPr>
          <w:rFonts w:ascii="Calibri" w:hAnsi="Calibri"/>
          <w:b/>
          <w:i w:val="0"/>
          <w:color w:val="1B2A32"/>
          <w:sz w:val="21"/>
        </w:rPr>
        <w:t>Settle &amp; secure.</w:t>
      </w:r>
      <w:r>
        <w:rPr>
          <w:rFonts w:ascii="Calibri" w:hAnsi="Calibri"/>
          <w:b w:val="0"/>
          <w:i w:val="0"/>
          <w:color w:val="1B2A32"/>
          <w:sz w:val="21"/>
        </w:rPr>
        <w:t xml:space="preserve"> A settlement/F&amp;F, e-signed and e-stamped, enforceable as a decree; money held in escrow and released against relieving and clearance.</w:t>
      </w:r>
    </w:p>
    <w:p>
      <w:pPr>
        <w:pStyle w:val="ListNumber"/>
        <w:spacing w:after="60"/>
        <w:jc w:val="both"/>
      </w:pPr>
      <w:r>
        <w:rPr>
          <w:rFonts w:ascii="Calibri" w:hAnsi="Calibri"/>
          <w:b/>
          <w:i w:val="0"/>
          <w:color w:val="1B2A32"/>
          <w:sz w:val="21"/>
        </w:rPr>
        <w:t>Close.</w:t>
      </w:r>
      <w:r>
        <w:rPr>
          <w:rFonts w:ascii="Calibri" w:hAnsi="Calibri"/>
          <w:b w:val="0"/>
          <w:i w:val="0"/>
          <w:color w:val="1B2A32"/>
          <w:sz w:val="21"/>
        </w:rPr>
        <w:t xml:space="preserve"> Relieving and experience letters; confidential record and audit trail.</w:t>
      </w:r>
    </w:p>
    <w:p>
      <w:pPr>
        <w:spacing w:after="40"/>
      </w:pPr>
    </w:p>
    <w:p>
      <w:r>
        <w:br w:type="page"/>
      </w:r>
    </w:p>
    <w:p>
      <w:pPr>
        <w:spacing w:before="600" w:after="40"/>
      </w:pPr>
      <w:r>
        <w:rPr>
          <w:rFonts w:ascii="Calibri" w:hAnsi="Calibri"/>
          <w:b/>
          <w:i w:val="0"/>
          <w:color w:val="C6A15B"/>
          <w:sz w:val="26"/>
        </w:rPr>
        <w:t>PART B</w:t>
      </w:r>
    </w:p>
    <w:p>
      <w:pPr>
        <w:spacing w:after="200"/>
        <w:pBdr>
          <w:bottom w:val="single" w:sz="18" w:space="3" w:color="1E7A8C"/>
        </w:pBdr>
      </w:pPr>
      <w:r>
        <w:rPr>
          <w:rFonts w:ascii="Calibri" w:hAnsi="Calibri"/>
          <w:b/>
          <w:i w:val="0"/>
          <w:color w:val="123B4F"/>
          <w:sz w:val="46"/>
        </w:rPr>
        <w:t>The Legal Landscape</w:t>
      </w:r>
    </w:p>
    <w:p>
      <w:pPr>
        <w:keepNext/>
        <w:spacing w:before="320" w:after="140"/>
        <w:pBdr>
          <w:bottom w:val="single" w:sz="12" w:space="3" w:color="C6A15B"/>
        </w:pBdr>
      </w:pPr>
      <w:r>
        <w:rPr>
          <w:rFonts w:ascii="Calibri" w:hAnsi="Calibri"/>
          <w:b/>
          <w:i w:val="0"/>
          <w:color w:val="123B4F"/>
          <w:sz w:val="34"/>
        </w:rPr>
        <w:t>5.  The Mediation Framework</w:t>
      </w:r>
    </w:p>
    <w:p>
      <w:pPr>
        <w:spacing w:after="140"/>
        <w:jc w:val="both"/>
      </w:pPr>
      <w:r>
        <w:rPr>
          <w:rFonts w:ascii="Calibri" w:hAnsi="Calibri"/>
          <w:b w:val="0"/>
          <w:i w:val="0"/>
          <w:color w:val="1B2A32"/>
          <w:sz w:val="21"/>
        </w:rPr>
        <w:t xml:space="preserve">The </w:t>
      </w:r>
      <w:r>
        <w:rPr>
          <w:rFonts w:ascii="Calibri" w:hAnsi="Calibri"/>
          <w:b/>
          <w:i w:val="0"/>
          <w:color w:val="1B2A32"/>
          <w:sz w:val="21"/>
        </w:rPr>
        <w:t>Mediation Act, 2023</w:t>
      </w:r>
      <w:r>
        <w:rPr>
          <w:rFonts w:ascii="Calibri" w:hAnsi="Calibri"/>
          <w:b w:val="0"/>
          <w:i w:val="0"/>
          <w:color w:val="1B2A32"/>
          <w:sz w:val="21"/>
        </w:rPr>
        <w:t xml:space="preserve"> governs institutional mediation. A mediated settlement agreement (MSA) is </w:t>
      </w:r>
      <w:r>
        <w:rPr>
          <w:rFonts w:ascii="Calibri" w:hAnsi="Calibri"/>
          <w:b/>
          <w:i w:val="0"/>
          <w:color w:val="1B2A32"/>
          <w:sz w:val="21"/>
        </w:rPr>
        <w:t>final and binding and enforceable as a judgment/decree of court (s.27)</w:t>
      </w:r>
      <w:r>
        <w:rPr>
          <w:rFonts w:ascii="Calibri" w:hAnsi="Calibri"/>
          <w:b w:val="0"/>
          <w:i w:val="0"/>
          <w:color w:val="1B2A32"/>
          <w:sz w:val="21"/>
        </w:rPr>
        <w:t>, may be registered (s.20), and is confidential and without prejudice (s.22). Employment and workplace money/contract disputes are generally amenable to mediation. The Act's First Schedule and general law exclude certain matters; sexual-harassment complaints are dealt with under the special POSH regime, not diverted into ordinary mediation.</w:t>
      </w:r>
    </w:p>
    <w:p>
      <w:pPr>
        <w:keepNext/>
        <w:spacing w:before="320" w:after="140"/>
        <w:pBdr>
          <w:bottom w:val="single" w:sz="12" w:space="3" w:color="C6A15B"/>
        </w:pBdr>
      </w:pPr>
      <w:r>
        <w:rPr>
          <w:rFonts w:ascii="Calibri" w:hAnsi="Calibri"/>
          <w:b/>
          <w:i w:val="0"/>
          <w:color w:val="123B4F"/>
          <w:sz w:val="34"/>
        </w:rPr>
        <w:t>6.  The POSH Act, 2013</w:t>
      </w:r>
    </w:p>
    <w:p>
      <w:pPr>
        <w:spacing w:after="140"/>
        <w:jc w:val="both"/>
      </w:pPr>
      <w:r>
        <w:rPr>
          <w:rFonts w:ascii="Calibri" w:hAnsi="Calibri"/>
          <w:b w:val="0"/>
          <w:i w:val="0"/>
          <w:color w:val="1B2A32"/>
          <w:sz w:val="21"/>
        </w:rPr>
        <w:t xml:space="preserve">The </w:t>
      </w:r>
      <w:r>
        <w:rPr>
          <w:rFonts w:ascii="Calibri" w:hAnsi="Calibri"/>
          <w:b/>
          <w:i w:val="0"/>
          <w:color w:val="1B2A32"/>
          <w:sz w:val="21"/>
        </w:rPr>
        <w:t>Sexual Harassment of Women at Workplace (Prevention, Prohibition and Redressal) Act, 2013</w:t>
      </w:r>
      <w:r>
        <w:rPr>
          <w:rFonts w:ascii="Calibri" w:hAnsi="Calibri"/>
          <w:b w:val="0"/>
          <w:i w:val="0"/>
          <w:color w:val="1B2A32"/>
          <w:sz w:val="21"/>
        </w:rPr>
        <w:t xml:space="preserve"> ('POSH') requires every employer with </w:t>
      </w:r>
      <w:r>
        <w:rPr>
          <w:rFonts w:ascii="Calibri" w:hAnsi="Calibri"/>
          <w:b/>
          <w:i w:val="0"/>
          <w:color w:val="1B2A32"/>
          <w:sz w:val="21"/>
        </w:rPr>
        <w:t>10 or more workers</w:t>
      </w:r>
      <w:r>
        <w:rPr>
          <w:rFonts w:ascii="Calibri" w:hAnsi="Calibri"/>
          <w:b w:val="0"/>
          <w:i w:val="0"/>
          <w:color w:val="1B2A32"/>
          <w:sz w:val="21"/>
        </w:rPr>
        <w:t xml:space="preserve"> to constitute an </w:t>
      </w:r>
      <w:r>
        <w:rPr>
          <w:rFonts w:ascii="Calibri" w:hAnsi="Calibri"/>
          <w:b/>
          <w:i w:val="0"/>
          <w:color w:val="1B2A32"/>
          <w:sz w:val="21"/>
        </w:rPr>
        <w:t>Internal Committee (IC)</w:t>
      </w:r>
      <w:r>
        <w:rPr>
          <w:rFonts w:ascii="Calibri" w:hAnsi="Calibri"/>
          <w:b w:val="0"/>
          <w:i w:val="0"/>
          <w:color w:val="1B2A32"/>
          <w:sz w:val="21"/>
        </w:rPr>
        <w:t xml:space="preserve"> and provides a Local Committee (LC) at the district level for smaller establishments and for complaints against the employer.</w:t>
      </w:r>
    </w:p>
    <w:p>
      <w:pPr>
        <w:spacing w:before="80" w:after="40"/>
        <w:jc w:val="center"/>
      </w:pPr>
      <w:r>
        <w:drawing>
          <wp:inline xmlns:a="http://schemas.openxmlformats.org/drawingml/2006/main" xmlns:pic="http://schemas.openxmlformats.org/drawingml/2006/picture">
            <wp:extent cx="5120640" cy="6741096"/>
            <wp:docPr id="2" name="Picture 2"/>
            <wp:cNvGraphicFramePr>
              <a:graphicFrameLocks noChangeAspect="1"/>
            </wp:cNvGraphicFramePr>
            <a:graphic>
              <a:graphicData uri="http://schemas.openxmlformats.org/drawingml/2006/picture">
                <pic:pic>
                  <pic:nvPicPr>
                    <pic:cNvPr id="0" name="wp03_posh.png"/>
                    <pic:cNvPicPr/>
                  </pic:nvPicPr>
                  <pic:blipFill>
                    <a:blip r:embed="rId10"/>
                    <a:stretch>
                      <a:fillRect/>
                    </a:stretch>
                  </pic:blipFill>
                  <pic:spPr>
                    <a:xfrm>
                      <a:off x="0" y="0"/>
                      <a:ext cx="5120640" cy="6741096"/>
                    </a:xfrm>
                    <a:prstGeom prst="rect"/>
                  </pic:spPr>
                </pic:pic>
              </a:graphicData>
            </a:graphic>
          </wp:inline>
        </w:drawing>
      </w:r>
    </w:p>
    <w:p>
      <w:pPr>
        <w:spacing w:before="20" w:after="200"/>
        <w:jc w:val="center"/>
      </w:pPr>
      <w:r>
        <w:rPr>
          <w:rFonts w:ascii="Calibri" w:hAnsi="Calibri"/>
          <w:b w:val="0"/>
          <w:i/>
          <w:color w:val="556168"/>
          <w:sz w:val="17"/>
        </w:rPr>
        <w:t>Figure 2 — the POSH Internal Committee process and timelines.</w:t>
      </w:r>
    </w:p>
    <w:p>
      <w:pPr>
        <w:keepNext/>
        <w:spacing w:before="220" w:after="80"/>
      </w:pPr>
      <w:r>
        <w:rPr>
          <w:rFonts w:ascii="Calibri" w:hAnsi="Calibri"/>
          <w:b/>
          <w:i w:val="0"/>
          <w:color w:val="1E7A8C"/>
          <w:sz w:val="26"/>
        </w:rPr>
        <w:t>6.1   Key features</w:t>
      </w:r>
    </w:p>
    <w:p>
      <w:pPr>
        <w:pStyle w:val="ListBullet"/>
        <w:spacing w:after="60"/>
        <w:jc w:val="both"/>
      </w:pPr>
      <w:r>
        <w:rPr>
          <w:rFonts w:ascii="Calibri" w:hAnsi="Calibri"/>
          <w:b/>
          <w:i w:val="0"/>
          <w:color w:val="1B2A32"/>
          <w:sz w:val="21"/>
        </w:rPr>
        <w:t>Composition (s.4).</w:t>
      </w:r>
      <w:r>
        <w:rPr>
          <w:rFonts w:ascii="Calibri" w:hAnsi="Calibri"/>
          <w:b w:val="0"/>
          <w:i w:val="0"/>
          <w:color w:val="1B2A32"/>
          <w:sz w:val="21"/>
        </w:rPr>
        <w:t xml:space="preserve"> A Presiding Officer (a senior woman employee), at least two members, and at least one </w:t>
      </w:r>
      <w:r>
        <w:rPr>
          <w:rFonts w:ascii="Calibri" w:hAnsi="Calibri"/>
          <w:b/>
          <w:i w:val="0"/>
          <w:color w:val="1B2A32"/>
          <w:sz w:val="21"/>
        </w:rPr>
        <w:t>external member</w:t>
      </w:r>
      <w:r>
        <w:rPr>
          <w:rFonts w:ascii="Calibri" w:hAnsi="Calibri"/>
          <w:b w:val="0"/>
          <w:i w:val="0"/>
          <w:color w:val="1B2A32"/>
          <w:sz w:val="21"/>
        </w:rPr>
        <w:t xml:space="preserve"> from an NGO/association committed to the cause of women, or a person familiar with sexual-harassment issues. At least half the members must be women.</w:t>
      </w:r>
    </w:p>
    <w:p>
      <w:pPr>
        <w:pStyle w:val="ListBullet"/>
        <w:spacing w:after="60"/>
        <w:jc w:val="both"/>
      </w:pPr>
      <w:r>
        <w:rPr>
          <w:rFonts w:ascii="Calibri" w:hAnsi="Calibri"/>
          <w:b/>
          <w:i w:val="0"/>
          <w:color w:val="1B2A32"/>
          <w:sz w:val="21"/>
        </w:rPr>
        <w:t>Complaint.</w:t>
      </w:r>
      <w:r>
        <w:rPr>
          <w:rFonts w:ascii="Calibri" w:hAnsi="Calibri"/>
          <w:b w:val="0"/>
          <w:i w:val="0"/>
          <w:color w:val="1B2A32"/>
          <w:sz w:val="21"/>
        </w:rPr>
        <w:t xml:space="preserve"> In writing, ordinarily within </w:t>
      </w:r>
      <w:r>
        <w:rPr>
          <w:rFonts w:ascii="Calibri" w:hAnsi="Calibri"/>
          <w:b/>
          <w:i w:val="0"/>
          <w:color w:val="1B2A32"/>
          <w:sz w:val="21"/>
        </w:rPr>
        <w:t>3 months</w:t>
      </w:r>
      <w:r>
        <w:rPr>
          <w:rFonts w:ascii="Calibri" w:hAnsi="Calibri"/>
          <w:b w:val="0"/>
          <w:i w:val="0"/>
          <w:color w:val="1B2A32"/>
          <w:sz w:val="21"/>
        </w:rPr>
        <w:t xml:space="preserve"> of the incident (or the last incident), extendable by a further 3 months for recorded reasons; assistance is available to file.</w:t>
      </w:r>
    </w:p>
    <w:p>
      <w:pPr>
        <w:pStyle w:val="ListBullet"/>
        <w:spacing w:after="60"/>
        <w:jc w:val="both"/>
      </w:pPr>
      <w:r>
        <w:rPr>
          <w:rFonts w:ascii="Calibri" w:hAnsi="Calibri"/>
          <w:b/>
          <w:i w:val="0"/>
          <w:color w:val="1B2A32"/>
          <w:sz w:val="21"/>
        </w:rPr>
        <w:t>Conciliation (s.10).</w:t>
      </w:r>
      <w:r>
        <w:rPr>
          <w:rFonts w:ascii="Calibri" w:hAnsi="Calibri"/>
          <w:b w:val="0"/>
          <w:i w:val="0"/>
          <w:color w:val="1B2A32"/>
          <w:sz w:val="21"/>
        </w:rPr>
        <w:t xml:space="preserve"> Before an inquiry, and </w:t>
      </w:r>
      <w:r>
        <w:rPr>
          <w:rFonts w:ascii="Calibri" w:hAnsi="Calibri"/>
          <w:b/>
          <w:i w:val="0"/>
          <w:color w:val="1B2A32"/>
          <w:sz w:val="21"/>
        </w:rPr>
        <w:t>only at the aggrieved woman's request</w:t>
      </w:r>
      <w:r>
        <w:rPr>
          <w:rFonts w:ascii="Calibri" w:hAnsi="Calibri"/>
          <w:b w:val="0"/>
          <w:i w:val="0"/>
          <w:color w:val="1B2A32"/>
          <w:sz w:val="21"/>
        </w:rPr>
        <w:t xml:space="preserve">, the IC may attempt conciliation. It </w:t>
      </w:r>
      <w:r>
        <w:rPr>
          <w:rFonts w:ascii="Calibri" w:hAnsi="Calibri"/>
          <w:b/>
          <w:i w:val="0"/>
          <w:color w:val="1B2A32"/>
          <w:sz w:val="21"/>
        </w:rPr>
        <w:t>cannot</w:t>
      </w:r>
      <w:r>
        <w:rPr>
          <w:rFonts w:ascii="Calibri" w:hAnsi="Calibri"/>
          <w:b w:val="0"/>
          <w:i w:val="0"/>
          <w:color w:val="1B2A32"/>
          <w:sz w:val="21"/>
        </w:rPr>
        <w:t xml:space="preserve"> be initiated by the IC on its own or at the respondent's request, and </w:t>
      </w:r>
      <w:r>
        <w:rPr>
          <w:rFonts w:ascii="Calibri" w:hAnsi="Calibri"/>
          <w:b/>
          <w:i w:val="0"/>
          <w:color w:val="1B2A32"/>
          <w:sz w:val="21"/>
        </w:rPr>
        <w:t>no monetary settlement may be the basis</w:t>
      </w:r>
      <w:r>
        <w:rPr>
          <w:rFonts w:ascii="Calibri" w:hAnsi="Calibri"/>
          <w:b w:val="0"/>
          <w:i w:val="0"/>
          <w:color w:val="1B2A32"/>
          <w:sz w:val="21"/>
        </w:rPr>
        <w:t xml:space="preserve"> of conciliation. Terms, if agreed, are recorded and sent to the employer for implementation.</w:t>
      </w:r>
    </w:p>
    <w:p>
      <w:pPr>
        <w:pStyle w:val="ListBullet"/>
        <w:spacing w:after="60"/>
        <w:jc w:val="both"/>
      </w:pPr>
      <w:r>
        <w:rPr>
          <w:rFonts w:ascii="Calibri" w:hAnsi="Calibri"/>
          <w:b/>
          <w:i w:val="0"/>
          <w:color w:val="1B2A32"/>
          <w:sz w:val="21"/>
        </w:rPr>
        <w:t>Inquiry.</w:t>
      </w:r>
      <w:r>
        <w:rPr>
          <w:rFonts w:ascii="Calibri" w:hAnsi="Calibri"/>
          <w:b w:val="0"/>
          <w:i w:val="0"/>
          <w:color w:val="1B2A32"/>
          <w:sz w:val="21"/>
        </w:rPr>
        <w:t xml:space="preserve"> If there is no conciliation (or it fails), the IC inquires following natural justice and completes it within </w:t>
      </w:r>
      <w:r>
        <w:rPr>
          <w:rFonts w:ascii="Calibri" w:hAnsi="Calibri"/>
          <w:b/>
          <w:i w:val="0"/>
          <w:color w:val="1B2A32"/>
          <w:sz w:val="21"/>
        </w:rPr>
        <w:t>90 days</w:t>
      </w:r>
      <w:r>
        <w:rPr>
          <w:rFonts w:ascii="Calibri" w:hAnsi="Calibri"/>
          <w:b w:val="0"/>
          <w:i w:val="0"/>
          <w:color w:val="1B2A32"/>
          <w:sz w:val="21"/>
        </w:rPr>
        <w:t>; interim relief (e.g., transfer, leave, stop-contact) may be granted.</w:t>
      </w:r>
    </w:p>
    <w:p>
      <w:pPr>
        <w:pStyle w:val="ListBullet"/>
        <w:spacing w:after="60"/>
        <w:jc w:val="both"/>
      </w:pPr>
      <w:r>
        <w:rPr>
          <w:rFonts w:ascii="Calibri" w:hAnsi="Calibri"/>
          <w:b/>
          <w:i w:val="0"/>
          <w:color w:val="1B2A32"/>
          <w:sz w:val="21"/>
        </w:rPr>
        <w:t>Report &amp; action.</w:t>
      </w:r>
      <w:r>
        <w:rPr>
          <w:rFonts w:ascii="Calibri" w:hAnsi="Calibri"/>
          <w:b w:val="0"/>
          <w:i w:val="0"/>
          <w:color w:val="1B2A32"/>
          <w:sz w:val="21"/>
        </w:rPr>
        <w:t xml:space="preserve"> The IC reports to the employer within </w:t>
      </w:r>
      <w:r>
        <w:rPr>
          <w:rFonts w:ascii="Calibri" w:hAnsi="Calibri"/>
          <w:b/>
          <w:i w:val="0"/>
          <w:color w:val="1B2A32"/>
          <w:sz w:val="21"/>
        </w:rPr>
        <w:t>10 days</w:t>
      </w:r>
      <w:r>
        <w:rPr>
          <w:rFonts w:ascii="Calibri" w:hAnsi="Calibri"/>
          <w:b w:val="0"/>
          <w:i w:val="0"/>
          <w:color w:val="1B2A32"/>
          <w:sz w:val="21"/>
        </w:rPr>
        <w:t xml:space="preserve"> of concluding the inquiry; the </w:t>
      </w:r>
      <w:r>
        <w:rPr>
          <w:rFonts w:ascii="Calibri" w:hAnsi="Calibri"/>
          <w:b/>
          <w:i w:val="0"/>
          <w:color w:val="1B2A32"/>
          <w:sz w:val="21"/>
        </w:rPr>
        <w:t>employer acts within 60 days</w:t>
      </w:r>
      <w:r>
        <w:rPr>
          <w:rFonts w:ascii="Calibri" w:hAnsi="Calibri"/>
          <w:b w:val="0"/>
          <w:i w:val="0"/>
          <w:color w:val="1B2A32"/>
          <w:sz w:val="21"/>
        </w:rPr>
        <w:t xml:space="preserve">; either party may </w:t>
      </w:r>
      <w:r>
        <w:rPr>
          <w:rFonts w:ascii="Calibri" w:hAnsi="Calibri"/>
          <w:b/>
          <w:i w:val="0"/>
          <w:color w:val="1B2A32"/>
          <w:sz w:val="21"/>
        </w:rPr>
        <w:t>appeal within 90 days</w:t>
      </w:r>
      <w:r>
        <w:rPr>
          <w:rFonts w:ascii="Calibri" w:hAnsi="Calibri"/>
          <w:b w:val="0"/>
          <w:i w:val="0"/>
          <w:color w:val="1B2A32"/>
          <w:sz w:val="21"/>
        </w:rPr>
        <w:t>.</w:t>
      </w:r>
    </w:p>
    <w:p>
      <w:pPr>
        <w:pStyle w:val="ListBullet"/>
        <w:spacing w:after="60"/>
        <w:jc w:val="both"/>
      </w:pPr>
      <w:r>
        <w:rPr>
          <w:rFonts w:ascii="Calibri" w:hAnsi="Calibri"/>
          <w:b/>
          <w:i w:val="0"/>
          <w:color w:val="1B2A32"/>
          <w:sz w:val="21"/>
        </w:rPr>
        <w:t>Confidentiality (s.16).</w:t>
      </w:r>
      <w:r>
        <w:rPr>
          <w:rFonts w:ascii="Calibri" w:hAnsi="Calibri"/>
          <w:b w:val="0"/>
          <w:i w:val="0"/>
          <w:color w:val="1B2A32"/>
          <w:sz w:val="21"/>
        </w:rPr>
        <w:t xml:space="preserve"> The complaint, the identities and the proceedings are confidential; breach attracts a penalty.</w:t>
      </w:r>
    </w:p>
    <w:p>
      <w:pPr>
        <w:pStyle w:val="ListBullet"/>
        <w:spacing w:after="60"/>
        <w:jc w:val="both"/>
      </w:pPr>
      <w:r>
        <w:rPr>
          <w:rFonts w:ascii="Calibri" w:hAnsi="Calibri"/>
          <w:b/>
          <w:i w:val="0"/>
          <w:color w:val="1B2A32"/>
          <w:sz w:val="21"/>
        </w:rPr>
        <w:t>Employer duties &amp; penalties.</w:t>
      </w:r>
      <w:r>
        <w:rPr>
          <w:rFonts w:ascii="Calibri" w:hAnsi="Calibri"/>
          <w:b w:val="0"/>
          <w:i w:val="0"/>
          <w:color w:val="1B2A32"/>
          <w:sz w:val="21"/>
        </w:rPr>
        <w:t xml:space="preserve"> Policy, awareness, IC constitution, facilitation, annual report; non-compliance attracts fines and, on repetition, cancellation of licence/registration.</w:t>
      </w:r>
    </w:p>
    <w:p>
      <w:pPr>
        <w:spacing w:after="40"/>
      </w:pP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Equator's POSH role</w:t>
            </w:r>
          </w:p>
          <w:p>
            <w:pPr>
              <w:jc w:val="both"/>
            </w:pPr>
            <w:r>
              <w:rPr>
                <w:rFonts w:ascii="Calibri" w:hAnsi="Calibri"/>
                <w:b w:val="0"/>
                <w:i w:val="0"/>
                <w:color w:val="1B2A32"/>
                <w:sz w:val="20"/>
              </w:rPr>
              <w:t>Provide trained external IC members; secure, confidential case management and documentation (F-W07 to F-W10); facilitate s.10 conciliation at the woman's request; IC training. Equator never diverts a POSH complaint away from the IC, never bases conciliation on money, and never handles the criminal aspect.</w:t>
            </w:r>
          </w:p>
        </w:tc>
      </w:tr>
    </w:tbl>
    <w:p>
      <w:pPr>
        <w:spacing w:after="120"/>
      </w:pPr>
    </w:p>
    <w:p>
      <w:pPr>
        <w:keepNext/>
        <w:spacing w:before="320" w:after="140"/>
        <w:pBdr>
          <w:bottom w:val="single" w:sz="12" w:space="3" w:color="C6A15B"/>
        </w:pBdr>
      </w:pPr>
      <w:r>
        <w:rPr>
          <w:rFonts w:ascii="Calibri" w:hAnsi="Calibri"/>
          <w:b/>
          <w:i w:val="0"/>
          <w:color w:val="123B4F"/>
          <w:sz w:val="34"/>
        </w:rPr>
        <w:t>7.  The Labour Codes (in force from 21 November 2025)</w:t>
      </w:r>
    </w:p>
    <w:p>
      <w:pPr>
        <w:spacing w:after="140"/>
        <w:jc w:val="both"/>
      </w:pPr>
      <w:r>
        <w:rPr>
          <w:rFonts w:ascii="Calibri" w:hAnsi="Calibri"/>
          <w:b w:val="0"/>
          <w:i w:val="0"/>
          <w:color w:val="1B2A32"/>
          <w:sz w:val="21"/>
        </w:rPr>
        <w:t xml:space="preserve">India's 29 principal labour statutes have been consolidated into </w:t>
      </w:r>
      <w:r>
        <w:rPr>
          <w:rFonts w:ascii="Calibri" w:hAnsi="Calibri"/>
          <w:b/>
          <w:i w:val="0"/>
          <w:color w:val="1B2A32"/>
          <w:sz w:val="21"/>
        </w:rPr>
        <w:t>four Labour Codes, now in force nationwide from 21 November 2025</w:t>
      </w:r>
      <w:r>
        <w:rPr>
          <w:rFonts w:ascii="Calibri" w:hAnsi="Calibri"/>
          <w:b w:val="0"/>
          <w:i w:val="0"/>
          <w:color w:val="1B2A32"/>
          <w:sz w:val="21"/>
        </w:rPr>
        <w:t xml:space="preserve"> (Central Rules notified in 2026; State rules progressively). They reshape wages, industrial relations, social security and workplace safety.</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227"/>
            <w:shd w:val="clear" w:color="auto" w:fill="123B4F"/>
            <w:tcMar>
              <w:top w:w="60" w:type="dxa"/>
              <w:bottom w:w="60" w:type="dxa"/>
              <w:start w:w="110" w:type="dxa"/>
              <w:end w:w="110" w:type="dxa"/>
            </w:tcMar>
          </w:tcPr>
          <w:p>
            <w:pPr>
              <w:spacing w:after="0"/>
            </w:pPr>
            <w:r>
              <w:rPr>
                <w:rFonts w:ascii="Calibri" w:hAnsi="Calibri"/>
                <w:b/>
                <w:i w:val="0"/>
                <w:color w:val="FFFFFF"/>
                <w:sz w:val="17"/>
              </w:rPr>
              <w:t>Code</w:t>
            </w:r>
          </w:p>
        </w:tc>
        <w:tc>
          <w:tcPr>
            <w:tcW w:type="dxa" w:w="3861"/>
            <w:shd w:val="clear" w:color="auto" w:fill="123B4F"/>
            <w:tcMar>
              <w:top w:w="60" w:type="dxa"/>
              <w:bottom w:w="60" w:type="dxa"/>
              <w:start w:w="110" w:type="dxa"/>
              <w:end w:w="110" w:type="dxa"/>
            </w:tcMar>
          </w:tcPr>
          <w:p>
            <w:pPr>
              <w:spacing w:after="0"/>
            </w:pPr>
            <w:r>
              <w:rPr>
                <w:rFonts w:ascii="Calibri" w:hAnsi="Calibri"/>
                <w:b/>
                <w:i w:val="0"/>
                <w:color w:val="FFFFFF"/>
                <w:sz w:val="17"/>
              </w:rPr>
              <w:t>Consolidates (illustrative)</w:t>
            </w:r>
          </w:p>
        </w:tc>
        <w:tc>
          <w:tcPr>
            <w:tcW w:type="dxa" w:w="3415"/>
            <w:shd w:val="clear" w:color="auto" w:fill="123B4F"/>
            <w:tcMar>
              <w:top w:w="60" w:type="dxa"/>
              <w:bottom w:w="60" w:type="dxa"/>
              <w:start w:w="110" w:type="dxa"/>
              <w:end w:w="110" w:type="dxa"/>
            </w:tcMar>
          </w:tcPr>
          <w:p>
            <w:pPr>
              <w:spacing w:after="0"/>
            </w:pPr>
            <w:r>
              <w:rPr>
                <w:rFonts w:ascii="Calibri" w:hAnsi="Calibri"/>
                <w:b/>
                <w:i w:val="0"/>
                <w:color w:val="FFFFFF"/>
                <w:sz w:val="17"/>
              </w:rPr>
              <w:t>Workplace-dispute relevance</w:t>
            </w:r>
          </w:p>
        </w:tc>
      </w:tr>
      <w:tr>
        <w:trPr>
          <w:trHeight w:val="0"/>
        </w:trPr>
        <w:tc>
          <w:tcPr>
            <w:tcW w:type="dxa" w:w="2227"/>
            <w:tcMar>
              <w:top w:w="60" w:type="dxa"/>
              <w:bottom w:w="60" w:type="dxa"/>
              <w:start w:w="110" w:type="dxa"/>
              <w:end w:w="110" w:type="dxa"/>
            </w:tcMar>
          </w:tcPr>
          <w:p>
            <w:pPr>
              <w:spacing w:after="0"/>
              <w:jc w:val="left"/>
            </w:pPr>
            <w:r>
              <w:rPr>
                <w:rFonts w:ascii="Calibri" w:hAnsi="Calibri"/>
                <w:b w:val="0"/>
                <w:i w:val="0"/>
                <w:color w:val="1B2A32"/>
                <w:sz w:val="17"/>
              </w:rPr>
              <w:t>Code on Wages, 2019</w:t>
            </w:r>
          </w:p>
        </w:tc>
        <w:tc>
          <w:tcPr>
            <w:tcW w:type="dxa" w:w="3861"/>
            <w:tcMar>
              <w:top w:w="60" w:type="dxa"/>
              <w:bottom w:w="60" w:type="dxa"/>
              <w:start w:w="110" w:type="dxa"/>
              <w:end w:w="110" w:type="dxa"/>
            </w:tcMar>
          </w:tcPr>
          <w:p>
            <w:pPr>
              <w:spacing w:after="0"/>
              <w:jc w:val="left"/>
            </w:pPr>
            <w:r>
              <w:rPr>
                <w:rFonts w:ascii="Calibri" w:hAnsi="Calibri"/>
                <w:b w:val="0"/>
                <w:i w:val="0"/>
                <w:color w:val="1B2A32"/>
                <w:sz w:val="17"/>
              </w:rPr>
              <w:t>Payment of Wages, Minimum Wages, Payment of Bonus, Equal Remuneration</w:t>
            </w:r>
          </w:p>
        </w:tc>
        <w:tc>
          <w:tcPr>
            <w:tcW w:type="dxa" w:w="3415"/>
            <w:tcMar>
              <w:top w:w="60" w:type="dxa"/>
              <w:bottom w:w="60" w:type="dxa"/>
              <w:start w:w="110" w:type="dxa"/>
              <w:end w:w="110" w:type="dxa"/>
            </w:tcMar>
          </w:tcPr>
          <w:p>
            <w:pPr>
              <w:spacing w:after="0"/>
              <w:jc w:val="left"/>
            </w:pPr>
            <w:r>
              <w:rPr>
                <w:rFonts w:ascii="Calibri" w:hAnsi="Calibri"/>
                <w:b w:val="0"/>
                <w:i w:val="0"/>
                <w:color w:val="1B2A32"/>
                <w:sz w:val="17"/>
              </w:rPr>
              <w:t>Wage/bonus/equal-pay disputes; ‘wages’ = basic + DA + retaining allowance, to be ≥50% of CTC (affects PF/gratuity).</w:t>
            </w:r>
          </w:p>
        </w:tc>
      </w:tr>
      <w:tr>
        <w:trPr>
          <w:trHeight w:val="0"/>
        </w:trPr>
        <w:tc>
          <w:tcPr>
            <w:tcW w:type="dxa" w:w="2227"/>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Industrial Relations Code, 2020</w:t>
            </w:r>
          </w:p>
        </w:tc>
        <w:tc>
          <w:tcPr>
            <w:tcW w:type="dxa" w:w="38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Industrial Disputes, Trade Unions, Standing Orders</w:t>
            </w:r>
          </w:p>
        </w:tc>
        <w:tc>
          <w:tcPr>
            <w:tcW w:type="dxa" w:w="3415"/>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Grievance Redressal Committee; conciliation; Industrial Tribunal; termination/retrenchment; standing orders.</w:t>
            </w:r>
          </w:p>
        </w:tc>
      </w:tr>
      <w:tr>
        <w:trPr>
          <w:trHeight w:val="0"/>
        </w:trPr>
        <w:tc>
          <w:tcPr>
            <w:tcW w:type="dxa" w:w="2227"/>
            <w:tcMar>
              <w:top w:w="60" w:type="dxa"/>
              <w:bottom w:w="60" w:type="dxa"/>
              <w:start w:w="110" w:type="dxa"/>
              <w:end w:w="110" w:type="dxa"/>
            </w:tcMar>
          </w:tcPr>
          <w:p>
            <w:pPr>
              <w:spacing w:after="0"/>
              <w:jc w:val="left"/>
            </w:pPr>
            <w:r>
              <w:rPr>
                <w:rFonts w:ascii="Calibri" w:hAnsi="Calibri"/>
                <w:b w:val="0"/>
                <w:i w:val="0"/>
                <w:color w:val="1B2A32"/>
                <w:sz w:val="17"/>
              </w:rPr>
              <w:t>Code on Social Security, 2020</w:t>
            </w:r>
          </w:p>
        </w:tc>
        <w:tc>
          <w:tcPr>
            <w:tcW w:type="dxa" w:w="3861"/>
            <w:tcMar>
              <w:top w:w="60" w:type="dxa"/>
              <w:bottom w:w="60" w:type="dxa"/>
              <w:start w:w="110" w:type="dxa"/>
              <w:end w:w="110" w:type="dxa"/>
            </w:tcMar>
          </w:tcPr>
          <w:p>
            <w:pPr>
              <w:spacing w:after="0"/>
              <w:jc w:val="left"/>
            </w:pPr>
            <w:r>
              <w:rPr>
                <w:rFonts w:ascii="Calibri" w:hAnsi="Calibri"/>
                <w:b w:val="0"/>
                <w:i w:val="0"/>
                <w:color w:val="1B2A32"/>
                <w:sz w:val="17"/>
              </w:rPr>
              <w:t>EPF, ESI, Gratuity, Maternity Benefit</w:t>
            </w:r>
          </w:p>
        </w:tc>
        <w:tc>
          <w:tcPr>
            <w:tcW w:type="dxa" w:w="3415"/>
            <w:tcMar>
              <w:top w:w="60" w:type="dxa"/>
              <w:bottom w:w="60" w:type="dxa"/>
              <w:start w:w="110" w:type="dxa"/>
              <w:end w:w="110" w:type="dxa"/>
            </w:tcMar>
          </w:tcPr>
          <w:p>
            <w:pPr>
              <w:spacing w:after="0"/>
              <w:jc w:val="left"/>
            </w:pPr>
            <w:r>
              <w:rPr>
                <w:rFonts w:ascii="Calibri" w:hAnsi="Calibri"/>
                <w:b w:val="0"/>
                <w:i w:val="0"/>
                <w:color w:val="1B2A32"/>
                <w:sz w:val="17"/>
              </w:rPr>
              <w:t>Gratuity, PF/ESI, maternity-benefit disputes; final settlement of statutory dues.</w:t>
            </w:r>
          </w:p>
        </w:tc>
      </w:tr>
      <w:tr>
        <w:trPr>
          <w:trHeight w:val="0"/>
        </w:trPr>
        <w:tc>
          <w:tcPr>
            <w:tcW w:type="dxa" w:w="2227"/>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OSH &amp; Working Conditions Code, 2020</w:t>
            </w:r>
          </w:p>
        </w:tc>
        <w:tc>
          <w:tcPr>
            <w:tcW w:type="dxa" w:w="38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Factories, Contract Labour, ISMW, and others</w:t>
            </w:r>
          </w:p>
        </w:tc>
        <w:tc>
          <w:tcPr>
            <w:tcW w:type="dxa" w:w="3415"/>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Working-conditions, contract-labour and welfare matters.</w:t>
            </w:r>
          </w:p>
        </w:tc>
      </w:tr>
    </w:tbl>
    <w:p>
      <w:pPr>
        <w:spacing w:after="80"/>
      </w:pPr>
    </w:p>
    <w:p>
      <w:pPr>
        <w:spacing w:after="140"/>
        <w:jc w:val="both"/>
      </w:pPr>
      <w:r>
        <w:rPr>
          <w:rFonts w:ascii="Calibri" w:hAnsi="Calibri"/>
          <w:b w:val="0"/>
          <w:i w:val="0"/>
          <w:color w:val="1B2A32"/>
          <w:sz w:val="21"/>
        </w:rPr>
        <w:t xml:space="preserve">Under the </w:t>
      </w:r>
      <w:r>
        <w:rPr>
          <w:rFonts w:ascii="Calibri" w:hAnsi="Calibri"/>
          <w:b/>
          <w:i w:val="0"/>
          <w:color w:val="1B2A32"/>
          <w:sz w:val="21"/>
        </w:rPr>
        <w:t>Industrial Relations Code</w:t>
      </w:r>
      <w:r>
        <w:rPr>
          <w:rFonts w:ascii="Calibri" w:hAnsi="Calibri"/>
          <w:b w:val="0"/>
          <w:i w:val="0"/>
          <w:color w:val="1B2A32"/>
          <w:sz w:val="21"/>
        </w:rPr>
        <w:t xml:space="preserve">, an establishment of the notified size maintains a </w:t>
      </w:r>
      <w:r>
        <w:rPr>
          <w:rFonts w:ascii="Calibri" w:hAnsi="Calibri"/>
          <w:b/>
          <w:i w:val="0"/>
          <w:color w:val="1B2A32"/>
          <w:sz w:val="21"/>
        </w:rPr>
        <w:t>Grievance Redressal Committee</w:t>
      </w:r>
      <w:r>
        <w:rPr>
          <w:rFonts w:ascii="Calibri" w:hAnsi="Calibri"/>
          <w:b w:val="0"/>
          <w:i w:val="0"/>
          <w:color w:val="1B2A32"/>
          <w:sz w:val="21"/>
        </w:rPr>
        <w:t xml:space="preserve"> (with adequate representation of women workers) to resolve individual grievances; unresolved matters can become industrial disputes handled by conciliation officers and Industrial Tribunals. Equator complements this machinery and can mediate where lawful.</w:t>
      </w:r>
    </w:p>
    <w:p>
      <w:pPr>
        <w:keepNext/>
        <w:spacing w:before="320" w:after="140"/>
        <w:pBdr>
          <w:bottom w:val="single" w:sz="12" w:space="3" w:color="C6A15B"/>
        </w:pBdr>
      </w:pPr>
      <w:r>
        <w:rPr>
          <w:rFonts w:ascii="Calibri" w:hAnsi="Calibri"/>
          <w:b/>
          <w:i w:val="0"/>
          <w:color w:val="123B4F"/>
          <w:sz w:val="34"/>
        </w:rPr>
        <w:t>8.  Individual Employment &amp; Contract Disputes</w:t>
      </w:r>
    </w:p>
    <w:p>
      <w:pPr>
        <w:pStyle w:val="ListBullet"/>
        <w:spacing w:after="60"/>
        <w:jc w:val="both"/>
      </w:pPr>
      <w:r>
        <w:rPr>
          <w:rFonts w:ascii="Calibri" w:hAnsi="Calibri"/>
          <w:b/>
          <w:i w:val="0"/>
          <w:color w:val="1B2A32"/>
          <w:sz w:val="21"/>
        </w:rPr>
        <w:t>Wage &amp; F&amp;F dues</w:t>
      </w:r>
      <w:r>
        <w:rPr>
          <w:rFonts w:ascii="Calibri" w:hAnsi="Calibri"/>
          <w:b w:val="0"/>
          <w:i w:val="0"/>
          <w:color w:val="1B2A32"/>
          <w:sz w:val="21"/>
        </w:rPr>
        <w:t xml:space="preserve"> — unpaid salary, arrears, leave encashment, bonus, incentives, and the full-and-final settlement on exit.</w:t>
      </w:r>
    </w:p>
    <w:p>
      <w:pPr>
        <w:pStyle w:val="ListBullet"/>
        <w:spacing w:after="60"/>
        <w:jc w:val="both"/>
      </w:pPr>
      <w:r>
        <w:rPr>
          <w:rFonts w:ascii="Calibri" w:hAnsi="Calibri"/>
          <w:b/>
          <w:i w:val="0"/>
          <w:color w:val="1B2A32"/>
          <w:sz w:val="21"/>
        </w:rPr>
        <w:t>Termination &amp; separation</w:t>
      </w:r>
      <w:r>
        <w:rPr>
          <w:rFonts w:ascii="Calibri" w:hAnsi="Calibri"/>
          <w:b w:val="0"/>
          <w:i w:val="0"/>
          <w:color w:val="1B2A32"/>
          <w:sz w:val="21"/>
        </w:rPr>
        <w:t xml:space="preserve"> — contested dismissal, notice period, garden leave, severance/ex-gratia, and mutual separation.</w:t>
      </w:r>
    </w:p>
    <w:p>
      <w:pPr>
        <w:pStyle w:val="ListBullet"/>
        <w:spacing w:after="60"/>
        <w:jc w:val="both"/>
      </w:pPr>
      <w:r>
        <w:rPr>
          <w:rFonts w:ascii="Calibri" w:hAnsi="Calibri"/>
          <w:b/>
          <w:i w:val="0"/>
          <w:color w:val="1B2A32"/>
          <w:sz w:val="21"/>
        </w:rPr>
        <w:t>Contractual</w:t>
      </w:r>
      <w:r>
        <w:rPr>
          <w:rFonts w:ascii="Calibri" w:hAnsi="Calibri"/>
          <w:b w:val="0"/>
          <w:i w:val="0"/>
          <w:color w:val="1B2A32"/>
          <w:sz w:val="21"/>
        </w:rPr>
        <w:t xml:space="preserve"> — employment-bond recovery, notice-pay in lieu, non-compete and confidentiality (enforceability is limited by s.27 of the Contract Act — reasonable, post-employment restraints are generally void), moonlighting.</w:t>
      </w:r>
    </w:p>
    <w:p>
      <w:pPr>
        <w:pStyle w:val="ListBullet"/>
        <w:spacing w:after="60"/>
        <w:jc w:val="both"/>
      </w:pPr>
      <w:r>
        <w:rPr>
          <w:rFonts w:ascii="Calibri" w:hAnsi="Calibri"/>
          <w:b/>
          <w:i w:val="0"/>
          <w:color w:val="1B2A32"/>
          <w:sz w:val="21"/>
        </w:rPr>
        <w:t>Benefits</w:t>
      </w:r>
      <w:r>
        <w:rPr>
          <w:rFonts w:ascii="Calibri" w:hAnsi="Calibri"/>
          <w:b w:val="0"/>
          <w:i w:val="0"/>
          <w:color w:val="1B2A32"/>
          <w:sz w:val="21"/>
        </w:rPr>
        <w:t xml:space="preserve"> — gratuity, PF, ESI, maternity benefit, and their correct computation and payment.</w:t>
      </w:r>
    </w:p>
    <w:p>
      <w:pPr>
        <w:pStyle w:val="ListBullet"/>
        <w:spacing w:after="60"/>
        <w:jc w:val="both"/>
      </w:pPr>
      <w:r>
        <w:rPr>
          <w:rFonts w:ascii="Calibri" w:hAnsi="Calibri"/>
          <w:b/>
          <w:i w:val="0"/>
          <w:color w:val="1B2A32"/>
          <w:sz w:val="21"/>
        </w:rPr>
        <w:t>Gig &amp; contract workers</w:t>
      </w:r>
      <w:r>
        <w:rPr>
          <w:rFonts w:ascii="Calibri" w:hAnsi="Calibri"/>
          <w:b w:val="0"/>
          <w:i w:val="0"/>
          <w:color w:val="1B2A32"/>
          <w:sz w:val="21"/>
        </w:rPr>
        <w:t xml:space="preserve"> — platform/contractor disputes, increasingly within social-security coverage.</w:t>
      </w:r>
    </w:p>
    <w:p>
      <w:pPr>
        <w:spacing w:after="40"/>
      </w:pPr>
    </w:p>
    <w:p>
      <w:pPr>
        <w:keepNext/>
        <w:spacing w:before="320" w:after="140"/>
        <w:pBdr>
          <w:bottom w:val="single" w:sz="12" w:space="3" w:color="C6A15B"/>
        </w:pBdr>
      </w:pPr>
      <w:r>
        <w:rPr>
          <w:rFonts w:ascii="Calibri" w:hAnsi="Calibri"/>
          <w:b/>
          <w:i w:val="0"/>
          <w:color w:val="123B4F"/>
          <w:sz w:val="34"/>
        </w:rPr>
        <w:t>9.  The Mediable / Non-Mediable Boundary</w:t>
      </w:r>
    </w:p>
    <w:p>
      <w:pPr>
        <w:spacing w:after="140"/>
        <w:jc w:val="both"/>
      </w:pPr>
      <w:r>
        <w:rPr>
          <w:rFonts w:ascii="Calibri" w:hAnsi="Calibri"/>
          <w:b w:val="0"/>
          <w:i w:val="0"/>
          <w:color w:val="1B2A32"/>
          <w:sz w:val="21"/>
        </w:rPr>
        <w:t>Equator recognises what it can and cannot resolve by settlement.</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3267"/>
            <w:shd w:val="clear" w:color="auto" w:fill="123B4F"/>
            <w:tcMar>
              <w:top w:w="60" w:type="dxa"/>
              <w:bottom w:w="60" w:type="dxa"/>
              <w:start w:w="110" w:type="dxa"/>
              <w:end w:w="110" w:type="dxa"/>
            </w:tcMar>
          </w:tcPr>
          <w:p>
            <w:pPr>
              <w:spacing w:after="0"/>
            </w:pPr>
            <w:r>
              <w:rPr>
                <w:rFonts w:ascii="Calibri" w:hAnsi="Calibri"/>
                <w:b/>
                <w:i w:val="0"/>
                <w:color w:val="FFFFFF"/>
                <w:sz w:val="17"/>
              </w:rPr>
              <w:t>Matter</w:t>
            </w:r>
          </w:p>
        </w:tc>
        <w:tc>
          <w:tcPr>
            <w:tcW w:type="dxa" w:w="2970"/>
            <w:shd w:val="clear" w:color="auto" w:fill="123B4F"/>
            <w:tcMar>
              <w:top w:w="60" w:type="dxa"/>
              <w:bottom w:w="60" w:type="dxa"/>
              <w:start w:w="110" w:type="dxa"/>
              <w:end w:w="110" w:type="dxa"/>
            </w:tcMar>
          </w:tcPr>
          <w:p>
            <w:pPr>
              <w:spacing w:after="0"/>
            </w:pPr>
            <w:r>
              <w:rPr>
                <w:rFonts w:ascii="Calibri" w:hAnsi="Calibri"/>
                <w:b/>
                <w:i w:val="0"/>
                <w:color w:val="FFFFFF"/>
                <w:sz w:val="17"/>
              </w:rPr>
              <w:t>Route</w:t>
            </w:r>
          </w:p>
        </w:tc>
        <w:tc>
          <w:tcPr>
            <w:tcW w:type="dxa" w:w="3267"/>
            <w:shd w:val="clear" w:color="auto" w:fill="123B4F"/>
            <w:tcMar>
              <w:top w:w="60" w:type="dxa"/>
              <w:bottom w:w="60" w:type="dxa"/>
              <w:start w:w="110" w:type="dxa"/>
              <w:end w:w="110" w:type="dxa"/>
            </w:tcMar>
          </w:tcPr>
          <w:p>
            <w:pPr>
              <w:spacing w:after="0"/>
            </w:pPr>
            <w:r>
              <w:rPr>
                <w:rFonts w:ascii="Calibri" w:hAnsi="Calibri"/>
                <w:b/>
                <w:i w:val="0"/>
                <w:color w:val="FFFFFF"/>
                <w:sz w:val="17"/>
              </w:rPr>
              <w:t>Equator's role</w:t>
            </w:r>
          </w:p>
        </w:tc>
      </w:tr>
      <w:tr>
        <w:trPr>
          <w:trHeight w:val="0"/>
        </w:trPr>
        <w:tc>
          <w:tcPr>
            <w:tcW w:type="dxa" w:w="3267"/>
            <w:tcMar>
              <w:top w:w="60" w:type="dxa"/>
              <w:bottom w:w="60" w:type="dxa"/>
              <w:start w:w="110" w:type="dxa"/>
              <w:end w:w="110" w:type="dxa"/>
            </w:tcMar>
          </w:tcPr>
          <w:p>
            <w:pPr>
              <w:spacing w:after="0"/>
              <w:jc w:val="left"/>
            </w:pPr>
            <w:r>
              <w:rPr>
                <w:rFonts w:ascii="Calibri" w:hAnsi="Calibri"/>
                <w:b w:val="0"/>
                <w:i w:val="0"/>
                <w:color w:val="1B2A32"/>
                <w:sz w:val="17"/>
              </w:rPr>
              <w:t>Wage/F&amp;F/separation/contract/benefits</w:t>
            </w:r>
          </w:p>
        </w:tc>
        <w:tc>
          <w:tcPr>
            <w:tcW w:type="dxa" w:w="2970"/>
            <w:tcMar>
              <w:top w:w="60" w:type="dxa"/>
              <w:bottom w:w="60" w:type="dxa"/>
              <w:start w:w="110" w:type="dxa"/>
              <w:end w:w="110" w:type="dxa"/>
            </w:tcMar>
          </w:tcPr>
          <w:p>
            <w:pPr>
              <w:spacing w:after="0"/>
              <w:jc w:val="left"/>
            </w:pPr>
            <w:r>
              <w:rPr>
                <w:rFonts w:ascii="Calibri" w:hAnsi="Calibri"/>
                <w:b w:val="0"/>
                <w:i w:val="0"/>
                <w:color w:val="1B2A32"/>
                <w:sz w:val="17"/>
              </w:rPr>
              <w:t>Mediation/conciliation</w:t>
            </w:r>
          </w:p>
        </w:tc>
        <w:tc>
          <w:tcPr>
            <w:tcW w:type="dxa" w:w="3267"/>
            <w:tcMar>
              <w:top w:w="60" w:type="dxa"/>
              <w:bottom w:w="60" w:type="dxa"/>
              <w:start w:w="110" w:type="dxa"/>
              <w:end w:w="110" w:type="dxa"/>
            </w:tcMar>
          </w:tcPr>
          <w:p>
            <w:pPr>
              <w:spacing w:after="0"/>
              <w:jc w:val="left"/>
            </w:pPr>
            <w:r>
              <w:rPr>
                <w:rFonts w:ascii="Calibri" w:hAnsi="Calibri"/>
                <w:b w:val="0"/>
                <w:i w:val="0"/>
                <w:color w:val="1B2A32"/>
                <w:sz w:val="17"/>
              </w:rPr>
              <w:t>Primary: settle, escrow, enforceable MSA/F&amp;F.</w:t>
            </w:r>
          </w:p>
        </w:tc>
      </w:tr>
      <w:tr>
        <w:trPr>
          <w:trHeight w:val="0"/>
        </w:trPr>
        <w:tc>
          <w:tcPr>
            <w:tcW w:type="dxa" w:w="3267"/>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Individual grievance</w:t>
            </w:r>
          </w:p>
        </w:tc>
        <w:tc>
          <w:tcPr>
            <w:tcW w:type="dxa" w:w="297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GRC → mediation</w:t>
            </w:r>
          </w:p>
        </w:tc>
        <w:tc>
          <w:tcPr>
            <w:tcW w:type="dxa" w:w="3267"/>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Mediate where unresolved and both agree.</w:t>
            </w:r>
          </w:p>
        </w:tc>
      </w:tr>
      <w:tr>
        <w:trPr>
          <w:trHeight w:val="0"/>
        </w:trPr>
        <w:tc>
          <w:tcPr>
            <w:tcW w:type="dxa" w:w="3267"/>
            <w:tcMar>
              <w:top w:w="60" w:type="dxa"/>
              <w:bottom w:w="60" w:type="dxa"/>
              <w:start w:w="110" w:type="dxa"/>
              <w:end w:w="110" w:type="dxa"/>
            </w:tcMar>
          </w:tcPr>
          <w:p>
            <w:pPr>
              <w:spacing w:after="0"/>
              <w:jc w:val="left"/>
            </w:pPr>
            <w:r>
              <w:rPr>
                <w:rFonts w:ascii="Calibri" w:hAnsi="Calibri"/>
                <w:b w:val="0"/>
                <w:i w:val="0"/>
                <w:color w:val="1B2A32"/>
                <w:sz w:val="17"/>
              </w:rPr>
              <w:t>Sexual harassment (POSH)</w:t>
            </w:r>
          </w:p>
        </w:tc>
        <w:tc>
          <w:tcPr>
            <w:tcW w:type="dxa" w:w="2970"/>
            <w:tcMar>
              <w:top w:w="60" w:type="dxa"/>
              <w:bottom w:w="60" w:type="dxa"/>
              <w:start w:w="110" w:type="dxa"/>
              <w:end w:w="110" w:type="dxa"/>
            </w:tcMar>
          </w:tcPr>
          <w:p>
            <w:pPr>
              <w:spacing w:after="0"/>
              <w:jc w:val="left"/>
            </w:pPr>
            <w:r>
              <w:rPr>
                <w:rFonts w:ascii="Calibri" w:hAnsi="Calibri"/>
                <w:b w:val="0"/>
                <w:i w:val="0"/>
                <w:color w:val="1B2A32"/>
                <w:sz w:val="17"/>
              </w:rPr>
              <w:t>Internal Committee</w:t>
            </w:r>
          </w:p>
        </w:tc>
        <w:tc>
          <w:tcPr>
            <w:tcW w:type="dxa" w:w="3267"/>
            <w:tcMar>
              <w:top w:w="60" w:type="dxa"/>
              <w:bottom w:w="60" w:type="dxa"/>
              <w:start w:w="110" w:type="dxa"/>
              <w:end w:w="110" w:type="dxa"/>
            </w:tcMar>
          </w:tcPr>
          <w:p>
            <w:pPr>
              <w:spacing w:after="0"/>
              <w:jc w:val="left"/>
            </w:pPr>
            <w:r>
              <w:rPr>
                <w:rFonts w:ascii="Calibri" w:hAnsi="Calibri"/>
                <w:b w:val="0"/>
                <w:i w:val="0"/>
                <w:color w:val="1B2A32"/>
                <w:sz w:val="17"/>
              </w:rPr>
              <w:t>Support IC + s.10 conciliation (no money basis); never replace IC.</w:t>
            </w:r>
          </w:p>
        </w:tc>
      </w:tr>
      <w:tr>
        <w:trPr>
          <w:trHeight w:val="0"/>
        </w:trPr>
        <w:tc>
          <w:tcPr>
            <w:tcW w:type="dxa" w:w="3267"/>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Collective/union/statutory industrial dispute</w:t>
            </w:r>
          </w:p>
        </w:tc>
        <w:tc>
          <w:tcPr>
            <w:tcW w:type="dxa" w:w="297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IR Code machinery</w:t>
            </w:r>
          </w:p>
        </w:tc>
        <w:tc>
          <w:tcPr>
            <w:tcW w:type="dxa" w:w="3267"/>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Signpost; mediate a settlement where lawful.</w:t>
            </w:r>
          </w:p>
        </w:tc>
      </w:tr>
      <w:tr>
        <w:trPr>
          <w:trHeight w:val="0"/>
        </w:trPr>
        <w:tc>
          <w:tcPr>
            <w:tcW w:type="dxa" w:w="3267"/>
            <w:tcMar>
              <w:top w:w="60" w:type="dxa"/>
              <w:bottom w:w="60" w:type="dxa"/>
              <w:start w:w="110" w:type="dxa"/>
              <w:end w:w="110" w:type="dxa"/>
            </w:tcMar>
          </w:tcPr>
          <w:p>
            <w:pPr>
              <w:spacing w:after="0"/>
              <w:jc w:val="left"/>
            </w:pPr>
            <w:r>
              <w:rPr>
                <w:rFonts w:ascii="Calibri" w:hAnsi="Calibri"/>
                <w:b w:val="0"/>
                <w:i w:val="0"/>
                <w:color w:val="1B2A32"/>
                <w:sz w:val="17"/>
              </w:rPr>
              <w:t>Criminal conduct / safety threat</w:t>
            </w:r>
          </w:p>
        </w:tc>
        <w:tc>
          <w:tcPr>
            <w:tcW w:type="dxa" w:w="2970"/>
            <w:tcMar>
              <w:top w:w="60" w:type="dxa"/>
              <w:bottom w:w="60" w:type="dxa"/>
              <w:start w:w="110" w:type="dxa"/>
              <w:end w:w="110" w:type="dxa"/>
            </w:tcMar>
          </w:tcPr>
          <w:p>
            <w:pPr>
              <w:spacing w:after="0"/>
              <w:jc w:val="left"/>
            </w:pPr>
            <w:r>
              <w:rPr>
                <w:rFonts w:ascii="Calibri" w:hAnsi="Calibri"/>
                <w:b w:val="0"/>
                <w:i w:val="0"/>
                <w:color w:val="1B2A32"/>
                <w:sz w:val="17"/>
              </w:rPr>
              <w:t>Police / criminal law</w:t>
            </w:r>
          </w:p>
        </w:tc>
        <w:tc>
          <w:tcPr>
            <w:tcW w:type="dxa" w:w="3267"/>
            <w:tcMar>
              <w:top w:w="60" w:type="dxa"/>
              <w:bottom w:w="60" w:type="dxa"/>
              <w:start w:w="110" w:type="dxa"/>
              <w:end w:w="110" w:type="dxa"/>
            </w:tcMar>
          </w:tcPr>
          <w:p>
            <w:pPr>
              <w:spacing w:after="0"/>
              <w:jc w:val="left"/>
            </w:pPr>
            <w:r>
              <w:rPr>
                <w:rFonts w:ascii="Calibri" w:hAnsi="Calibri"/>
                <w:b w:val="0"/>
                <w:i w:val="0"/>
                <w:color w:val="1B2A32"/>
                <w:sz w:val="17"/>
              </w:rPr>
              <w:t>Not mediable; signpost; ensure safety.</w:t>
            </w:r>
          </w:p>
        </w:tc>
      </w:tr>
    </w:tbl>
    <w:p>
      <w:pPr>
        <w:spacing w:after="80"/>
      </w:pPr>
    </w:p>
    <w:p>
      <w:r>
        <w:br w:type="page"/>
      </w:r>
    </w:p>
    <w:p>
      <w:pPr>
        <w:spacing w:before="600" w:after="40"/>
      </w:pPr>
      <w:r>
        <w:rPr>
          <w:rFonts w:ascii="Calibri" w:hAnsi="Calibri"/>
          <w:b/>
          <w:i w:val="0"/>
          <w:color w:val="C6A15B"/>
          <w:sz w:val="26"/>
        </w:rPr>
        <w:t>PART C</w:t>
      </w:r>
    </w:p>
    <w:p>
      <w:pPr>
        <w:spacing w:after="200"/>
        <w:pBdr>
          <w:bottom w:val="single" w:sz="18" w:space="3" w:color="1E7A8C"/>
        </w:pBdr>
      </w:pPr>
      <w:r>
        <w:rPr>
          <w:rFonts w:ascii="Calibri" w:hAnsi="Calibri"/>
          <w:b/>
          <w:i w:val="0"/>
          <w:color w:val="123B4F"/>
          <w:sz w:val="46"/>
        </w:rPr>
        <w:t>The Platform — Design &amp; Workflow</w:t>
      </w:r>
    </w:p>
    <w:p>
      <w:pPr>
        <w:keepNext/>
        <w:spacing w:before="320" w:after="140"/>
        <w:pBdr>
          <w:bottom w:val="single" w:sz="12" w:space="3" w:color="C6A15B"/>
        </w:pBdr>
      </w:pPr>
      <w:r>
        <w:rPr>
          <w:rFonts w:ascii="Calibri" w:hAnsi="Calibri"/>
          <w:b/>
          <w:i w:val="0"/>
          <w:color w:val="123B4F"/>
          <w:sz w:val="34"/>
        </w:rPr>
        <w:t>10.  Dispute Taxonomy &amp; Dropdowns</w:t>
      </w:r>
    </w:p>
    <w:p>
      <w:pPr>
        <w:spacing w:after="140"/>
        <w:jc w:val="both"/>
      </w:pPr>
      <w:r>
        <w:rPr>
          <w:rFonts w:ascii="Calibri" w:hAnsi="Calibri"/>
          <w:b w:val="0"/>
          <w:i w:val="0"/>
          <w:color w:val="1B2A32"/>
          <w:sz w:val="21"/>
        </w:rPr>
        <w:t>The intake captures the dispute precisely so the platform can triage and the AI can assist. Core dropdowns: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2160"/>
            <w:shd w:val="clear" w:color="auto" w:fill="123B4F"/>
            <w:tcMar>
              <w:top w:w="60" w:type="dxa"/>
              <w:bottom w:w="60" w:type="dxa"/>
              <w:start w:w="110" w:type="dxa"/>
              <w:end w:w="110" w:type="dxa"/>
            </w:tcMar>
          </w:tcPr>
          <w:p>
            <w:pPr>
              <w:spacing w:after="0"/>
            </w:pPr>
            <w:r>
              <w:rPr>
                <w:rFonts w:ascii="Calibri" w:hAnsi="Calibri"/>
                <w:b/>
                <w:i w:val="0"/>
                <w:color w:val="FFFFFF"/>
                <w:sz w:val="16"/>
              </w:rPr>
              <w:t>Field</w:t>
            </w:r>
          </w:p>
        </w:tc>
        <w:tc>
          <w:tcPr>
            <w:tcW w:type="dxa" w:w="7344"/>
            <w:shd w:val="clear" w:color="auto" w:fill="123B4F"/>
            <w:tcMar>
              <w:top w:w="60" w:type="dxa"/>
              <w:bottom w:w="60" w:type="dxa"/>
              <w:start w:w="110" w:type="dxa"/>
              <w:end w:w="110" w:type="dxa"/>
            </w:tcMar>
          </w:tcPr>
          <w:p>
            <w:pPr>
              <w:spacing w:after="0"/>
            </w:pPr>
            <w:r>
              <w:rPr>
                <w:rFonts w:ascii="Calibri" w:hAnsi="Calibri"/>
                <w:b/>
                <w:i w:val="0"/>
                <w:color w:val="FFFFFF"/>
                <w:sz w:val="16"/>
              </w:rPr>
              <w:t>Options (dropdown)</w:t>
            </w:r>
          </w:p>
        </w:tc>
      </w:tr>
      <w:tr>
        <w:trPr>
          <w:trHeight w:val="0"/>
        </w:trPr>
        <w:tc>
          <w:tcPr>
            <w:tcW w:type="dxa" w:w="2160"/>
            <w:tcMar>
              <w:top w:w="60" w:type="dxa"/>
              <w:bottom w:w="60" w:type="dxa"/>
              <w:start w:w="110" w:type="dxa"/>
              <w:end w:w="110" w:type="dxa"/>
            </w:tcMar>
          </w:tcPr>
          <w:p>
            <w:pPr>
              <w:spacing w:after="0"/>
              <w:jc w:val="left"/>
            </w:pPr>
            <w:r>
              <w:rPr>
                <w:rFonts w:ascii="Calibri" w:hAnsi="Calibri"/>
                <w:b w:val="0"/>
                <w:i w:val="0"/>
                <w:color w:val="1B2A32"/>
                <w:sz w:val="16"/>
              </w:rPr>
              <w:t>Who are you?</w:t>
            </w:r>
          </w:p>
        </w:tc>
        <w:tc>
          <w:tcPr>
            <w:tcW w:type="dxa" w:w="7344"/>
            <w:tcMar>
              <w:top w:w="60" w:type="dxa"/>
              <w:bottom w:w="60" w:type="dxa"/>
              <w:start w:w="110" w:type="dxa"/>
              <w:end w:w="110" w:type="dxa"/>
            </w:tcMar>
          </w:tcPr>
          <w:p>
            <w:pPr>
              <w:spacing w:after="0"/>
              <w:jc w:val="left"/>
            </w:pPr>
            <w:r>
              <w:rPr>
                <w:rFonts w:ascii="Calibri" w:hAnsi="Calibri"/>
                <w:b w:val="0"/>
                <w:i w:val="0"/>
                <w:color w:val="1B2A32"/>
                <w:sz w:val="16"/>
              </w:rPr>
              <w:t>Employee / Ex-employee / Employer / Contractor-gig / Union or representative</w:t>
            </w:r>
          </w:p>
        </w:tc>
      </w:tr>
      <w:tr>
        <w:trPr>
          <w:trHeight w:val="0"/>
        </w:trPr>
        <w:tc>
          <w:tcPr>
            <w:tcW w:type="dxa" w:w="216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Dispute type</w:t>
            </w:r>
          </w:p>
        </w:tc>
        <w:tc>
          <w:tcPr>
            <w:tcW w:type="dxa" w:w="7344"/>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Wage/salary dues · Full &amp; final (F&amp;F) · Wrongful/unfair termination · Notice period/bond · Gratuity/PF/ESI/benefits · Leave/attendance · Non-compete/confidentiality · Workplace harassment (non-POSH) · Sexual harassment (POSH) · Discrimination · General grievance · Retrenchment/layoff · Contractor/gig</w:t>
            </w:r>
          </w:p>
        </w:tc>
      </w:tr>
      <w:tr>
        <w:trPr>
          <w:trHeight w:val="0"/>
        </w:trPr>
        <w:tc>
          <w:tcPr>
            <w:tcW w:type="dxa" w:w="2160"/>
            <w:tcMar>
              <w:top w:w="60" w:type="dxa"/>
              <w:bottom w:w="60" w:type="dxa"/>
              <w:start w:w="110" w:type="dxa"/>
              <w:end w:w="110" w:type="dxa"/>
            </w:tcMar>
          </w:tcPr>
          <w:p>
            <w:pPr>
              <w:spacing w:after="0"/>
              <w:jc w:val="left"/>
            </w:pPr>
            <w:r>
              <w:rPr>
                <w:rFonts w:ascii="Calibri" w:hAnsi="Calibri"/>
                <w:b w:val="0"/>
                <w:i w:val="0"/>
                <w:color w:val="1B2A32"/>
                <w:sz w:val="16"/>
              </w:rPr>
              <w:t>Establishment size</w:t>
            </w:r>
          </w:p>
        </w:tc>
        <w:tc>
          <w:tcPr>
            <w:tcW w:type="dxa" w:w="7344"/>
            <w:tcMar>
              <w:top w:w="60" w:type="dxa"/>
              <w:bottom w:w="60" w:type="dxa"/>
              <w:start w:w="110" w:type="dxa"/>
              <w:end w:w="110" w:type="dxa"/>
            </w:tcMar>
          </w:tcPr>
          <w:p>
            <w:pPr>
              <w:spacing w:after="0"/>
              <w:jc w:val="left"/>
            </w:pPr>
            <w:r>
              <w:rPr>
                <w:rFonts w:ascii="Calibri" w:hAnsi="Calibri"/>
                <w:b w:val="0"/>
                <w:i w:val="0"/>
                <w:color w:val="1B2A32"/>
                <w:sz w:val="16"/>
              </w:rPr>
              <w:t>&lt;10 · 10–49 · 50–99 · 100–299 · 300+ (affects POSH/standing-orders/GRC thresholds)</w:t>
            </w:r>
          </w:p>
        </w:tc>
      </w:tr>
      <w:tr>
        <w:trPr>
          <w:trHeight w:val="0"/>
        </w:trPr>
        <w:tc>
          <w:tcPr>
            <w:tcW w:type="dxa" w:w="216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Employment status</w:t>
            </w:r>
          </w:p>
        </w:tc>
        <w:tc>
          <w:tcPr>
            <w:tcW w:type="dxa" w:w="7344"/>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Current · Notice period · Separated · Suspended · On leave</w:t>
            </w:r>
          </w:p>
        </w:tc>
      </w:tr>
      <w:tr>
        <w:trPr>
          <w:trHeight w:val="0"/>
        </w:trPr>
        <w:tc>
          <w:tcPr>
            <w:tcW w:type="dxa" w:w="2160"/>
            <w:tcMar>
              <w:top w:w="60" w:type="dxa"/>
              <w:bottom w:w="60" w:type="dxa"/>
              <w:start w:w="110" w:type="dxa"/>
              <w:end w:w="110" w:type="dxa"/>
            </w:tcMar>
          </w:tcPr>
          <w:p>
            <w:pPr>
              <w:spacing w:after="0"/>
              <w:jc w:val="left"/>
            </w:pPr>
            <w:r>
              <w:rPr>
                <w:rFonts w:ascii="Calibri" w:hAnsi="Calibri"/>
                <w:b w:val="0"/>
                <w:i w:val="0"/>
                <w:color w:val="1B2A32"/>
                <w:sz w:val="16"/>
              </w:rPr>
              <w:t>Relief sought</w:t>
            </w:r>
          </w:p>
        </w:tc>
        <w:tc>
          <w:tcPr>
            <w:tcW w:type="dxa" w:w="7344"/>
            <w:tcMar>
              <w:top w:w="60" w:type="dxa"/>
              <w:bottom w:w="60" w:type="dxa"/>
              <w:start w:w="110" w:type="dxa"/>
              <w:end w:w="110" w:type="dxa"/>
            </w:tcMar>
          </w:tcPr>
          <w:p>
            <w:pPr>
              <w:spacing w:after="0"/>
              <w:jc w:val="left"/>
            </w:pPr>
            <w:r>
              <w:rPr>
                <w:rFonts w:ascii="Calibri" w:hAnsi="Calibri"/>
                <w:b w:val="0"/>
                <w:i w:val="0"/>
                <w:color w:val="1B2A32"/>
                <w:sz w:val="16"/>
              </w:rPr>
              <w:t>Payment of dues · Reinstatement · Relieving &amp; experience letter · Correction of record · Notice-pay waiver · Compensation · Return of documents/assets · Apology/corrective action · Reference/clearance</w:t>
            </w:r>
          </w:p>
        </w:tc>
      </w:tr>
    </w:tbl>
    <w:p>
      <w:pPr>
        <w:spacing w:after="80"/>
      </w:pPr>
    </w:p>
    <w:p>
      <w:pPr>
        <w:keepNext/>
        <w:spacing w:before="320" w:after="140"/>
        <w:pBdr>
          <w:bottom w:val="single" w:sz="12" w:space="3" w:color="C6A15B"/>
        </w:pBdr>
      </w:pPr>
      <w:r>
        <w:rPr>
          <w:rFonts w:ascii="Calibri" w:hAnsi="Calibri"/>
          <w:b/>
          <w:i w:val="0"/>
          <w:color w:val="123B4F"/>
          <w:sz w:val="34"/>
        </w:rPr>
        <w:t>11.  Roles &amp; Access</w:t>
      </w:r>
    </w:p>
    <w:p>
      <w:pPr>
        <w:pStyle w:val="ListBullet"/>
        <w:spacing w:after="60"/>
        <w:jc w:val="both"/>
      </w:pPr>
      <w:r>
        <w:rPr>
          <w:rFonts w:ascii="Calibri" w:hAnsi="Calibri"/>
          <w:b/>
          <w:i w:val="0"/>
          <w:color w:val="1B2A32"/>
          <w:sz w:val="21"/>
        </w:rPr>
        <w:t>Parties</w:t>
      </w:r>
      <w:r>
        <w:rPr>
          <w:rFonts w:ascii="Calibri" w:hAnsi="Calibri"/>
          <w:b w:val="0"/>
          <w:i w:val="0"/>
          <w:color w:val="1B2A32"/>
          <w:sz w:val="21"/>
        </w:rPr>
        <w:t xml:space="preserve"> — employee/ex-employee, employer/HR, contractor, representative/advocate.</w:t>
      </w:r>
    </w:p>
    <w:p>
      <w:pPr>
        <w:pStyle w:val="ListBullet"/>
        <w:spacing w:after="60"/>
        <w:jc w:val="both"/>
      </w:pPr>
      <w:r>
        <w:rPr>
          <w:rFonts w:ascii="Calibri" w:hAnsi="Calibri"/>
          <w:b/>
          <w:i w:val="0"/>
          <w:color w:val="1B2A32"/>
          <w:sz w:val="21"/>
        </w:rPr>
        <w:t>Neutral</w:t>
      </w:r>
      <w:r>
        <w:rPr>
          <w:rFonts w:ascii="Calibri" w:hAnsi="Calibri"/>
          <w:b w:val="0"/>
          <w:i w:val="0"/>
          <w:color w:val="1B2A32"/>
          <w:sz w:val="21"/>
        </w:rPr>
        <w:t xml:space="preserve"> — mediator/conciliator (HR/ER/POSH/labour expertise, graded A/B/C).</w:t>
      </w:r>
    </w:p>
    <w:p>
      <w:pPr>
        <w:pStyle w:val="ListBullet"/>
        <w:spacing w:after="60"/>
        <w:jc w:val="both"/>
      </w:pPr>
      <w:r>
        <w:rPr>
          <w:rFonts w:ascii="Calibri" w:hAnsi="Calibri"/>
          <w:b/>
          <w:i w:val="0"/>
          <w:color w:val="1B2A32"/>
          <w:sz w:val="21"/>
        </w:rPr>
        <w:t>Internal Committee</w:t>
      </w:r>
      <w:r>
        <w:rPr>
          <w:rFonts w:ascii="Calibri" w:hAnsi="Calibri"/>
          <w:b w:val="0"/>
          <w:i w:val="0"/>
          <w:color w:val="1B2A32"/>
          <w:sz w:val="21"/>
        </w:rPr>
        <w:t xml:space="preserve"> — Presiding Officer, members, and Equator's </w:t>
      </w:r>
      <w:r>
        <w:rPr>
          <w:rFonts w:ascii="Calibri" w:hAnsi="Calibri"/>
          <w:b/>
          <w:i w:val="0"/>
          <w:color w:val="1B2A32"/>
          <w:sz w:val="21"/>
        </w:rPr>
        <w:t>external member</w:t>
      </w:r>
      <w:r>
        <w:rPr>
          <w:rFonts w:ascii="Calibri" w:hAnsi="Calibri"/>
          <w:b w:val="0"/>
          <w:i w:val="0"/>
          <w:color w:val="1B2A32"/>
          <w:sz w:val="21"/>
        </w:rPr>
        <w:t xml:space="preserve"> (POSH matters only, sealed access).</w:t>
      </w:r>
    </w:p>
    <w:p>
      <w:pPr>
        <w:pStyle w:val="ListBullet"/>
        <w:spacing w:after="60"/>
        <w:jc w:val="both"/>
      </w:pPr>
      <w:r>
        <w:rPr>
          <w:rFonts w:ascii="Calibri" w:hAnsi="Calibri"/>
          <w:b/>
          <w:i w:val="0"/>
          <w:color w:val="1B2A32"/>
          <w:sz w:val="21"/>
        </w:rPr>
        <w:t>Case manager &amp; escrow officer</w:t>
      </w:r>
      <w:r>
        <w:rPr>
          <w:rFonts w:ascii="Calibri" w:hAnsi="Calibri"/>
          <w:b w:val="0"/>
          <w:i w:val="0"/>
          <w:color w:val="1B2A32"/>
          <w:sz w:val="21"/>
        </w:rPr>
        <w:t xml:space="preserve"> — administration, SLAs, money.</w:t>
      </w:r>
    </w:p>
    <w:p>
      <w:pPr>
        <w:pStyle w:val="ListBullet"/>
        <w:spacing w:after="60"/>
        <w:jc w:val="both"/>
      </w:pPr>
      <w:r>
        <w:rPr>
          <w:rFonts w:ascii="Calibri" w:hAnsi="Calibri"/>
          <w:b/>
          <w:i w:val="0"/>
          <w:color w:val="1B2A32"/>
          <w:sz w:val="21"/>
        </w:rPr>
        <w:t>Confidentiality walls</w:t>
      </w:r>
      <w:r>
        <w:rPr>
          <w:rFonts w:ascii="Calibri" w:hAnsi="Calibri"/>
          <w:b w:val="0"/>
          <w:i w:val="0"/>
          <w:color w:val="1B2A32"/>
          <w:sz w:val="21"/>
        </w:rPr>
        <w:t xml:space="preserve"> — POSH and disciplinary data are sealed and access-controlled; per-party walls in every matter.</w:t>
      </w:r>
    </w:p>
    <w:p>
      <w:pPr>
        <w:spacing w:after="40"/>
      </w:pPr>
    </w:p>
    <w:p>
      <w:pPr>
        <w:keepNext/>
        <w:spacing w:before="320" w:after="140"/>
        <w:pBdr>
          <w:bottom w:val="single" w:sz="12" w:space="3" w:color="C6A15B"/>
        </w:pBdr>
      </w:pPr>
      <w:r>
        <w:rPr>
          <w:rFonts w:ascii="Calibri" w:hAnsi="Calibri"/>
          <w:b/>
          <w:i w:val="0"/>
          <w:color w:val="123B4F"/>
          <w:sz w:val="34"/>
        </w:rPr>
        <w:t>12.  Onboarding &amp; Data Protection</w:t>
      </w:r>
    </w:p>
    <w:p>
      <w:pPr>
        <w:spacing w:after="140"/>
        <w:jc w:val="both"/>
      </w:pPr>
      <w:r>
        <w:rPr>
          <w:rFonts w:ascii="Calibri" w:hAnsi="Calibri"/>
          <w:b w:val="0"/>
          <w:i w:val="0"/>
          <w:color w:val="1B2A32"/>
          <w:sz w:val="21"/>
        </w:rPr>
        <w:t xml:space="preserve">Onboarding (F-W01) verifies identity and records </w:t>
      </w:r>
      <w:r>
        <w:rPr>
          <w:rFonts w:ascii="Calibri" w:hAnsi="Calibri"/>
          <w:b/>
          <w:i w:val="0"/>
          <w:color w:val="1B2A32"/>
          <w:sz w:val="21"/>
        </w:rPr>
        <w:t>DPDP consent</w:t>
      </w:r>
      <w:r>
        <w:rPr>
          <w:rFonts w:ascii="Calibri" w:hAnsi="Calibri"/>
          <w:b w:val="0"/>
          <w:i w:val="0"/>
          <w:color w:val="1B2A32"/>
          <w:sz w:val="21"/>
        </w:rPr>
        <w:t>. Sensitive categories — POSH, health, disciplinary records — are flagged, masked and access-restricted. Retention follows the published schedule.</w:t>
      </w:r>
    </w:p>
    <w:p>
      <w:pPr>
        <w:keepNext/>
        <w:spacing w:before="320" w:after="140"/>
        <w:pBdr>
          <w:bottom w:val="single" w:sz="12" w:space="3" w:color="C6A15B"/>
        </w:pBdr>
      </w:pPr>
      <w:r>
        <w:rPr>
          <w:rFonts w:ascii="Calibri" w:hAnsi="Calibri"/>
          <w:b/>
          <w:i w:val="0"/>
          <w:color w:val="123B4F"/>
          <w:sz w:val="34"/>
        </w:rPr>
        <w:t>13.  The Workflow</w:t>
      </w:r>
    </w:p>
    <w:p>
      <w:pPr>
        <w:spacing w:before="80" w:after="40"/>
        <w:jc w:val="center"/>
      </w:pPr>
      <w:r>
        <w:drawing>
          <wp:inline xmlns:a="http://schemas.openxmlformats.org/drawingml/2006/main" xmlns:pic="http://schemas.openxmlformats.org/drawingml/2006/picture">
            <wp:extent cx="5669280" cy="4911253"/>
            <wp:docPr id="3" name="Picture 3"/>
            <wp:cNvGraphicFramePr>
              <a:graphicFrameLocks noChangeAspect="1"/>
            </wp:cNvGraphicFramePr>
            <a:graphic>
              <a:graphicData uri="http://schemas.openxmlformats.org/drawingml/2006/picture">
                <pic:pic>
                  <pic:nvPicPr>
                    <pic:cNvPr id="0" name="wp02_triage.png"/>
                    <pic:cNvPicPr/>
                  </pic:nvPicPr>
                  <pic:blipFill>
                    <a:blip r:embed="rId11"/>
                    <a:stretch>
                      <a:fillRect/>
                    </a:stretch>
                  </pic:blipFill>
                  <pic:spPr>
                    <a:xfrm>
                      <a:off x="0" y="0"/>
                      <a:ext cx="5669280" cy="4911253"/>
                    </a:xfrm>
                    <a:prstGeom prst="rect"/>
                  </pic:spPr>
                </pic:pic>
              </a:graphicData>
            </a:graphic>
          </wp:inline>
        </w:drawing>
      </w:r>
    </w:p>
    <w:p>
      <w:pPr>
        <w:spacing w:before="20" w:after="200"/>
        <w:jc w:val="center"/>
      </w:pPr>
      <w:r>
        <w:rPr>
          <w:rFonts w:ascii="Calibri" w:hAnsi="Calibri"/>
          <w:b w:val="0"/>
          <w:i/>
          <w:color w:val="556168"/>
          <w:sz w:val="17"/>
        </w:rPr>
        <w:t>Figure 3 — route triage across POSH, statutory and mediable matters.</w:t>
      </w:r>
    </w:p>
    <w:p>
      <w:pPr>
        <w:pStyle w:val="ListNumber"/>
        <w:spacing w:after="60"/>
        <w:jc w:val="both"/>
      </w:pPr>
      <w:r>
        <w:rPr>
          <w:rFonts w:ascii="Calibri" w:hAnsi="Calibri"/>
          <w:b/>
          <w:i w:val="0"/>
          <w:color w:val="1B2A32"/>
          <w:sz w:val="21"/>
        </w:rPr>
        <w:t>Initiation (either party).</w:t>
      </w:r>
      <w:r>
        <w:rPr>
          <w:rFonts w:ascii="Calibri" w:hAnsi="Calibri"/>
          <w:b w:val="0"/>
          <w:i w:val="0"/>
          <w:color w:val="1B2A32"/>
          <w:sz w:val="21"/>
        </w:rPr>
        <w:t xml:space="preserve"> Employee or employer files a Request for Resolution (F-W02) or an employee files a Grievance (F-W04); POSH complaints use F-W07.</w:t>
      </w:r>
    </w:p>
    <w:p>
      <w:pPr>
        <w:pStyle w:val="ListNumber"/>
        <w:spacing w:after="60"/>
        <w:jc w:val="both"/>
      </w:pPr>
      <w:r>
        <w:rPr>
          <w:rFonts w:ascii="Calibri" w:hAnsi="Calibri"/>
          <w:b/>
          <w:i w:val="0"/>
          <w:color w:val="1B2A32"/>
          <w:sz w:val="21"/>
        </w:rPr>
        <w:t>Verification &amp; triage.</w:t>
      </w:r>
      <w:r>
        <w:rPr>
          <w:rFonts w:ascii="Calibri" w:hAnsi="Calibri"/>
          <w:b w:val="0"/>
          <w:i w:val="0"/>
          <w:color w:val="1B2A32"/>
          <w:sz w:val="21"/>
        </w:rPr>
        <w:t xml:space="preserve"> KYC/consent; classify and route (mediable / POSH / statutory).</w:t>
      </w:r>
    </w:p>
    <w:p>
      <w:pPr>
        <w:pStyle w:val="ListNumber"/>
        <w:spacing w:after="60"/>
        <w:jc w:val="both"/>
      </w:pPr>
      <w:r>
        <w:rPr>
          <w:rFonts w:ascii="Calibri" w:hAnsi="Calibri"/>
          <w:b/>
          <w:i w:val="0"/>
          <w:color w:val="1B2A32"/>
          <w:sz w:val="21"/>
        </w:rPr>
        <w:t>Notice &amp; response.</w:t>
      </w:r>
      <w:r>
        <w:rPr>
          <w:rFonts w:ascii="Calibri" w:hAnsi="Calibri"/>
          <w:b w:val="0"/>
          <w:i w:val="0"/>
          <w:color w:val="1B2A32"/>
          <w:sz w:val="21"/>
        </w:rPr>
        <w:t xml:space="preserve"> The other party is invited (F-W03) and responds (F-W05).</w:t>
      </w:r>
    </w:p>
    <w:p>
      <w:pPr>
        <w:pStyle w:val="ListNumber"/>
        <w:spacing w:after="60"/>
        <w:jc w:val="both"/>
      </w:pPr>
      <w:r>
        <w:rPr>
          <w:rFonts w:ascii="Calibri" w:hAnsi="Calibri"/>
          <w:b/>
          <w:i w:val="0"/>
          <w:color w:val="1B2A32"/>
          <w:sz w:val="21"/>
        </w:rPr>
        <w:t>Neutral / IC.</w:t>
      </w:r>
      <w:r>
        <w:rPr>
          <w:rFonts w:ascii="Calibri" w:hAnsi="Calibri"/>
          <w:b w:val="0"/>
          <w:i w:val="0"/>
          <w:color w:val="1B2A32"/>
          <w:sz w:val="21"/>
        </w:rPr>
        <w:t xml:space="preserve"> A conflict-checked neutral is appointed (F-W06); POSH matters go to the IC with Equator's external member (F-W10).</w:t>
      </w:r>
    </w:p>
    <w:p>
      <w:pPr>
        <w:pStyle w:val="ListNumber"/>
        <w:spacing w:after="60"/>
        <w:jc w:val="both"/>
      </w:pPr>
      <w:r>
        <w:rPr>
          <w:rFonts w:ascii="Calibri" w:hAnsi="Calibri"/>
          <w:b/>
          <w:i w:val="0"/>
          <w:color w:val="1B2A32"/>
          <w:sz w:val="21"/>
        </w:rPr>
        <w:t>Sessions.</w:t>
      </w:r>
      <w:r>
        <w:rPr>
          <w:rFonts w:ascii="Calibri" w:hAnsi="Calibri"/>
          <w:b w:val="0"/>
          <w:i w:val="0"/>
          <w:color w:val="1B2A32"/>
          <w:sz w:val="21"/>
        </w:rPr>
        <w:t xml:space="preserve"> Confidential, without-prejudice sessions (online or in person); interests over positions; women neutrals available.</w:t>
      </w:r>
    </w:p>
    <w:p>
      <w:pPr>
        <w:pStyle w:val="ListNumber"/>
        <w:spacing w:after="60"/>
        <w:jc w:val="both"/>
      </w:pPr>
      <w:r>
        <w:rPr>
          <w:rFonts w:ascii="Calibri" w:hAnsi="Calibri"/>
          <w:b/>
          <w:i w:val="0"/>
          <w:color w:val="1B2A32"/>
          <w:sz w:val="21"/>
        </w:rPr>
        <w:t>Settlement.</w:t>
      </w:r>
      <w:r>
        <w:rPr>
          <w:rFonts w:ascii="Calibri" w:hAnsi="Calibri"/>
          <w:b w:val="0"/>
          <w:i w:val="0"/>
          <w:color w:val="1B2A32"/>
          <w:sz w:val="21"/>
        </w:rPr>
        <w:t xml:space="preserve"> Wage/F&amp;F (F-W11), separation/termination (F-W12), or POSH s.10 conciliation (F-W08); escrow instruction (F-W16).</w:t>
      </w:r>
    </w:p>
    <w:p>
      <w:pPr>
        <w:pStyle w:val="ListNumber"/>
        <w:spacing w:after="60"/>
        <w:jc w:val="both"/>
      </w:pPr>
      <w:r>
        <w:rPr>
          <w:rFonts w:ascii="Calibri" w:hAnsi="Calibri"/>
          <w:b/>
          <w:i w:val="0"/>
          <w:color w:val="1B2A32"/>
          <w:sz w:val="21"/>
        </w:rPr>
        <w:t>Closure.</w:t>
      </w:r>
      <w:r>
        <w:rPr>
          <w:rFonts w:ascii="Calibri" w:hAnsi="Calibri"/>
          <w:b w:val="0"/>
          <w:i w:val="0"/>
          <w:color w:val="1B2A32"/>
          <w:sz w:val="21"/>
        </w:rPr>
        <w:t xml:space="preserve"> Relieving/experience letters; closure report (F-W17); audit trail.</w:t>
      </w:r>
    </w:p>
    <w:p>
      <w:pPr>
        <w:spacing w:after="40"/>
      </w:pPr>
    </w:p>
    <w:p>
      <w:pPr>
        <w:keepNext/>
        <w:spacing w:before="320" w:after="140"/>
        <w:pBdr>
          <w:bottom w:val="single" w:sz="12" w:space="3" w:color="C6A15B"/>
        </w:pBdr>
      </w:pPr>
      <w:r>
        <w:rPr>
          <w:rFonts w:ascii="Calibri" w:hAnsi="Calibri"/>
          <w:b/>
          <w:i w:val="0"/>
          <w:color w:val="123B4F"/>
          <w:sz w:val="34"/>
        </w:rPr>
        <w:t>14.  POSH on the Platform</w:t>
      </w:r>
    </w:p>
    <w:p>
      <w:pPr>
        <w:spacing w:after="140"/>
        <w:jc w:val="both"/>
      </w:pPr>
      <w:r>
        <w:rPr>
          <w:rFonts w:ascii="Calibri" w:hAnsi="Calibri"/>
          <w:b w:val="0"/>
          <w:i w:val="0"/>
          <w:color w:val="1B2A32"/>
          <w:sz w:val="21"/>
        </w:rPr>
        <w:t xml:space="preserve">For sexual-harassment matters the platform operates in a </w:t>
      </w:r>
      <w:r>
        <w:rPr>
          <w:rFonts w:ascii="Calibri" w:hAnsi="Calibri"/>
          <w:b/>
          <w:i w:val="0"/>
          <w:color w:val="1B2A32"/>
          <w:sz w:val="21"/>
        </w:rPr>
        <w:t>sealed POSH mode</w:t>
      </w:r>
      <w:r>
        <w:rPr>
          <w:rFonts w:ascii="Calibri" w:hAnsi="Calibri"/>
          <w:b w:val="0"/>
          <w:i w:val="0"/>
          <w:color w:val="1B2A32"/>
          <w:sz w:val="21"/>
        </w:rPr>
        <w:t>: only the IC (and Equator's external member and POSH-trained case support) can access the file; s.16 confidentiality is enforced technically; the s.10 conciliation path (F-W08) is available only on the aggrieved woman's request and never on a monetary basis; the inquiry record (F-W09) tracks the 90-day clock and the 10-day/60-day reporting and action timelines. The platform provides interim-relief workflows, awareness content and IC training.</w:t>
      </w:r>
    </w:p>
    <w:p>
      <w:pPr>
        <w:keepNext/>
        <w:spacing w:before="320" w:after="140"/>
        <w:pBdr>
          <w:bottom w:val="single" w:sz="12" w:space="3" w:color="C6A15B"/>
        </w:pBdr>
      </w:pPr>
      <w:r>
        <w:rPr>
          <w:rFonts w:ascii="Calibri" w:hAnsi="Calibri"/>
          <w:b/>
          <w:i w:val="0"/>
          <w:color w:val="123B4F"/>
          <w:sz w:val="34"/>
        </w:rPr>
        <w:t>15.  Case-Manager Playbook &amp; SLAs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3744"/>
            <w:shd w:val="clear" w:color="auto" w:fill="123B4F"/>
            <w:tcMar>
              <w:top w:w="60" w:type="dxa"/>
              <w:bottom w:w="60" w:type="dxa"/>
              <w:start w:w="110" w:type="dxa"/>
              <w:end w:w="110" w:type="dxa"/>
            </w:tcMar>
          </w:tcPr>
          <w:p>
            <w:pPr>
              <w:spacing w:after="0"/>
            </w:pPr>
            <w:r>
              <w:rPr>
                <w:rFonts w:ascii="Calibri" w:hAnsi="Calibri"/>
                <w:b/>
                <w:i w:val="0"/>
                <w:color w:val="FFFFFF"/>
                <w:sz w:val="17"/>
              </w:rPr>
              <w:t>Stage</w:t>
            </w:r>
          </w:p>
        </w:tc>
        <w:tc>
          <w:tcPr>
            <w:tcW w:type="dxa" w:w="2880"/>
            <w:shd w:val="clear" w:color="auto" w:fill="123B4F"/>
            <w:tcMar>
              <w:top w:w="60" w:type="dxa"/>
              <w:bottom w:w="60" w:type="dxa"/>
              <w:start w:w="110" w:type="dxa"/>
              <w:end w:w="110" w:type="dxa"/>
            </w:tcMar>
          </w:tcPr>
          <w:p>
            <w:pPr>
              <w:spacing w:after="0"/>
            </w:pPr>
            <w:r>
              <w:rPr>
                <w:rFonts w:ascii="Calibri" w:hAnsi="Calibri"/>
                <w:b/>
                <w:i w:val="0"/>
                <w:color w:val="FFFFFF"/>
                <w:sz w:val="17"/>
              </w:rPr>
              <w:t>Target SLA</w:t>
            </w:r>
          </w:p>
        </w:tc>
        <w:tc>
          <w:tcPr>
            <w:tcW w:type="dxa" w:w="2880"/>
            <w:shd w:val="clear" w:color="auto" w:fill="123B4F"/>
            <w:tcMar>
              <w:top w:w="60" w:type="dxa"/>
              <w:bottom w:w="60" w:type="dxa"/>
              <w:start w:w="110" w:type="dxa"/>
              <w:end w:w="110" w:type="dxa"/>
            </w:tcMar>
          </w:tcPr>
          <w:p>
            <w:pPr>
              <w:spacing w:after="0"/>
            </w:pPr>
            <w:r>
              <w:rPr>
                <w:rFonts w:ascii="Calibri" w:hAnsi="Calibri"/>
                <w:b/>
                <w:i w:val="0"/>
                <w:color w:val="FFFFFF"/>
                <w:sz w:val="17"/>
              </w:rPr>
              <w:t>Owner</w:t>
            </w:r>
          </w:p>
        </w:tc>
      </w:tr>
      <w:tr>
        <w:trPr>
          <w:trHeight w:val="0"/>
        </w:trPr>
        <w:tc>
          <w:tcPr>
            <w:tcW w:type="dxa" w:w="3744"/>
            <w:tcMar>
              <w:top w:w="60" w:type="dxa"/>
              <w:bottom w:w="60" w:type="dxa"/>
              <w:start w:w="110" w:type="dxa"/>
              <w:end w:w="110" w:type="dxa"/>
            </w:tcMar>
          </w:tcPr>
          <w:p>
            <w:pPr>
              <w:spacing w:after="0"/>
              <w:jc w:val="left"/>
            </w:pPr>
            <w:r>
              <w:rPr>
                <w:rFonts w:ascii="Calibri" w:hAnsi="Calibri"/>
                <w:b w:val="0"/>
                <w:i w:val="0"/>
                <w:color w:val="1B2A32"/>
                <w:sz w:val="17"/>
              </w:rPr>
              <w:t>Acknowledge intake</w:t>
            </w:r>
          </w:p>
        </w:tc>
        <w:tc>
          <w:tcPr>
            <w:tcW w:type="dxa" w:w="2880"/>
            <w:tcMar>
              <w:top w:w="60" w:type="dxa"/>
              <w:bottom w:w="60" w:type="dxa"/>
              <w:start w:w="110" w:type="dxa"/>
              <w:end w:w="110" w:type="dxa"/>
            </w:tcMar>
          </w:tcPr>
          <w:p>
            <w:pPr>
              <w:spacing w:after="0"/>
              <w:jc w:val="left"/>
            </w:pPr>
            <w:r>
              <w:rPr>
                <w:rFonts w:ascii="Calibri" w:hAnsi="Calibri"/>
                <w:b w:val="0"/>
                <w:i w:val="0"/>
                <w:color w:val="1B2A32"/>
                <w:sz w:val="17"/>
              </w:rPr>
              <w:t>Same/next working day</w:t>
            </w:r>
          </w:p>
        </w:tc>
        <w:tc>
          <w:tcPr>
            <w:tcW w:type="dxa" w:w="2880"/>
            <w:tcMar>
              <w:top w:w="60" w:type="dxa"/>
              <w:bottom w:w="60" w:type="dxa"/>
              <w:start w:w="110" w:type="dxa"/>
              <w:end w:w="110" w:type="dxa"/>
            </w:tcMar>
          </w:tcPr>
          <w:p>
            <w:pPr>
              <w:spacing w:after="0"/>
              <w:jc w:val="left"/>
            </w:pPr>
            <w:r>
              <w:rPr>
                <w:rFonts w:ascii="Calibri" w:hAnsi="Calibri"/>
                <w:b w:val="0"/>
                <w:i w:val="0"/>
                <w:color w:val="1B2A32"/>
                <w:sz w:val="17"/>
              </w:rPr>
              <w:t>Case manager</w:t>
            </w:r>
          </w:p>
        </w:tc>
      </w:tr>
      <w:tr>
        <w:trPr>
          <w:trHeight w:val="0"/>
        </w:trPr>
        <w:tc>
          <w:tcPr>
            <w:tcW w:type="dxa" w:w="3744"/>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Serve notice / invite</w:t>
            </w:r>
          </w:p>
        </w:tc>
        <w:tc>
          <w:tcPr>
            <w:tcW w:type="dxa" w:w="288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2 working days</w:t>
            </w:r>
          </w:p>
        </w:tc>
        <w:tc>
          <w:tcPr>
            <w:tcW w:type="dxa" w:w="288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Case manager</w:t>
            </w:r>
          </w:p>
        </w:tc>
      </w:tr>
      <w:tr>
        <w:trPr>
          <w:trHeight w:val="0"/>
        </w:trPr>
        <w:tc>
          <w:tcPr>
            <w:tcW w:type="dxa" w:w="3744"/>
            <w:tcMar>
              <w:top w:w="60" w:type="dxa"/>
              <w:bottom w:w="60" w:type="dxa"/>
              <w:start w:w="110" w:type="dxa"/>
              <w:end w:w="110" w:type="dxa"/>
            </w:tcMar>
          </w:tcPr>
          <w:p>
            <w:pPr>
              <w:spacing w:after="0"/>
              <w:jc w:val="left"/>
            </w:pPr>
            <w:r>
              <w:rPr>
                <w:rFonts w:ascii="Calibri" w:hAnsi="Calibri"/>
                <w:b w:val="0"/>
                <w:i w:val="0"/>
                <w:color w:val="1B2A32"/>
                <w:sz w:val="17"/>
              </w:rPr>
              <w:t>Appoint neutral / convene IC</w:t>
            </w:r>
          </w:p>
        </w:tc>
        <w:tc>
          <w:tcPr>
            <w:tcW w:type="dxa" w:w="2880"/>
            <w:tcMar>
              <w:top w:w="60" w:type="dxa"/>
              <w:bottom w:w="60" w:type="dxa"/>
              <w:start w:w="110" w:type="dxa"/>
              <w:end w:w="110" w:type="dxa"/>
            </w:tcMar>
          </w:tcPr>
          <w:p>
            <w:pPr>
              <w:spacing w:after="0"/>
              <w:jc w:val="left"/>
            </w:pPr>
            <w:r>
              <w:rPr>
                <w:rFonts w:ascii="Calibri" w:hAnsi="Calibri"/>
                <w:b w:val="0"/>
                <w:i w:val="0"/>
                <w:color w:val="1B2A32"/>
                <w:sz w:val="17"/>
              </w:rPr>
              <w:t>3–5 working days</w:t>
            </w:r>
          </w:p>
        </w:tc>
        <w:tc>
          <w:tcPr>
            <w:tcW w:type="dxa" w:w="2880"/>
            <w:tcMar>
              <w:top w:w="60" w:type="dxa"/>
              <w:bottom w:w="60" w:type="dxa"/>
              <w:start w:w="110" w:type="dxa"/>
              <w:end w:w="110" w:type="dxa"/>
            </w:tcMar>
          </w:tcPr>
          <w:p>
            <w:pPr>
              <w:spacing w:after="0"/>
              <w:jc w:val="left"/>
            </w:pPr>
            <w:r>
              <w:rPr>
                <w:rFonts w:ascii="Calibri" w:hAnsi="Calibri"/>
                <w:b w:val="0"/>
                <w:i w:val="0"/>
                <w:color w:val="1B2A32"/>
                <w:sz w:val="17"/>
              </w:rPr>
              <w:t>Case manager</w:t>
            </w:r>
          </w:p>
        </w:tc>
      </w:tr>
      <w:tr>
        <w:trPr>
          <w:trHeight w:val="0"/>
        </w:trPr>
        <w:tc>
          <w:tcPr>
            <w:tcW w:type="dxa" w:w="3744"/>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Mediation sessions</w:t>
            </w:r>
          </w:p>
        </w:tc>
        <w:tc>
          <w:tcPr>
            <w:tcW w:type="dxa" w:w="288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Within 2–3 weeks</w:t>
            </w:r>
          </w:p>
        </w:tc>
        <w:tc>
          <w:tcPr>
            <w:tcW w:type="dxa" w:w="288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Neutral</w:t>
            </w:r>
          </w:p>
        </w:tc>
      </w:tr>
      <w:tr>
        <w:trPr>
          <w:trHeight w:val="0"/>
        </w:trPr>
        <w:tc>
          <w:tcPr>
            <w:tcW w:type="dxa" w:w="3744"/>
            <w:tcMar>
              <w:top w:w="60" w:type="dxa"/>
              <w:bottom w:w="60" w:type="dxa"/>
              <w:start w:w="110" w:type="dxa"/>
              <w:end w:w="110" w:type="dxa"/>
            </w:tcMar>
          </w:tcPr>
          <w:p>
            <w:pPr>
              <w:spacing w:after="0"/>
              <w:jc w:val="left"/>
            </w:pPr>
            <w:r>
              <w:rPr>
                <w:rFonts w:ascii="Calibri" w:hAnsi="Calibri"/>
                <w:b w:val="0"/>
                <w:i w:val="0"/>
                <w:color w:val="1B2A32"/>
                <w:sz w:val="17"/>
              </w:rPr>
              <w:t>POSH inquiry (statutory)</w:t>
            </w:r>
          </w:p>
        </w:tc>
        <w:tc>
          <w:tcPr>
            <w:tcW w:type="dxa" w:w="2880"/>
            <w:tcMar>
              <w:top w:w="60" w:type="dxa"/>
              <w:bottom w:w="60" w:type="dxa"/>
              <w:start w:w="110" w:type="dxa"/>
              <w:end w:w="110" w:type="dxa"/>
            </w:tcMar>
          </w:tcPr>
          <w:p>
            <w:pPr>
              <w:spacing w:after="0"/>
              <w:jc w:val="left"/>
            </w:pPr>
            <w:r>
              <w:rPr>
                <w:rFonts w:ascii="Calibri" w:hAnsi="Calibri"/>
                <w:b w:val="0"/>
                <w:i w:val="0"/>
                <w:color w:val="1B2A32"/>
                <w:sz w:val="17"/>
              </w:rPr>
              <w:t>90 days</w:t>
            </w:r>
          </w:p>
        </w:tc>
        <w:tc>
          <w:tcPr>
            <w:tcW w:type="dxa" w:w="2880"/>
            <w:tcMar>
              <w:top w:w="60" w:type="dxa"/>
              <w:bottom w:w="60" w:type="dxa"/>
              <w:start w:w="110" w:type="dxa"/>
              <w:end w:w="110" w:type="dxa"/>
            </w:tcMar>
          </w:tcPr>
          <w:p>
            <w:pPr>
              <w:spacing w:after="0"/>
              <w:jc w:val="left"/>
            </w:pPr>
            <w:r>
              <w:rPr>
                <w:rFonts w:ascii="Calibri" w:hAnsi="Calibri"/>
                <w:b w:val="0"/>
                <w:i w:val="0"/>
                <w:color w:val="1B2A32"/>
                <w:sz w:val="17"/>
              </w:rPr>
              <w:t>Internal Committee</w:t>
            </w:r>
          </w:p>
        </w:tc>
      </w:tr>
      <w:tr>
        <w:trPr>
          <w:trHeight w:val="0"/>
        </w:trPr>
        <w:tc>
          <w:tcPr>
            <w:tcW w:type="dxa" w:w="3744"/>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Settlement &amp; escrow</w:t>
            </w:r>
          </w:p>
        </w:tc>
        <w:tc>
          <w:tcPr>
            <w:tcW w:type="dxa" w:w="288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On agreement</w:t>
            </w:r>
          </w:p>
        </w:tc>
        <w:tc>
          <w:tcPr>
            <w:tcW w:type="dxa" w:w="288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Neutral / escrow officer</w:t>
            </w:r>
          </w:p>
        </w:tc>
      </w:tr>
      <w:tr>
        <w:trPr>
          <w:trHeight w:val="0"/>
        </w:trPr>
        <w:tc>
          <w:tcPr>
            <w:tcW w:type="dxa" w:w="3744"/>
            <w:tcMar>
              <w:top w:w="60" w:type="dxa"/>
              <w:bottom w:w="60" w:type="dxa"/>
              <w:start w:w="110" w:type="dxa"/>
              <w:end w:w="110" w:type="dxa"/>
            </w:tcMar>
          </w:tcPr>
          <w:p>
            <w:pPr>
              <w:spacing w:after="0"/>
              <w:jc w:val="left"/>
            </w:pPr>
            <w:r>
              <w:rPr>
                <w:rFonts w:ascii="Calibri" w:hAnsi="Calibri"/>
                <w:b w:val="0"/>
                <w:i w:val="0"/>
                <w:color w:val="1B2A32"/>
                <w:sz w:val="17"/>
              </w:rPr>
              <w:t>Closure &amp; relieving</w:t>
            </w:r>
          </w:p>
        </w:tc>
        <w:tc>
          <w:tcPr>
            <w:tcW w:type="dxa" w:w="2880"/>
            <w:tcMar>
              <w:top w:w="60" w:type="dxa"/>
              <w:bottom w:w="60" w:type="dxa"/>
              <w:start w:w="110" w:type="dxa"/>
              <w:end w:w="110" w:type="dxa"/>
            </w:tcMar>
          </w:tcPr>
          <w:p>
            <w:pPr>
              <w:spacing w:after="0"/>
              <w:jc w:val="left"/>
            </w:pPr>
            <w:r>
              <w:rPr>
                <w:rFonts w:ascii="Calibri" w:hAnsi="Calibri"/>
                <w:b w:val="0"/>
                <w:i w:val="0"/>
                <w:color w:val="1B2A32"/>
                <w:sz w:val="17"/>
              </w:rPr>
              <w:t>Within 7 days of settlement</w:t>
            </w:r>
          </w:p>
        </w:tc>
        <w:tc>
          <w:tcPr>
            <w:tcW w:type="dxa" w:w="2880"/>
            <w:tcMar>
              <w:top w:w="60" w:type="dxa"/>
              <w:bottom w:w="60" w:type="dxa"/>
              <w:start w:w="110" w:type="dxa"/>
              <w:end w:w="110" w:type="dxa"/>
            </w:tcMar>
          </w:tcPr>
          <w:p>
            <w:pPr>
              <w:spacing w:after="0"/>
              <w:jc w:val="left"/>
            </w:pPr>
            <w:r>
              <w:rPr>
                <w:rFonts w:ascii="Calibri" w:hAnsi="Calibri"/>
                <w:b w:val="0"/>
                <w:i w:val="0"/>
                <w:color w:val="1B2A32"/>
                <w:sz w:val="17"/>
              </w:rPr>
              <w:t>Case manager / employer</w:t>
            </w:r>
          </w:p>
        </w:tc>
      </w:tr>
    </w:tbl>
    <w:p>
      <w:pPr>
        <w:spacing w:after="80"/>
      </w:pPr>
    </w:p>
    <w:p>
      <w:pPr>
        <w:keepNext/>
        <w:spacing w:before="320" w:after="140"/>
        <w:pBdr>
          <w:bottom w:val="single" w:sz="12" w:space="3" w:color="C6A15B"/>
        </w:pBdr>
      </w:pPr>
      <w:r>
        <w:rPr>
          <w:rFonts w:ascii="Calibri" w:hAnsi="Calibri"/>
          <w:b/>
          <w:i w:val="0"/>
          <w:color w:val="123B4F"/>
          <w:sz w:val="34"/>
        </w:rPr>
        <w:t>16.  Settlement, Full-and-Final &amp; Enforcement</w:t>
      </w:r>
    </w:p>
    <w:p>
      <w:pPr>
        <w:spacing w:after="140"/>
        <w:jc w:val="both"/>
      </w:pPr>
      <w:r>
        <w:rPr>
          <w:rFonts w:ascii="Calibri" w:hAnsi="Calibri"/>
          <w:b w:val="0"/>
          <w:i w:val="0"/>
          <w:color w:val="1B2A32"/>
          <w:sz w:val="21"/>
        </w:rPr>
        <w:t xml:space="preserve">Money settlements run through </w:t>
      </w:r>
      <w:r>
        <w:rPr>
          <w:rFonts w:ascii="Calibri" w:hAnsi="Calibri"/>
          <w:b/>
          <w:i w:val="0"/>
          <w:color w:val="1B2A32"/>
          <w:sz w:val="21"/>
        </w:rPr>
        <w:t>escrow</w:t>
      </w:r>
      <w:r>
        <w:rPr>
          <w:rFonts w:ascii="Calibri" w:hAnsi="Calibri"/>
          <w:b w:val="0"/>
          <w:i w:val="0"/>
          <w:color w:val="1B2A32"/>
          <w:sz w:val="21"/>
        </w:rPr>
        <w:t xml:space="preserve"> (F-W16), released against relieving and return of assets; the F&amp;F is computed transparently (F-W18) with the calculators; </w:t>
      </w:r>
      <w:r>
        <w:rPr>
          <w:rFonts w:ascii="Calibri" w:hAnsi="Calibri"/>
          <w:b/>
          <w:i w:val="0"/>
          <w:color w:val="1B2A32"/>
          <w:sz w:val="21"/>
        </w:rPr>
        <w:t>statutory dues (gratuity/PF) are paid, not waived</w:t>
      </w:r>
      <w:r>
        <w:rPr>
          <w:rFonts w:ascii="Calibri" w:hAnsi="Calibri"/>
          <w:b w:val="0"/>
          <w:i w:val="0"/>
          <w:color w:val="1B2A32"/>
          <w:sz w:val="21"/>
        </w:rPr>
        <w:t xml:space="preserve">. A mediated settlement/F&amp;F is </w:t>
      </w:r>
      <w:r>
        <w:rPr>
          <w:rFonts w:ascii="Calibri" w:hAnsi="Calibri"/>
          <w:b/>
          <w:i w:val="0"/>
          <w:color w:val="1B2A32"/>
          <w:sz w:val="21"/>
        </w:rPr>
        <w:t>enforceable as a decree (Mediation Act s.27)</w:t>
      </w:r>
      <w:r>
        <w:rPr>
          <w:rFonts w:ascii="Calibri" w:hAnsi="Calibri"/>
          <w:b w:val="0"/>
          <w:i w:val="0"/>
          <w:color w:val="1B2A32"/>
          <w:sz w:val="21"/>
        </w:rPr>
        <w:t>. Relieving and experience letters and a mutual release complete a clean exit.</w:t>
      </w:r>
    </w:p>
    <w:p>
      <w:pPr>
        <w:keepNext/>
        <w:spacing w:before="320" w:after="140"/>
        <w:pBdr>
          <w:bottom w:val="single" w:sz="12" w:space="3" w:color="C6A15B"/>
        </w:pBdr>
      </w:pPr>
      <w:r>
        <w:rPr>
          <w:rFonts w:ascii="Calibri" w:hAnsi="Calibri"/>
          <w:b/>
          <w:i w:val="0"/>
          <w:color w:val="123B4F"/>
          <w:sz w:val="34"/>
        </w:rPr>
        <w:t>17.  Permutations (If / Then)</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3456"/>
            <w:shd w:val="clear" w:color="auto" w:fill="123B4F"/>
            <w:tcMar>
              <w:top w:w="60" w:type="dxa"/>
              <w:bottom w:w="60" w:type="dxa"/>
              <w:start w:w="110" w:type="dxa"/>
              <w:end w:w="110" w:type="dxa"/>
            </w:tcMar>
          </w:tcPr>
          <w:p>
            <w:pPr>
              <w:spacing w:after="0"/>
            </w:pPr>
            <w:r>
              <w:rPr>
                <w:rFonts w:ascii="Calibri" w:hAnsi="Calibri"/>
                <w:b/>
                <w:i w:val="0"/>
                <w:color w:val="FFFFFF"/>
                <w:sz w:val="17"/>
              </w:rPr>
              <w:t>If…</w:t>
            </w:r>
          </w:p>
        </w:tc>
        <w:tc>
          <w:tcPr>
            <w:tcW w:type="dxa" w:w="6048"/>
            <w:shd w:val="clear" w:color="auto" w:fill="123B4F"/>
            <w:tcMar>
              <w:top w:w="60" w:type="dxa"/>
              <w:bottom w:w="60" w:type="dxa"/>
              <w:start w:w="110" w:type="dxa"/>
              <w:end w:w="110" w:type="dxa"/>
            </w:tcMar>
          </w:tcPr>
          <w:p>
            <w:pPr>
              <w:spacing w:after="0"/>
            </w:pPr>
            <w:r>
              <w:rPr>
                <w:rFonts w:ascii="Calibri" w:hAnsi="Calibri"/>
                <w:b/>
                <w:i w:val="0"/>
                <w:color w:val="FFFFFF"/>
                <w:sz w:val="17"/>
              </w:rPr>
              <w:t>Then…</w:t>
            </w:r>
          </w:p>
        </w:tc>
      </w:tr>
      <w:tr>
        <w:trPr>
          <w:trHeight w:val="0"/>
        </w:trPr>
        <w:tc>
          <w:tcPr>
            <w:tcW w:type="dxa" w:w="3456"/>
            <w:tcMar>
              <w:top w:w="60" w:type="dxa"/>
              <w:bottom w:w="60" w:type="dxa"/>
              <w:start w:w="110" w:type="dxa"/>
              <w:end w:w="110" w:type="dxa"/>
            </w:tcMar>
          </w:tcPr>
          <w:p>
            <w:pPr>
              <w:spacing w:after="0"/>
              <w:jc w:val="left"/>
            </w:pPr>
            <w:r>
              <w:rPr>
                <w:rFonts w:ascii="Calibri" w:hAnsi="Calibri"/>
                <w:b w:val="0"/>
                <w:i w:val="0"/>
                <w:color w:val="1B2A32"/>
                <w:sz w:val="17"/>
              </w:rPr>
              <w:t>Employee claims unpaid wages/F&amp;F</w:t>
            </w:r>
          </w:p>
        </w:tc>
        <w:tc>
          <w:tcPr>
            <w:tcW w:type="dxa" w:w="6048"/>
            <w:tcMar>
              <w:top w:w="60" w:type="dxa"/>
              <w:bottom w:w="60" w:type="dxa"/>
              <w:start w:w="110" w:type="dxa"/>
              <w:end w:w="110" w:type="dxa"/>
            </w:tcMar>
          </w:tcPr>
          <w:p>
            <w:pPr>
              <w:spacing w:after="0"/>
              <w:jc w:val="left"/>
            </w:pPr>
            <w:r>
              <w:rPr>
                <w:rFonts w:ascii="Calibri" w:hAnsi="Calibri"/>
                <w:b w:val="0"/>
                <w:i w:val="0"/>
                <w:color w:val="1B2A32"/>
                <w:sz w:val="17"/>
              </w:rPr>
              <w:t>Mediation → escrow → F&amp;F + relieving; statutory dues paid.</w:t>
            </w:r>
          </w:p>
        </w:tc>
      </w:tr>
      <w:tr>
        <w:trPr>
          <w:trHeight w:val="0"/>
        </w:trPr>
        <w:tc>
          <w:tcPr>
            <w:tcW w:type="dxa" w:w="345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Contested termination</w:t>
            </w:r>
          </w:p>
        </w:tc>
        <w:tc>
          <w:tcPr>
            <w:tcW w:type="dxa" w:w="6048"/>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Mediation → separation settlement (reinstatement or compensation) enforceable as a decree.</w:t>
            </w:r>
          </w:p>
        </w:tc>
      </w:tr>
      <w:tr>
        <w:trPr>
          <w:trHeight w:val="0"/>
        </w:trPr>
        <w:tc>
          <w:tcPr>
            <w:tcW w:type="dxa" w:w="3456"/>
            <w:tcMar>
              <w:top w:w="60" w:type="dxa"/>
              <w:bottom w:w="60" w:type="dxa"/>
              <w:start w:w="110" w:type="dxa"/>
              <w:end w:w="110" w:type="dxa"/>
            </w:tcMar>
          </w:tcPr>
          <w:p>
            <w:pPr>
              <w:spacing w:after="0"/>
              <w:jc w:val="left"/>
            </w:pPr>
            <w:r>
              <w:rPr>
                <w:rFonts w:ascii="Calibri" w:hAnsi="Calibri"/>
                <w:b w:val="0"/>
                <w:i w:val="0"/>
                <w:color w:val="1B2A32"/>
                <w:sz w:val="17"/>
              </w:rPr>
              <w:t>Sexual-harassment complaint</w:t>
            </w:r>
          </w:p>
        </w:tc>
        <w:tc>
          <w:tcPr>
            <w:tcW w:type="dxa" w:w="6048"/>
            <w:tcMar>
              <w:top w:w="60" w:type="dxa"/>
              <w:bottom w:w="60" w:type="dxa"/>
              <w:start w:w="110" w:type="dxa"/>
              <w:end w:w="110" w:type="dxa"/>
            </w:tcMar>
          </w:tcPr>
          <w:p>
            <w:pPr>
              <w:spacing w:after="0"/>
              <w:jc w:val="left"/>
            </w:pPr>
            <w:r>
              <w:rPr>
                <w:rFonts w:ascii="Calibri" w:hAnsi="Calibri"/>
                <w:b w:val="0"/>
                <w:i w:val="0"/>
                <w:color w:val="1B2A32"/>
                <w:sz w:val="17"/>
              </w:rPr>
              <w:t>Sealed POSH mode → IC; s.10 conciliation only on request; else 90-day inquiry.</w:t>
            </w:r>
          </w:p>
        </w:tc>
      </w:tr>
      <w:tr>
        <w:trPr>
          <w:trHeight w:val="0"/>
        </w:trPr>
        <w:tc>
          <w:tcPr>
            <w:tcW w:type="dxa" w:w="345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Non-compete/bond claim by employer</w:t>
            </w:r>
          </w:p>
        </w:tc>
        <w:tc>
          <w:tcPr>
            <w:tcW w:type="dxa" w:w="6048"/>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Mediation, tested against s.27 Contract Act (restraints generally void).</w:t>
            </w:r>
          </w:p>
        </w:tc>
      </w:tr>
      <w:tr>
        <w:trPr>
          <w:trHeight w:val="0"/>
        </w:trPr>
        <w:tc>
          <w:tcPr>
            <w:tcW w:type="dxa" w:w="3456"/>
            <w:tcMar>
              <w:top w:w="60" w:type="dxa"/>
              <w:bottom w:w="60" w:type="dxa"/>
              <w:start w:w="110" w:type="dxa"/>
              <w:end w:w="110" w:type="dxa"/>
            </w:tcMar>
          </w:tcPr>
          <w:p>
            <w:pPr>
              <w:spacing w:after="0"/>
              <w:jc w:val="left"/>
            </w:pPr>
            <w:r>
              <w:rPr>
                <w:rFonts w:ascii="Calibri" w:hAnsi="Calibri"/>
                <w:b w:val="0"/>
                <w:i w:val="0"/>
                <w:color w:val="1B2A32"/>
                <w:sz w:val="17"/>
              </w:rPr>
              <w:t>Collective/union dispute</w:t>
            </w:r>
          </w:p>
        </w:tc>
        <w:tc>
          <w:tcPr>
            <w:tcW w:type="dxa" w:w="6048"/>
            <w:tcMar>
              <w:top w:w="60" w:type="dxa"/>
              <w:bottom w:w="60" w:type="dxa"/>
              <w:start w:w="110" w:type="dxa"/>
              <w:end w:w="110" w:type="dxa"/>
            </w:tcMar>
          </w:tcPr>
          <w:p>
            <w:pPr>
              <w:spacing w:after="0"/>
              <w:jc w:val="left"/>
            </w:pPr>
            <w:r>
              <w:rPr>
                <w:rFonts w:ascii="Calibri" w:hAnsi="Calibri"/>
                <w:b w:val="0"/>
                <w:i w:val="0"/>
                <w:color w:val="1B2A32"/>
                <w:sz w:val="17"/>
              </w:rPr>
              <w:t>Signpost IR Code machinery; mediate a settlement where lawful.</w:t>
            </w:r>
          </w:p>
        </w:tc>
      </w:tr>
      <w:tr>
        <w:trPr>
          <w:trHeight w:val="0"/>
        </w:trPr>
        <w:tc>
          <w:tcPr>
            <w:tcW w:type="dxa" w:w="345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Criminal/safety element</w:t>
            </w:r>
          </w:p>
        </w:tc>
        <w:tc>
          <w:tcPr>
            <w:tcW w:type="dxa" w:w="6048"/>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Signpost police; ensure safety; mediate only the civil/dues aspect if appropriate.</w:t>
            </w:r>
          </w:p>
        </w:tc>
      </w:tr>
    </w:tbl>
    <w:p>
      <w:pPr>
        <w:spacing w:after="80"/>
      </w:pPr>
    </w:p>
    <w:p>
      <w:r>
        <w:br w:type="page"/>
      </w:r>
    </w:p>
    <w:p>
      <w:pPr>
        <w:spacing w:before="600" w:after="40"/>
      </w:pPr>
      <w:r>
        <w:rPr>
          <w:rFonts w:ascii="Calibri" w:hAnsi="Calibri"/>
          <w:b/>
          <w:i w:val="0"/>
          <w:color w:val="C6A15B"/>
          <w:sz w:val="26"/>
        </w:rPr>
        <w:t>PART D</w:t>
      </w:r>
    </w:p>
    <w:p>
      <w:pPr>
        <w:spacing w:after="200"/>
        <w:pBdr>
          <w:bottom w:val="single" w:sz="18" w:space="3" w:color="1E7A8C"/>
        </w:pBdr>
      </w:pPr>
      <w:r>
        <w:rPr>
          <w:rFonts w:ascii="Calibri" w:hAnsi="Calibri"/>
          <w:b/>
          <w:i w:val="0"/>
          <w:color w:val="123B4F"/>
          <w:sz w:val="46"/>
        </w:rPr>
        <w:t>Governance, Commercials &amp; Operations</w:t>
      </w:r>
    </w:p>
    <w:p>
      <w:pPr>
        <w:keepNext/>
        <w:spacing w:before="320" w:after="140"/>
        <w:pBdr>
          <w:bottom w:val="single" w:sz="12" w:space="3" w:color="C6A15B"/>
        </w:pBdr>
      </w:pPr>
      <w:r>
        <w:rPr>
          <w:rFonts w:ascii="Calibri" w:hAnsi="Calibri"/>
          <w:b/>
          <w:i w:val="0"/>
          <w:color w:val="123B4F"/>
          <w:sz w:val="34"/>
        </w:rPr>
        <w:t>18.  Forms Register</w:t>
      </w:r>
    </w:p>
    <w:p>
      <w:pPr>
        <w:spacing w:after="140"/>
        <w:jc w:val="both"/>
      </w:pPr>
      <w:r>
        <w:rPr>
          <w:rFonts w:ascii="Calibri" w:hAnsi="Calibri"/>
          <w:b w:val="0"/>
          <w:i w:val="0"/>
          <w:color w:val="1B2A32"/>
          <w:sz w:val="21"/>
        </w:rPr>
        <w:t>Twenty forms (F-W01–F-W20) cover the whole journey; the full text is at Part H, and standalone copies are archived.</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rPr>
          <w:trHeight w:val="0"/>
        </w:trPr>
        <w:tc>
          <w:tcPr>
            <w:tcW w:type="dxa" w:w="1152"/>
            <w:shd w:val="clear" w:color="auto" w:fill="123B4F"/>
            <w:tcMar>
              <w:top w:w="60" w:type="dxa"/>
              <w:bottom w:w="60" w:type="dxa"/>
              <w:start w:w="110" w:type="dxa"/>
              <w:end w:w="110" w:type="dxa"/>
            </w:tcMar>
          </w:tcPr>
          <w:p>
            <w:pPr>
              <w:spacing w:after="0"/>
            </w:pPr>
            <w:r>
              <w:rPr>
                <w:rFonts w:ascii="Calibri" w:hAnsi="Calibri"/>
                <w:b/>
                <w:i w:val="0"/>
                <w:color w:val="FFFFFF"/>
                <w:sz w:val="17"/>
              </w:rPr>
              <w:t>Ref</w:t>
            </w:r>
          </w:p>
        </w:tc>
        <w:tc>
          <w:tcPr>
            <w:tcW w:type="dxa" w:w="3600"/>
            <w:shd w:val="clear" w:color="auto" w:fill="123B4F"/>
            <w:tcMar>
              <w:top w:w="60" w:type="dxa"/>
              <w:bottom w:w="60" w:type="dxa"/>
              <w:start w:w="110" w:type="dxa"/>
              <w:end w:w="110" w:type="dxa"/>
            </w:tcMar>
          </w:tcPr>
          <w:p>
            <w:pPr>
              <w:spacing w:after="0"/>
            </w:pPr>
            <w:r>
              <w:rPr>
                <w:rFonts w:ascii="Calibri" w:hAnsi="Calibri"/>
                <w:b/>
                <w:i w:val="0"/>
                <w:color w:val="FFFFFF"/>
                <w:sz w:val="17"/>
              </w:rPr>
              <w:t>Form</w:t>
            </w:r>
          </w:p>
        </w:tc>
        <w:tc>
          <w:tcPr>
            <w:tcW w:type="dxa" w:w="1152"/>
            <w:shd w:val="clear" w:color="auto" w:fill="123B4F"/>
            <w:tcMar>
              <w:top w:w="60" w:type="dxa"/>
              <w:bottom w:w="60" w:type="dxa"/>
              <w:start w:w="110" w:type="dxa"/>
              <w:end w:w="110" w:type="dxa"/>
            </w:tcMar>
          </w:tcPr>
          <w:p>
            <w:pPr>
              <w:spacing w:after="0"/>
            </w:pPr>
            <w:r>
              <w:rPr>
                <w:rFonts w:ascii="Calibri" w:hAnsi="Calibri"/>
                <w:b/>
                <w:i w:val="0"/>
                <w:color w:val="FFFFFF"/>
                <w:sz w:val="17"/>
              </w:rPr>
              <w:t>Ref</w:t>
            </w:r>
          </w:p>
        </w:tc>
        <w:tc>
          <w:tcPr>
            <w:tcW w:type="dxa" w:w="3600"/>
            <w:shd w:val="clear" w:color="auto" w:fill="123B4F"/>
            <w:tcMar>
              <w:top w:w="60" w:type="dxa"/>
              <w:bottom w:w="60" w:type="dxa"/>
              <w:start w:w="110" w:type="dxa"/>
              <w:end w:w="110" w:type="dxa"/>
            </w:tcMar>
          </w:tcPr>
          <w:p>
            <w:pPr>
              <w:spacing w:after="0"/>
            </w:pPr>
            <w:r>
              <w:rPr>
                <w:rFonts w:ascii="Calibri" w:hAnsi="Calibri"/>
                <w:b/>
                <w:i w:val="0"/>
                <w:color w:val="FFFFFF"/>
                <w:sz w:val="17"/>
              </w:rPr>
              <w:t>Form</w:t>
            </w:r>
          </w:p>
        </w:tc>
      </w:tr>
      <w:tr>
        <w:trPr>
          <w:trHeight w:val="0"/>
        </w:trPr>
        <w:tc>
          <w:tcPr>
            <w:tcW w:type="dxa" w:w="1152"/>
            <w:tcMar>
              <w:top w:w="60" w:type="dxa"/>
              <w:bottom w:w="60" w:type="dxa"/>
              <w:start w:w="110" w:type="dxa"/>
              <w:end w:w="110" w:type="dxa"/>
            </w:tcMar>
          </w:tcPr>
          <w:p>
            <w:pPr>
              <w:spacing w:after="0"/>
              <w:jc w:val="left"/>
            </w:pPr>
            <w:r>
              <w:rPr>
                <w:rFonts w:ascii="Calibri" w:hAnsi="Calibri"/>
                <w:b w:val="0"/>
                <w:i w:val="0"/>
                <w:color w:val="1B2A32"/>
                <w:sz w:val="17"/>
              </w:rPr>
              <w:t>F-W01</w:t>
            </w:r>
          </w:p>
        </w:tc>
        <w:tc>
          <w:tcPr>
            <w:tcW w:type="dxa" w:w="3600"/>
            <w:tcMar>
              <w:top w:w="60" w:type="dxa"/>
              <w:bottom w:w="60" w:type="dxa"/>
              <w:start w:w="110" w:type="dxa"/>
              <w:end w:w="110" w:type="dxa"/>
            </w:tcMar>
          </w:tcPr>
          <w:p>
            <w:pPr>
              <w:spacing w:after="0"/>
              <w:jc w:val="left"/>
            </w:pPr>
            <w:r>
              <w:rPr>
                <w:rFonts w:ascii="Calibri" w:hAnsi="Calibri"/>
                <w:b w:val="0"/>
                <w:i w:val="0"/>
                <w:color w:val="1B2A32"/>
                <w:sz w:val="17"/>
              </w:rPr>
              <w:t>Onboarding/KYC &amp; consent</w:t>
            </w:r>
          </w:p>
        </w:tc>
        <w:tc>
          <w:tcPr>
            <w:tcW w:type="dxa" w:w="1152"/>
            <w:tcMar>
              <w:top w:w="60" w:type="dxa"/>
              <w:bottom w:w="60" w:type="dxa"/>
              <w:start w:w="110" w:type="dxa"/>
              <w:end w:w="110" w:type="dxa"/>
            </w:tcMar>
          </w:tcPr>
          <w:p>
            <w:pPr>
              <w:spacing w:after="0"/>
              <w:jc w:val="left"/>
            </w:pPr>
            <w:r>
              <w:rPr>
                <w:rFonts w:ascii="Calibri" w:hAnsi="Calibri"/>
                <w:b w:val="0"/>
                <w:i w:val="0"/>
                <w:color w:val="1B2A32"/>
                <w:sz w:val="17"/>
              </w:rPr>
              <w:t>F-W11</w:t>
            </w:r>
          </w:p>
        </w:tc>
        <w:tc>
          <w:tcPr>
            <w:tcW w:type="dxa" w:w="3600"/>
            <w:tcMar>
              <w:top w:w="60" w:type="dxa"/>
              <w:bottom w:w="60" w:type="dxa"/>
              <w:start w:w="110" w:type="dxa"/>
              <w:end w:w="110" w:type="dxa"/>
            </w:tcMar>
          </w:tcPr>
          <w:p>
            <w:pPr>
              <w:spacing w:after="0"/>
              <w:jc w:val="left"/>
            </w:pPr>
            <w:r>
              <w:rPr>
                <w:rFonts w:ascii="Calibri" w:hAnsi="Calibri"/>
                <w:b w:val="0"/>
                <w:i w:val="0"/>
                <w:color w:val="1B2A32"/>
                <w:sz w:val="17"/>
              </w:rPr>
              <w:t>Wage/F&amp;F settlement</w:t>
            </w:r>
          </w:p>
        </w:tc>
      </w:tr>
      <w:tr>
        <w:trPr>
          <w:trHeight w:val="0"/>
        </w:trPr>
        <w:tc>
          <w:tcPr>
            <w:tcW w:type="dxa" w:w="11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F-W02</w:t>
            </w:r>
          </w:p>
        </w:tc>
        <w:tc>
          <w:tcPr>
            <w:tcW w:type="dxa" w:w="360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Request for Resolution</w:t>
            </w:r>
          </w:p>
        </w:tc>
        <w:tc>
          <w:tcPr>
            <w:tcW w:type="dxa" w:w="11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F-W12</w:t>
            </w:r>
          </w:p>
        </w:tc>
        <w:tc>
          <w:tcPr>
            <w:tcW w:type="dxa" w:w="360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Separation/termination settlement</w:t>
            </w:r>
          </w:p>
        </w:tc>
      </w:tr>
      <w:tr>
        <w:trPr>
          <w:trHeight w:val="0"/>
        </w:trPr>
        <w:tc>
          <w:tcPr>
            <w:tcW w:type="dxa" w:w="1152"/>
            <w:tcMar>
              <w:top w:w="60" w:type="dxa"/>
              <w:bottom w:w="60" w:type="dxa"/>
              <w:start w:w="110" w:type="dxa"/>
              <w:end w:w="110" w:type="dxa"/>
            </w:tcMar>
          </w:tcPr>
          <w:p>
            <w:pPr>
              <w:spacing w:after="0"/>
              <w:jc w:val="left"/>
            </w:pPr>
            <w:r>
              <w:rPr>
                <w:rFonts w:ascii="Calibri" w:hAnsi="Calibri"/>
                <w:b w:val="0"/>
                <w:i w:val="0"/>
                <w:color w:val="1B2A32"/>
                <w:sz w:val="17"/>
              </w:rPr>
              <w:t>F-W03</w:t>
            </w:r>
          </w:p>
        </w:tc>
        <w:tc>
          <w:tcPr>
            <w:tcW w:type="dxa" w:w="3600"/>
            <w:tcMar>
              <w:top w:w="60" w:type="dxa"/>
              <w:bottom w:w="60" w:type="dxa"/>
              <w:start w:w="110" w:type="dxa"/>
              <w:end w:w="110" w:type="dxa"/>
            </w:tcMar>
          </w:tcPr>
          <w:p>
            <w:pPr>
              <w:spacing w:after="0"/>
              <w:jc w:val="left"/>
            </w:pPr>
            <w:r>
              <w:rPr>
                <w:rFonts w:ascii="Calibri" w:hAnsi="Calibri"/>
                <w:b w:val="0"/>
                <w:i w:val="0"/>
                <w:color w:val="1B2A32"/>
                <w:sz w:val="17"/>
              </w:rPr>
              <w:t>Notice to other party</w:t>
            </w:r>
          </w:p>
        </w:tc>
        <w:tc>
          <w:tcPr>
            <w:tcW w:type="dxa" w:w="1152"/>
            <w:tcMar>
              <w:top w:w="60" w:type="dxa"/>
              <w:bottom w:w="60" w:type="dxa"/>
              <w:start w:w="110" w:type="dxa"/>
              <w:end w:w="110" w:type="dxa"/>
            </w:tcMar>
          </w:tcPr>
          <w:p>
            <w:pPr>
              <w:spacing w:after="0"/>
              <w:jc w:val="left"/>
            </w:pPr>
            <w:r>
              <w:rPr>
                <w:rFonts w:ascii="Calibri" w:hAnsi="Calibri"/>
                <w:b w:val="0"/>
                <w:i w:val="0"/>
                <w:color w:val="1B2A32"/>
                <w:sz w:val="17"/>
              </w:rPr>
              <w:t>F-W13</w:t>
            </w:r>
          </w:p>
        </w:tc>
        <w:tc>
          <w:tcPr>
            <w:tcW w:type="dxa" w:w="3600"/>
            <w:tcMar>
              <w:top w:w="60" w:type="dxa"/>
              <w:bottom w:w="60" w:type="dxa"/>
              <w:start w:w="110" w:type="dxa"/>
              <w:end w:w="110" w:type="dxa"/>
            </w:tcMar>
          </w:tcPr>
          <w:p>
            <w:pPr>
              <w:spacing w:after="0"/>
              <w:jc w:val="left"/>
            </w:pPr>
            <w:r>
              <w:rPr>
                <w:rFonts w:ascii="Calibri" w:hAnsi="Calibri"/>
                <w:b w:val="0"/>
                <w:i w:val="0"/>
                <w:color w:val="1B2A32"/>
                <w:sz w:val="17"/>
              </w:rPr>
              <w:t>Agreement to mediate &amp; confidentiality</w:t>
            </w:r>
          </w:p>
        </w:tc>
      </w:tr>
      <w:tr>
        <w:trPr>
          <w:trHeight w:val="0"/>
        </w:trPr>
        <w:tc>
          <w:tcPr>
            <w:tcW w:type="dxa" w:w="11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F-W04</w:t>
            </w:r>
          </w:p>
        </w:tc>
        <w:tc>
          <w:tcPr>
            <w:tcW w:type="dxa" w:w="360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Employee grievance</w:t>
            </w:r>
          </w:p>
        </w:tc>
        <w:tc>
          <w:tcPr>
            <w:tcW w:type="dxa" w:w="11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F-W14</w:t>
            </w:r>
          </w:p>
        </w:tc>
        <w:tc>
          <w:tcPr>
            <w:tcW w:type="dxa" w:w="360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Statement of claim (employment)</w:t>
            </w:r>
          </w:p>
        </w:tc>
      </w:tr>
      <w:tr>
        <w:trPr>
          <w:trHeight w:val="0"/>
        </w:trPr>
        <w:tc>
          <w:tcPr>
            <w:tcW w:type="dxa" w:w="1152"/>
            <w:tcMar>
              <w:top w:w="60" w:type="dxa"/>
              <w:bottom w:w="60" w:type="dxa"/>
              <w:start w:w="110" w:type="dxa"/>
              <w:end w:w="110" w:type="dxa"/>
            </w:tcMar>
          </w:tcPr>
          <w:p>
            <w:pPr>
              <w:spacing w:after="0"/>
              <w:jc w:val="left"/>
            </w:pPr>
            <w:r>
              <w:rPr>
                <w:rFonts w:ascii="Calibri" w:hAnsi="Calibri"/>
                <w:b w:val="0"/>
                <w:i w:val="0"/>
                <w:color w:val="1B2A32"/>
                <w:sz w:val="17"/>
              </w:rPr>
              <w:t>F-W05</w:t>
            </w:r>
          </w:p>
        </w:tc>
        <w:tc>
          <w:tcPr>
            <w:tcW w:type="dxa" w:w="3600"/>
            <w:tcMar>
              <w:top w:w="60" w:type="dxa"/>
              <w:bottom w:w="60" w:type="dxa"/>
              <w:start w:w="110" w:type="dxa"/>
              <w:end w:w="110" w:type="dxa"/>
            </w:tcMar>
          </w:tcPr>
          <w:p>
            <w:pPr>
              <w:spacing w:after="0"/>
              <w:jc w:val="left"/>
            </w:pPr>
            <w:r>
              <w:rPr>
                <w:rFonts w:ascii="Calibri" w:hAnsi="Calibri"/>
                <w:b w:val="0"/>
                <w:i w:val="0"/>
                <w:color w:val="1B2A32"/>
                <w:sz w:val="17"/>
              </w:rPr>
              <w:t>Response</w:t>
            </w:r>
          </w:p>
        </w:tc>
        <w:tc>
          <w:tcPr>
            <w:tcW w:type="dxa" w:w="1152"/>
            <w:tcMar>
              <w:top w:w="60" w:type="dxa"/>
              <w:bottom w:w="60" w:type="dxa"/>
              <w:start w:w="110" w:type="dxa"/>
              <w:end w:w="110" w:type="dxa"/>
            </w:tcMar>
          </w:tcPr>
          <w:p>
            <w:pPr>
              <w:spacing w:after="0"/>
              <w:jc w:val="left"/>
            </w:pPr>
            <w:r>
              <w:rPr>
                <w:rFonts w:ascii="Calibri" w:hAnsi="Calibri"/>
                <w:b w:val="0"/>
                <w:i w:val="0"/>
                <w:color w:val="1B2A32"/>
                <w:sz w:val="17"/>
              </w:rPr>
              <w:t>F-W15</w:t>
            </w:r>
          </w:p>
        </w:tc>
        <w:tc>
          <w:tcPr>
            <w:tcW w:type="dxa" w:w="3600"/>
            <w:tcMar>
              <w:top w:w="60" w:type="dxa"/>
              <w:bottom w:w="60" w:type="dxa"/>
              <w:start w:w="110" w:type="dxa"/>
              <w:end w:w="110" w:type="dxa"/>
            </w:tcMar>
          </w:tcPr>
          <w:p>
            <w:pPr>
              <w:spacing w:after="0"/>
              <w:jc w:val="left"/>
            </w:pPr>
            <w:r>
              <w:rPr>
                <w:rFonts w:ascii="Calibri" w:hAnsi="Calibri"/>
                <w:b w:val="0"/>
                <w:i w:val="0"/>
                <w:color w:val="1B2A32"/>
                <w:sz w:val="17"/>
              </w:rPr>
              <w:t>GRC referral (IR Code)</w:t>
            </w:r>
          </w:p>
        </w:tc>
      </w:tr>
      <w:tr>
        <w:trPr>
          <w:trHeight w:val="0"/>
        </w:trPr>
        <w:tc>
          <w:tcPr>
            <w:tcW w:type="dxa" w:w="11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F-W06</w:t>
            </w:r>
          </w:p>
        </w:tc>
        <w:tc>
          <w:tcPr>
            <w:tcW w:type="dxa" w:w="360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Neutral selection &amp; disclosure</w:t>
            </w:r>
          </w:p>
        </w:tc>
        <w:tc>
          <w:tcPr>
            <w:tcW w:type="dxa" w:w="11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F-W16</w:t>
            </w:r>
          </w:p>
        </w:tc>
        <w:tc>
          <w:tcPr>
            <w:tcW w:type="dxa" w:w="360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Escrow instruction</w:t>
            </w:r>
          </w:p>
        </w:tc>
      </w:tr>
      <w:tr>
        <w:trPr>
          <w:trHeight w:val="0"/>
        </w:trPr>
        <w:tc>
          <w:tcPr>
            <w:tcW w:type="dxa" w:w="1152"/>
            <w:tcMar>
              <w:top w:w="60" w:type="dxa"/>
              <w:bottom w:w="60" w:type="dxa"/>
              <w:start w:w="110" w:type="dxa"/>
              <w:end w:w="110" w:type="dxa"/>
            </w:tcMar>
          </w:tcPr>
          <w:p>
            <w:pPr>
              <w:spacing w:after="0"/>
              <w:jc w:val="left"/>
            </w:pPr>
            <w:r>
              <w:rPr>
                <w:rFonts w:ascii="Calibri" w:hAnsi="Calibri"/>
                <w:b w:val="0"/>
                <w:i w:val="0"/>
                <w:color w:val="1B2A32"/>
                <w:sz w:val="17"/>
              </w:rPr>
              <w:t>F-W07</w:t>
            </w:r>
          </w:p>
        </w:tc>
        <w:tc>
          <w:tcPr>
            <w:tcW w:type="dxa" w:w="3600"/>
            <w:tcMar>
              <w:top w:w="60" w:type="dxa"/>
              <w:bottom w:w="60" w:type="dxa"/>
              <w:start w:w="110" w:type="dxa"/>
              <w:end w:w="110" w:type="dxa"/>
            </w:tcMar>
          </w:tcPr>
          <w:p>
            <w:pPr>
              <w:spacing w:after="0"/>
              <w:jc w:val="left"/>
            </w:pPr>
            <w:r>
              <w:rPr>
                <w:rFonts w:ascii="Calibri" w:hAnsi="Calibri"/>
                <w:b w:val="0"/>
                <w:i w:val="0"/>
                <w:color w:val="1B2A32"/>
                <w:sz w:val="17"/>
              </w:rPr>
              <w:t>POSH complaint (to IC)</w:t>
            </w:r>
          </w:p>
        </w:tc>
        <w:tc>
          <w:tcPr>
            <w:tcW w:type="dxa" w:w="1152"/>
            <w:tcMar>
              <w:top w:w="60" w:type="dxa"/>
              <w:bottom w:w="60" w:type="dxa"/>
              <w:start w:w="110" w:type="dxa"/>
              <w:end w:w="110" w:type="dxa"/>
            </w:tcMar>
          </w:tcPr>
          <w:p>
            <w:pPr>
              <w:spacing w:after="0"/>
              <w:jc w:val="left"/>
            </w:pPr>
            <w:r>
              <w:rPr>
                <w:rFonts w:ascii="Calibri" w:hAnsi="Calibri"/>
                <w:b w:val="0"/>
                <w:i w:val="0"/>
                <w:color w:val="1B2A32"/>
                <w:sz w:val="17"/>
              </w:rPr>
              <w:t>F-W17</w:t>
            </w:r>
          </w:p>
        </w:tc>
        <w:tc>
          <w:tcPr>
            <w:tcW w:type="dxa" w:w="3600"/>
            <w:tcMar>
              <w:top w:w="60" w:type="dxa"/>
              <w:bottom w:w="60" w:type="dxa"/>
              <w:start w:w="110" w:type="dxa"/>
              <w:end w:w="110" w:type="dxa"/>
            </w:tcMar>
          </w:tcPr>
          <w:p>
            <w:pPr>
              <w:spacing w:after="0"/>
              <w:jc w:val="left"/>
            </w:pPr>
            <w:r>
              <w:rPr>
                <w:rFonts w:ascii="Calibri" w:hAnsi="Calibri"/>
                <w:b w:val="0"/>
                <w:i w:val="0"/>
                <w:color w:val="1B2A32"/>
                <w:sz w:val="17"/>
              </w:rPr>
              <w:t>Case closure report</w:t>
            </w:r>
          </w:p>
        </w:tc>
      </w:tr>
      <w:tr>
        <w:trPr>
          <w:trHeight w:val="0"/>
        </w:trPr>
        <w:tc>
          <w:tcPr>
            <w:tcW w:type="dxa" w:w="11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F-W08</w:t>
            </w:r>
          </w:p>
        </w:tc>
        <w:tc>
          <w:tcPr>
            <w:tcW w:type="dxa" w:w="360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POSH s.10 conciliation</w:t>
            </w:r>
          </w:p>
        </w:tc>
        <w:tc>
          <w:tcPr>
            <w:tcW w:type="dxa" w:w="11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F-W18</w:t>
            </w:r>
          </w:p>
        </w:tc>
        <w:tc>
          <w:tcPr>
            <w:tcW w:type="dxa" w:w="360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Full &amp; final statement</w:t>
            </w:r>
          </w:p>
        </w:tc>
      </w:tr>
      <w:tr>
        <w:trPr>
          <w:trHeight w:val="0"/>
        </w:trPr>
        <w:tc>
          <w:tcPr>
            <w:tcW w:type="dxa" w:w="1152"/>
            <w:tcMar>
              <w:top w:w="60" w:type="dxa"/>
              <w:bottom w:w="60" w:type="dxa"/>
              <w:start w:w="110" w:type="dxa"/>
              <w:end w:w="110" w:type="dxa"/>
            </w:tcMar>
          </w:tcPr>
          <w:p>
            <w:pPr>
              <w:spacing w:after="0"/>
              <w:jc w:val="left"/>
            </w:pPr>
            <w:r>
              <w:rPr>
                <w:rFonts w:ascii="Calibri" w:hAnsi="Calibri"/>
                <w:b w:val="0"/>
                <w:i w:val="0"/>
                <w:color w:val="1B2A32"/>
                <w:sz w:val="17"/>
              </w:rPr>
              <w:t>F-W09</w:t>
            </w:r>
          </w:p>
        </w:tc>
        <w:tc>
          <w:tcPr>
            <w:tcW w:type="dxa" w:w="3600"/>
            <w:tcMar>
              <w:top w:w="60" w:type="dxa"/>
              <w:bottom w:w="60" w:type="dxa"/>
              <w:start w:w="110" w:type="dxa"/>
              <w:end w:w="110" w:type="dxa"/>
            </w:tcMar>
          </w:tcPr>
          <w:p>
            <w:pPr>
              <w:spacing w:after="0"/>
              <w:jc w:val="left"/>
            </w:pPr>
            <w:r>
              <w:rPr>
                <w:rFonts w:ascii="Calibri" w:hAnsi="Calibri"/>
                <w:b w:val="0"/>
                <w:i w:val="0"/>
                <w:color w:val="1B2A32"/>
                <w:sz w:val="17"/>
              </w:rPr>
              <w:t>IC inquiry record</w:t>
            </w:r>
          </w:p>
        </w:tc>
        <w:tc>
          <w:tcPr>
            <w:tcW w:type="dxa" w:w="1152"/>
            <w:tcMar>
              <w:top w:w="60" w:type="dxa"/>
              <w:bottom w:w="60" w:type="dxa"/>
              <w:start w:w="110" w:type="dxa"/>
              <w:end w:w="110" w:type="dxa"/>
            </w:tcMar>
          </w:tcPr>
          <w:p>
            <w:pPr>
              <w:spacing w:after="0"/>
              <w:jc w:val="left"/>
            </w:pPr>
            <w:r>
              <w:rPr>
                <w:rFonts w:ascii="Calibri" w:hAnsi="Calibri"/>
                <w:b w:val="0"/>
                <w:i w:val="0"/>
                <w:color w:val="1B2A32"/>
                <w:sz w:val="17"/>
              </w:rPr>
              <w:t>F-W19</w:t>
            </w:r>
          </w:p>
        </w:tc>
        <w:tc>
          <w:tcPr>
            <w:tcW w:type="dxa" w:w="3600"/>
            <w:tcMar>
              <w:top w:w="60" w:type="dxa"/>
              <w:bottom w:w="60" w:type="dxa"/>
              <w:start w:w="110" w:type="dxa"/>
              <w:end w:w="110" w:type="dxa"/>
            </w:tcMar>
          </w:tcPr>
          <w:p>
            <w:pPr>
              <w:spacing w:after="0"/>
              <w:jc w:val="left"/>
            </w:pPr>
            <w:r>
              <w:rPr>
                <w:rFonts w:ascii="Calibri" w:hAnsi="Calibri"/>
                <w:b w:val="0"/>
                <w:i w:val="0"/>
                <w:color w:val="1B2A32"/>
                <w:sz w:val="17"/>
              </w:rPr>
              <w:t>Model employment ADR clause</w:t>
            </w:r>
          </w:p>
        </w:tc>
      </w:tr>
      <w:tr>
        <w:trPr>
          <w:trHeight w:val="0"/>
        </w:trPr>
        <w:tc>
          <w:tcPr>
            <w:tcW w:type="dxa" w:w="11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F-W10</w:t>
            </w:r>
          </w:p>
        </w:tc>
        <w:tc>
          <w:tcPr>
            <w:tcW w:type="dxa" w:w="360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External IC member appointment</w:t>
            </w:r>
          </w:p>
        </w:tc>
        <w:tc>
          <w:tcPr>
            <w:tcW w:type="dxa" w:w="11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F-W20</w:t>
            </w:r>
          </w:p>
        </w:tc>
        <w:tc>
          <w:tcPr>
            <w:tcW w:type="dxa" w:w="3600"/>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Time extension</w:t>
            </w:r>
          </w:p>
        </w:tc>
      </w:tr>
    </w:tbl>
    <w:p>
      <w:pPr>
        <w:spacing w:after="80"/>
      </w:pPr>
    </w:p>
    <w:p>
      <w:pPr>
        <w:keepNext/>
        <w:spacing w:before="320" w:after="140"/>
        <w:pBdr>
          <w:bottom w:val="single" w:sz="12" w:space="3" w:color="C6A15B"/>
        </w:pBdr>
      </w:pPr>
      <w:r>
        <w:rPr>
          <w:rFonts w:ascii="Calibri" w:hAnsi="Calibri"/>
          <w:b/>
          <w:i w:val="0"/>
          <w:color w:val="123B4F"/>
          <w:sz w:val="34"/>
        </w:rPr>
        <w:t>19.  Fees</w:t>
      </w:r>
    </w:p>
    <w:p>
      <w:pPr>
        <w:spacing w:after="140"/>
        <w:jc w:val="both"/>
      </w:pPr>
      <w:r>
        <w:rPr>
          <w:rFonts w:ascii="Calibri" w:hAnsi="Calibri"/>
          <w:b w:val="0"/>
          <w:i w:val="0"/>
          <w:color w:val="1B2A32"/>
          <w:sz w:val="21"/>
        </w:rPr>
        <w:t xml:space="preserve">Fees are modest and access-friendly: a small registration/administration fee; a neutral fee scaled to the matter; escrow handling on money settlements; concessions for individual employees and small establishments; and </w:t>
      </w:r>
      <w:r>
        <w:rPr>
          <w:rFonts w:ascii="Calibri" w:hAnsi="Calibri"/>
          <w:b/>
          <w:i w:val="0"/>
          <w:color w:val="1B2A32"/>
          <w:sz w:val="21"/>
        </w:rPr>
        <w:t>employer subscriptions</w:t>
      </w:r>
      <w:r>
        <w:rPr>
          <w:rFonts w:ascii="Calibri" w:hAnsi="Calibri"/>
          <w:b w:val="0"/>
          <w:i w:val="0"/>
          <w:color w:val="1B2A32"/>
          <w:sz w:val="21"/>
        </w:rPr>
        <w:t xml:space="preserve"> for POSH external-member and IC-support services. A published tariff gives certainty.</w:t>
      </w:r>
    </w:p>
    <w:p>
      <w:pPr>
        <w:keepNext/>
        <w:spacing w:before="320" w:after="140"/>
        <w:pBdr>
          <w:bottom w:val="single" w:sz="12" w:space="3" w:color="C6A15B"/>
        </w:pBdr>
      </w:pPr>
      <w:r>
        <w:rPr>
          <w:rFonts w:ascii="Calibri" w:hAnsi="Calibri"/>
          <w:b/>
          <w:i w:val="0"/>
          <w:color w:val="123B4F"/>
          <w:sz w:val="34"/>
        </w:rPr>
        <w:t>20.  Risk &amp; Mitigations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3312"/>
            <w:shd w:val="clear" w:color="auto" w:fill="123B4F"/>
            <w:tcMar>
              <w:top w:w="60" w:type="dxa"/>
              <w:bottom w:w="60" w:type="dxa"/>
              <w:start w:w="110" w:type="dxa"/>
              <w:end w:w="110" w:type="dxa"/>
            </w:tcMar>
          </w:tcPr>
          <w:p>
            <w:pPr>
              <w:spacing w:after="0"/>
            </w:pPr>
            <w:r>
              <w:rPr>
                <w:rFonts w:ascii="Calibri" w:hAnsi="Calibri"/>
                <w:b/>
                <w:i w:val="0"/>
                <w:color w:val="FFFFFF"/>
                <w:sz w:val="17"/>
              </w:rPr>
              <w:t>Risk</w:t>
            </w:r>
          </w:p>
        </w:tc>
        <w:tc>
          <w:tcPr>
            <w:tcW w:type="dxa" w:w="6192"/>
            <w:shd w:val="clear" w:color="auto" w:fill="123B4F"/>
            <w:tcMar>
              <w:top w:w="60" w:type="dxa"/>
              <w:bottom w:w="60" w:type="dxa"/>
              <w:start w:w="110" w:type="dxa"/>
              <w:end w:w="110" w:type="dxa"/>
            </w:tcMar>
          </w:tcPr>
          <w:p>
            <w:pPr>
              <w:spacing w:after="0"/>
            </w:pPr>
            <w:r>
              <w:rPr>
                <w:rFonts w:ascii="Calibri" w:hAnsi="Calibri"/>
                <w:b/>
                <w:i w:val="0"/>
                <w:color w:val="FFFFFF"/>
                <w:sz w:val="17"/>
              </w:rPr>
              <w:t>Mitigation</w:t>
            </w:r>
          </w:p>
        </w:tc>
      </w:tr>
      <w:tr>
        <w:trPr>
          <w:trHeight w:val="0"/>
        </w:trPr>
        <w:tc>
          <w:tcPr>
            <w:tcW w:type="dxa" w:w="3312"/>
            <w:tcMar>
              <w:top w:w="60" w:type="dxa"/>
              <w:bottom w:w="60" w:type="dxa"/>
              <w:start w:w="110" w:type="dxa"/>
              <w:end w:w="110" w:type="dxa"/>
            </w:tcMar>
          </w:tcPr>
          <w:p>
            <w:pPr>
              <w:spacing w:after="0"/>
              <w:jc w:val="left"/>
            </w:pPr>
            <w:r>
              <w:rPr>
                <w:rFonts w:ascii="Calibri" w:hAnsi="Calibri"/>
                <w:b w:val="0"/>
                <w:i w:val="0"/>
                <w:color w:val="1B2A32"/>
                <w:sz w:val="17"/>
              </w:rPr>
              <w:t>Mishandling a POSH matter</w:t>
            </w:r>
          </w:p>
        </w:tc>
        <w:tc>
          <w:tcPr>
            <w:tcW w:type="dxa" w:w="6192"/>
            <w:tcMar>
              <w:top w:w="60" w:type="dxa"/>
              <w:bottom w:w="60" w:type="dxa"/>
              <w:start w:w="110" w:type="dxa"/>
              <w:end w:w="110" w:type="dxa"/>
            </w:tcMar>
          </w:tcPr>
          <w:p>
            <w:pPr>
              <w:spacing w:after="0"/>
              <w:jc w:val="left"/>
            </w:pPr>
            <w:r>
              <w:rPr>
                <w:rFonts w:ascii="Calibri" w:hAnsi="Calibri"/>
                <w:b w:val="0"/>
                <w:i w:val="0"/>
                <w:color w:val="1B2A32"/>
                <w:sz w:val="17"/>
              </w:rPr>
              <w:t>Sealed mode; trained external members; strict s.10/s.16 compliance; never replace the IC.</w:t>
            </w:r>
          </w:p>
        </w:tc>
      </w:tr>
      <w:tr>
        <w:trPr>
          <w:trHeight w:val="0"/>
        </w:trPr>
        <w:tc>
          <w:tcPr>
            <w:tcW w:type="dxa" w:w="33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Coercing a vulnerable employee</w:t>
            </w:r>
          </w:p>
        </w:tc>
        <w:tc>
          <w:tcPr>
            <w:tcW w:type="dxa" w:w="61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Neutrality; voluntariness; independent-advice opportunity; no settlement of statutory dues.</w:t>
            </w:r>
          </w:p>
        </w:tc>
      </w:tr>
      <w:tr>
        <w:trPr>
          <w:trHeight w:val="0"/>
        </w:trPr>
        <w:tc>
          <w:tcPr>
            <w:tcW w:type="dxa" w:w="3312"/>
            <w:tcMar>
              <w:top w:w="60" w:type="dxa"/>
              <w:bottom w:w="60" w:type="dxa"/>
              <w:start w:w="110" w:type="dxa"/>
              <w:end w:w="110" w:type="dxa"/>
            </w:tcMar>
          </w:tcPr>
          <w:p>
            <w:pPr>
              <w:spacing w:after="0"/>
              <w:jc w:val="left"/>
            </w:pPr>
            <w:r>
              <w:rPr>
                <w:rFonts w:ascii="Calibri" w:hAnsi="Calibri"/>
                <w:b w:val="0"/>
                <w:i w:val="0"/>
                <w:color w:val="1B2A32"/>
                <w:sz w:val="17"/>
              </w:rPr>
              <w:t>Straying into statutory adjudication</w:t>
            </w:r>
          </w:p>
        </w:tc>
        <w:tc>
          <w:tcPr>
            <w:tcW w:type="dxa" w:w="6192"/>
            <w:tcMar>
              <w:top w:w="60" w:type="dxa"/>
              <w:bottom w:w="60" w:type="dxa"/>
              <w:start w:w="110" w:type="dxa"/>
              <w:end w:w="110" w:type="dxa"/>
            </w:tcMar>
          </w:tcPr>
          <w:p>
            <w:pPr>
              <w:spacing w:after="0"/>
              <w:jc w:val="left"/>
            </w:pPr>
            <w:r>
              <w:rPr>
                <w:rFonts w:ascii="Calibri" w:hAnsi="Calibri"/>
                <w:b w:val="0"/>
                <w:i w:val="0"/>
                <w:color w:val="1B2A32"/>
                <w:sz w:val="17"/>
              </w:rPr>
              <w:t>Clear triage; signpost IR Code/police; mediate only where lawful.</w:t>
            </w:r>
          </w:p>
        </w:tc>
      </w:tr>
      <w:tr>
        <w:trPr>
          <w:trHeight w:val="0"/>
        </w:trPr>
        <w:tc>
          <w:tcPr>
            <w:tcW w:type="dxa" w:w="33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Data breach of sensitive HR data</w:t>
            </w:r>
          </w:p>
        </w:tc>
        <w:tc>
          <w:tcPr>
            <w:tcW w:type="dxa" w:w="61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DPDP controls; masking; access walls; breach runbook.</w:t>
            </w:r>
          </w:p>
        </w:tc>
      </w:tr>
      <w:tr>
        <w:trPr>
          <w:trHeight w:val="0"/>
        </w:trPr>
        <w:tc>
          <w:tcPr>
            <w:tcW w:type="dxa" w:w="3312"/>
            <w:tcMar>
              <w:top w:w="60" w:type="dxa"/>
              <w:bottom w:w="60" w:type="dxa"/>
              <w:start w:w="110" w:type="dxa"/>
              <w:end w:w="110" w:type="dxa"/>
            </w:tcMar>
          </w:tcPr>
          <w:p>
            <w:pPr>
              <w:spacing w:after="0"/>
              <w:jc w:val="left"/>
            </w:pPr>
            <w:r>
              <w:rPr>
                <w:rFonts w:ascii="Calibri" w:hAnsi="Calibri"/>
                <w:b w:val="0"/>
                <w:i w:val="0"/>
                <w:color w:val="1B2A32"/>
                <w:sz w:val="17"/>
              </w:rPr>
              <w:t>Enforceability doubts</w:t>
            </w:r>
          </w:p>
        </w:tc>
        <w:tc>
          <w:tcPr>
            <w:tcW w:type="dxa" w:w="6192"/>
            <w:tcMar>
              <w:top w:w="60" w:type="dxa"/>
              <w:bottom w:w="60" w:type="dxa"/>
              <w:start w:w="110" w:type="dxa"/>
              <w:end w:w="110" w:type="dxa"/>
            </w:tcMar>
          </w:tcPr>
          <w:p>
            <w:pPr>
              <w:spacing w:after="0"/>
              <w:jc w:val="left"/>
            </w:pPr>
            <w:r>
              <w:rPr>
                <w:rFonts w:ascii="Calibri" w:hAnsi="Calibri"/>
                <w:b w:val="0"/>
                <w:i w:val="0"/>
                <w:color w:val="1B2A32"/>
                <w:sz w:val="17"/>
              </w:rPr>
              <w:t>MSA s.27; e-Sign/e-Stamp; counsel sign-off.</w:t>
            </w:r>
          </w:p>
        </w:tc>
      </w:tr>
    </w:tbl>
    <w:p>
      <w:pPr>
        <w:spacing w:after="80"/>
      </w:pPr>
    </w:p>
    <w:p>
      <w:pPr>
        <w:keepNext/>
        <w:spacing w:before="320" w:after="140"/>
        <w:pBdr>
          <w:bottom w:val="single" w:sz="12" w:space="3" w:color="C6A15B"/>
        </w:pBdr>
      </w:pPr>
      <w:r>
        <w:rPr>
          <w:rFonts w:ascii="Calibri" w:hAnsi="Calibri"/>
          <w:b/>
          <w:i w:val="0"/>
          <w:color w:val="123B4F"/>
          <w:sz w:val="34"/>
        </w:rPr>
        <w:t>21.  Roadmap</w:t>
      </w:r>
    </w:p>
    <w:p>
      <w:pPr>
        <w:pStyle w:val="ListBullet"/>
        <w:spacing w:after="60"/>
        <w:jc w:val="both"/>
      </w:pPr>
      <w:r>
        <w:rPr>
          <w:rFonts w:ascii="Calibri" w:hAnsi="Calibri"/>
          <w:b/>
          <w:i w:val="0"/>
          <w:color w:val="1B2A32"/>
          <w:sz w:val="21"/>
        </w:rPr>
        <w:t>Phase 1 (M1–3):</w:t>
      </w:r>
      <w:r>
        <w:rPr>
          <w:rFonts w:ascii="Calibri" w:hAnsi="Calibri"/>
          <w:b w:val="0"/>
          <w:i w:val="0"/>
          <w:color w:val="1B2A32"/>
          <w:sz w:val="21"/>
        </w:rPr>
        <w:t xml:space="preserve"> Rules, panel, intake, forms, KYC, case management, F&amp;F calculators.</w:t>
      </w:r>
    </w:p>
    <w:p>
      <w:pPr>
        <w:pStyle w:val="ListBullet"/>
        <w:spacing w:after="60"/>
        <w:jc w:val="both"/>
      </w:pPr>
      <w:r>
        <w:rPr>
          <w:rFonts w:ascii="Calibri" w:hAnsi="Calibri"/>
          <w:b/>
          <w:i w:val="0"/>
          <w:color w:val="1B2A32"/>
          <w:sz w:val="21"/>
        </w:rPr>
        <w:t>Phase 2 (M3–5):</w:t>
      </w:r>
      <w:r>
        <w:rPr>
          <w:rFonts w:ascii="Calibri" w:hAnsi="Calibri"/>
          <w:b w:val="0"/>
          <w:i w:val="0"/>
          <w:color w:val="1B2A32"/>
          <w:sz w:val="21"/>
        </w:rPr>
        <w:t xml:space="preserve"> POSH sealed mode + external-member service + IC training; escrow; e-Sign/e-Stamp; pilot employers.</w:t>
      </w:r>
    </w:p>
    <w:p>
      <w:pPr>
        <w:pStyle w:val="ListBullet"/>
        <w:spacing w:after="60"/>
        <w:jc w:val="both"/>
      </w:pPr>
      <w:r>
        <w:rPr>
          <w:rFonts w:ascii="Calibri" w:hAnsi="Calibri"/>
          <w:b/>
          <w:i w:val="0"/>
          <w:color w:val="1B2A32"/>
          <w:sz w:val="21"/>
        </w:rPr>
        <w:t>Phase 3 (M5–8):</w:t>
      </w:r>
      <w:r>
        <w:rPr>
          <w:rFonts w:ascii="Calibri" w:hAnsi="Calibri"/>
          <w:b w:val="0"/>
          <w:i w:val="0"/>
          <w:color w:val="1B2A32"/>
          <w:sz w:val="21"/>
        </w:rPr>
        <w:t xml:space="preserve"> GRC/IR-Code interface; HRMS integration; employer subscriptions.</w:t>
      </w:r>
    </w:p>
    <w:p>
      <w:pPr>
        <w:pStyle w:val="ListBullet"/>
        <w:spacing w:after="60"/>
        <w:jc w:val="both"/>
      </w:pPr>
      <w:r>
        <w:rPr>
          <w:rFonts w:ascii="Calibri" w:hAnsi="Calibri"/>
          <w:b/>
          <w:i w:val="0"/>
          <w:color w:val="1B2A32"/>
          <w:sz w:val="21"/>
        </w:rPr>
        <w:t>Phase 4 (M8–12):</w:t>
      </w:r>
      <w:r>
        <w:rPr>
          <w:rFonts w:ascii="Calibri" w:hAnsi="Calibri"/>
          <w:b w:val="0"/>
          <w:i w:val="0"/>
          <w:color w:val="1B2A32"/>
          <w:sz w:val="21"/>
        </w:rPr>
        <w:t xml:space="preserve"> Scale; publish anonymised outcome data; multi-language.</w:t>
      </w:r>
    </w:p>
    <w:p>
      <w:pPr>
        <w:spacing w:after="40"/>
      </w:pPr>
    </w:p>
    <w:p>
      <w:pPr>
        <w:keepNext/>
        <w:spacing w:before="320" w:after="140"/>
        <w:pBdr>
          <w:bottom w:val="single" w:sz="12" w:space="3" w:color="C6A15B"/>
        </w:pBdr>
      </w:pPr>
      <w:r>
        <w:rPr>
          <w:rFonts w:ascii="Calibri" w:hAnsi="Calibri"/>
          <w:b/>
          <w:i w:val="0"/>
          <w:color w:val="123B4F"/>
          <w:sz w:val="34"/>
        </w:rPr>
        <w:t>22.  KPIs</w:t>
      </w:r>
    </w:p>
    <w:p>
      <w:pPr>
        <w:pStyle w:val="ListBullet"/>
        <w:spacing w:after="60"/>
        <w:jc w:val="both"/>
      </w:pPr>
      <w:r>
        <w:rPr>
          <w:rFonts w:ascii="Calibri" w:hAnsi="Calibri"/>
          <w:b w:val="0"/>
          <w:i w:val="0"/>
          <w:color w:val="1B2A32"/>
          <w:sz w:val="21"/>
        </w:rPr>
        <w:t>Settlement rate; median time to settle; F&amp;F cycle time.</w:t>
      </w:r>
    </w:p>
    <w:p>
      <w:pPr>
        <w:pStyle w:val="ListBullet"/>
        <w:spacing w:after="60"/>
        <w:jc w:val="both"/>
      </w:pPr>
      <w:r>
        <w:rPr>
          <w:rFonts w:ascii="Calibri" w:hAnsi="Calibri"/>
          <w:b w:val="0"/>
          <w:i w:val="0"/>
          <w:color w:val="1B2A32"/>
          <w:sz w:val="21"/>
        </w:rPr>
        <w:t>POSH: inquiry-within-90-days rate; external-member coverage; IC-training completion.</w:t>
      </w:r>
    </w:p>
    <w:p>
      <w:pPr>
        <w:pStyle w:val="ListBullet"/>
        <w:spacing w:after="60"/>
        <w:jc w:val="both"/>
      </w:pPr>
      <w:r>
        <w:rPr>
          <w:rFonts w:ascii="Calibri" w:hAnsi="Calibri"/>
          <w:b w:val="0"/>
          <w:i w:val="0"/>
          <w:color w:val="1B2A32"/>
          <w:sz w:val="21"/>
        </w:rPr>
        <w:t>Employee-satisfaction and employer-satisfaction scores; repeat-employer rate; escalation/complaint rate.</w:t>
      </w:r>
    </w:p>
    <w:p>
      <w:pPr>
        <w:spacing w:after="40"/>
      </w:pPr>
    </w:p>
    <w:p>
      <w:r>
        <w:br w:type="page"/>
      </w:r>
    </w:p>
    <w:p>
      <w:pPr>
        <w:spacing w:before="600" w:after="40"/>
      </w:pPr>
      <w:r>
        <w:rPr>
          <w:rFonts w:ascii="Calibri" w:hAnsi="Calibri"/>
          <w:b/>
          <w:i w:val="0"/>
          <w:color w:val="C6A15B"/>
          <w:sz w:val="26"/>
        </w:rPr>
        <w:t>PART E</w:t>
      </w:r>
    </w:p>
    <w:p>
      <w:pPr>
        <w:spacing w:after="200"/>
        <w:pBdr>
          <w:bottom w:val="single" w:sz="18" w:space="3" w:color="1E7A8C"/>
        </w:pBdr>
      </w:pPr>
      <w:r>
        <w:rPr>
          <w:rFonts w:ascii="Calibri" w:hAnsi="Calibri"/>
          <w:b/>
          <w:i w:val="0"/>
          <w:color w:val="123B4F"/>
          <w:sz w:val="46"/>
        </w:rPr>
        <w:t>Global Best Practice</w:t>
      </w:r>
    </w:p>
    <w:p>
      <w:pPr>
        <w:keepNext/>
        <w:spacing w:before="320" w:after="140"/>
        <w:pBdr>
          <w:bottom w:val="single" w:sz="12" w:space="3" w:color="C6A15B"/>
        </w:pBdr>
      </w:pPr>
      <w:r>
        <w:rPr>
          <w:rFonts w:ascii="Calibri" w:hAnsi="Calibri"/>
          <w:b/>
          <w:i w:val="0"/>
          <w:color w:val="123B4F"/>
          <w:sz w:val="34"/>
        </w:rPr>
        <w:t>23.  What Leading Systems Do</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448"/>
            <w:shd w:val="clear" w:color="auto" w:fill="123B4F"/>
            <w:tcMar>
              <w:top w:w="60" w:type="dxa"/>
              <w:bottom w:w="60" w:type="dxa"/>
              <w:start w:w="110" w:type="dxa"/>
              <w:end w:w="110" w:type="dxa"/>
            </w:tcMar>
          </w:tcPr>
          <w:p>
            <w:pPr>
              <w:spacing w:after="0"/>
            </w:pPr>
            <w:r>
              <w:rPr>
                <w:rFonts w:ascii="Calibri" w:hAnsi="Calibri"/>
                <w:b/>
                <w:i w:val="0"/>
                <w:color w:val="FFFFFF"/>
                <w:sz w:val="16"/>
              </w:rPr>
              <w:t>System</w:t>
            </w:r>
          </w:p>
        </w:tc>
        <w:tc>
          <w:tcPr>
            <w:tcW w:type="dxa" w:w="3744"/>
            <w:shd w:val="clear" w:color="auto" w:fill="123B4F"/>
            <w:tcMar>
              <w:top w:w="60" w:type="dxa"/>
              <w:bottom w:w="60" w:type="dxa"/>
              <w:start w:w="110" w:type="dxa"/>
              <w:end w:w="110" w:type="dxa"/>
            </w:tcMar>
          </w:tcPr>
          <w:p>
            <w:pPr>
              <w:spacing w:after="0"/>
            </w:pPr>
            <w:r>
              <w:rPr>
                <w:rFonts w:ascii="Calibri" w:hAnsi="Calibri"/>
                <w:b/>
                <w:i w:val="0"/>
                <w:color w:val="FFFFFF"/>
                <w:sz w:val="16"/>
              </w:rPr>
              <w:t>What it does</w:t>
            </w:r>
          </w:p>
        </w:tc>
        <w:tc>
          <w:tcPr>
            <w:tcW w:type="dxa" w:w="3312"/>
            <w:shd w:val="clear" w:color="auto" w:fill="123B4F"/>
            <w:tcMar>
              <w:top w:w="60" w:type="dxa"/>
              <w:bottom w:w="60" w:type="dxa"/>
              <w:start w:w="110" w:type="dxa"/>
              <w:end w:w="110" w:type="dxa"/>
            </w:tcMar>
          </w:tcPr>
          <w:p>
            <w:pPr>
              <w:spacing w:after="0"/>
            </w:pPr>
            <w:r>
              <w:rPr>
                <w:rFonts w:ascii="Calibri" w:hAnsi="Calibri"/>
                <w:b/>
                <w:i w:val="0"/>
                <w:color w:val="FFFFFF"/>
                <w:sz w:val="16"/>
              </w:rPr>
              <w:t>What Equator adopts</w:t>
            </w:r>
          </w:p>
        </w:tc>
      </w:tr>
      <w:tr>
        <w:trPr>
          <w:trHeight w:val="0"/>
        </w:trPr>
        <w:tc>
          <w:tcPr>
            <w:tcW w:type="dxa" w:w="2448"/>
            <w:tcMar>
              <w:top w:w="60" w:type="dxa"/>
              <w:bottom w:w="60" w:type="dxa"/>
              <w:start w:w="110" w:type="dxa"/>
              <w:end w:w="110" w:type="dxa"/>
            </w:tcMar>
          </w:tcPr>
          <w:p>
            <w:pPr>
              <w:spacing w:after="0"/>
              <w:jc w:val="left"/>
            </w:pPr>
            <w:r>
              <w:rPr>
                <w:rFonts w:ascii="Calibri" w:hAnsi="Calibri"/>
                <w:b w:val="0"/>
                <w:i w:val="0"/>
                <w:color w:val="1B2A32"/>
                <w:sz w:val="16"/>
              </w:rPr>
              <w:t>ACAS (UK)</w:t>
            </w:r>
          </w:p>
        </w:tc>
        <w:tc>
          <w:tcPr>
            <w:tcW w:type="dxa" w:w="3744"/>
            <w:tcMar>
              <w:top w:w="60" w:type="dxa"/>
              <w:bottom w:w="60" w:type="dxa"/>
              <w:start w:w="110" w:type="dxa"/>
              <w:end w:w="110" w:type="dxa"/>
            </w:tcMar>
          </w:tcPr>
          <w:p>
            <w:pPr>
              <w:spacing w:after="0"/>
              <w:jc w:val="left"/>
            </w:pPr>
            <w:r>
              <w:rPr>
                <w:rFonts w:ascii="Calibri" w:hAnsi="Calibri"/>
                <w:b w:val="0"/>
                <w:i w:val="0"/>
                <w:color w:val="1B2A32"/>
                <w:sz w:val="16"/>
              </w:rPr>
              <w:t>Free conciliation for employment disputes; ‘early conciliation’ before a tribunal claim.</w:t>
            </w:r>
          </w:p>
        </w:tc>
        <w:tc>
          <w:tcPr>
            <w:tcW w:type="dxa" w:w="3312"/>
            <w:tcMar>
              <w:top w:w="60" w:type="dxa"/>
              <w:bottom w:w="60" w:type="dxa"/>
              <w:start w:w="110" w:type="dxa"/>
              <w:end w:w="110" w:type="dxa"/>
            </w:tcMar>
          </w:tcPr>
          <w:p>
            <w:pPr>
              <w:spacing w:after="0"/>
              <w:jc w:val="left"/>
            </w:pPr>
            <w:r>
              <w:rPr>
                <w:rFonts w:ascii="Calibri" w:hAnsi="Calibri"/>
                <w:b w:val="0"/>
                <w:i w:val="0"/>
                <w:color w:val="1B2A32"/>
                <w:sz w:val="16"/>
              </w:rPr>
              <w:t>Early, low-friction conciliation; a pre-claim settlement culture.</w:t>
            </w:r>
          </w:p>
        </w:tc>
      </w:tr>
      <w:tr>
        <w:trPr>
          <w:trHeight w:val="0"/>
        </w:trPr>
        <w:tc>
          <w:tcPr>
            <w:tcW w:type="dxa" w:w="2448"/>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EEOC / court-annexed mediation (US)</w:t>
            </w:r>
          </w:p>
        </w:tc>
        <w:tc>
          <w:tcPr>
            <w:tcW w:type="dxa" w:w="3744"/>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Voluntary mediation of discrimination/employment charges.</w:t>
            </w:r>
          </w:p>
        </w:tc>
        <w:tc>
          <w:tcPr>
            <w:tcW w:type="dxa" w:w="331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Neutral, confidential mediation as a first resort.</w:t>
            </w:r>
          </w:p>
        </w:tc>
      </w:tr>
      <w:tr>
        <w:trPr>
          <w:trHeight w:val="0"/>
        </w:trPr>
        <w:tc>
          <w:tcPr>
            <w:tcW w:type="dxa" w:w="2448"/>
            <w:tcMar>
              <w:top w:w="60" w:type="dxa"/>
              <w:bottom w:w="60" w:type="dxa"/>
              <w:start w:w="110" w:type="dxa"/>
              <w:end w:w="110" w:type="dxa"/>
            </w:tcMar>
          </w:tcPr>
          <w:p>
            <w:pPr>
              <w:spacing w:after="0"/>
              <w:jc w:val="left"/>
            </w:pPr>
            <w:r>
              <w:rPr>
                <w:rFonts w:ascii="Calibri" w:hAnsi="Calibri"/>
                <w:b w:val="0"/>
                <w:i w:val="0"/>
                <w:color w:val="1B2A32"/>
                <w:sz w:val="16"/>
              </w:rPr>
              <w:t>Fair Work Commission (Australia)</w:t>
            </w:r>
          </w:p>
        </w:tc>
        <w:tc>
          <w:tcPr>
            <w:tcW w:type="dxa" w:w="3744"/>
            <w:tcMar>
              <w:top w:w="60" w:type="dxa"/>
              <w:bottom w:w="60" w:type="dxa"/>
              <w:start w:w="110" w:type="dxa"/>
              <w:end w:w="110" w:type="dxa"/>
            </w:tcMar>
          </w:tcPr>
          <w:p>
            <w:pPr>
              <w:spacing w:after="0"/>
              <w:jc w:val="left"/>
            </w:pPr>
            <w:r>
              <w:rPr>
                <w:rFonts w:ascii="Calibri" w:hAnsi="Calibri"/>
                <w:b w:val="0"/>
                <w:i w:val="0"/>
                <w:color w:val="1B2A32"/>
                <w:sz w:val="16"/>
              </w:rPr>
              <w:t>Conciliation of unfair-dismissal and general-protection claims.</w:t>
            </w:r>
          </w:p>
        </w:tc>
        <w:tc>
          <w:tcPr>
            <w:tcW w:type="dxa" w:w="3312"/>
            <w:tcMar>
              <w:top w:w="60" w:type="dxa"/>
              <w:bottom w:w="60" w:type="dxa"/>
              <w:start w:w="110" w:type="dxa"/>
              <w:end w:w="110" w:type="dxa"/>
            </w:tcMar>
          </w:tcPr>
          <w:p>
            <w:pPr>
              <w:spacing w:after="0"/>
              <w:jc w:val="left"/>
            </w:pPr>
            <w:r>
              <w:rPr>
                <w:rFonts w:ascii="Calibri" w:hAnsi="Calibri"/>
                <w:b w:val="0"/>
                <w:i w:val="0"/>
                <w:color w:val="1B2A32"/>
                <w:sz w:val="16"/>
              </w:rPr>
              <w:t>Structured conciliation with clear timelines.</w:t>
            </w:r>
          </w:p>
        </w:tc>
      </w:tr>
      <w:tr>
        <w:trPr>
          <w:trHeight w:val="0"/>
        </w:trPr>
        <w:tc>
          <w:tcPr>
            <w:tcW w:type="dxa" w:w="2448"/>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Workplace mediation practice</w:t>
            </w:r>
          </w:p>
        </w:tc>
        <w:tc>
          <w:tcPr>
            <w:tcW w:type="dxa" w:w="3744"/>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Interest-based mediation; restorative approaches for conduct.</w:t>
            </w:r>
          </w:p>
        </w:tc>
        <w:tc>
          <w:tcPr>
            <w:tcW w:type="dxa" w:w="331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Interest-based technique; restorative options for non-POSH conduct.</w:t>
            </w:r>
          </w:p>
        </w:tc>
      </w:tr>
    </w:tbl>
    <w:p>
      <w:pPr>
        <w:spacing w:after="80"/>
      </w:pPr>
    </w:p>
    <w:p>
      <w:pPr>
        <w:spacing w:after="140"/>
        <w:jc w:val="both"/>
      </w:pPr>
      <w:r>
        <w:rPr>
          <w:rFonts w:ascii="Calibri" w:hAnsi="Calibri"/>
          <w:b w:val="0"/>
          <w:i w:val="0"/>
          <w:color w:val="1B2A32"/>
          <w:sz w:val="21"/>
        </w:rPr>
        <w:t xml:space="preserve">The through-line: </w:t>
      </w:r>
      <w:r>
        <w:rPr>
          <w:rFonts w:ascii="Calibri" w:hAnsi="Calibri"/>
          <w:b/>
          <w:i w:val="0"/>
          <w:color w:val="1B2A32"/>
          <w:sz w:val="21"/>
        </w:rPr>
        <w:t>conciliate early, confidentially and fairly</w:t>
      </w:r>
      <w:r>
        <w:rPr>
          <w:rFonts w:ascii="Calibri" w:hAnsi="Calibri"/>
          <w:b w:val="0"/>
          <w:i w:val="0"/>
          <w:color w:val="1B2A32"/>
          <w:sz w:val="21"/>
        </w:rPr>
        <w:t>, keep the parties in control of the outcome, and reserve adjudication for what truly needs it — adapted to Indian law and the special POSH regime.</w:t>
      </w:r>
    </w:p>
    <w:p>
      <w:r>
        <w:br w:type="page"/>
      </w:r>
    </w:p>
    <w:p>
      <w:pPr>
        <w:spacing w:before="600" w:after="40"/>
      </w:pPr>
      <w:r>
        <w:rPr>
          <w:rFonts w:ascii="Calibri" w:hAnsi="Calibri"/>
          <w:b/>
          <w:i w:val="0"/>
          <w:color w:val="C6A15B"/>
          <w:sz w:val="26"/>
        </w:rPr>
        <w:t>PART F</w:t>
      </w:r>
    </w:p>
    <w:p>
      <w:pPr>
        <w:spacing w:after="200"/>
        <w:pBdr>
          <w:bottom w:val="single" w:sz="18" w:space="3" w:color="1E7A8C"/>
        </w:pBdr>
      </w:pPr>
      <w:r>
        <w:rPr>
          <w:rFonts w:ascii="Calibri" w:hAnsi="Calibri"/>
          <w:b/>
          <w:i w:val="0"/>
          <w:color w:val="123B4F"/>
          <w:sz w:val="46"/>
        </w:rPr>
        <w:t>Technology — AI, ODR, e-Sign &amp; Integration</w:t>
      </w:r>
    </w:p>
    <w:p>
      <w:pPr>
        <w:keepNext/>
        <w:spacing w:before="320" w:after="140"/>
        <w:pBdr>
          <w:bottom w:val="single" w:sz="12" w:space="3" w:color="C6A15B"/>
        </w:pBdr>
      </w:pPr>
      <w:r>
        <w:rPr>
          <w:rFonts w:ascii="Calibri" w:hAnsi="Calibri"/>
          <w:b/>
          <w:i w:val="0"/>
          <w:color w:val="123B4F"/>
          <w:sz w:val="34"/>
        </w:rPr>
        <w:t>24.  AI Dispute Explorer (Workplace)</w:t>
      </w:r>
    </w:p>
    <w:p>
      <w:pPr>
        <w:spacing w:before="80" w:after="40"/>
        <w:jc w:val="center"/>
      </w:pPr>
      <w:r>
        <w:drawing>
          <wp:inline xmlns:a="http://schemas.openxmlformats.org/drawingml/2006/main" xmlns:pic="http://schemas.openxmlformats.org/drawingml/2006/picture">
            <wp:extent cx="5303520" cy="5235150"/>
            <wp:docPr id="4" name="Picture 4"/>
            <wp:cNvGraphicFramePr>
              <a:graphicFrameLocks noChangeAspect="1"/>
            </wp:cNvGraphicFramePr>
            <a:graphic>
              <a:graphicData uri="http://schemas.openxmlformats.org/drawingml/2006/picture">
                <pic:pic>
                  <pic:nvPicPr>
                    <pic:cNvPr id="0" name="wp08_ai_explorer.png"/>
                    <pic:cNvPicPr/>
                  </pic:nvPicPr>
                  <pic:blipFill>
                    <a:blip r:embed="rId12"/>
                    <a:stretch>
                      <a:fillRect/>
                    </a:stretch>
                  </pic:blipFill>
                  <pic:spPr>
                    <a:xfrm>
                      <a:off x="0" y="0"/>
                      <a:ext cx="5303520" cy="5235150"/>
                    </a:xfrm>
                    <a:prstGeom prst="rect"/>
                  </pic:spPr>
                </pic:pic>
              </a:graphicData>
            </a:graphic>
          </wp:inline>
        </w:drawing>
      </w:r>
    </w:p>
    <w:p>
      <w:pPr>
        <w:spacing w:before="20" w:after="200"/>
        <w:jc w:val="center"/>
      </w:pPr>
      <w:r>
        <w:rPr>
          <w:rFonts w:ascii="Calibri" w:hAnsi="Calibri"/>
          <w:b w:val="0"/>
          <w:i/>
          <w:color w:val="556168"/>
          <w:sz w:val="17"/>
        </w:rPr>
        <w:t>Figure 4 — the AI Dispute Explorer's workplace logic and guardrails.</w:t>
      </w:r>
    </w:p>
    <w:p>
      <w:pPr>
        <w:spacing w:after="140"/>
        <w:jc w:val="both"/>
      </w:pPr>
      <w:r>
        <w:rPr>
          <w:rFonts w:ascii="Calibri" w:hAnsi="Calibri"/>
          <w:b w:val="0"/>
          <w:i w:val="0"/>
          <w:color w:val="1B2A32"/>
          <w:sz w:val="21"/>
        </w:rPr>
        <w:t xml:space="preserve">The AI Dispute Explorer helps employees and employers understand the </w:t>
      </w:r>
      <w:r>
        <w:rPr>
          <w:rFonts w:ascii="Calibri" w:hAnsi="Calibri"/>
          <w:b/>
          <w:i w:val="0"/>
          <w:color w:val="1B2A32"/>
          <w:sz w:val="21"/>
        </w:rPr>
        <w:t>route</w:t>
      </w:r>
      <w:r>
        <w:rPr>
          <w:rFonts w:ascii="Calibri" w:hAnsi="Calibri"/>
          <w:b w:val="0"/>
          <w:i w:val="0"/>
          <w:color w:val="1B2A32"/>
          <w:sz w:val="21"/>
        </w:rPr>
        <w:t xml:space="preserve"> (IC / mediation / GRC / police), their </w:t>
      </w:r>
      <w:r>
        <w:rPr>
          <w:rFonts w:ascii="Calibri" w:hAnsi="Calibri"/>
          <w:b/>
          <w:i w:val="0"/>
          <w:color w:val="1B2A32"/>
          <w:sz w:val="21"/>
        </w:rPr>
        <w:t>rights and remedies</w:t>
      </w:r>
      <w:r>
        <w:rPr>
          <w:rFonts w:ascii="Calibri" w:hAnsi="Calibri"/>
          <w:b w:val="0"/>
          <w:i w:val="0"/>
          <w:color w:val="1B2A32"/>
          <w:sz w:val="21"/>
        </w:rPr>
        <w:t xml:space="preserve"> (POSH, the Labour Codes, the Mediation Act), and </w:t>
      </w:r>
      <w:r>
        <w:rPr>
          <w:rFonts w:ascii="Calibri" w:hAnsi="Calibri"/>
          <w:b/>
          <w:i w:val="0"/>
          <w:color w:val="1B2A32"/>
          <w:sz w:val="21"/>
        </w:rPr>
        <w:t>drafts</w:t>
      </w:r>
      <w:r>
        <w:rPr>
          <w:rFonts w:ascii="Calibri" w:hAnsi="Calibri"/>
          <w:b w:val="0"/>
          <w:i w:val="0"/>
          <w:color w:val="1B2A32"/>
          <w:sz w:val="21"/>
        </w:rPr>
        <w:t xml:space="preserve"> a first grievance, POSH complaint or request for resolution for human review. It never gives legal advice, never decides, and on any safety/criminal signal it surfaces the police and safety options.</w:t>
      </w:r>
    </w:p>
    <w:p>
      <w:pPr>
        <w:keepNext/>
        <w:spacing w:before="320" w:after="140"/>
        <w:pBdr>
          <w:bottom w:val="single" w:sz="12" w:space="3" w:color="C6A15B"/>
        </w:pBdr>
      </w:pPr>
      <w:r>
        <w:rPr>
          <w:rFonts w:ascii="Calibri" w:hAnsi="Calibri"/>
          <w:b/>
          <w:i w:val="0"/>
          <w:color w:val="123B4F"/>
          <w:sz w:val="34"/>
        </w:rPr>
        <w:t>25.  ODR, e-Sign &amp; e-Stamp</w:t>
      </w:r>
    </w:p>
    <w:p>
      <w:pPr>
        <w:spacing w:after="140"/>
        <w:jc w:val="both"/>
      </w:pPr>
      <w:r>
        <w:rPr>
          <w:rFonts w:ascii="Calibri" w:hAnsi="Calibri"/>
          <w:b w:val="0"/>
          <w:i w:val="0"/>
          <w:color w:val="1B2A32"/>
          <w:sz w:val="21"/>
        </w:rPr>
        <w:t xml:space="preserve">The platform runs online: video sessions with private caucus; </w:t>
      </w:r>
      <w:r>
        <w:rPr>
          <w:rFonts w:ascii="Calibri" w:hAnsi="Calibri"/>
          <w:b/>
          <w:i w:val="0"/>
          <w:color w:val="1B2A32"/>
          <w:sz w:val="21"/>
        </w:rPr>
        <w:t>Aadhaar e-Sign</w:t>
      </w:r>
      <w:r>
        <w:rPr>
          <w:rFonts w:ascii="Calibri" w:hAnsi="Calibri"/>
          <w:b w:val="0"/>
          <w:i w:val="0"/>
          <w:color w:val="1B2A32"/>
          <w:sz w:val="21"/>
        </w:rPr>
        <w:t xml:space="preserve"> (IT Act s.3A) for filings and settlements; </w:t>
      </w:r>
      <w:r>
        <w:rPr>
          <w:rFonts w:ascii="Calibri" w:hAnsi="Calibri"/>
          <w:b/>
          <w:i w:val="0"/>
          <w:color w:val="1B2A32"/>
          <w:sz w:val="21"/>
        </w:rPr>
        <w:t>SHCIL e-stamp</w:t>
      </w:r>
      <w:r>
        <w:rPr>
          <w:rFonts w:ascii="Calibri" w:hAnsi="Calibri"/>
          <w:b w:val="0"/>
          <w:i w:val="0"/>
          <w:color w:val="1B2A32"/>
          <w:sz w:val="21"/>
        </w:rPr>
        <w:t xml:space="preserve"> on the settlement; and escrow for money. A mediated settlement is enforceable as a decree.</w:t>
      </w:r>
    </w:p>
    <w:p>
      <w:pPr>
        <w:keepNext/>
        <w:spacing w:before="320" w:after="140"/>
        <w:pBdr>
          <w:bottom w:val="single" w:sz="12" w:space="3" w:color="C6A15B"/>
        </w:pBdr>
      </w:pPr>
      <w:r>
        <w:rPr>
          <w:rFonts w:ascii="Calibri" w:hAnsi="Calibri"/>
          <w:b/>
          <w:i w:val="0"/>
          <w:color w:val="123B4F"/>
          <w:sz w:val="34"/>
        </w:rPr>
        <w:t>26.  Integration</w:t>
      </w:r>
    </w:p>
    <w:p>
      <w:pPr>
        <w:pStyle w:val="ListBullet"/>
        <w:spacing w:after="60"/>
        <w:jc w:val="both"/>
      </w:pPr>
      <w:r>
        <w:rPr>
          <w:rFonts w:ascii="Calibri" w:hAnsi="Calibri"/>
          <w:b/>
          <w:i w:val="0"/>
          <w:color w:val="1B2A32"/>
          <w:sz w:val="21"/>
        </w:rPr>
        <w:t>HRMS/payroll</w:t>
      </w:r>
      <w:r>
        <w:rPr>
          <w:rFonts w:ascii="Calibri" w:hAnsi="Calibri"/>
          <w:b w:val="0"/>
          <w:i w:val="0"/>
          <w:color w:val="1B2A32"/>
          <w:sz w:val="21"/>
        </w:rPr>
        <w:t xml:space="preserve"> — pull employment data and F&amp;F components (with consent) for faster, accurate settlements.</w:t>
      </w:r>
    </w:p>
    <w:p>
      <w:pPr>
        <w:pStyle w:val="ListBullet"/>
        <w:spacing w:after="60"/>
        <w:jc w:val="both"/>
      </w:pPr>
      <w:r>
        <w:rPr>
          <w:rFonts w:ascii="Calibri" w:hAnsi="Calibri"/>
          <w:b/>
          <w:i w:val="0"/>
          <w:color w:val="1B2A32"/>
          <w:sz w:val="21"/>
        </w:rPr>
        <w:t>IC case management</w:t>
      </w:r>
      <w:r>
        <w:rPr>
          <w:rFonts w:ascii="Calibri" w:hAnsi="Calibri"/>
          <w:b w:val="0"/>
          <w:i w:val="0"/>
          <w:color w:val="1B2A32"/>
          <w:sz w:val="21"/>
        </w:rPr>
        <w:t xml:space="preserve"> — a sealed module for POSH inquiries, the 90-day clock and the annual report.</w:t>
      </w:r>
    </w:p>
    <w:p>
      <w:pPr>
        <w:pStyle w:val="ListBullet"/>
        <w:spacing w:after="60"/>
        <w:jc w:val="both"/>
      </w:pPr>
      <w:r>
        <w:rPr>
          <w:rFonts w:ascii="Calibri" w:hAnsi="Calibri"/>
          <w:b/>
          <w:i w:val="0"/>
          <w:color w:val="1B2A32"/>
          <w:sz w:val="21"/>
        </w:rPr>
        <w:t>Statutory interfaces</w:t>
      </w:r>
      <w:r>
        <w:rPr>
          <w:rFonts w:ascii="Calibri" w:hAnsi="Calibri"/>
          <w:b w:val="0"/>
          <w:i w:val="0"/>
          <w:color w:val="1B2A32"/>
          <w:sz w:val="21"/>
        </w:rPr>
        <w:t xml:space="preserve"> — signposting and handoff to the GRC, conciliation officer and Tribunal where required.</w:t>
      </w:r>
    </w:p>
    <w:p>
      <w:pPr>
        <w:spacing w:after="40"/>
      </w:pPr>
    </w:p>
    <w:p>
      <w:pPr>
        <w:keepNext/>
        <w:spacing w:before="320" w:after="140"/>
        <w:pBdr>
          <w:bottom w:val="single" w:sz="12" w:space="3" w:color="C6A15B"/>
        </w:pBdr>
      </w:pPr>
      <w:r>
        <w:rPr>
          <w:rFonts w:ascii="Calibri" w:hAnsi="Calibri"/>
          <w:b/>
          <w:i w:val="0"/>
          <w:color w:val="123B4F"/>
          <w:sz w:val="34"/>
        </w:rPr>
        <w:t>27.  AI Governance &amp; Guardrails</w:t>
      </w:r>
    </w:p>
    <w:p>
      <w:pPr>
        <w:pStyle w:val="ListBullet"/>
        <w:spacing w:after="60"/>
        <w:jc w:val="both"/>
      </w:pPr>
      <w:r>
        <w:rPr>
          <w:rFonts w:ascii="Calibri" w:hAnsi="Calibri"/>
          <w:b w:val="0"/>
          <w:i w:val="0"/>
          <w:color w:val="1B2A32"/>
          <w:sz w:val="21"/>
        </w:rPr>
        <w:t>No legal advice; always a not-advice disclaimer; human review of every AI draft.</w:t>
      </w:r>
    </w:p>
    <w:p>
      <w:pPr>
        <w:pStyle w:val="ListBullet"/>
        <w:spacing w:after="60"/>
        <w:jc w:val="both"/>
      </w:pPr>
      <w:r>
        <w:rPr>
          <w:rFonts w:ascii="Calibri" w:hAnsi="Calibri"/>
          <w:b/>
          <w:i w:val="0"/>
          <w:color w:val="1B2A32"/>
          <w:sz w:val="21"/>
        </w:rPr>
        <w:t>POSH safety first</w:t>
      </w:r>
      <w:r>
        <w:rPr>
          <w:rFonts w:ascii="Calibri" w:hAnsi="Calibri"/>
          <w:b w:val="0"/>
          <w:i w:val="0"/>
          <w:color w:val="1B2A32"/>
          <w:sz w:val="21"/>
        </w:rPr>
        <w:t xml:space="preserve"> — never discourage a complaint, never suggest a monetary POSH settlement, always surface support and police-if-danger.</w:t>
      </w:r>
    </w:p>
    <w:p>
      <w:pPr>
        <w:pStyle w:val="ListBullet"/>
        <w:spacing w:after="60"/>
        <w:jc w:val="both"/>
      </w:pPr>
      <w:r>
        <w:rPr>
          <w:rFonts w:ascii="Calibri" w:hAnsi="Calibri"/>
          <w:b w:val="0"/>
          <w:i w:val="0"/>
          <w:color w:val="1B2A32"/>
          <w:sz w:val="21"/>
        </w:rPr>
        <w:t>No coercion; data minimisation; sensitive-data care; logging and red-teaming; disclosure that it is an AI assistant.</w:t>
      </w:r>
    </w:p>
    <w:p>
      <w:pPr>
        <w:spacing w:after="40"/>
      </w:pPr>
    </w:p>
    <w:p>
      <w:r>
        <w:br w:type="page"/>
      </w:r>
    </w:p>
    <w:p>
      <w:pPr>
        <w:spacing w:before="600" w:after="40"/>
      </w:pPr>
      <w:r>
        <w:rPr>
          <w:rFonts w:ascii="Calibri" w:hAnsi="Calibri"/>
          <w:b/>
          <w:i w:val="0"/>
          <w:color w:val="C6A15B"/>
          <w:sz w:val="26"/>
        </w:rPr>
        <w:t>PART G</w:t>
      </w:r>
    </w:p>
    <w:p>
      <w:pPr>
        <w:spacing w:after="200"/>
        <w:pBdr>
          <w:bottom w:val="single" w:sz="18" w:space="3" w:color="1E7A8C"/>
        </w:pBdr>
      </w:pPr>
      <w:r>
        <w:rPr>
          <w:rFonts w:ascii="Calibri" w:hAnsi="Calibri"/>
          <w:b/>
          <w:i w:val="0"/>
          <w:color w:val="123B4F"/>
          <w:sz w:val="46"/>
        </w:rPr>
        <w:t>Annexures</w:t>
      </w:r>
    </w:p>
    <w:p>
      <w:pPr>
        <w:keepNext/>
        <w:spacing w:before="320" w:after="140"/>
        <w:pBdr>
          <w:bottom w:val="single" w:sz="12" w:space="3" w:color="C6A15B"/>
        </w:pBdr>
      </w:pPr>
      <w:r>
        <w:rPr>
          <w:rFonts w:ascii="Calibri" w:hAnsi="Calibri"/>
          <w:b/>
          <w:i w:val="0"/>
          <w:color w:val="123B4F"/>
          <w:sz w:val="34"/>
        </w:rPr>
        <w:t>28.  Annexure A — Authorities (law as at July 2026)</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3024"/>
            <w:shd w:val="clear" w:color="auto" w:fill="123B4F"/>
            <w:tcMar>
              <w:top w:w="60" w:type="dxa"/>
              <w:bottom w:w="60" w:type="dxa"/>
              <w:start w:w="110" w:type="dxa"/>
              <w:end w:w="110" w:type="dxa"/>
            </w:tcMar>
          </w:tcPr>
          <w:p>
            <w:pPr>
              <w:spacing w:after="0"/>
            </w:pPr>
            <w:r>
              <w:rPr>
                <w:rFonts w:ascii="Calibri" w:hAnsi="Calibri"/>
                <w:b/>
                <w:i w:val="0"/>
                <w:color w:val="FFFFFF"/>
                <w:sz w:val="16"/>
              </w:rPr>
              <w:t>Instrument</w:t>
            </w:r>
          </w:p>
        </w:tc>
        <w:tc>
          <w:tcPr>
            <w:tcW w:type="dxa" w:w="6480"/>
            <w:shd w:val="clear" w:color="auto" w:fill="123B4F"/>
            <w:tcMar>
              <w:top w:w="60" w:type="dxa"/>
              <w:bottom w:w="60" w:type="dxa"/>
              <w:start w:w="110" w:type="dxa"/>
              <w:end w:w="110" w:type="dxa"/>
            </w:tcMar>
          </w:tcPr>
          <w:p>
            <w:pPr>
              <w:spacing w:after="0"/>
            </w:pPr>
            <w:r>
              <w:rPr>
                <w:rFonts w:ascii="Calibri" w:hAnsi="Calibri"/>
                <w:b/>
                <w:i w:val="0"/>
                <w:color w:val="FFFFFF"/>
                <w:sz w:val="16"/>
              </w:rPr>
              <w:t>Relevance</w:t>
            </w:r>
          </w:p>
        </w:tc>
      </w:tr>
      <w:tr>
        <w:trPr>
          <w:trHeight w:val="0"/>
        </w:trPr>
        <w:tc>
          <w:tcPr>
            <w:tcW w:type="dxa" w:w="3024"/>
            <w:tcMar>
              <w:top w:w="60" w:type="dxa"/>
              <w:bottom w:w="60" w:type="dxa"/>
              <w:start w:w="110" w:type="dxa"/>
              <w:end w:w="110" w:type="dxa"/>
            </w:tcMar>
          </w:tcPr>
          <w:p>
            <w:pPr>
              <w:spacing w:after="0"/>
              <w:jc w:val="left"/>
            </w:pPr>
            <w:r>
              <w:rPr>
                <w:rFonts w:ascii="Calibri" w:hAnsi="Calibri"/>
                <w:b w:val="0"/>
                <w:i w:val="0"/>
                <w:color w:val="1B2A32"/>
                <w:sz w:val="16"/>
              </w:rPr>
              <w:t>POSH Act, 2013 + Rules</w:t>
            </w:r>
          </w:p>
        </w:tc>
        <w:tc>
          <w:tcPr>
            <w:tcW w:type="dxa" w:w="6480"/>
            <w:tcMar>
              <w:top w:w="60" w:type="dxa"/>
              <w:bottom w:w="60" w:type="dxa"/>
              <w:start w:w="110" w:type="dxa"/>
              <w:end w:w="110" w:type="dxa"/>
            </w:tcMar>
          </w:tcPr>
          <w:p>
            <w:pPr>
              <w:spacing w:after="0"/>
              <w:jc w:val="left"/>
            </w:pPr>
            <w:r>
              <w:rPr>
                <w:rFonts w:ascii="Calibri" w:hAnsi="Calibri"/>
                <w:b w:val="0"/>
                <w:i w:val="0"/>
                <w:color w:val="1B2A32"/>
                <w:sz w:val="16"/>
              </w:rPr>
              <w:t>IC, external member, s.10 conciliation (no money basis), 90-day inquiry, s.16 confidentiality, employer duties.</w:t>
            </w:r>
          </w:p>
        </w:tc>
      </w:tr>
      <w:tr>
        <w:trPr>
          <w:trHeight w:val="0"/>
        </w:trPr>
        <w:tc>
          <w:tcPr>
            <w:tcW w:type="dxa" w:w="3024"/>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Mediation Act, 2023</w:t>
            </w:r>
          </w:p>
        </w:tc>
        <w:tc>
          <w:tcPr>
            <w:tcW w:type="dxa" w:w="648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MSA enforceable as a decree (s.27); registration (s.20); confidentiality (s.22).</w:t>
            </w:r>
          </w:p>
        </w:tc>
      </w:tr>
      <w:tr>
        <w:trPr>
          <w:trHeight w:val="0"/>
        </w:trPr>
        <w:tc>
          <w:tcPr>
            <w:tcW w:type="dxa" w:w="3024"/>
            <w:tcMar>
              <w:top w:w="60" w:type="dxa"/>
              <w:bottom w:w="60" w:type="dxa"/>
              <w:start w:w="110" w:type="dxa"/>
              <w:end w:w="110" w:type="dxa"/>
            </w:tcMar>
          </w:tcPr>
          <w:p>
            <w:pPr>
              <w:spacing w:after="0"/>
              <w:jc w:val="left"/>
            </w:pPr>
            <w:r>
              <w:rPr>
                <w:rFonts w:ascii="Calibri" w:hAnsi="Calibri"/>
                <w:b w:val="0"/>
                <w:i w:val="0"/>
                <w:color w:val="1B2A32"/>
                <w:sz w:val="16"/>
              </w:rPr>
              <w:t>Code on Wages, 2019</w:t>
            </w:r>
          </w:p>
        </w:tc>
        <w:tc>
          <w:tcPr>
            <w:tcW w:type="dxa" w:w="6480"/>
            <w:tcMar>
              <w:top w:w="60" w:type="dxa"/>
              <w:bottom w:w="60" w:type="dxa"/>
              <w:start w:w="110" w:type="dxa"/>
              <w:end w:w="110" w:type="dxa"/>
            </w:tcMar>
          </w:tcPr>
          <w:p>
            <w:pPr>
              <w:spacing w:after="0"/>
              <w:jc w:val="left"/>
            </w:pPr>
            <w:r>
              <w:rPr>
                <w:rFonts w:ascii="Calibri" w:hAnsi="Calibri"/>
                <w:b w:val="0"/>
                <w:i w:val="0"/>
                <w:color w:val="1B2A32"/>
                <w:sz w:val="16"/>
              </w:rPr>
              <w:t>Wages/bonus/equal pay; ‘wages’ ≥50% of CTC (in force 21 Nov 2025).</w:t>
            </w:r>
          </w:p>
        </w:tc>
      </w:tr>
      <w:tr>
        <w:trPr>
          <w:trHeight w:val="0"/>
        </w:trPr>
        <w:tc>
          <w:tcPr>
            <w:tcW w:type="dxa" w:w="3024"/>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Industrial Relations Code, 2020</w:t>
            </w:r>
          </w:p>
        </w:tc>
        <w:tc>
          <w:tcPr>
            <w:tcW w:type="dxa" w:w="648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Grievance Redressal Committee; conciliation; Tribunal; standing orders; retrenchment (in force).</w:t>
            </w:r>
          </w:p>
        </w:tc>
      </w:tr>
      <w:tr>
        <w:trPr>
          <w:trHeight w:val="0"/>
        </w:trPr>
        <w:tc>
          <w:tcPr>
            <w:tcW w:type="dxa" w:w="3024"/>
            <w:tcMar>
              <w:top w:w="60" w:type="dxa"/>
              <w:bottom w:w="60" w:type="dxa"/>
              <w:start w:w="110" w:type="dxa"/>
              <w:end w:w="110" w:type="dxa"/>
            </w:tcMar>
          </w:tcPr>
          <w:p>
            <w:pPr>
              <w:spacing w:after="0"/>
              <w:jc w:val="left"/>
            </w:pPr>
            <w:r>
              <w:rPr>
                <w:rFonts w:ascii="Calibri" w:hAnsi="Calibri"/>
                <w:b w:val="0"/>
                <w:i w:val="0"/>
                <w:color w:val="1B2A32"/>
                <w:sz w:val="16"/>
              </w:rPr>
              <w:t>Code on Social Security, 2020</w:t>
            </w:r>
          </w:p>
        </w:tc>
        <w:tc>
          <w:tcPr>
            <w:tcW w:type="dxa" w:w="6480"/>
            <w:tcMar>
              <w:top w:w="60" w:type="dxa"/>
              <w:bottom w:w="60" w:type="dxa"/>
              <w:start w:w="110" w:type="dxa"/>
              <w:end w:w="110" w:type="dxa"/>
            </w:tcMar>
          </w:tcPr>
          <w:p>
            <w:pPr>
              <w:spacing w:after="0"/>
              <w:jc w:val="left"/>
            </w:pPr>
            <w:r>
              <w:rPr>
                <w:rFonts w:ascii="Calibri" w:hAnsi="Calibri"/>
                <w:b w:val="0"/>
                <w:i w:val="0"/>
                <w:color w:val="1B2A32"/>
                <w:sz w:val="16"/>
              </w:rPr>
              <w:t>Gratuity, PF, ESI, maternity benefit (in force).</w:t>
            </w:r>
          </w:p>
        </w:tc>
      </w:tr>
      <w:tr>
        <w:trPr>
          <w:trHeight w:val="0"/>
        </w:trPr>
        <w:tc>
          <w:tcPr>
            <w:tcW w:type="dxa" w:w="3024"/>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OSH &amp; Working Conditions Code, 2020</w:t>
            </w:r>
          </w:p>
        </w:tc>
        <w:tc>
          <w:tcPr>
            <w:tcW w:type="dxa" w:w="648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Working conditions, contract labour, welfare (in force).</w:t>
            </w:r>
          </w:p>
        </w:tc>
      </w:tr>
      <w:tr>
        <w:trPr>
          <w:trHeight w:val="0"/>
        </w:trPr>
        <w:tc>
          <w:tcPr>
            <w:tcW w:type="dxa" w:w="3024"/>
            <w:tcMar>
              <w:top w:w="60" w:type="dxa"/>
              <w:bottom w:w="60" w:type="dxa"/>
              <w:start w:w="110" w:type="dxa"/>
              <w:end w:w="110" w:type="dxa"/>
            </w:tcMar>
          </w:tcPr>
          <w:p>
            <w:pPr>
              <w:spacing w:after="0"/>
              <w:jc w:val="left"/>
            </w:pPr>
            <w:r>
              <w:rPr>
                <w:rFonts w:ascii="Calibri" w:hAnsi="Calibri"/>
                <w:b w:val="0"/>
                <w:i w:val="0"/>
                <w:color w:val="1B2A32"/>
                <w:sz w:val="16"/>
              </w:rPr>
              <w:t>Indian Contract Act, 1872, s.27</w:t>
            </w:r>
          </w:p>
        </w:tc>
        <w:tc>
          <w:tcPr>
            <w:tcW w:type="dxa" w:w="6480"/>
            <w:tcMar>
              <w:top w:w="60" w:type="dxa"/>
              <w:bottom w:w="60" w:type="dxa"/>
              <w:start w:w="110" w:type="dxa"/>
              <w:end w:w="110" w:type="dxa"/>
            </w:tcMar>
          </w:tcPr>
          <w:p>
            <w:pPr>
              <w:spacing w:after="0"/>
              <w:jc w:val="left"/>
            </w:pPr>
            <w:r>
              <w:rPr>
                <w:rFonts w:ascii="Calibri" w:hAnsi="Calibri"/>
                <w:b w:val="0"/>
                <w:i w:val="0"/>
                <w:color w:val="1B2A32"/>
                <w:sz w:val="16"/>
              </w:rPr>
              <w:t>Restraint of trade — post-employment non-competes generally void.</w:t>
            </w:r>
          </w:p>
        </w:tc>
      </w:tr>
    </w:tbl>
    <w:p>
      <w:pPr>
        <w:spacing w:after="80"/>
      </w:pPr>
    </w:p>
    <w:p>
      <w:pPr>
        <w:keepNext/>
        <w:spacing w:before="320" w:after="140"/>
        <w:pBdr>
          <w:bottom w:val="single" w:sz="12" w:space="3" w:color="C6A15B"/>
        </w:pBdr>
      </w:pPr>
      <w:r>
        <w:rPr>
          <w:rFonts w:ascii="Calibri" w:hAnsi="Calibri"/>
          <w:b/>
          <w:i w:val="0"/>
          <w:color w:val="123B4F"/>
          <w:sz w:val="34"/>
        </w:rPr>
        <w:t>29.  Annexure B — Glossary</w:t>
      </w:r>
    </w:p>
    <w:p>
      <w:pPr>
        <w:spacing w:after="140"/>
        <w:jc w:val="both"/>
      </w:pPr>
      <w:r>
        <w:rPr>
          <w:rFonts w:ascii="Calibri" w:hAnsi="Calibri"/>
          <w:b/>
          <w:i w:val="0"/>
          <w:color w:val="1B2A32"/>
          <w:sz w:val="21"/>
        </w:rPr>
        <w:t>IC</w:t>
      </w:r>
      <w:r>
        <w:rPr>
          <w:rFonts w:ascii="Calibri" w:hAnsi="Calibri"/>
          <w:b w:val="0"/>
          <w:i w:val="0"/>
          <w:color w:val="1B2A32"/>
          <w:sz w:val="21"/>
        </w:rPr>
        <w:t xml:space="preserve"> Internal Committee (POSH) · </w:t>
      </w:r>
      <w:r>
        <w:rPr>
          <w:rFonts w:ascii="Calibri" w:hAnsi="Calibri"/>
          <w:b/>
          <w:i w:val="0"/>
          <w:color w:val="1B2A32"/>
          <w:sz w:val="21"/>
        </w:rPr>
        <w:t>LC</w:t>
      </w:r>
      <w:r>
        <w:rPr>
          <w:rFonts w:ascii="Calibri" w:hAnsi="Calibri"/>
          <w:b w:val="0"/>
          <w:i w:val="0"/>
          <w:color w:val="1B2A32"/>
          <w:sz w:val="21"/>
        </w:rPr>
        <w:t xml:space="preserve"> Local Committee · </w:t>
      </w:r>
      <w:r>
        <w:rPr>
          <w:rFonts w:ascii="Calibri" w:hAnsi="Calibri"/>
          <w:b/>
          <w:i w:val="0"/>
          <w:color w:val="1B2A32"/>
          <w:sz w:val="21"/>
        </w:rPr>
        <w:t>GRC</w:t>
      </w:r>
      <w:r>
        <w:rPr>
          <w:rFonts w:ascii="Calibri" w:hAnsi="Calibri"/>
          <w:b w:val="0"/>
          <w:i w:val="0"/>
          <w:color w:val="1B2A32"/>
          <w:sz w:val="21"/>
        </w:rPr>
        <w:t xml:space="preserve"> Grievance Redressal Committee (IR Code) · </w:t>
      </w:r>
      <w:r>
        <w:rPr>
          <w:rFonts w:ascii="Calibri" w:hAnsi="Calibri"/>
          <w:b/>
          <w:i w:val="0"/>
          <w:color w:val="1B2A32"/>
          <w:sz w:val="21"/>
        </w:rPr>
        <w:t>F&amp;F</w:t>
      </w:r>
      <w:r>
        <w:rPr>
          <w:rFonts w:ascii="Calibri" w:hAnsi="Calibri"/>
          <w:b w:val="0"/>
          <w:i w:val="0"/>
          <w:color w:val="1B2A32"/>
          <w:sz w:val="21"/>
        </w:rPr>
        <w:t xml:space="preserve"> full-and-final settlement · </w:t>
      </w:r>
      <w:r>
        <w:rPr>
          <w:rFonts w:ascii="Calibri" w:hAnsi="Calibri"/>
          <w:b/>
          <w:i w:val="0"/>
          <w:color w:val="1B2A32"/>
          <w:sz w:val="21"/>
        </w:rPr>
        <w:t>MSA</w:t>
      </w:r>
      <w:r>
        <w:rPr>
          <w:rFonts w:ascii="Calibri" w:hAnsi="Calibri"/>
          <w:b w:val="0"/>
          <w:i w:val="0"/>
          <w:color w:val="1B2A32"/>
          <w:sz w:val="21"/>
        </w:rPr>
        <w:t xml:space="preserve"> mediated settlement agreement · </w:t>
      </w:r>
      <w:r>
        <w:rPr>
          <w:rFonts w:ascii="Calibri" w:hAnsi="Calibri"/>
          <w:b/>
          <w:i w:val="0"/>
          <w:color w:val="1B2A32"/>
          <w:sz w:val="21"/>
        </w:rPr>
        <w:t>POSH</w:t>
      </w:r>
      <w:r>
        <w:rPr>
          <w:rFonts w:ascii="Calibri" w:hAnsi="Calibri"/>
          <w:b w:val="0"/>
          <w:i w:val="0"/>
          <w:color w:val="1B2A32"/>
          <w:sz w:val="21"/>
        </w:rPr>
        <w:t xml:space="preserve"> Prevention of Sexual Harassment · </w:t>
      </w:r>
      <w:r>
        <w:rPr>
          <w:rFonts w:ascii="Calibri" w:hAnsi="Calibri"/>
          <w:b/>
          <w:i w:val="0"/>
          <w:color w:val="1B2A32"/>
          <w:sz w:val="21"/>
        </w:rPr>
        <w:t>CTC</w:t>
      </w:r>
      <w:r>
        <w:rPr>
          <w:rFonts w:ascii="Calibri" w:hAnsi="Calibri"/>
          <w:b w:val="0"/>
          <w:i w:val="0"/>
          <w:color w:val="1B2A32"/>
          <w:sz w:val="21"/>
        </w:rPr>
        <w:t xml:space="preserve"> cost to company · </w:t>
      </w:r>
      <w:r>
        <w:rPr>
          <w:rFonts w:ascii="Calibri" w:hAnsi="Calibri"/>
          <w:b/>
          <w:i w:val="0"/>
          <w:color w:val="1B2A32"/>
          <w:sz w:val="21"/>
        </w:rPr>
        <w:t>DPDP</w:t>
      </w:r>
      <w:r>
        <w:rPr>
          <w:rFonts w:ascii="Calibri" w:hAnsi="Calibri"/>
          <w:b w:val="0"/>
          <w:i w:val="0"/>
          <w:color w:val="1B2A32"/>
          <w:sz w:val="21"/>
        </w:rPr>
        <w:t xml:space="preserve"> Digital Personal Data Protection Act, 2023.</w:t>
      </w:r>
    </w:p>
    <w:p>
      <w:pPr>
        <w:keepNext/>
        <w:spacing w:before="320" w:after="140"/>
        <w:pBdr>
          <w:bottom w:val="single" w:sz="12" w:space="3" w:color="C6A15B"/>
        </w:pBdr>
      </w:pPr>
      <w:r>
        <w:rPr>
          <w:rFonts w:ascii="Calibri" w:hAnsi="Calibri"/>
          <w:b/>
          <w:i w:val="0"/>
          <w:color w:val="123B4F"/>
          <w:sz w:val="34"/>
        </w:rPr>
        <w:t>30.  Annexure C — Companion Documents</w:t>
      </w:r>
    </w:p>
    <w:p>
      <w:pPr>
        <w:spacing w:after="140"/>
        <w:jc w:val="both"/>
      </w:pPr>
      <w:r>
        <w:rPr>
          <w:rFonts w:ascii="Calibri" w:hAnsi="Calibri"/>
          <w:b w:val="0"/>
          <w:i w:val="0"/>
          <w:color w:val="1B2A32"/>
          <w:sz w:val="21"/>
        </w:rPr>
        <w:t>Developer Handoff Workbook; Workflow Diagrams; Forms Pack (archived); Board Deck; Calculators (F&amp;F, gratuity, notice/severance); Neutral &amp; IC Toolkit; Compliance &amp; Security Workbook; Outreach (leaflet + website); the AI Dispute Explorer prototype.</w:t>
      </w:r>
    </w:p>
    <w:p>
      <w:pPr>
        <w:keepNext/>
        <w:spacing w:before="320" w:after="140"/>
        <w:pBdr>
          <w:bottom w:val="single" w:sz="12" w:space="3" w:color="C6A15B"/>
        </w:pBdr>
      </w:pPr>
      <w:r>
        <w:rPr>
          <w:rFonts w:ascii="Calibri" w:hAnsi="Calibri"/>
          <w:b/>
          <w:i w:val="0"/>
          <w:color w:val="123B4F"/>
          <w:sz w:val="34"/>
        </w:rPr>
        <w:t>31.  Annexure D — Model Clauses</w:t>
      </w:r>
    </w:p>
    <w:p>
      <w:pPr>
        <w:keepNext/>
        <w:spacing w:before="220" w:after="80"/>
      </w:pPr>
      <w:r>
        <w:rPr>
          <w:rFonts w:ascii="Calibri" w:hAnsi="Calibri"/>
          <w:b/>
          <w:i w:val="0"/>
          <w:color w:val="1E7A8C"/>
          <w:sz w:val="26"/>
        </w:rPr>
        <w:t>31.1   Employment ADR / grievance clause</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Clause</w:t>
            </w:r>
          </w:p>
          <w:p>
            <w:pPr>
              <w:jc w:val="both"/>
            </w:pPr>
            <w:r>
              <w:rPr>
                <w:rFonts w:ascii="Calibri" w:hAnsi="Calibri"/>
                <w:b w:val="0"/>
                <w:i w:val="0"/>
                <w:color w:val="1B2A32"/>
                <w:sz w:val="20"/>
              </w:rPr>
              <w:t>"Any dispute arising out of or in connection with this employment — including wages, dues, separation, benefits or the interpretation of this contract — shall first be referred to mediation/conciliation administered by Equator Resolution under its Rules. This clause does not apply to a complaint of sexual harassment, which shall be dealt with by the Internal Committee under the POSH Act, 2013; nor does it bar a statutory forum or the police where applicable."</w:t>
            </w:r>
          </w:p>
        </w:tc>
      </w:tr>
    </w:tbl>
    <w:p>
      <w:pPr>
        <w:spacing w:after="120"/>
      </w:pPr>
    </w:p>
    <w:p>
      <w:pPr>
        <w:keepNext/>
        <w:spacing w:before="220" w:after="80"/>
      </w:pPr>
      <w:r>
        <w:rPr>
          <w:rFonts w:ascii="Calibri" w:hAnsi="Calibri"/>
          <w:b/>
          <w:i w:val="0"/>
          <w:color w:val="1E7A8C"/>
          <w:sz w:val="26"/>
        </w:rPr>
        <w:t>31.2   POSH policy reference</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Clause</w:t>
            </w:r>
          </w:p>
          <w:p>
            <w:pPr>
              <w:jc w:val="both"/>
            </w:pPr>
            <w:r>
              <w:rPr>
                <w:rFonts w:ascii="Calibri" w:hAnsi="Calibri"/>
                <w:b w:val="0"/>
                <w:i w:val="0"/>
                <w:color w:val="1B2A32"/>
                <w:sz w:val="20"/>
              </w:rPr>
              <w:t>"The Company maintains a Prevention of Sexual Harassment policy and an Internal Committee under the POSH Act, 2013, including an external member. Complaints are dealt with confidentially by the Internal Committee; nothing in any other agreement diverts a POSH complaint from the Committee."</w:t>
            </w:r>
          </w:p>
        </w:tc>
      </w:tr>
    </w:tbl>
    <w:p>
      <w:pPr>
        <w:spacing w:after="120"/>
      </w:pPr>
    </w:p>
    <w:p>
      <w:pPr>
        <w:keepNext/>
        <w:spacing w:before="220" w:after="80"/>
      </w:pPr>
      <w:r>
        <w:rPr>
          <w:rFonts w:ascii="Calibri" w:hAnsi="Calibri"/>
          <w:b/>
          <w:i w:val="0"/>
          <w:color w:val="1E7A8C"/>
          <w:sz w:val="26"/>
        </w:rPr>
        <w:t>31.3   Full-and-final / mutual release</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Clause</w:t>
            </w:r>
          </w:p>
          <w:p>
            <w:pPr>
              <w:jc w:val="both"/>
            </w:pPr>
            <w:r>
              <w:rPr>
                <w:rFonts w:ascii="Calibri" w:hAnsi="Calibri"/>
                <w:b w:val="0"/>
                <w:i w:val="0"/>
                <w:color w:val="1B2A32"/>
                <w:sz w:val="20"/>
              </w:rPr>
              <w:t>"The net full-and-final amount is paid in full settlement of all salary and benefit claims to the separation date, without waiver of statutory dues (gratuity/PF), against relieving, an experience letter and return of Company assets; released through escrow."</w:t>
            </w:r>
          </w:p>
        </w:tc>
      </w:tr>
    </w:tbl>
    <w:p>
      <w:pPr>
        <w:spacing w:after="120"/>
      </w:pPr>
    </w:p>
    <w:p>
      <w:pPr>
        <w:spacing w:after="140"/>
        <w:jc w:val="both"/>
      </w:pPr>
      <w:r>
        <w:rPr>
          <w:rFonts w:ascii="Calibri" w:hAnsi="Calibri"/>
          <w:b w:val="0"/>
          <w:i w:val="0"/>
          <w:color w:val="1B2A32"/>
          <w:sz w:val="19"/>
        </w:rPr>
        <w:t>These clauses are drafting starting points; adapt and settle with counsel. POSH complaints are never diverted from the Internal Committee.</w:t>
      </w:r>
    </w:p>
    <w:p>
      <w:r>
        <w:br w:type="page"/>
      </w:r>
    </w:p>
    <w:p>
      <w:pPr>
        <w:spacing w:before="600" w:after="40"/>
      </w:pPr>
      <w:r>
        <w:rPr>
          <w:rFonts w:ascii="Calibri" w:hAnsi="Calibri"/>
          <w:b/>
          <w:i w:val="0"/>
          <w:color w:val="C6A15B"/>
          <w:sz w:val="26"/>
        </w:rPr>
        <w:t>PART H</w:t>
      </w:r>
    </w:p>
    <w:p>
      <w:pPr>
        <w:spacing w:after="200"/>
        <w:pBdr>
          <w:bottom w:val="single" w:sz="18" w:space="3" w:color="1E7A8C"/>
        </w:pBdr>
      </w:pPr>
      <w:r>
        <w:rPr>
          <w:rFonts w:ascii="Calibri" w:hAnsi="Calibri"/>
          <w:b/>
          <w:i w:val="0"/>
          <w:color w:val="123B4F"/>
          <w:sz w:val="46"/>
        </w:rPr>
        <w:t>The Forms (Full Text)</w:t>
      </w:r>
    </w:p>
    <w:p>
      <w:pPr>
        <w:spacing w:after="140"/>
        <w:jc w:val="both"/>
      </w:pPr>
      <w:r>
        <w:rPr>
          <w:rFonts w:ascii="Calibri" w:hAnsi="Calibri"/>
          <w:b w:val="0"/>
          <w:i w:val="0"/>
          <w:color w:val="1B2A32"/>
          <w:sz w:val="21"/>
        </w:rPr>
        <w:t>This Part reproduces every Equator workplace &amp; HR form in full (F-W01 to F-W20), ready to lift into the platform or use directly. The same set is delivered as individual documents in the archived Forms Pack folder. POSH forms (F-W07 to F-W10) support the Internal Committee's statutory role and do not replace it.</w:t>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Onboarding, KYC &amp; Data-Protection Consent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F-W01</w:t>
            </w:r>
          </w:p>
        </w:tc>
      </w:tr>
    </w:tbl>
    <w:p>
      <w:pPr>
        <w:spacing w:after="80"/>
      </w:pPr>
      <w:r>
        <w:rPr>
          <w:rFonts w:ascii="Calibri" w:hAnsi="Calibri"/>
          <w:b w:val="0"/>
          <w:i/>
          <w:color w:val="556168"/>
          <w:sz w:val="18"/>
        </w:rPr>
        <w:t>Create your account, verify identity, and record DPDP consent.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PARTY DETAILS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Role (Employer / Employee / Ex-employee / Contractor / Union rep)</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Designation / Employee ID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Organisation / Establishment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PAN / Aadhaar (masked)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representative / advocate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ROLE</w:t>
            </w:r>
          </w:p>
        </w:tc>
      </w:tr>
    </w:tbl>
    <w:p>
      <w:pPr>
        <w:spacing w:after="20"/>
      </w:pPr>
    </w:p>
    <w:p>
      <w:pPr>
        <w:spacing w:after="20"/>
      </w:pPr>
      <w:r>
        <w:rPr>
          <w:rFonts w:ascii="Calibri" w:hAnsi="Calibri"/>
          <w:b/>
          <w:i w:val="0"/>
          <w:color w:val="123B4F"/>
          <w:sz w:val="18"/>
        </w:rPr>
        <w:t>I am the: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Employee / ex-employee</w:t>
            </w:r>
          </w:p>
        </w:tc>
        <w:tc>
          <w:tcPr>
            <w:tcW w:type="dxa" w:w="4752"/>
            <w:tcMar>
              <w:top w:w="16" w:type="dxa"/>
              <w:bottom w:w="16" w:type="dxa"/>
              <w:start w:w="30" w:type="dxa"/>
              <w:end w:w="70" w:type="dxa"/>
            </w:tcMar>
          </w:tcPr>
          <w:p>
            <w:pPr>
              <w:spacing w:after="0"/>
            </w:pPr>
            <w:r>
              <w:rPr>
                <w:rFonts w:ascii="Calibri" w:hAnsi="Calibri"/>
                <w:b w:val="0"/>
                <w:i w:val="0"/>
                <w:color w:val="1B2A32"/>
                <w:sz w:val="18"/>
              </w:rPr>
              <w:t>☐  Employer / establishment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Contractor / gig worker</w:t>
            </w:r>
          </w:p>
        </w:tc>
        <w:tc>
          <w:tcPr>
            <w:tcW w:type="dxa" w:w="4752"/>
            <w:tcMar>
              <w:top w:w="16" w:type="dxa"/>
              <w:bottom w:w="16" w:type="dxa"/>
              <w:start w:w="30" w:type="dxa"/>
              <w:end w:w="70" w:type="dxa"/>
            </w:tcMar>
          </w:tcPr>
          <w:p>
            <w:pPr>
              <w:spacing w:after="0"/>
            </w:pPr>
            <w:r>
              <w:rPr>
                <w:rFonts w:ascii="Calibri" w:hAnsi="Calibri"/>
                <w:b w:val="0"/>
                <w:i w:val="0"/>
                <w:color w:val="1B2A32"/>
                <w:sz w:val="18"/>
              </w:rPr>
              <w:t>☐  Union / representative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DATA-PROTECTION NOTICE &amp; CONSENT (DPDP Act, 2023)</w:t>
            </w:r>
          </w:p>
        </w:tc>
      </w:tr>
    </w:tbl>
    <w:p>
      <w:pPr>
        <w:spacing w:after="20"/>
      </w:pPr>
    </w:p>
    <w:p>
      <w:pPr>
        <w:spacing w:after="80"/>
        <w:jc w:val="both"/>
      </w:pPr>
      <w:r>
        <w:rPr>
          <w:rFonts w:ascii="Calibri" w:hAnsi="Calibri"/>
          <w:b w:val="0"/>
          <w:i w:val="0"/>
          <w:color w:val="1B2A32"/>
          <w:sz w:val="19"/>
        </w:rPr>
        <w:t>Your data is processed only to administer the dispute (case management, mediation, settlement, escrow, closure) and for statutory compliance. Sensitive matters (POSH, health, disciplinary records) are kept strictly confidential and access-controlled.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give free, specific, informed and withdrawable consent to processing my data for these purposes.</w:t>
      </w:r>
    </w:p>
    <w:p>
      <w:pPr>
        <w:spacing w:after="40"/>
        <w:jc w:val="both"/>
      </w:pPr>
      <w:r>
        <w:rPr>
          <w:rFonts w:ascii="Calibri" w:hAnsi="Calibri"/>
          <w:b w:val="0"/>
          <w:i w:val="0"/>
          <w:color w:val="1B2A32"/>
          <w:sz w:val="18"/>
        </w:rPr>
        <w:t xml:space="preserve">☐  </w:t>
      </w:r>
      <w:r>
        <w:rPr>
          <w:rFonts w:ascii="Calibri" w:hAnsi="Calibri"/>
          <w:b w:val="0"/>
          <w:i w:val="0"/>
          <w:color w:val="1B2A32"/>
          <w:sz w:val="18"/>
        </w:rPr>
        <w:t>The information provided is true and correct.</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Grievance / Data Officer: grievance@equatorresolution.com. Equator acts as a Data Fiduciary under the DPDP Act, 2023. POSH complaints follow the confidentiality rules of the POSH Act, 2013.</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Request for Resolution (Workplace Dispute)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F-W02</w:t>
            </w:r>
          </w:p>
        </w:tc>
      </w:tr>
    </w:tbl>
    <w:p>
      <w:pPr>
        <w:spacing w:after="80"/>
      </w:pPr>
      <w:r>
        <w:rPr>
          <w:rFonts w:ascii="Calibri" w:hAnsi="Calibri"/>
          <w:b w:val="0"/>
          <w:i/>
          <w:color w:val="556168"/>
          <w:sz w:val="18"/>
        </w:rPr>
        <w:t>Commences a workplace/HR dispute. Either the employee or the employer may file.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THE DISPUTE</w:t>
            </w:r>
          </w:p>
        </w:tc>
      </w:tr>
    </w:tbl>
    <w:p>
      <w:pPr>
        <w:spacing w:after="20"/>
      </w:pPr>
    </w:p>
    <w:p>
      <w:pPr>
        <w:spacing w:after="20"/>
      </w:pPr>
      <w:r>
        <w:rPr>
          <w:rFonts w:ascii="Calibri" w:hAnsi="Calibri"/>
          <w:b/>
          <w:i w:val="0"/>
          <w:color w:val="123B4F"/>
          <w:sz w:val="18"/>
        </w:rPr>
        <w:t>Dispute type(s):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Wage / salary dues</w:t>
            </w:r>
          </w:p>
        </w:tc>
        <w:tc>
          <w:tcPr>
            <w:tcW w:type="dxa" w:w="4752"/>
            <w:tcMar>
              <w:top w:w="16" w:type="dxa"/>
              <w:bottom w:w="16" w:type="dxa"/>
              <w:start w:w="30" w:type="dxa"/>
              <w:end w:w="70" w:type="dxa"/>
            </w:tcMar>
          </w:tcPr>
          <w:p>
            <w:pPr>
              <w:spacing w:after="0"/>
            </w:pPr>
            <w:r>
              <w:rPr>
                <w:rFonts w:ascii="Calibri" w:hAnsi="Calibri"/>
                <w:b w:val="0"/>
                <w:i w:val="0"/>
                <w:color w:val="1B2A32"/>
                <w:sz w:val="18"/>
              </w:rPr>
              <w:t>☐  Full &amp; final settlement (F&amp;F)</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Wrongful / unfair termination</w:t>
            </w:r>
          </w:p>
        </w:tc>
        <w:tc>
          <w:tcPr>
            <w:tcW w:type="dxa" w:w="4752"/>
            <w:tcMar>
              <w:top w:w="16" w:type="dxa"/>
              <w:bottom w:w="16" w:type="dxa"/>
              <w:start w:w="30" w:type="dxa"/>
              <w:end w:w="70" w:type="dxa"/>
            </w:tcMar>
          </w:tcPr>
          <w:p>
            <w:pPr>
              <w:spacing w:after="0"/>
            </w:pPr>
            <w:r>
              <w:rPr>
                <w:rFonts w:ascii="Calibri" w:hAnsi="Calibri"/>
                <w:b w:val="0"/>
                <w:i w:val="0"/>
                <w:color w:val="1B2A32"/>
                <w:sz w:val="18"/>
              </w:rPr>
              <w:t>☐  Notice period / bond dispute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Gratuity / PF / ESI / benefits</w:t>
            </w:r>
          </w:p>
        </w:tc>
        <w:tc>
          <w:tcPr>
            <w:tcW w:type="dxa" w:w="4752"/>
            <w:tcMar>
              <w:top w:w="16" w:type="dxa"/>
              <w:bottom w:w="16" w:type="dxa"/>
              <w:start w:w="30" w:type="dxa"/>
              <w:end w:w="70" w:type="dxa"/>
            </w:tcMar>
          </w:tcPr>
          <w:p>
            <w:pPr>
              <w:spacing w:after="0"/>
            </w:pPr>
            <w:r>
              <w:rPr>
                <w:rFonts w:ascii="Calibri" w:hAnsi="Calibri"/>
                <w:b w:val="0"/>
                <w:i w:val="0"/>
                <w:color w:val="1B2A32"/>
                <w:sz w:val="18"/>
              </w:rPr>
              <w:t>☐  Leave / attendance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Non-compete / confidentiality</w:t>
            </w:r>
          </w:p>
        </w:tc>
        <w:tc>
          <w:tcPr>
            <w:tcW w:type="dxa" w:w="4752"/>
            <w:tcMar>
              <w:top w:w="16" w:type="dxa"/>
              <w:bottom w:w="16" w:type="dxa"/>
              <w:start w:w="30" w:type="dxa"/>
              <w:end w:w="70" w:type="dxa"/>
            </w:tcMar>
          </w:tcPr>
          <w:p>
            <w:pPr>
              <w:spacing w:after="0"/>
            </w:pPr>
            <w:r>
              <w:rPr>
                <w:rFonts w:ascii="Calibri" w:hAnsi="Calibri"/>
                <w:b w:val="0"/>
                <w:i w:val="0"/>
                <w:color w:val="1B2A32"/>
                <w:sz w:val="18"/>
              </w:rPr>
              <w:t>☐  Workplace harassment (non-POSH)</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Sexual harassment (POSH)</w:t>
            </w:r>
          </w:p>
        </w:tc>
        <w:tc>
          <w:tcPr>
            <w:tcW w:type="dxa" w:w="4752"/>
            <w:tcMar>
              <w:top w:w="16" w:type="dxa"/>
              <w:bottom w:w="16" w:type="dxa"/>
              <w:start w:w="30" w:type="dxa"/>
              <w:end w:w="70" w:type="dxa"/>
            </w:tcMar>
          </w:tcPr>
          <w:p>
            <w:pPr>
              <w:spacing w:after="0"/>
            </w:pPr>
            <w:r>
              <w:rPr>
                <w:rFonts w:ascii="Calibri" w:hAnsi="Calibri"/>
                <w:b w:val="0"/>
                <w:i w:val="0"/>
                <w:color w:val="1B2A32"/>
                <w:sz w:val="18"/>
              </w:rPr>
              <w:t>☐  Discrimination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General grievance</w:t>
            </w:r>
          </w:p>
        </w:tc>
        <w:tc>
          <w:tcPr>
            <w:tcW w:type="dxa" w:w="4752"/>
            <w:tcMar>
              <w:top w:w="16" w:type="dxa"/>
              <w:bottom w:w="16" w:type="dxa"/>
              <w:start w:w="30" w:type="dxa"/>
              <w:end w:w="70" w:type="dxa"/>
            </w:tcMar>
          </w:tcPr>
          <w:p>
            <w:pPr>
              <w:spacing w:after="0"/>
            </w:pPr>
            <w:r>
              <w:rPr>
                <w:rFonts w:ascii="Calibri" w:hAnsi="Calibri"/>
                <w:b w:val="0"/>
                <w:i w:val="0"/>
                <w:color w:val="1B2A32"/>
                <w:sz w:val="18"/>
              </w:rPr>
              <w:t>☐  Retrenchment / layoff</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Contractor / gig dispute</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in dispute, if any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joining</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separation (if 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Is there an employment/ADR clause?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Brief summary of the dispute (facts, dates)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THE PARTIES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Role (Employer / Employee / Ex-employee / Contractor / Union rep)</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Designation / Employee ID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Organisation / Establishment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PAN / Aadhaar (masked)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representative / advocate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Other party (name &amp; contact)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RELIEF SOUGHT</w:t>
            </w:r>
          </w:p>
        </w:tc>
      </w:tr>
    </w:tbl>
    <w:p>
      <w:pPr>
        <w:spacing w:after="20"/>
      </w:pPr>
    </w:p>
    <w:p>
      <w:pPr>
        <w:spacing w:after="20"/>
      </w:pPr>
      <w:r>
        <w:rPr>
          <w:rFonts w:ascii="Calibri" w:hAnsi="Calibri"/>
          <w:b/>
          <w:i w:val="0"/>
          <w:color w:val="123B4F"/>
          <w:sz w:val="18"/>
        </w:rPr>
        <w:t>Relief:</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Payment of dues</w:t>
            </w:r>
          </w:p>
        </w:tc>
        <w:tc>
          <w:tcPr>
            <w:tcW w:type="dxa" w:w="4752"/>
            <w:tcMar>
              <w:top w:w="16" w:type="dxa"/>
              <w:bottom w:w="16" w:type="dxa"/>
              <w:start w:w="30" w:type="dxa"/>
              <w:end w:w="70" w:type="dxa"/>
            </w:tcMar>
          </w:tcPr>
          <w:p>
            <w:pPr>
              <w:spacing w:after="0"/>
            </w:pPr>
            <w:r>
              <w:rPr>
                <w:rFonts w:ascii="Calibri" w:hAnsi="Calibri"/>
                <w:b w:val="0"/>
                <w:i w:val="0"/>
                <w:color w:val="1B2A32"/>
                <w:sz w:val="18"/>
              </w:rPr>
              <w:t>☐  Reinstatement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Relieving &amp; experience letter</w:t>
            </w:r>
          </w:p>
        </w:tc>
        <w:tc>
          <w:tcPr>
            <w:tcW w:type="dxa" w:w="4752"/>
            <w:tcMar>
              <w:top w:w="16" w:type="dxa"/>
              <w:bottom w:w="16" w:type="dxa"/>
              <w:start w:w="30" w:type="dxa"/>
              <w:end w:w="70" w:type="dxa"/>
            </w:tcMar>
          </w:tcPr>
          <w:p>
            <w:pPr>
              <w:spacing w:after="0"/>
            </w:pPr>
            <w:r>
              <w:rPr>
                <w:rFonts w:ascii="Calibri" w:hAnsi="Calibri"/>
                <w:b w:val="0"/>
                <w:i w:val="0"/>
                <w:color w:val="1B2A32"/>
                <w:sz w:val="18"/>
              </w:rPr>
              <w:t>☐  Correction of record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Notice-pay waiver</w:t>
            </w:r>
          </w:p>
        </w:tc>
        <w:tc>
          <w:tcPr>
            <w:tcW w:type="dxa" w:w="4752"/>
            <w:tcMar>
              <w:top w:w="16" w:type="dxa"/>
              <w:bottom w:w="16" w:type="dxa"/>
              <w:start w:w="30" w:type="dxa"/>
              <w:end w:w="70" w:type="dxa"/>
            </w:tcMar>
          </w:tcPr>
          <w:p>
            <w:pPr>
              <w:spacing w:after="0"/>
            </w:pPr>
            <w:r>
              <w:rPr>
                <w:rFonts w:ascii="Calibri" w:hAnsi="Calibri"/>
                <w:b w:val="0"/>
                <w:i w:val="0"/>
                <w:color w:val="1B2A32"/>
                <w:sz w:val="18"/>
              </w:rPr>
              <w:t>☐  Compensation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Return of documents / assets</w:t>
            </w:r>
          </w:p>
        </w:tc>
        <w:tc>
          <w:tcPr>
            <w:tcW w:type="dxa" w:w="4752"/>
            <w:tcMar>
              <w:top w:w="16" w:type="dxa"/>
              <w:bottom w:w="16" w:type="dxa"/>
              <w:start w:w="30" w:type="dxa"/>
              <w:end w:w="70" w:type="dxa"/>
            </w:tcMar>
          </w:tcPr>
          <w:p>
            <w:pPr>
              <w:spacing w:after="0"/>
            </w:pPr>
            <w:r>
              <w:rPr>
                <w:rFonts w:ascii="Calibri" w:hAnsi="Calibri"/>
                <w:b w:val="0"/>
                <w:i w:val="0"/>
                <w:color w:val="1B2A32"/>
                <w:sz w:val="18"/>
              </w:rPr>
              <w:t>☐  Apology / corrective action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Reference / clearance</w:t>
            </w:r>
          </w:p>
        </w:tc>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authorise Equator Resolution to administer this matter and to notify the other party.</w:t>
      </w:r>
    </w:p>
    <w:p>
      <w:pPr>
        <w:spacing w:after="40"/>
        <w:jc w:val="both"/>
      </w:pPr>
      <w:r>
        <w:rPr>
          <w:rFonts w:ascii="Calibri" w:hAnsi="Calibri"/>
          <w:b w:val="0"/>
          <w:i w:val="0"/>
          <w:color w:val="1B2A32"/>
          <w:sz w:val="18"/>
        </w:rPr>
        <w:t xml:space="preserve">☐  </w:t>
      </w:r>
      <w:r>
        <w:rPr>
          <w:rFonts w:ascii="Calibri" w:hAnsi="Calibri"/>
          <w:b w:val="0"/>
          <w:i w:val="0"/>
          <w:color w:val="1B2A32"/>
          <w:sz w:val="18"/>
        </w:rPr>
        <w:t>I understand a mediated settlement, once signed &amp; registered, is enforceable as a decree (s.27).</w:t>
      </w:r>
    </w:p>
    <w:p>
      <w:pPr>
        <w:spacing w:after="40"/>
        <w:jc w:val="both"/>
      </w:pPr>
      <w:r>
        <w:rPr>
          <w:rFonts w:ascii="Calibri" w:hAnsi="Calibri"/>
          <w:b w:val="0"/>
          <w:i w:val="0"/>
          <w:color w:val="1B2A32"/>
          <w:sz w:val="18"/>
        </w:rPr>
        <w:t xml:space="preserve">☐  </w:t>
      </w:r>
      <w:r>
        <w:rPr>
          <w:rFonts w:ascii="Calibri" w:hAnsi="Calibri"/>
          <w:b w:val="0"/>
          <w:i w:val="0"/>
          <w:color w:val="1B2A32"/>
          <w:sz w:val="18"/>
        </w:rPr>
        <w:t>The information is true to the best of my knowledge.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Applicant</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If the matter is a sexual-harassment (POSH) complaint, use Form F-W07. If it is a collective/statutory industrial dispute, Equator will guide you to the correct forum (IR Code Grievance Redressal Committee / conciliation / Tribunal) and may mediate any settlement in parallel. Criminal matters are for the police.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Notice to the Other Party</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F-W03</w:t>
            </w:r>
          </w:p>
        </w:tc>
      </w:tr>
    </w:tbl>
    <w:p>
      <w:pPr>
        <w:spacing w:after="80"/>
      </w:pPr>
      <w:r>
        <w:rPr>
          <w:rFonts w:ascii="Calibri" w:hAnsi="Calibri"/>
          <w:b w:val="0"/>
          <w:i/>
          <w:color w:val="556168"/>
          <w:sz w:val="18"/>
        </w:rPr>
        <w:t>Issued by Equator inviting the other party to participate.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Delivery channel</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SUBJECT: INVITATION TO RESOLVE A WORKPLACE DISPUTE</w:t>
            </w:r>
          </w:p>
        </w:tc>
      </w:tr>
    </w:tbl>
    <w:p>
      <w:pPr>
        <w:spacing w:after="20"/>
      </w:pPr>
    </w:p>
    <w:p>
      <w:pPr>
        <w:spacing w:after="80"/>
        <w:jc w:val="both"/>
      </w:pPr>
      <w:r>
        <w:rPr>
          <w:rFonts w:ascii="Calibri" w:hAnsi="Calibri"/>
          <w:b w:val="0"/>
          <w:i w:val="0"/>
          <w:color w:val="1B2A32"/>
          <w:sz w:val="19"/>
        </w:rPr>
        <w:t>Equator Resolution has received a request to resolve a workplace/HR dispute to which you are a party. The process is voluntary, confidential and time-bound; a mediated settlement is enforceable as a decree.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Brief nature of the dispute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Response due within</w:t>
            </w:r>
          </w:p>
        </w:tc>
        <w:tc>
          <w:tcPr>
            <w:tcW w:type="dxa" w:w="6273"/>
            <w:tcMar>
              <w:top w:w="60" w:type="dxa"/>
              <w:bottom w:w="60" w:type="dxa"/>
              <w:start w:w="110" w:type="dxa"/>
              <w:end w:w="110" w:type="dxa"/>
            </w:tcMar>
          </w:tcPr>
          <w:p>
            <w:pPr>
              <w:spacing w:after="0"/>
            </w:pPr>
          </w:p>
        </w:tc>
      </w:tr>
    </w:tbl>
    <w:p>
      <w:pPr>
        <w:spacing w:after="40"/>
      </w:pPr>
    </w:p>
    <w:p>
      <w:pPr>
        <w:spacing w:after="80"/>
        <w:jc w:val="both"/>
      </w:pPr>
      <w:r>
        <w:rPr>
          <w:rFonts w:ascii="Calibri" w:hAnsi="Calibri"/>
          <w:b w:val="0"/>
          <w:i w:val="0"/>
          <w:color w:val="1B2A32"/>
          <w:sz w:val="19"/>
        </w:rPr>
        <w:t>Please file your Response (Form F-W05) within 14 days. If we do not hear from you, a non-commencement report will be issued and the applicant may pursue other remedies.</w:t>
      </w: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Equator Resolution</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Employee Grievance Form</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F-W04</w:t>
            </w:r>
          </w:p>
        </w:tc>
      </w:tr>
    </w:tbl>
    <w:p>
      <w:pPr>
        <w:spacing w:after="80"/>
      </w:pPr>
      <w:r>
        <w:rPr>
          <w:rFonts w:ascii="Calibri" w:hAnsi="Calibri"/>
          <w:b w:val="0"/>
          <w:i/>
          <w:color w:val="556168"/>
          <w:sz w:val="18"/>
        </w:rPr>
        <w:t>For an employee to record a workplace grievance (pay, conditions, treatment, benefits).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Employee name &amp; ID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Department / manager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NATURE OF GRIEVANCE</w:t>
            </w:r>
          </w:p>
        </w:tc>
      </w:tr>
    </w:tbl>
    <w:p>
      <w:pPr>
        <w:spacing w:after="20"/>
      </w:pPr>
    </w:p>
    <w:p>
      <w:pPr>
        <w:spacing w:after="20"/>
      </w:pPr>
      <w:r>
        <w:rPr>
          <w:rFonts w:ascii="Calibri" w:hAnsi="Calibri"/>
          <w:b/>
          <w:i w:val="0"/>
          <w:color w:val="123B4F"/>
          <w:sz w:val="18"/>
        </w:rPr>
        <w:t>This grievance concerns: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Wages / dues</w:t>
            </w:r>
          </w:p>
        </w:tc>
        <w:tc>
          <w:tcPr>
            <w:tcW w:type="dxa" w:w="4752"/>
            <w:tcMar>
              <w:top w:w="16" w:type="dxa"/>
              <w:bottom w:w="16" w:type="dxa"/>
              <w:start w:w="30" w:type="dxa"/>
              <w:end w:w="70" w:type="dxa"/>
            </w:tcMar>
          </w:tcPr>
          <w:p>
            <w:pPr>
              <w:spacing w:after="0"/>
            </w:pPr>
            <w:r>
              <w:rPr>
                <w:rFonts w:ascii="Calibri" w:hAnsi="Calibri"/>
                <w:b w:val="0"/>
                <w:i w:val="0"/>
                <w:color w:val="1B2A32"/>
                <w:sz w:val="18"/>
              </w:rPr>
              <w:t>☐  Working conditions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Treatment / conduct</w:t>
            </w:r>
          </w:p>
        </w:tc>
        <w:tc>
          <w:tcPr>
            <w:tcW w:type="dxa" w:w="4752"/>
            <w:tcMar>
              <w:top w:w="16" w:type="dxa"/>
              <w:bottom w:w="16" w:type="dxa"/>
              <w:start w:w="30" w:type="dxa"/>
              <w:end w:w="70" w:type="dxa"/>
            </w:tcMar>
          </w:tcPr>
          <w:p>
            <w:pPr>
              <w:spacing w:after="0"/>
            </w:pPr>
            <w:r>
              <w:rPr>
                <w:rFonts w:ascii="Calibri" w:hAnsi="Calibri"/>
                <w:b w:val="0"/>
                <w:i w:val="0"/>
                <w:color w:val="1B2A32"/>
                <w:sz w:val="18"/>
              </w:rPr>
              <w:t>☐  Benefits (PF/ESI/gratuity)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Leave</w:t>
            </w:r>
          </w:p>
        </w:tc>
        <w:tc>
          <w:tcPr>
            <w:tcW w:type="dxa" w:w="4752"/>
            <w:tcMar>
              <w:top w:w="16" w:type="dxa"/>
              <w:bottom w:w="16" w:type="dxa"/>
              <w:start w:w="30" w:type="dxa"/>
              <w:end w:w="70" w:type="dxa"/>
            </w:tcMar>
          </w:tcPr>
          <w:p>
            <w:pPr>
              <w:spacing w:after="0"/>
            </w:pPr>
            <w:r>
              <w:rPr>
                <w:rFonts w:ascii="Calibri" w:hAnsi="Calibri"/>
                <w:b w:val="0"/>
                <w:i w:val="0"/>
                <w:color w:val="1B2A32"/>
                <w:sz w:val="18"/>
              </w:rPr>
              <w:t>☐  Discrimination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Describe the grievance (facts, dates)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Raised with manager/HR earlier? (date)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Outcome so far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RELIEF SOUGHT</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What outcome do you want?</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Grievances are handled confidentially. Under the Industrial Relations Code, 2020, an establishment of the notified size maintains a Grievance Redressal Committee; Equator can mediate where the matter is unresolved.</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Employee</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Response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F-W05</w:t>
            </w:r>
          </w:p>
        </w:tc>
      </w:tr>
    </w:tbl>
    <w:p>
      <w:pPr>
        <w:spacing w:after="80"/>
      </w:pPr>
      <w:r>
        <w:rPr>
          <w:rFonts w:ascii="Calibri" w:hAnsi="Calibri"/>
          <w:b w:val="0"/>
          <w:i/>
          <w:color w:val="556168"/>
          <w:sz w:val="18"/>
        </w:rPr>
        <w:t>The other party's reply.</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Responding party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PARTY DETAILS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Role (Employer / Employee / Ex-employee / Contractor / Union rep)</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Designation / Employee ID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Organisation / Establishment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PAN / Aadhaar (masked)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representative / advocate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POSITION</w:t>
            </w:r>
          </w:p>
        </w:tc>
      </w:tr>
    </w:tbl>
    <w:p>
      <w:pPr>
        <w:spacing w:after="20"/>
      </w:pPr>
    </w:p>
    <w:p>
      <w:pPr>
        <w:spacing w:after="20"/>
      </w:pPr>
      <w:r>
        <w:rPr>
          <w:rFonts w:ascii="Calibri" w:hAnsi="Calibri"/>
          <w:b/>
          <w:i w:val="0"/>
          <w:color w:val="123B4F"/>
          <w:sz w:val="18"/>
        </w:rPr>
        <w:t>We: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Agree to participate and settle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Dispute the claim (state below)</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Object to jurisdiction / propose the correct forum</w:t>
            </w: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Response to the claim</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COUNTER-CLAIM / SET-OFF (if any)</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Details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Responding party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Neutral Selection &amp; Disclosure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F-W06</w:t>
            </w:r>
          </w:p>
        </w:tc>
      </w:tr>
    </w:tbl>
    <w:p>
      <w:pPr>
        <w:spacing w:after="80"/>
      </w:pPr>
      <w:r>
        <w:rPr>
          <w:rFonts w:ascii="Calibri" w:hAnsi="Calibri"/>
          <w:b w:val="0"/>
          <w:i/>
          <w:color w:val="556168"/>
          <w:sz w:val="18"/>
        </w:rPr>
        <w:t>Appointment of the mediator/conciliator and independence disclosure.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Proposed neutral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Grade (A/B/C)</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Expertise (HR/ER/POSH/labour)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PARTY PREFERENCES</w:t>
            </w:r>
          </w:p>
        </w:tc>
      </w:tr>
    </w:tbl>
    <w:p>
      <w:pPr>
        <w:spacing w:after="20"/>
      </w:pPr>
    </w:p>
    <w:p>
      <w:pPr>
        <w:spacing w:after="20"/>
      </w:pPr>
      <w:r>
        <w:rPr>
          <w:rFonts w:ascii="Calibri" w:hAnsi="Calibri"/>
          <w:b/>
          <w:i w:val="0"/>
          <w:color w:val="123B4F"/>
          <w:sz w:val="18"/>
        </w:rPr>
        <w:t>Preference: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Accept the proposed neutral</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Request an alternative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Prefer a woman neutral (esp. POSH-related)</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BY THE NEUTRAL</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am independent and impartial and have no conflict with either party.</w:t>
      </w:r>
    </w:p>
    <w:p>
      <w:pPr>
        <w:spacing w:after="40"/>
        <w:jc w:val="both"/>
      </w:pPr>
      <w:r>
        <w:rPr>
          <w:rFonts w:ascii="Calibri" w:hAnsi="Calibri"/>
          <w:b w:val="0"/>
          <w:i w:val="0"/>
          <w:color w:val="1B2A32"/>
          <w:sz w:val="18"/>
        </w:rPr>
        <w:t xml:space="preserve">☐  </w:t>
      </w:r>
      <w:r>
        <w:rPr>
          <w:rFonts w:ascii="Calibri" w:hAnsi="Calibri"/>
          <w:b w:val="0"/>
          <w:i w:val="0"/>
          <w:color w:val="1B2A32"/>
          <w:sz w:val="18"/>
        </w:rPr>
        <w:t>I will disclose anything that may give rise to justifiable doubts, and will keep the process confidential.</w:t>
      </w:r>
    </w:p>
    <w:p>
      <w:pPr>
        <w:spacing w:after="40"/>
        <w:jc w:val="both"/>
      </w:pPr>
      <w:r>
        <w:rPr>
          <w:rFonts w:ascii="Calibri" w:hAnsi="Calibri"/>
          <w:b w:val="0"/>
          <w:i w:val="0"/>
          <w:color w:val="1B2A32"/>
          <w:sz w:val="18"/>
        </w:rPr>
        <w:t xml:space="preserve">☐  </w:t>
      </w:r>
      <w:r>
        <w:rPr>
          <w:rFonts w:ascii="Calibri" w:hAnsi="Calibri"/>
          <w:b w:val="0"/>
          <w:i w:val="0"/>
          <w:color w:val="1B2A32"/>
          <w:sz w:val="18"/>
        </w:rPr>
        <w:t>I will not give legal advice or decide the dispute; I will facilitate a voluntary settlement.</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A</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B</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A party may challenge a neutral for justifiable doubts as to independence or impartiality; the Institution decides the challenge.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POSH Complaint (to the Internal Committee)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F-W07</w:t>
            </w:r>
          </w:p>
        </w:tc>
      </w:tr>
    </w:tbl>
    <w:p>
      <w:pPr>
        <w:spacing w:after="80"/>
      </w:pPr>
      <w:r>
        <w:rPr>
          <w:rFonts w:ascii="Calibri" w:hAnsi="Calibri"/>
          <w:b w:val="0"/>
          <w:i/>
          <w:color w:val="556168"/>
          <w:sz w:val="18"/>
        </w:rPr>
        <w:t>A complaint of sexual harassment at the workplace under the POSH Act, 2013. Kept strictly confidential.</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Complaint no. (office use)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complaint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Establishment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AGGRIEVED PERSON (kept confidential)</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Designation / ID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Department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Contact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RESPONDENT</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Designation / relationship to complainant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THE COMPLAINT</w:t>
            </w:r>
          </w:p>
        </w:tc>
      </w:tr>
    </w:tbl>
    <w:p>
      <w:pPr>
        <w:spacing w:after="20"/>
      </w:pPr>
    </w:p>
    <w:p>
      <w:pPr>
        <w:spacing w:after="80"/>
        <w:jc w:val="both"/>
      </w:pPr>
      <w:r>
        <w:rPr>
          <w:rFonts w:ascii="Calibri" w:hAnsi="Calibri"/>
          <w:b w:val="0"/>
          <w:i w:val="0"/>
          <w:color w:val="1B2A32"/>
          <w:sz w:val="19"/>
        </w:rPr>
        <w:t>Please describe the incident(s) of sexual harassment: what happened, where, when, and any witnesses. Attach any supporting material. A complaint should ordinarily be made within 3 months of the incident (or the last incident); the Internal Committee may extend this by a further 3 months for recorded reasons.</w:t>
      </w: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Incident details (date, place, description, witnesses)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RELIEF / INTERIM RELIEF SOUGHT</w:t>
            </w:r>
          </w:p>
        </w:tc>
      </w:tr>
    </w:tbl>
    <w:p>
      <w:pPr>
        <w:spacing w:after="20"/>
      </w:pPr>
    </w:p>
    <w:p>
      <w:pPr>
        <w:spacing w:after="20"/>
      </w:pPr>
      <w:r>
        <w:rPr>
          <w:rFonts w:ascii="Calibri" w:hAnsi="Calibri"/>
          <w:b/>
          <w:i w:val="0"/>
          <w:color w:val="123B4F"/>
          <w:sz w:val="18"/>
        </w:rPr>
        <w:t>I request: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Inquiry by the Internal Committee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Interim relief (e.g., transfer / leave / stop-contact)</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Conciliation under s.10 (my request only; no monetary settlement as a basis)</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information is true to the best of my knowledge.</w:t>
      </w:r>
    </w:p>
    <w:p>
      <w:pPr>
        <w:spacing w:after="40"/>
        <w:jc w:val="both"/>
      </w:pPr>
      <w:r>
        <w:rPr>
          <w:rFonts w:ascii="Calibri" w:hAnsi="Calibri"/>
          <w:b w:val="0"/>
          <w:i w:val="0"/>
          <w:color w:val="1B2A32"/>
          <w:sz w:val="18"/>
        </w:rPr>
        <w:t xml:space="preserve">☐  </w:t>
      </w:r>
      <w:r>
        <w:rPr>
          <w:rFonts w:ascii="Calibri" w:hAnsi="Calibri"/>
          <w:b w:val="0"/>
          <w:i w:val="0"/>
          <w:color w:val="1B2A32"/>
          <w:sz w:val="18"/>
        </w:rPr>
        <w:t>I understand the proceedings are confidential and that I may be assisted/represented as provided under the Act.</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Aggrieved person</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(Internal Committee / Equator support)</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Confidentiality is protected under s.16 of the POSH Act, 2013. This platform supports the Internal Committee (including a trained EXTERNAL member) and does not replace it. If the conduct is a criminal offence or there is a threat to safety, you may also approach the police. This is not legal advice.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POSH Section 10 Conciliation — Request &amp; Terms</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F-W08</w:t>
            </w:r>
          </w:p>
        </w:tc>
      </w:tr>
    </w:tbl>
    <w:p>
      <w:pPr>
        <w:spacing w:after="80"/>
      </w:pPr>
      <w:r>
        <w:rPr>
          <w:rFonts w:ascii="Calibri" w:hAnsi="Calibri"/>
          <w:b w:val="0"/>
          <w:i/>
          <w:color w:val="556168"/>
          <w:sz w:val="18"/>
        </w:rPr>
        <w:t>Records a conciliation under s.10 of the POSH Act — only at the aggrieved woman's request, and never on a monetary basis.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Complaint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REQUEST (by the aggrieved woman only)</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request conciliation under s.10 before any inquiry. This is my own request; it has not been suggested to me as a condition.</w:t>
      </w:r>
    </w:p>
    <w:p>
      <w:pPr>
        <w:spacing w:after="40"/>
        <w:jc w:val="both"/>
      </w:pPr>
      <w:r>
        <w:rPr>
          <w:rFonts w:ascii="Calibri" w:hAnsi="Calibri"/>
          <w:b w:val="0"/>
          <w:i w:val="0"/>
          <w:color w:val="1B2A32"/>
          <w:sz w:val="18"/>
        </w:rPr>
        <w:t xml:space="preserve">☐  </w:t>
      </w:r>
      <w:r>
        <w:rPr>
          <w:rFonts w:ascii="Calibri" w:hAnsi="Calibri"/>
          <w:b w:val="0"/>
          <w:i w:val="0"/>
          <w:color w:val="1B2A32"/>
          <w:sz w:val="18"/>
        </w:rPr>
        <w:t>I understand that no monetary settlement can be made the basis of conciliation, and that I may opt for an inquiry at any time.</w:t>
      </w:r>
    </w:p>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TERMS OF SETTLEMENT (if reached)</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Agreed terms (e.g., corrective action, apology, transfer, assurance of no retaliation)</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RECORDING &amp; IMPLEMENTATION</w:t>
            </w:r>
          </w:p>
        </w:tc>
      </w:tr>
    </w:tbl>
    <w:p>
      <w:pPr>
        <w:spacing w:after="20"/>
      </w:pPr>
    </w:p>
    <w:p>
      <w:pPr>
        <w:spacing w:after="80"/>
        <w:jc w:val="both"/>
      </w:pPr>
      <w:r>
        <w:rPr>
          <w:rFonts w:ascii="Calibri" w:hAnsi="Calibri"/>
          <w:b w:val="0"/>
          <w:i w:val="0"/>
          <w:color w:val="1B2A32"/>
          <w:sz w:val="19"/>
        </w:rPr>
        <w:t>If a settlement is reached, the Internal Committee records the terms and forwards them to the employer for implementation, and provides copies to both parties. If the respondent does not comply, the Committee may proceed with an inquiry.</w:t>
      </w: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Aggrieved person</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Presiding Officer, Internal Committee</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Section 10 conciliation cannot be initiated by the Committee on its own or at the respondent's request, and cannot be based on any monetary settlement. This form supports, and does not replace, the Internal Committee's statutory role.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Internal Committee — Inquiry Record</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F-W09</w:t>
            </w:r>
          </w:p>
        </w:tc>
      </w:tr>
    </w:tbl>
    <w:p>
      <w:pPr>
        <w:spacing w:after="80"/>
      </w:pPr>
      <w:r>
        <w:rPr>
          <w:rFonts w:ascii="Calibri" w:hAnsi="Calibri"/>
          <w:b w:val="0"/>
          <w:i/>
          <w:color w:val="556168"/>
          <w:sz w:val="18"/>
        </w:rPr>
        <w:t>A structured record of the POSH inquiry (notice, statements, findings) — for the Internal Committee.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Complaint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Inquiry commenced 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Target completion (90 days)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NOTICE &amp; PARTICIPATION</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respondent was given a copy of the complaint and 10 working days to reply.</w:t>
      </w:r>
    </w:p>
    <w:p>
      <w:pPr>
        <w:spacing w:after="40"/>
        <w:jc w:val="both"/>
      </w:pPr>
      <w:r>
        <w:rPr>
          <w:rFonts w:ascii="Calibri" w:hAnsi="Calibri"/>
          <w:b w:val="0"/>
          <w:i w:val="0"/>
          <w:color w:val="1B2A32"/>
          <w:sz w:val="18"/>
        </w:rPr>
        <w:t xml:space="preserve">☐  </w:t>
      </w:r>
      <w:r>
        <w:rPr>
          <w:rFonts w:ascii="Calibri" w:hAnsi="Calibri"/>
          <w:b w:val="0"/>
          <w:i w:val="0"/>
          <w:color w:val="1B2A32"/>
          <w:sz w:val="18"/>
        </w:rPr>
        <w:t>Both parties were given an opportunity to be heard and to lead evidence (natural justice); no legal practitioner represented either party in the inquiry.</w:t>
      </w:r>
    </w:p>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STATEMENTS &amp; EVIDENCE</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Summary of statements, witnesses and documents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FINDINGS</w:t>
            </w:r>
          </w:p>
        </w:tc>
      </w:tr>
    </w:tbl>
    <w:p>
      <w:pPr>
        <w:spacing w:after="20"/>
      </w:pPr>
    </w:p>
    <w:p>
      <w:pPr>
        <w:spacing w:after="20"/>
      </w:pPr>
      <w:r>
        <w:rPr>
          <w:rFonts w:ascii="Calibri" w:hAnsi="Calibri"/>
          <w:b/>
          <w:i w:val="0"/>
          <w:color w:val="123B4F"/>
          <w:sz w:val="18"/>
        </w:rPr>
        <w:t>Finding:</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Allegation proved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Allegation not proved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Malicious/false complaint (with reasons)</w:t>
            </w: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Reasons for the finding</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RECOMMENDATIONS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Action / compensation recommended to the employer</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inquiry was completed within 90 days and the report is submitted to the employer within 10 days of conclusion.</w:t>
      </w:r>
    </w:p>
    <w:p>
      <w:pPr>
        <w:spacing w:after="40"/>
        <w:jc w:val="both"/>
      </w:pPr>
      <w:r>
        <w:rPr>
          <w:rFonts w:ascii="Calibri" w:hAnsi="Calibri"/>
          <w:b w:val="0"/>
          <w:i w:val="0"/>
          <w:color w:val="1B2A32"/>
          <w:sz w:val="18"/>
        </w:rPr>
        <w:t xml:space="preserve">☐  </w:t>
      </w:r>
      <w:r>
        <w:rPr>
          <w:rFonts w:ascii="Calibri" w:hAnsi="Calibri"/>
          <w:b w:val="0"/>
          <w:i w:val="0"/>
          <w:color w:val="1B2A32"/>
          <w:sz w:val="18"/>
        </w:rPr>
        <w:t>Confidentiality under s.16 has been maintained throughout.</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Presiding Officer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Member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External Member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The employer must act on the recommendations within 60 days. Either party may appeal within 90 days. This template aids compliance; it is not legal advice.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External IC Member — Appointment &amp; Undertaking</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F-W10</w:t>
            </w:r>
          </w:p>
        </w:tc>
      </w:tr>
    </w:tbl>
    <w:p>
      <w:pPr>
        <w:spacing w:after="80"/>
      </w:pPr>
      <w:r>
        <w:rPr>
          <w:rFonts w:ascii="Calibri" w:hAnsi="Calibri"/>
          <w:b w:val="0"/>
          <w:i/>
          <w:color w:val="556168"/>
          <w:sz w:val="18"/>
        </w:rPr>
        <w:t>Appointment of Equator's trained external member to an employer's Internal Committee (POSH s.4).</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Establishment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External member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Qualification / experience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ELIGIBILITY (POSH s.4)</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am from an NGO/association committed to the cause of women, or a person familiar with issues relating to sexual harassment.</w:t>
      </w:r>
    </w:p>
    <w:p>
      <w:pPr>
        <w:spacing w:after="40"/>
        <w:jc w:val="both"/>
      </w:pPr>
      <w:r>
        <w:rPr>
          <w:rFonts w:ascii="Calibri" w:hAnsi="Calibri"/>
          <w:b w:val="0"/>
          <w:i w:val="0"/>
          <w:color w:val="1B2A32"/>
          <w:sz w:val="18"/>
        </w:rPr>
        <w:t xml:space="preserve">☐  </w:t>
      </w:r>
      <w:r>
        <w:rPr>
          <w:rFonts w:ascii="Calibri" w:hAnsi="Calibri"/>
          <w:b w:val="0"/>
          <w:i w:val="0"/>
          <w:color w:val="1B2A32"/>
          <w:sz w:val="18"/>
        </w:rPr>
        <w:t>I am independent of the employer and the parties, and will disclose any conflict.</w:t>
      </w:r>
    </w:p>
    <w:p>
      <w:pPr>
        <w:spacing w:after="40"/>
        <w:jc w:val="both"/>
      </w:pPr>
      <w:r>
        <w:rPr>
          <w:rFonts w:ascii="Calibri" w:hAnsi="Calibri"/>
          <w:b w:val="0"/>
          <w:i w:val="0"/>
          <w:color w:val="1B2A32"/>
          <w:sz w:val="18"/>
        </w:rPr>
        <w:t xml:space="preserve">☐  </w:t>
      </w:r>
      <w:r>
        <w:rPr>
          <w:rFonts w:ascii="Calibri" w:hAnsi="Calibri"/>
          <w:b w:val="0"/>
          <w:i w:val="0"/>
          <w:color w:val="1B2A32"/>
          <w:sz w:val="18"/>
        </w:rPr>
        <w:t>I will maintain strict confidentiality (s.16) and apply natural justice.</w:t>
      </w:r>
    </w:p>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TERMS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Term / tenure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Sitting fee / honorarium</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Coverage (complaints, meetings)</w:t>
            </w:r>
          </w:p>
        </w:tc>
        <w:tc>
          <w:tcPr>
            <w:tcW w:type="dxa" w:w="6273"/>
            <w:tcMar>
              <w:top w:w="60" w:type="dxa"/>
              <w:bottom w:w="60" w:type="dxa"/>
              <w:start w:w="110" w:type="dxa"/>
              <w:end w:w="110" w:type="dxa"/>
            </w:tcMar>
          </w:tcPr>
          <w:p>
            <w:pPr>
              <w:spacing w:after="0"/>
            </w:pP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External Member</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Employer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The POSH Act requires the Internal Committee to include at least one external member. Equator provides trained external members and IC training.</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Wage / Full-and-Final Settlement Agreement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F-W11</w:t>
            </w:r>
          </w:p>
        </w:tc>
      </w:tr>
    </w:tbl>
    <w:p>
      <w:pPr>
        <w:spacing w:after="80"/>
      </w:pPr>
      <w:r>
        <w:rPr>
          <w:rFonts w:ascii="Calibri" w:hAnsi="Calibri"/>
          <w:b w:val="0"/>
          <w:i/>
          <w:color w:val="556168"/>
          <w:sz w:val="18"/>
        </w:rPr>
        <w:t>Settles salary dues and full-and-final amounts, secured by escrow.</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Employee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Employer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DUES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Component (salary, arrears, leave encashment, bonus, gratuity) and amount</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Gross dues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Deductions / recoveries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Net settlement (₹)</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TERMS</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net amount is in full and final settlement of all salary/benefit claims to the date of separation.</w:t>
      </w:r>
    </w:p>
    <w:p>
      <w:pPr>
        <w:spacing w:after="40"/>
        <w:jc w:val="both"/>
      </w:pPr>
      <w:r>
        <w:rPr>
          <w:rFonts w:ascii="Calibri" w:hAnsi="Calibri"/>
          <w:b w:val="0"/>
          <w:i w:val="0"/>
          <w:color w:val="1B2A32"/>
          <w:sz w:val="18"/>
        </w:rPr>
        <w:t xml:space="preserve">☐  </w:t>
      </w:r>
      <w:r>
        <w:rPr>
          <w:rFonts w:ascii="Calibri" w:hAnsi="Calibri"/>
          <w:b w:val="0"/>
          <w:i w:val="0"/>
          <w:color w:val="1B2A32"/>
          <w:sz w:val="18"/>
        </w:rPr>
        <w:t>The employer will issue the relieving and experience letters and settle PF/gratuity as applicable.</w:t>
      </w:r>
    </w:p>
    <w:p>
      <w:pPr>
        <w:spacing w:after="40"/>
        <w:jc w:val="both"/>
      </w:pPr>
      <w:r>
        <w:rPr>
          <w:rFonts w:ascii="Calibri" w:hAnsi="Calibri"/>
          <w:b w:val="0"/>
          <w:i w:val="0"/>
          <w:color w:val="1B2A32"/>
          <w:sz w:val="18"/>
        </w:rPr>
        <w:t xml:space="preserve">☐  </w:t>
      </w:r>
      <w:r>
        <w:rPr>
          <w:rFonts w:ascii="Calibri" w:hAnsi="Calibri"/>
          <w:b w:val="0"/>
          <w:i w:val="0"/>
          <w:color w:val="1B2A32"/>
          <w:sz w:val="18"/>
        </w:rPr>
        <w:t>The amount will be routed through escrow and released against relieving and return of assets.</w:t>
      </w:r>
    </w:p>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MUTUAL RELEASE</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Scope of release / carve-outs (e.g., statutory dues preserved)</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Employee</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Employer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 / Equator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Statutory entitlements (e.g., gratuity/PF) cannot be contracted out; a settlement records their proper payment, not their waiver.</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Separation / Termination Settlement (Consent / MSA)</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F-W12</w:t>
            </w:r>
          </w:p>
        </w:tc>
      </w:tr>
    </w:tbl>
    <w:p>
      <w:pPr>
        <w:spacing w:after="80"/>
      </w:pPr>
      <w:r>
        <w:rPr>
          <w:rFonts w:ascii="Calibri" w:hAnsi="Calibri"/>
          <w:b w:val="0"/>
          <w:i/>
          <w:color w:val="556168"/>
          <w:sz w:val="18"/>
        </w:rPr>
        <w:t>A consent settlement of a termination/separation dispute, enforceable as a decree.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Parties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BACKGROUND</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The dispute and how it is resolved</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AGREED TERMS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e.g., separation date, ex-gratia/compensation, notice-pay treatment, relieving &amp; reference, non-disparagement, confidentiality</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ENFORCEABILITY</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This is a mediated settlement agreement under the Mediation Act, 2023, enforceable as a decree (s.27).</w:t>
      </w:r>
    </w:p>
    <w:p>
      <w:pPr>
        <w:spacing w:after="40"/>
        <w:jc w:val="both"/>
      </w:pPr>
      <w:r>
        <w:rPr>
          <w:rFonts w:ascii="Calibri" w:hAnsi="Calibri"/>
          <w:b w:val="0"/>
          <w:i w:val="0"/>
          <w:color w:val="1B2A32"/>
          <w:sz w:val="18"/>
        </w:rPr>
        <w:t xml:space="preserve">☐  </w:t>
      </w:r>
      <w:r>
        <w:rPr>
          <w:rFonts w:ascii="Calibri" w:hAnsi="Calibri"/>
          <w:b w:val="0"/>
          <w:i w:val="0"/>
          <w:color w:val="1B2A32"/>
          <w:sz w:val="18"/>
        </w:rPr>
        <w:t>Each party has had the opportunity to take independent legal advice.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Employee</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Employer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 /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Agreement to Mediate &amp; Confidentiality</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F-W13</w:t>
            </w:r>
          </w:p>
        </w:tc>
      </w:tr>
    </w:tbl>
    <w:p>
      <w:pPr>
        <w:spacing w:after="80"/>
      </w:pPr>
      <w:r>
        <w:rPr>
          <w:rFonts w:ascii="Calibri" w:hAnsi="Calibri"/>
          <w:b w:val="0"/>
          <w:i/>
          <w:color w:val="556168"/>
          <w:sz w:val="18"/>
        </w:rPr>
        <w:t>The parties' agreement to mediate and to keep the process confidential.</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Parties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We agree to mediate this dispute in good faith under Equator's Rules.</w:t>
      </w:r>
    </w:p>
    <w:p>
      <w:pPr>
        <w:spacing w:after="40"/>
        <w:jc w:val="both"/>
      </w:pPr>
      <w:r>
        <w:rPr>
          <w:rFonts w:ascii="Calibri" w:hAnsi="Calibri"/>
          <w:b w:val="0"/>
          <w:i w:val="0"/>
          <w:color w:val="1B2A32"/>
          <w:sz w:val="18"/>
        </w:rPr>
        <w:t xml:space="preserve">☐  </w:t>
      </w:r>
      <w:r>
        <w:rPr>
          <w:rFonts w:ascii="Calibri" w:hAnsi="Calibri"/>
          <w:b w:val="0"/>
          <w:i w:val="0"/>
          <w:color w:val="1B2A32"/>
          <w:sz w:val="18"/>
        </w:rPr>
        <w:t>The process is voluntary, confidential and without prejudice (Mediation Act s.22); nothing said may be used in later proceedings, save the signed settlement and the legal exceptions.</w:t>
      </w:r>
    </w:p>
    <w:p>
      <w:pPr>
        <w:spacing w:after="40"/>
        <w:jc w:val="both"/>
      </w:pPr>
      <w:r>
        <w:rPr>
          <w:rFonts w:ascii="Calibri" w:hAnsi="Calibri"/>
          <w:b w:val="0"/>
          <w:i w:val="0"/>
          <w:color w:val="1B2A32"/>
          <w:sz w:val="18"/>
        </w:rPr>
        <w:t xml:space="preserve">☐  </w:t>
      </w:r>
      <w:r>
        <w:rPr>
          <w:rFonts w:ascii="Calibri" w:hAnsi="Calibri"/>
          <w:b w:val="0"/>
          <w:i w:val="0"/>
          <w:color w:val="1B2A32"/>
          <w:sz w:val="18"/>
        </w:rPr>
        <w:t>We will attend with authority to settle and treat the neutral as impartial.</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A</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B</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Statement of Claim (Employment)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F-W14</w:t>
            </w:r>
          </w:p>
        </w:tc>
      </w:tr>
    </w:tbl>
    <w:p>
      <w:pPr>
        <w:spacing w:after="80"/>
      </w:pPr>
      <w:r>
        <w:rPr>
          <w:rFonts w:ascii="Calibri" w:hAnsi="Calibri"/>
          <w:b w:val="0"/>
          <w:i/>
          <w:color w:val="556168"/>
          <w:sz w:val="18"/>
        </w:rPr>
        <w:t>The claimant's structured statement of the employment claim.</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PARTIES &amp; EMPLOYMENT</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Role, dates, terms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FACTS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Chronological facts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CLAIM &amp; RELIEF</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What is claimed and the relief sought</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Claimant / representative</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Grievance Redressal Committee — Referral (IR Code)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F-W15</w:t>
            </w:r>
          </w:p>
        </w:tc>
      </w:tr>
    </w:tbl>
    <w:p>
      <w:pPr>
        <w:spacing w:after="80"/>
      </w:pPr>
      <w:r>
        <w:rPr>
          <w:rFonts w:ascii="Calibri" w:hAnsi="Calibri"/>
          <w:b w:val="0"/>
          <w:i/>
          <w:color w:val="556168"/>
          <w:sz w:val="18"/>
        </w:rPr>
        <w:t>Refers or records a matter before the establishment's Grievance Redressal Committee under the Industrial Relations Code, 2020.</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Establishment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Employee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MATTER</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The individual grievance referred</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GRC COMPOSITION &amp; PROCESS</w:t>
            </w:r>
          </w:p>
        </w:tc>
      </w:tr>
    </w:tbl>
    <w:p>
      <w:pPr>
        <w:spacing w:after="20"/>
      </w:pPr>
    </w:p>
    <w:p>
      <w:pPr>
        <w:spacing w:after="80"/>
        <w:jc w:val="both"/>
      </w:pPr>
      <w:r>
        <w:rPr>
          <w:rFonts w:ascii="Calibri" w:hAnsi="Calibri"/>
          <w:b w:val="0"/>
          <w:i w:val="0"/>
          <w:color w:val="1B2A32"/>
          <w:sz w:val="19"/>
        </w:rPr>
        <w:t>The Grievance Redressal Committee (with adequate representation of women workers) considers the individual grievance within the statutory timeline; where unresolved, the worker may raise an industrial dispute. Equator can mediate the matter where lawful and both sides agree.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OUTCOME</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Decision / referral</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GRC / HR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Employee</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Equator (if mediating)</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Escrow Instruction &amp; Release Schedule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F-W16</w:t>
            </w:r>
          </w:p>
        </w:tc>
      </w:tr>
    </w:tbl>
    <w:p>
      <w:pPr>
        <w:spacing w:after="80"/>
      </w:pPr>
      <w:r>
        <w:rPr>
          <w:rFonts w:ascii="Calibri" w:hAnsi="Calibri"/>
          <w:b w:val="0"/>
          <w:i/>
          <w:color w:val="556168"/>
          <w:sz w:val="18"/>
        </w:rPr>
        <w:t>Instructs the escrow agent to hold and release the settlement/F&amp;F sum on milestones.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Escrow bank</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RELEASE MILESTONES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Milestone (e.g., signed settlement / relieving / return of assets) and amount</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Funds are released only against the stated milestones, with a receipt and audit entry for each release.</w:t>
      </w:r>
    </w:p>
    <w:p>
      <w:pPr>
        <w:spacing w:after="40"/>
        <w:jc w:val="both"/>
      </w:pPr>
      <w:r>
        <w:rPr>
          <w:rFonts w:ascii="Calibri" w:hAnsi="Calibri"/>
          <w:b w:val="0"/>
          <w:i w:val="0"/>
          <w:color w:val="1B2A32"/>
          <w:sz w:val="18"/>
        </w:rPr>
        <w:t xml:space="preserve">☐  </w:t>
      </w:r>
      <w:r>
        <w:rPr>
          <w:rFonts w:ascii="Calibri" w:hAnsi="Calibri"/>
          <w:b w:val="0"/>
          <w:i w:val="0"/>
          <w:color w:val="1B2A32"/>
          <w:sz w:val="18"/>
        </w:rPr>
        <w:t>The final release triggers the relieving/experience letter and confirmation of PF/gratuity settlement.</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Employee</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Employer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Escrow officer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Case Closure Report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F-W17</w:t>
            </w:r>
          </w:p>
        </w:tc>
      </w:tr>
    </w:tbl>
    <w:p>
      <w:pPr>
        <w:spacing w:after="80"/>
      </w:pPr>
      <w:r>
        <w:rPr>
          <w:rFonts w:ascii="Calibri" w:hAnsi="Calibri"/>
          <w:b w:val="0"/>
          <w:i/>
          <w:color w:val="556168"/>
          <w:sz w:val="18"/>
        </w:rPr>
        <w:t>Closes the matter and records the outcome.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closure</w:t>
            </w:r>
          </w:p>
        </w:tc>
        <w:tc>
          <w:tcPr>
            <w:tcW w:type="dxa" w:w="6273"/>
            <w:tcMar>
              <w:top w:w="60" w:type="dxa"/>
              <w:bottom w:w="60" w:type="dxa"/>
              <w:start w:w="110" w:type="dxa"/>
              <w:end w:w="110" w:type="dxa"/>
            </w:tcMar>
          </w:tcPr>
          <w:p>
            <w:pPr>
              <w:spacing w:after="0"/>
            </w:pPr>
          </w:p>
        </w:tc>
      </w:tr>
    </w:tbl>
    <w:p>
      <w:pPr>
        <w:spacing w:after="40"/>
      </w:pPr>
    </w:p>
    <w:p>
      <w:pPr>
        <w:spacing w:after="20"/>
      </w:pPr>
      <w:r>
        <w:rPr>
          <w:rFonts w:ascii="Calibri" w:hAnsi="Calibri"/>
          <w:b/>
          <w:i w:val="0"/>
          <w:color w:val="123B4F"/>
          <w:sz w:val="18"/>
        </w:rPr>
        <w:t>Outcome: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Settled (MSA/F&amp;F signed)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POSH: conciliation recorded / inquiry concluded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Not settled — report issued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Referred to statutory forum</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Withdrawn</w:t>
            </w: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Summary of outcome and any pending steps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Documents e-signed/e-stamped as applicable; escrow released; relieving issued where relevant.</w:t>
      </w:r>
    </w:p>
    <w:p>
      <w:pPr>
        <w:spacing w:after="40"/>
        <w:jc w:val="both"/>
      </w:pPr>
      <w:r>
        <w:rPr>
          <w:rFonts w:ascii="Calibri" w:hAnsi="Calibri"/>
          <w:b w:val="0"/>
          <w:i w:val="0"/>
          <w:color w:val="1B2A32"/>
          <w:sz w:val="18"/>
        </w:rPr>
        <w:t xml:space="preserve">☐  </w:t>
      </w:r>
      <w:r>
        <w:rPr>
          <w:rFonts w:ascii="Calibri" w:hAnsi="Calibri"/>
          <w:b w:val="0"/>
          <w:i w:val="0"/>
          <w:color w:val="1B2A32"/>
          <w:sz w:val="18"/>
        </w:rPr>
        <w:t>Confidentiality maintained; audit trail complete.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Full &amp; Final Settlement Statement (itemised)</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F-W18</w:t>
            </w:r>
          </w:p>
        </w:tc>
      </w:tr>
    </w:tbl>
    <w:p>
      <w:pPr>
        <w:spacing w:after="80"/>
      </w:pPr>
      <w:r>
        <w:rPr>
          <w:rFonts w:ascii="Calibri" w:hAnsi="Calibri"/>
          <w:b w:val="0"/>
          <w:i/>
          <w:color w:val="556168"/>
          <w:sz w:val="18"/>
        </w:rPr>
        <w:t>An itemised computation of the full-and-final amount.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Employee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Employer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Last working day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EARNINGS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Component and amount (salary to date, arrears, leave encashment, bonus, gratuity)</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DEDUCTIONS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Component and amount (notice shortfall, advances, asset recovery, statutory)</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Gross earnings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deductions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Net payable (₹)</w:t>
            </w:r>
          </w:p>
        </w:tc>
        <w:tc>
          <w:tcPr>
            <w:tcW w:type="dxa" w:w="6273"/>
            <w:tcMar>
              <w:top w:w="60" w:type="dxa"/>
              <w:bottom w:w="60" w:type="dxa"/>
              <w:start w:w="110" w:type="dxa"/>
              <w:end w:w="110" w:type="dxa"/>
            </w:tcMar>
          </w:tcPr>
          <w:p>
            <w:pPr>
              <w:spacing w:after="0"/>
            </w:pP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Prepared by (HR)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(Employee)</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 / Equator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Use the F&amp;F / Gratuity / Notice-pay calculators to compute the figures. Statutory dues must be paid, not waived.</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Model Employment ADR / Grievance Clause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F-W19</w:t>
            </w:r>
          </w:p>
        </w:tc>
      </w:tr>
    </w:tbl>
    <w:p>
      <w:pPr>
        <w:spacing w:after="80"/>
      </w:pPr>
      <w:r>
        <w:rPr>
          <w:rFonts w:ascii="Calibri" w:hAnsi="Calibri"/>
          <w:b w:val="0"/>
          <w:i/>
          <w:color w:val="556168"/>
          <w:sz w:val="18"/>
        </w:rPr>
        <w:t>For inclusion in employment contracts, HR policies and settlement deeds.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MODEL CLAUSE</w:t>
            </w:r>
          </w:p>
        </w:tc>
      </w:tr>
    </w:tbl>
    <w:p>
      <w:pPr>
        <w:spacing w:after="20"/>
      </w:pPr>
    </w:p>
    <w:tbl>
      <w:tblPr>
        <w:tblW w:type="auto" w:w="0"/>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60" w:type="dxa"/>
              <w:bottom w:w="60" w:type="dxa"/>
              <w:start w:w="120" w:type="dxa"/>
              <w:end w:w="120" w:type="dxa"/>
            </w:tcMar>
          </w:tcPr>
          <w:p>
            <w:pPr>
              <w:spacing w:after="0"/>
            </w:pPr>
            <w:r>
              <w:rPr>
                <w:rFonts w:ascii="Calibri" w:hAnsi="Calibri"/>
                <w:b w:val="0"/>
                <w:i/>
                <w:color w:val="1B2A32"/>
                <w:sz w:val="17"/>
              </w:rPr>
              <w:t>"Any dispute arising out of or in connection with this employment — including as to wages, dues, separation, benefits or the interpretation of this contract — shall first be referred to mediation/conciliation administered by Equator Resolution under its Rules. This clause does not apply to a complaint of sexual harassment, which shall be dealt with by the Internal Committee under the POSH Act, 2013; nor does it bar either party from a statutory forum or the police where applicable."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Adapt to the role and settle with counsel. POSH complaints are never diverted from the Internal Committee.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Application for Time Extension</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F-W20</w:t>
            </w:r>
          </w:p>
        </w:tc>
      </w:tr>
    </w:tbl>
    <w:p>
      <w:pPr>
        <w:spacing w:after="80"/>
      </w:pPr>
      <w:r>
        <w:rPr>
          <w:rFonts w:ascii="Calibri" w:hAnsi="Calibri"/>
          <w:b w:val="0"/>
          <w:i/>
          <w:color w:val="556168"/>
          <w:sz w:val="18"/>
        </w:rPr>
        <w:t>To extend a mediation timeline by consent.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Current due 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Extension sought (days)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Reason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Both parties consent to the extension.</w:t>
      </w:r>
    </w:p>
    <w:p>
      <w:pPr>
        <w:spacing w:after="40"/>
        <w:jc w:val="both"/>
      </w:pPr>
      <w:r>
        <w:rPr>
          <w:rFonts w:ascii="Calibri" w:hAnsi="Calibri"/>
          <w:b w:val="0"/>
          <w:i w:val="0"/>
          <w:color w:val="1B2A32"/>
          <w:sz w:val="18"/>
        </w:rPr>
        <w:t xml:space="preserve">☐  </w:t>
      </w:r>
      <w:r>
        <w:rPr>
          <w:rFonts w:ascii="Calibri" w:hAnsi="Calibri"/>
          <w:b w:val="0"/>
          <w:i w:val="0"/>
          <w:color w:val="1B2A32"/>
          <w:sz w:val="18"/>
        </w:rPr>
        <w:t>The extension is sought in good faith to reach a settlement.</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A</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B</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POSH inquiry timelines are statutory (90 days) and are managed by the Internal Committee, not extended by this form.</w:t>
            </w:r>
          </w:p>
        </w:tc>
      </w:tr>
    </w:tbl>
    <w:p>
      <w:pPr>
        <w:spacing w:after="40"/>
      </w:pPr>
    </w:p>
    <w:sectPr w:rsidR="00FC693F" w:rsidRPr="0006063C" w:rsidSect="00034616">
      <w:headerReference w:type="default" r:id="rId13"/>
      <w:footerReference w:type="default" r:id="rId14"/>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6"/>
      </w:rPr>
    </w:r>
    <w:r>
      <w:rPr>
        <w:rFonts w:ascii="Calibri" w:hAnsi="Calibri"/>
        <w:b w:val="0"/>
        <w:i w:val="0"/>
        <w:color w:val="556168"/>
        <w:sz w:val="16"/>
      </w:rPr>
      <w:t xml:space="preserve">Confidential — Infrabyx Group  ·  © 2026  ·  Page </w:t>
    </w:r>
    <w:r>
      <w:rPr>
        <w:rFonts w:ascii="Calibri" w:hAnsi="Calibri"/>
        <w:b w:val="0"/>
        <w:i w:val="0"/>
        <w:color w:val="556168"/>
        <w:sz w:val="16"/>
      </w:rPr>
      <w:fldChar w:fldCharType="begin"/>
    </w:r>
    <w:r>
      <w:rPr>
        <w:rFonts w:ascii="Calibri" w:hAnsi="Calibri"/>
        <w:b w:val="0"/>
        <w:i w:val="0"/>
        <w:color w:val="556168"/>
        <w:sz w:val="16"/>
      </w:rPr>
      <w:instrText xml:space="preserve">PAGE</w:instrText>
    </w:r>
    <w:r>
      <w:rPr>
        <w:rFonts w:ascii="Calibri" w:hAnsi="Calibri"/>
        <w:b w:val="0"/>
        <w:i w:val="0"/>
        <w:color w:val="556168"/>
        <w:sz w:val="16"/>
      </w:rPr>
      <w:fldChar w:fldCharType="end"/>
    </w:r>
    <w:r>
      <w:rPr>
        <w:rFonts w:ascii="Calibri" w:hAnsi="Calibri"/>
        <w:b w:val="0"/>
        <w:i w:val="0"/>
        <w:color w:val="556168"/>
        <w:sz w:val="16"/>
      </w:rPr>
      <w:t xml:space="preserve"> of </w:t>
    </w:r>
    <w:r>
      <w:rPr>
        <w:rFonts w:ascii="Calibri" w:hAnsi="Calibri"/>
        <w:b w:val="0"/>
        <w:i w:val="0"/>
        <w:color w:val="556168"/>
        <w:sz w:val="16"/>
      </w:rPr>
      <w:fldChar w:fldCharType="begin"/>
    </w:r>
    <w:r>
      <w:rPr>
        <w:rFonts w:ascii="Calibri" w:hAnsi="Calibri"/>
        <w:b w:val="0"/>
        <w:i w:val="0"/>
        <w:color w:val="556168"/>
        <w:sz w:val="16"/>
      </w:rPr>
      <w:instrText xml:space="preserve">NUMPAGES</w:instrText>
    </w:r>
    <w:r>
      <w:rPr>
        <w:rFonts w:ascii="Calibri" w:hAnsi="Calibri"/>
        <w:b w:val="0"/>
        <w:i w:val="0"/>
        <w:color w:val="55616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Workplace &amp; HR Dispute Resolution —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40C2F2D-5DA9-4D61-9403-44ED6CF75DAD}"/>
</file>

<file path=customXml/itemProps3.xml><?xml version="1.0" encoding="utf-8"?>
<ds:datastoreItem xmlns:ds="http://schemas.openxmlformats.org/officeDocument/2006/customXml" ds:itemID="{4DD8A9E2-DF5A-4715-9713-6FCD95F58D93}"/>
</file>

<file path=customXml/itemProps4.xml><?xml version="1.0" encoding="utf-8"?>
<ds:datastoreItem xmlns:ds="http://schemas.openxmlformats.org/officeDocument/2006/customXml" ds:itemID="{D844BDC0-5E1B-4CDE-B697-FEB38926EEE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