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Notice to the Other Party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by Equator inviting the other party to participate.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Delivery channel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SUBJECT: INVITATION TO RESOLVE A WORKPLACE DISPUTE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Equator Resolution has received a request to resolve a workplace/HR dispute to which you are a party. The process is voluntary, confidential and time-bound; a mediated settlement is enforceable as a decree.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Brief nature of the dispute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Response due within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Please file your Response (Form F-W05) within 14 days. If we do not hear from you, a non-commencement report will be issued and the applicant may pursue other remedies.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Manager, 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F-W03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79DB26-A27C-4B80-8E76-18194A91B55D}"/>
</file>

<file path=customXml/itemProps3.xml><?xml version="1.0" encoding="utf-8"?>
<ds:datastoreItem xmlns:ds="http://schemas.openxmlformats.org/officeDocument/2006/customXml" ds:itemID="{68F803EA-FFA5-4C79-8A66-1CA31362C03A}"/>
</file>

<file path=customXml/itemProps4.xml><?xml version="1.0" encoding="utf-8"?>
<ds:datastoreItem xmlns:ds="http://schemas.openxmlformats.org/officeDocument/2006/customXml" ds:itemID="{8D53C35C-50A9-4805-A7B4-1AA770AC5D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