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F-W04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Employee Grievance Form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For an employee to record a workplace grievance (pay, conditions, treatment, benefits).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Employee name &amp; ID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Department / manager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NATURE OF GRIEVANCE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This grievance concerns: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Wages / dues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Working conditions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Treatment / conduct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Benefits (PF/ESI/gratuity)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Leave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Discrimination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Describe the grievance (facts, dates)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Raised with manager/HR earlier? (date)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Outcome so far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RELIEF SOUGHT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What outcome do you want?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Grievances are handled confidentially. Under the Industrial Relations Code, 2020, an establishment of the notified size maintains a Grievance Redressal Committee; Equator can mediate where the matter is unresolved.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Employee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Received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F-W04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DE5033-B73E-485E-B9C7-2ACF8A3D70AA}"/>
</file>

<file path=customXml/itemProps3.xml><?xml version="1.0" encoding="utf-8"?>
<ds:datastoreItem xmlns:ds="http://schemas.openxmlformats.org/officeDocument/2006/customXml" ds:itemID="{D40139F7-CAD7-4F71-8A81-9A2ADA149A08}"/>
</file>

<file path=customXml/itemProps4.xml><?xml version="1.0" encoding="utf-8"?>
<ds:datastoreItem xmlns:ds="http://schemas.openxmlformats.org/officeDocument/2006/customXml" ds:itemID="{1EC38D34-68BB-42AD-84E9-81774B3690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