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F-W05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Workplace &amp; HR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Response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The other party's reply.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Responding party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PARTY DETAILS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Role (Employer / Employee / Ex-employee / Contractor / Union rep)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Designation / Employee ID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Organisation / Establishment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PAN / Aadhaar (masked)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Address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Mobile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Email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Authorised representative / advocate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POSITION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We: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Agree to participate and settle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Dispute the claim (state below)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Object to jurisdiction / propose the correct forum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Response to the claim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COUNTER-CLAIM / SET-OFF (if any)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Responding party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Received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F-W05  ·  Confidential  ·  This form takes legal effect subject to the POSH Act, 2013, the Labour Codes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A43495-6E29-43D0-8BB1-11301067FE76}"/>
</file>

<file path=customXml/itemProps3.xml><?xml version="1.0" encoding="utf-8"?>
<ds:datastoreItem xmlns:ds="http://schemas.openxmlformats.org/officeDocument/2006/customXml" ds:itemID="{FF789336-96F8-453B-87D4-4B705E265222}"/>
</file>

<file path=customXml/itemProps4.xml><?xml version="1.0" encoding="utf-8"?>
<ds:datastoreItem xmlns:ds="http://schemas.openxmlformats.org/officeDocument/2006/customXml" ds:itemID="{0EF8E13F-8718-4CC0-B879-5D2FD176A5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