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Neutral Selection &amp; Disclosure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Appointment of the mediator/conciliator and independence disclosure.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Proposed 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Grade (A/B/C)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Expertise (HR/ER/POSH/labour)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PARTY PREFERENCES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Preference: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Accept the proposed neutral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Request an alternative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Prefer a woman neutral (esp. POSH-related)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BY THE NEUTRAL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independent and impartial and have no conflict with either party.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disclose anything that may give rise to justifiable doubts, and will keep the process confidential.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not give legal advice or decide the dispute; I will facilitate a voluntary settlement.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 party may challenge a neutral for justifiable doubts as to independence or impartiality; the Institution decides the challenge.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F-W06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51EB64-CBC4-481D-AC1B-82DAC592DB1A}"/>
</file>

<file path=customXml/itemProps3.xml><?xml version="1.0" encoding="utf-8"?>
<ds:datastoreItem xmlns:ds="http://schemas.openxmlformats.org/officeDocument/2006/customXml" ds:itemID="{0688B401-9435-46BE-A519-861BAAF2116D}"/>
</file>

<file path=customXml/itemProps4.xml><?xml version="1.0" encoding="utf-8"?>
<ds:datastoreItem xmlns:ds="http://schemas.openxmlformats.org/officeDocument/2006/customXml" ds:itemID="{F9D8F9FB-B917-4D50-AEA4-AF1CD787EF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