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F-W08</w:t>
            </w:r>
          </w:p>
          <w:p>
            <w:pPr>
              <w:spacing w:after="0"/>
              <w:jc w:val="right"/>
            </w:pPr>
            <w:r>
              <w:rPr>
                <w:rFonts w:ascii="Calibri" w:hAnsi="Calibri"/>
                <w:b w:val="0"/>
                <w:i w:val="0"/>
                <w:color w:val="556168"/>
                <w:sz w:val="16"/>
              </w:rPr>
              <w:t>Workplace &amp; HR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POSH Section 10 Conciliation — Request &amp; Terms</w:t>
      </w:r>
    </w:p>
    <w:p>
      <w:pPr>
        <w:spacing w:after="120"/>
      </w:pPr>
      <w:r>
        <w:rPr>
          <w:rFonts w:ascii="Calibri" w:hAnsi="Calibri"/>
          <w:b w:val="0"/>
          <w:i/>
          <w:color w:val="556168"/>
          <w:sz w:val="19"/>
        </w:rPr>
        <w:t>Records a conciliation under s.10 of the POSH Act — only at the aggrieved woman's request, and never on a monetary basis.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Complaint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A.  REQUEST (by the aggrieved woman only)</w:t>
            </w:r>
          </w:p>
        </w:tc>
      </w:tr>
    </w:tbl>
    <w:p>
      <w:pPr>
        <w:spacing w:after="2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DECLARATION &amp; UNDERTAKING</w:t>
            </w:r>
          </w:p>
        </w:tc>
      </w:tr>
    </w:tbl>
    <w:p>
      <w:pPr>
        <w:spacing w:after="20"/>
      </w:pPr>
    </w:p>
    <w:p>
      <w:pPr>
        <w:spacing w:after="60"/>
        <w:jc w:val="both"/>
      </w:pPr>
      <w:r>
        <w:rPr>
          <w:rFonts w:ascii="Calibri" w:hAnsi="Calibri"/>
          <w:b w:val="0"/>
          <w:i w:val="0"/>
          <w:color w:val="1B2A32"/>
          <w:sz w:val="18"/>
        </w:rPr>
        <w:t xml:space="preserve">☐  </w:t>
      </w:r>
      <w:r>
        <w:rPr>
          <w:rFonts w:ascii="Calibri" w:hAnsi="Calibri"/>
          <w:b w:val="0"/>
          <w:i w:val="0"/>
          <w:color w:val="1B2A32"/>
          <w:sz w:val="18"/>
        </w:rPr>
        <w:t>I request conciliation under s.10 before any inquiry. This is my own request; it has not been suggested to me as a condition.</w:t>
      </w:r>
    </w:p>
    <w:p>
      <w:pPr>
        <w:spacing w:after="60"/>
        <w:jc w:val="both"/>
      </w:pPr>
      <w:r>
        <w:rPr>
          <w:rFonts w:ascii="Calibri" w:hAnsi="Calibri"/>
          <w:b w:val="0"/>
          <w:i w:val="0"/>
          <w:color w:val="1B2A32"/>
          <w:sz w:val="18"/>
        </w:rPr>
        <w:t xml:space="preserve">☐  </w:t>
      </w:r>
      <w:r>
        <w:rPr>
          <w:rFonts w:ascii="Calibri" w:hAnsi="Calibri"/>
          <w:b w:val="0"/>
          <w:i w:val="0"/>
          <w:color w:val="1B2A32"/>
          <w:sz w:val="18"/>
        </w:rPr>
        <w:t>I understand that no monetary settlement can be made the basis of conciliation, and that I may opt for an inquiry at any time.</w:t>
      </w: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B.  TERMS OF SETTLEMENT (if reached)</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9792"/>
      </w:tblGrid>
      <w:tr>
        <w:tc>
          <w:tcPr>
            <w:tcW w:type="dxa" w:w="9792"/>
            <w:shd w:val="clear" w:color="auto" w:fill="123B4F"/>
            <w:tcMar>
              <w:top w:w="50" w:type="dxa"/>
              <w:bottom w:w="50" w:type="dxa"/>
              <w:start w:w="100" w:type="dxa"/>
              <w:end w:w="100" w:type="dxa"/>
            </w:tcMar>
          </w:tcPr>
          <w:p>
            <w:pPr>
              <w:spacing w:after="0"/>
            </w:pPr>
            <w:r>
              <w:rPr>
                <w:rFonts w:ascii="Calibri" w:hAnsi="Calibri"/>
                <w:b/>
                <w:i w:val="0"/>
                <w:color w:val="FFFFFF"/>
                <w:sz w:val="17"/>
              </w:rPr>
              <w:t>Agreed terms (e.g., corrective action, apology, transfer, assurance of no retaliation)</w:t>
            </w:r>
          </w:p>
        </w:tc>
      </w:tr>
      <w:tr>
        <w:tc>
          <w:tcPr>
            <w:tcW w:type="dxa" w:w="9792"/>
            <w:tcMar>
              <w:top w:w="50" w:type="dxa"/>
              <w:bottom w:w="50" w:type="dxa"/>
              <w:start w:w="100" w:type="dxa"/>
              <w:end w:w="100" w:type="dxa"/>
            </w:tcMar>
          </w:tcPr>
          <w:p>
            <w:r>
              <w:t xml:space="preserve"> </w:t>
            </w:r>
          </w:p>
        </w:tc>
      </w:tr>
      <w:tr>
        <w:tc>
          <w:tcPr>
            <w:tcW w:type="dxa" w:w="9792"/>
            <w:tcMar>
              <w:top w:w="50" w:type="dxa"/>
              <w:bottom w:w="50" w:type="dxa"/>
              <w:start w:w="100" w:type="dxa"/>
              <w:end w:w="100" w:type="dxa"/>
            </w:tcMar>
            <w:shd w:val="clear" w:color="auto" w:fill="F3F7F9"/>
          </w:tcPr>
          <w:p>
            <w:r>
              <w:t xml:space="preserve"> </w:t>
            </w:r>
          </w:p>
        </w:tc>
      </w:tr>
      <w:tr>
        <w:tc>
          <w:tcPr>
            <w:tcW w:type="dxa" w:w="9792"/>
            <w:tcMar>
              <w:top w:w="50" w:type="dxa"/>
              <w:bottom w:w="50" w:type="dxa"/>
              <w:start w:w="100" w:type="dxa"/>
              <w:end w:w="100" w:type="dxa"/>
            </w:tcMar>
          </w:tcPr>
          <w:p>
            <w:r>
              <w:t xml:space="preserve"> </w:t>
            </w:r>
          </w:p>
        </w:tc>
      </w:tr>
      <w:tr>
        <w:tc>
          <w:tcPr>
            <w:tcW w:type="dxa" w:w="9792"/>
            <w:tcMar>
              <w:top w:w="50" w:type="dxa"/>
              <w:bottom w:w="50" w:type="dxa"/>
              <w:start w:w="100" w:type="dxa"/>
              <w:end w:w="100" w:type="dxa"/>
            </w:tcMar>
            <w:shd w:val="clear" w:color="auto" w:fill="F3F7F9"/>
          </w:tcPr>
          <w:p>
            <w:r>
              <w:t xml:space="preserve"> </w:t>
            </w:r>
          </w:p>
        </w:tc>
      </w:tr>
      <w:tr>
        <w:tc>
          <w:tcPr>
            <w:tcW w:type="dxa" w:w="9792"/>
            <w:tcMar>
              <w:top w:w="50" w:type="dxa"/>
              <w:bottom w:w="50" w:type="dxa"/>
              <w:start w:w="100" w:type="dxa"/>
              <w:end w:w="100" w:type="dxa"/>
            </w:tcMar>
          </w:tcPr>
          <w:p>
            <w:r>
              <w:t xml:space="preserve"> </w:t>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C.  RECORDING &amp; IMPLEMENTATION</w:t>
            </w:r>
          </w:p>
        </w:tc>
      </w:tr>
    </w:tbl>
    <w:p>
      <w:pPr>
        <w:spacing w:after="20"/>
      </w:pPr>
    </w:p>
    <w:p>
      <w:pPr>
        <w:spacing w:after="100"/>
        <w:jc w:val="both"/>
      </w:pPr>
      <w:r>
        <w:rPr>
          <w:rFonts w:ascii="Calibri" w:hAnsi="Calibri"/>
          <w:b w:val="0"/>
          <w:i w:val="0"/>
          <w:color w:val="1B2A32"/>
          <w:sz w:val="19"/>
        </w:rPr>
        <w:t>If a settlement is reached, the Internal Committee records the terms and forwards them to the employer for implementation, and provides copies to both parties. If the respondent does not comply, the Committee may proceed with an inquiry.</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Aggrieved person</w:t>
            </w:r>
          </w:p>
          <w:p>
            <w:pPr>
              <w:spacing w:after="0"/>
            </w:pPr>
            <w:r>
              <w:rPr>
                <w:rFonts w:ascii="Calibri" w:hAnsi="Calibri"/>
                <w:b w:val="0"/>
                <w:i/>
                <w:color w:val="556168"/>
                <w:sz w:val="15"/>
              </w:rPr>
              <w:t>Name / Signature / Date</w:t>
            </w:r>
          </w:p>
        </w:tc>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Respondent</w:t>
            </w:r>
          </w:p>
          <w:p>
            <w:pPr>
              <w:spacing w:after="0"/>
            </w:pPr>
            <w:r>
              <w:rPr>
                <w:rFonts w:ascii="Calibri" w:hAnsi="Calibri"/>
                <w:b w:val="0"/>
                <w:i/>
                <w:color w:val="556168"/>
                <w:sz w:val="15"/>
              </w:rPr>
              <w:t>Name / Signature / Date</w:t>
            </w:r>
          </w:p>
        </w:tc>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Presiding Officer, Internal Committee</w:t>
            </w:r>
          </w:p>
          <w:p>
            <w:pPr>
              <w:spacing w:after="0"/>
            </w:pPr>
            <w:r>
              <w:rPr>
                <w:rFonts w:ascii="Calibri" w:hAnsi="Calibri"/>
                <w:b w:val="0"/>
                <w:i/>
                <w:color w:val="556168"/>
                <w:sz w:val="15"/>
              </w:rPr>
              <w:t>Name / Signature / Date</w:t>
            </w:r>
          </w:p>
        </w:tc>
      </w:tr>
    </w:tbl>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Section 10 conciliation cannot be initiated by the Committee on its own or at the respondent's request, and cannot be based on any monetary settlement. This form supports, and does not replace, the Internal Committee's statutory role.</w:t>
            </w:r>
          </w:p>
        </w:tc>
      </w:tr>
    </w:tbl>
    <w:p>
      <w:pPr>
        <w:spacing w:after="40"/>
      </w:pP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F-W08  ·  Confidential  ·  This form takes legal effect subject to the POSH Act, 2013, the Labour Codes and the Mediation Act, 2023.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8DA570-C3B7-435B-9083-E878D9E6EBE2}"/>
</file>

<file path=customXml/itemProps3.xml><?xml version="1.0" encoding="utf-8"?>
<ds:datastoreItem xmlns:ds="http://schemas.openxmlformats.org/officeDocument/2006/customXml" ds:itemID="{C3D0600A-A997-4948-A3FB-8C10A1C8EF49}"/>
</file>

<file path=customXml/itemProps4.xml><?xml version="1.0" encoding="utf-8"?>
<ds:datastoreItem xmlns:ds="http://schemas.openxmlformats.org/officeDocument/2006/customXml" ds:itemID="{8EE904CE-AD0C-4B3E-8349-D41196B9991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