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Wage / Full-and-Final Settlement Agreement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Settles salary dues and full-and-final amounts, secured by escrow.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DUES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 (salary, arrears, leave encashment, bonus, gratuity) and amount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Gross dues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Deductions / recoveries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Net settlement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TERMS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net amount is in full and final settlement of all salary/benefit claims to the date of separation.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employer will issue the relieving and experience letters and settle PF/gratuity as applicable.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amount will be routed through escrow and released against relieving and return of assets.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MUTUAL RELEASE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Scope of release / carve-outs (e.g., statutory dues preserved)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 / Equator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Statutory entitlements (e.g., gratuity/PF) cannot be contracted out; a settlement records their proper payment, not their waiver.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F-W11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6F129A-6E7E-40F0-AFC2-AEC8E78DF6C7}"/>
</file>

<file path=customXml/itemProps3.xml><?xml version="1.0" encoding="utf-8"?>
<ds:datastoreItem xmlns:ds="http://schemas.openxmlformats.org/officeDocument/2006/customXml" ds:itemID="{290A5A5E-4759-4768-9161-F03E861F50E3}"/>
</file>

<file path=customXml/itemProps4.xml><?xml version="1.0" encoding="utf-8"?>
<ds:datastoreItem xmlns:ds="http://schemas.openxmlformats.org/officeDocument/2006/customXml" ds:itemID="{0A320456-F04A-4156-ACD2-B4D57029DA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