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Separation / Termination Settlement (Consent / MSA)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consent settlement of a termination/separation dispute, enforceable as a decree.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BACKGROUND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The dispute and how it is resolved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AGREED 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e.g., separation date, ex-gratia/compensation, notice-pay treatment, relieving &amp; reference, non-disparagement, confidentiality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ENFORCEABILITY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This is a mediated settlement agreement under the Mediation Act, 2023, enforceable as a decree (s.27).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Each party has had the opportunity to take independent legal advice.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 / 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F-W12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45DDAF-617F-463B-980B-40EB85555184}"/>
</file>

<file path=customXml/itemProps3.xml><?xml version="1.0" encoding="utf-8"?>
<ds:datastoreItem xmlns:ds="http://schemas.openxmlformats.org/officeDocument/2006/customXml" ds:itemID="{A1DEB14C-22B5-479C-A5E4-63BDA7756199}"/>
</file>

<file path=customXml/itemProps4.xml><?xml version="1.0" encoding="utf-8"?>
<ds:datastoreItem xmlns:ds="http://schemas.openxmlformats.org/officeDocument/2006/customXml" ds:itemID="{0AAE4155-6A12-4959-B239-B374123E77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