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F-W15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Workplace &amp; HR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Grievance Redressal Committee — Referral (IR Code)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Refers or records a matter before the establishment's Grievance Redressal Committee under the Industrial Relations Code, 2020.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Establishment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Employee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MATTER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The individual grievance referred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GRC COMPOSITION &amp; PROCESS</w:t>
            </w:r>
          </w:p>
        </w:tc>
      </w:tr>
    </w:tbl>
    <w:p>
      <w:pPr>
        <w:spacing w:after="20"/>
      </w:pPr>
    </w:p>
    <w:p>
      <w:pPr>
        <w:spacing w:after="100"/>
        <w:jc w:val="both"/>
      </w:pPr>
      <w:r>
        <w:rPr>
          <w:rFonts w:ascii="Calibri" w:hAnsi="Calibri"/>
          <w:b w:val="0"/>
          <w:i w:val="0"/>
          <w:color w:val="1B2A32"/>
          <w:sz w:val="19"/>
        </w:rPr>
        <w:t>The Grievance Redressal Committee (with adequate representation of women workers) considers the individual grievance within the statutory timeline; where unresolved, the worker may raise an industrial dispute. Equator can mediate the matter where lawful and both sides agree.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OUTCOME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Decision / referral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</w:tbl>
    <w:p>
      <w:pPr>
        <w:spacing w:after="40"/>
      </w:pP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GRC / HR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Employee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Equator (if mediating)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F-W15  ·  Confidential  ·  This form takes legal effect subject to the POSH Act, 2013, the Labour Codes and the Mediation Act, 2023.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AF57511-62AE-4BB4-9FD3-FE45B4ECEA3C}"/>
</file>

<file path=customXml/itemProps3.xml><?xml version="1.0" encoding="utf-8"?>
<ds:datastoreItem xmlns:ds="http://schemas.openxmlformats.org/officeDocument/2006/customXml" ds:itemID="{E4555E22-CD30-49BD-9FC0-CE28348B9BE5}"/>
</file>

<file path=customXml/itemProps4.xml><?xml version="1.0" encoding="utf-8"?>
<ds:datastoreItem xmlns:ds="http://schemas.openxmlformats.org/officeDocument/2006/customXml" ds:itemID="{B5A219C4-5068-4F0E-95C2-B8CD3AFD0E7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