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F-W16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Workplace &amp; HR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Escrow Instruction &amp; Release Schedule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Instructs the escrow agent to hold and release the settlement/F&amp;F sum on milestones.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Escrow bank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RELEASE MILESTONES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Milestone (e.g., signed settlement / relieving / return of assets) and amount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Funds are released only against the stated milestones, with a receipt and audit entry for each release.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final release triggers the relieving/experience letter and confirmation of PF/gratuity settlement.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Employer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3264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Escrow officer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F-W16  ·  Confidential  ·  This form takes legal effect subject to the POSH Act, 2013, the Labour Codes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6EA0F0-1E03-4631-B87C-68D865DE4E18}"/>
</file>

<file path=customXml/itemProps3.xml><?xml version="1.0" encoding="utf-8"?>
<ds:datastoreItem xmlns:ds="http://schemas.openxmlformats.org/officeDocument/2006/customXml" ds:itemID="{A53FC915-44BE-4550-BA43-5F50DDB14329}"/>
</file>

<file path=customXml/itemProps4.xml><?xml version="1.0" encoding="utf-8"?>
<ds:datastoreItem xmlns:ds="http://schemas.openxmlformats.org/officeDocument/2006/customXml" ds:itemID="{A554263C-687C-4AD8-8384-A8CF271685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