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F-W18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Full &amp; Final Settlement Statement (itemised)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An itemised computation of the full-and-final amount.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Employee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Employer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Last working day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EARNINGS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Component and amount (salary to date, arrears, leave encashment, bonus, gratuity)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DEDUCTIONS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Component and amount (notice shortfall, advances, asset recovery, statutory)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Gross earnings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deductions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Net payable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Prepared by (HR)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(Employee)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 / Equator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Use the F&amp;F / Gratuity / Notice-pay calculators to compute the figures. Statutory dues must be paid, not waived.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F-W18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CFD399-6C9B-4DC2-A92B-9F7793810D2B}"/>
</file>

<file path=customXml/itemProps3.xml><?xml version="1.0" encoding="utf-8"?>
<ds:datastoreItem xmlns:ds="http://schemas.openxmlformats.org/officeDocument/2006/customXml" ds:itemID="{2791B49B-5452-484B-80C1-52CCF2E738E3}"/>
</file>

<file path=customXml/itemProps4.xml><?xml version="1.0" encoding="utf-8"?>
<ds:datastoreItem xmlns:ds="http://schemas.openxmlformats.org/officeDocument/2006/customXml" ds:itemID="{F2B0BE96-31F1-4F91-9D4A-EAA75C4905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