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Model Employment ADR / Grievance Clause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inclusion in employment contracts, HR policies and settlement deeds.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MODEL CLAUSE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E7A8C"/>
          <w:left w:val="single" w:sz="4" w:space="0" w:color="1E7A8C"/>
          <w:bottom w:val="single" w:sz="4" w:space="0" w:color="1E7A8C"/>
          <w:right w:val="single" w:sz="4" w:space="0" w:color="1E7A8C"/>
          <w:insideH w:val="single" w:sz="4" w:space="0" w:color="1E7A8C"/>
          <w:insideV w:val="single" w:sz="4" w:space="0" w:color="1E7A8C"/>
        </w:tblBorders>
      </w:tblPr>
      <w:tblGrid>
        <w:gridCol w:w="9792"/>
      </w:tblGrid>
      <w:tr>
        <w:tc>
          <w:tcPr>
            <w:tcW w:type="dxa" w:w="9792"/>
            <w:shd w:val="clear" w:color="auto" w:fill="E4EEF1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B2A32"/>
                <w:sz w:val="17"/>
              </w:rPr>
              <w:t>"Any dispute arising out of or in connection with this employment — including as to wages, dues, separation, benefits or the interpretation of this contract — shall first be referred to mediation/conciliation administered by Equator Resolution under its Rules. This clause does not apply to a complaint of sexual harassment, which shall be dealt with by the Internal Committee under the POSH Act, 2013; nor does it bar either party from a statutory forum or the police where applicable."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Adapt to the role and settle with counsel. POSH complaints are never diverted from the Internal Committee.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F-W19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7065E7-EF10-4B07-BCE7-D97770C1D890}"/>
</file>

<file path=customXml/itemProps3.xml><?xml version="1.0" encoding="utf-8"?>
<ds:datastoreItem xmlns:ds="http://schemas.openxmlformats.org/officeDocument/2006/customXml" ds:itemID="{3E2DE9B1-BB0D-4108-A87F-A6066CD5D78A}"/>
</file>

<file path=customXml/itemProps4.xml><?xml version="1.0" encoding="utf-8"?>
<ds:datastoreItem xmlns:ds="http://schemas.openxmlformats.org/officeDocument/2006/customXml" ds:itemID="{A7642DE9-3764-461A-9194-1CA9C150E3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