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F-W20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Application for Time Extension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To extend a mediation timeline by consent.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Current due 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Extension sought (days)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Reason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Both parties consent to the extension.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extension is sought in good faith to reach a settlement.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B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POSH inquiry timelines are statutory (90 days) and are managed by the Internal Committee, not extended by this form.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F-W20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8B531C-B834-4FD2-9F14-410E12851675}"/>
</file>

<file path=customXml/itemProps3.xml><?xml version="1.0" encoding="utf-8"?>
<ds:datastoreItem xmlns:ds="http://schemas.openxmlformats.org/officeDocument/2006/customXml" ds:itemID="{89415954-4DA9-498D-BF95-3B236FB74241}"/>
</file>

<file path=customXml/itemProps4.xml><?xml version="1.0" encoding="utf-8"?>
<ds:datastoreItem xmlns:ds="http://schemas.openxmlformats.org/officeDocument/2006/customXml" ds:itemID="{F151A6B0-06FA-46E6-94D1-5D05D9B0CB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