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Neutral &amp; IC Toolkit and SOP Runbooks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For mediators, conciliators, Internal Committees, external members &amp; case managers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How to use this toolkit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toolkit equips Equator's neutrals, Internal-Committee (IC) support and case managers to run workplace resolutions consistently, fairly and within the statutory timelines. Part 1 is the mediator/conciliator toolkit; Part 2 the </w:t>
      </w:r>
      <w:r>
        <w:rPr>
          <w:rFonts w:ascii="Calibri" w:hAnsi="Calibri"/>
          <w:b/>
          <w:i w:val="0"/>
          <w:color w:val="1B2A32"/>
          <w:sz w:val="21"/>
        </w:rPr>
        <w:t>POSH &amp; Internal-Committee</w:t>
      </w:r>
      <w:r>
        <w:rPr>
          <w:rFonts w:ascii="Calibri" w:hAnsi="Calibri"/>
          <w:b w:val="0"/>
          <w:i w:val="0"/>
          <w:color w:val="1B2A32"/>
          <w:sz w:val="21"/>
        </w:rPr>
        <w:t xml:space="preserve"> runbook (handled with special care); Part 3 the case-manager &amp; escrow runbooks; Part 4 ethics &amp; protection; Part 5 checklists.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Part 1 — The Mediator / Conciliator's Toolkit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1.1  1.1 Opening statement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"This session is voluntary, confidential and without prejudice. I am neutral — I do not act for the employer or the employee, I will not decide anything, and I will not give legal advice. My role is to help you reach a fair, workable settlement. Nothing said here can be used against either of you later, subject to the legal exceptions."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1.2  1.2 Techniques for workplace money &amp; separation disputes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Separate </w:t>
      </w:r>
      <w:r>
        <w:rPr>
          <w:rFonts w:ascii="Calibri" w:hAnsi="Calibri"/>
          <w:b/>
          <w:i w:val="0"/>
          <w:color w:val="1B2A32"/>
          <w:sz w:val="21"/>
        </w:rPr>
        <w:t>positions from interests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cash flow, a clean reference, dignity, certainty, a fresh start.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Reality-test against the alternative — the </w:t>
      </w:r>
      <w:r>
        <w:rPr>
          <w:rFonts w:ascii="Calibri" w:hAnsi="Calibri"/>
          <w:b/>
          <w:i w:val="0"/>
          <w:color w:val="1B2A32"/>
          <w:sz w:val="21"/>
        </w:rPr>
        <w:t>cost, time and stress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a labour court or tribunal.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Use the </w:t>
      </w:r>
      <w:r>
        <w:rPr>
          <w:rFonts w:ascii="Calibri" w:hAnsi="Calibri"/>
          <w:b/>
          <w:i w:val="0"/>
          <w:color w:val="1B2A32"/>
          <w:sz w:val="21"/>
        </w:rPr>
        <w:t>F&amp;F, gratuity and notice/severance calculators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move to a transparent figure.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Bridge gaps with structure — </w:t>
      </w:r>
      <w:r>
        <w:rPr>
          <w:rFonts w:ascii="Calibri" w:hAnsi="Calibri"/>
          <w:b/>
          <w:i w:val="0"/>
          <w:color w:val="1B2A32"/>
          <w:sz w:val="21"/>
        </w:rPr>
        <w:t>staged payments, ex-gratia, notice-pay waiver, a fair reference, non-disparagement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Never settle away statutory dues</w:t>
      </w:r>
      <w:r>
        <w:rPr>
          <w:rFonts w:ascii="Calibri" w:hAnsi="Calibri"/>
          <w:b w:val="0"/>
          <w:i w:val="0"/>
          <w:color w:val="1B2A32"/>
          <w:sz w:val="21"/>
        </w:rPr>
        <w:t xml:space="preserve"> (gratuity/PF) — record their proper payment, not their waiver.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1.3  1.3 Recording the settlement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Reduce the agreement to a </w:t>
      </w:r>
      <w:r>
        <w:rPr>
          <w:rFonts w:ascii="Calibri" w:hAnsi="Calibri"/>
          <w:b/>
          <w:i w:val="0"/>
          <w:color w:val="1B2A32"/>
          <w:sz w:val="21"/>
        </w:rPr>
        <w:t>written settlement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(F-W11/F-W12): the figure, the schedule, the escrow, the relieving and experience letters, return of assets, and any mutual release and confidentiality. It is enforceable as a decree under s.27 of the Mediation Act, 2023.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Part 2 — POSH &amp; Internal-Committee Runbook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Overriding principles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Safety and the complainant's autonomy come first. The IC owns the process; Equator supports it. Never discourage a complaint. Conciliation (s.10) is available ONLY at the aggrieved woman's request and NEVER on a monetary basis. Maintain strict confidentiality (s.16). The criminal aspect is for the police.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2.1 Constituting &amp; supporting the Committee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Ensure the IC has a </w:t>
      </w:r>
      <w:r>
        <w:rPr>
          <w:rFonts w:ascii="Calibri" w:hAnsi="Calibri"/>
          <w:b/>
          <w:i w:val="0"/>
          <w:color w:val="1B2A32"/>
          <w:sz w:val="21"/>
        </w:rPr>
        <w:t>Presiding Officer</w:t>
      </w:r>
      <w:r>
        <w:rPr>
          <w:rFonts w:ascii="Calibri" w:hAnsi="Calibri"/>
          <w:b w:val="0"/>
          <w:i w:val="0"/>
          <w:color w:val="1B2A32"/>
          <w:sz w:val="21"/>
        </w:rPr>
        <w:t xml:space="preserve"> (senior woman), the required members, and at least one </w:t>
      </w:r>
      <w:r>
        <w:rPr>
          <w:rFonts w:ascii="Calibri" w:hAnsi="Calibri"/>
          <w:b/>
          <w:i w:val="0"/>
          <w:color w:val="1B2A32"/>
          <w:sz w:val="21"/>
        </w:rPr>
        <w:t>external member</w:t>
      </w:r>
      <w:r>
        <w:rPr>
          <w:rFonts w:ascii="Calibri" w:hAnsi="Calibri"/>
          <w:b w:val="0"/>
          <w:i w:val="0"/>
          <w:color w:val="1B2A32"/>
          <w:sz w:val="21"/>
        </w:rPr>
        <w:t xml:space="preserve"> (from an NGO/association for women, or familiar with sexual-harassment issues) — Equator provides trained external members.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Provide a </w:t>
      </w:r>
      <w:r>
        <w:rPr>
          <w:rFonts w:ascii="Calibri" w:hAnsi="Calibri"/>
          <w:b/>
          <w:i w:val="0"/>
          <w:color w:val="1B2A32"/>
          <w:sz w:val="21"/>
        </w:rPr>
        <w:t>sealed, access-controlled</w:t>
      </w:r>
      <w:r>
        <w:rPr>
          <w:rFonts w:ascii="Calibri" w:hAnsi="Calibri"/>
          <w:b w:val="0"/>
          <w:i w:val="0"/>
          <w:color w:val="1B2A32"/>
          <w:sz w:val="21"/>
        </w:rPr>
        <w:t xml:space="preserve"> case file and secure communications.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Brief the IC on natural justice, timelines and confidentiality; provide </w:t>
      </w:r>
      <w:r>
        <w:rPr>
          <w:rFonts w:ascii="Calibri" w:hAnsi="Calibri"/>
          <w:b/>
          <w:i w:val="0"/>
          <w:color w:val="1B2A32"/>
          <w:sz w:val="21"/>
        </w:rPr>
        <w:t>IC training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2.2  2.2 Conciliation under s.10 (only if requested)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Confirm the request comes from the </w:t>
      </w:r>
      <w:r>
        <w:rPr>
          <w:rFonts w:ascii="Calibri" w:hAnsi="Calibri"/>
          <w:b/>
          <w:i w:val="0"/>
          <w:color w:val="1B2A32"/>
          <w:sz w:val="21"/>
        </w:rPr>
        <w:t>aggrieved woman herself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not the respondent, not the IC.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Explain that </w:t>
      </w:r>
      <w:r>
        <w:rPr>
          <w:rFonts w:ascii="Calibri" w:hAnsi="Calibri"/>
          <w:b/>
          <w:i w:val="0"/>
          <w:color w:val="1B2A32"/>
          <w:sz w:val="21"/>
        </w:rPr>
        <w:t>no monetary settlement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can be the basis, and that she may opt for an inquiry at any time.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Facilitate terms (e.g., corrective action, apology, transfer, assurance of no retaliation); record them (F-W08).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IC forwards the recorded terms to the </w:t>
      </w:r>
      <w:r>
        <w:rPr>
          <w:rFonts w:ascii="Calibri" w:hAnsi="Calibri"/>
          <w:b/>
          <w:i w:val="0"/>
          <w:color w:val="1B2A32"/>
          <w:sz w:val="21"/>
        </w:rPr>
        <w:t>employer for implementation</w:t>
      </w:r>
      <w:r>
        <w:rPr>
          <w:rFonts w:ascii="Calibri" w:hAnsi="Calibri"/>
          <w:b w:val="0"/>
          <w:i w:val="0"/>
          <w:color w:val="1B2A32"/>
          <w:sz w:val="21"/>
        </w:rPr>
        <w:t>; provide copies to both parties.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If the respondent does not comply, the IC </w:t>
      </w:r>
      <w:r>
        <w:rPr>
          <w:rFonts w:ascii="Calibri" w:hAnsi="Calibri"/>
          <w:b/>
          <w:i w:val="0"/>
          <w:color w:val="1B2A32"/>
          <w:sz w:val="21"/>
        </w:rPr>
        <w:t>proceeds with an inquiry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2.3  2.3 The inquiry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Give the respondent the complaint and </w:t>
      </w:r>
      <w:r>
        <w:rPr>
          <w:rFonts w:ascii="Calibri" w:hAnsi="Calibri"/>
          <w:b/>
          <w:i w:val="0"/>
          <w:color w:val="1B2A32"/>
          <w:sz w:val="21"/>
        </w:rPr>
        <w:t>10 working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reply; hear both sides; allow evidence (natural justice).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Consider </w:t>
      </w:r>
      <w:r>
        <w:rPr>
          <w:rFonts w:ascii="Calibri" w:hAnsi="Calibri"/>
          <w:b/>
          <w:i w:val="0"/>
          <w:color w:val="1B2A32"/>
          <w:sz w:val="21"/>
        </w:rPr>
        <w:t>interim relief</w:t>
      </w:r>
      <w:r>
        <w:rPr>
          <w:rFonts w:ascii="Calibri" w:hAnsi="Calibri"/>
          <w:b w:val="0"/>
          <w:i w:val="0"/>
          <w:color w:val="1B2A32"/>
          <w:sz w:val="21"/>
        </w:rPr>
        <w:t xml:space="preserve"> (transfer, leave, stop-contact).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Complete within </w:t>
      </w:r>
      <w:r>
        <w:rPr>
          <w:rFonts w:ascii="Calibri" w:hAnsi="Calibri"/>
          <w:b/>
          <w:i w:val="0"/>
          <w:color w:val="1B2A32"/>
          <w:sz w:val="21"/>
        </w:rPr>
        <w:t>90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; submit the report to the employer within </w:t>
      </w:r>
      <w:r>
        <w:rPr>
          <w:rFonts w:ascii="Calibri" w:hAnsi="Calibri"/>
          <w:b/>
          <w:i w:val="0"/>
          <w:color w:val="1B2A32"/>
          <w:sz w:val="21"/>
        </w:rPr>
        <w:t>10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conclusion (F-W09).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employer acts within 60 days</w:t>
      </w:r>
      <w:r>
        <w:rPr>
          <w:rFonts w:ascii="Calibri" w:hAnsi="Calibri"/>
          <w:b w:val="0"/>
          <w:i w:val="0"/>
          <w:color w:val="1B2A32"/>
          <w:sz w:val="21"/>
        </w:rPr>
        <w:t xml:space="preserve">; either party may </w:t>
      </w:r>
      <w:r>
        <w:rPr>
          <w:rFonts w:ascii="Calibri" w:hAnsi="Calibri"/>
          <w:b/>
          <w:i w:val="0"/>
          <w:color w:val="1B2A32"/>
          <w:sz w:val="21"/>
        </w:rPr>
        <w:t>appeal within 90 days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Part 3 — Case-Manager &amp; Escrow Runbooks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3.1  3.1 Case-manager runbook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Intake:</w:t>
      </w:r>
      <w:r>
        <w:rPr>
          <w:rFonts w:ascii="Calibri" w:hAnsi="Calibri"/>
          <w:b w:val="0"/>
          <w:i w:val="0"/>
          <w:color w:val="1B2A32"/>
          <w:sz w:val="21"/>
        </w:rPr>
        <w:t xml:space="preserve"> verify KYC &amp; consent (F-W01); run the </w:t>
      </w:r>
      <w:r>
        <w:rPr>
          <w:rFonts w:ascii="Calibri" w:hAnsi="Calibri"/>
          <w:b/>
          <w:i w:val="0"/>
          <w:color w:val="1B2A32"/>
          <w:sz w:val="21"/>
        </w:rPr>
        <w:t>route triage</w:t>
      </w:r>
      <w:r>
        <w:rPr>
          <w:rFonts w:ascii="Calibri" w:hAnsi="Calibri"/>
          <w:b w:val="0"/>
          <w:i w:val="0"/>
          <w:color w:val="1B2A32"/>
          <w:sz w:val="21"/>
        </w:rPr>
        <w:t xml:space="preserve"> (mediable / POSH / statutory); register.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Route:</w:t>
      </w:r>
      <w:r>
        <w:rPr>
          <w:rFonts w:ascii="Calibri" w:hAnsi="Calibri"/>
          <w:b w:val="0"/>
          <w:i w:val="0"/>
          <w:color w:val="1B2A32"/>
          <w:sz w:val="21"/>
        </w:rPr>
        <w:t xml:space="preserve"> POSH → sealed mode &amp; IC; statutory-only → signpost IR-Code machinery; mediable → mediation.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Notice &amp; response:</w:t>
      </w:r>
      <w:r>
        <w:rPr>
          <w:rFonts w:ascii="Calibri" w:hAnsi="Calibri"/>
          <w:b w:val="0"/>
          <w:i w:val="0"/>
          <w:color w:val="1B2A32"/>
          <w:sz w:val="21"/>
        </w:rPr>
        <w:t xml:space="preserve"> invite the other party (F-W03); collect the response (F-W05).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Neutral:</w:t>
      </w:r>
      <w:r>
        <w:rPr>
          <w:rFonts w:ascii="Calibri" w:hAnsi="Calibri"/>
          <w:b w:val="0"/>
          <w:i w:val="0"/>
          <w:color w:val="1B2A32"/>
          <w:sz w:val="21"/>
        </w:rPr>
        <w:t xml:space="preserve"> appoint a conflict-checked neutral (F-W06); for POSH, arrange the external member (F-W10).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Sessions:</w:t>
      </w:r>
      <w:r>
        <w:rPr>
          <w:rFonts w:ascii="Calibri" w:hAnsi="Calibri"/>
          <w:b w:val="0"/>
          <w:i w:val="0"/>
          <w:color w:val="1B2A32"/>
          <w:sz w:val="21"/>
        </w:rPr>
        <w:t xml:space="preserve"> schedule; keep vulnerable parties protected; manage extensions (F-W20).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Settlement:</w:t>
      </w:r>
      <w:r>
        <w:rPr>
          <w:rFonts w:ascii="Calibri" w:hAnsi="Calibri"/>
          <w:b w:val="0"/>
          <w:i w:val="0"/>
          <w:color w:val="1B2A32"/>
          <w:sz w:val="21"/>
        </w:rPr>
        <w:t xml:space="preserve"> support F&amp;F/MSA (F-W11/F-W12); set up </w:t>
      </w:r>
      <w:r>
        <w:rPr>
          <w:rFonts w:ascii="Calibri" w:hAnsi="Calibri"/>
          <w:b/>
          <w:i w:val="0"/>
          <w:color w:val="1B2A32"/>
          <w:sz w:val="21"/>
        </w:rPr>
        <w:t>escrow</w:t>
      </w:r>
      <w:r>
        <w:rPr>
          <w:rFonts w:ascii="Calibri" w:hAnsi="Calibri"/>
          <w:b w:val="0"/>
          <w:i w:val="0"/>
          <w:color w:val="1B2A32"/>
          <w:sz w:val="21"/>
        </w:rPr>
        <w:t xml:space="preserve"> (F-W16); ensure statutory dues are paid.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Closure:</w:t>
      </w:r>
      <w:r>
        <w:rPr>
          <w:rFonts w:ascii="Calibri" w:hAnsi="Calibri"/>
          <w:b w:val="0"/>
          <w:i w:val="0"/>
          <w:color w:val="1B2A32"/>
          <w:sz w:val="21"/>
        </w:rPr>
        <w:t xml:space="preserve"> relieving &amp; experience letters; closure report (F-W17); maintain the confidential audit trail.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3.2  3.2 Escrow-officer runbook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Confirm the escrow instruction (F-W16), amount and source; complete KYC/PMLA.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Release each tranche only on the milestone (signed settlement / relieving / return of assets); receipt &amp; audit-log.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On the </w:t>
      </w:r>
      <w:r>
        <w:rPr>
          <w:rFonts w:ascii="Calibri" w:hAnsi="Calibri"/>
          <w:b/>
          <w:i w:val="0"/>
          <w:color w:val="1B2A32"/>
          <w:sz w:val="21"/>
        </w:rPr>
        <w:t>final</w:t>
      </w:r>
      <w:r>
        <w:rPr>
          <w:rFonts w:ascii="Calibri" w:hAnsi="Calibri"/>
          <w:b w:val="0"/>
          <w:i w:val="0"/>
          <w:color w:val="1B2A32"/>
          <w:sz w:val="21"/>
        </w:rPr>
        <w:t xml:space="preserve"> release, trigger the relieving/experience letter and confirm PF/gratuity settlement.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Part 4 — Ethics &amp;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EE4"/>
            <w:tcBorders>
              <w:start w:val="single" w:sz="22" w:space="0" w:color="2E7D5B"/>
            </w:tcBorders>
          </w:tcPr>
          <w:p>
            <w:r>
              <w:rPr>
                <w:rFonts w:ascii="Calibri" w:hAnsi="Calibri"/>
                <w:b/>
                <w:i w:val="0"/>
                <w:color w:val="2E7D5B"/>
                <w:sz w:val="18"/>
              </w:rPr>
              <w:t>Neutrality &amp; no coercion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Never pressure an employee into an unfair settlement, and never lend the Institution's weight to an employer. A settlement must be genuinely voluntary.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Statutory dues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Never agree language that waives gratuity, PF or other statutory entitlements — record their proper payment.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POSH confidentiality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Keep the complaint, identities and proceedings confidential (s.16); breach is an offence.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Vulnerable parties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Watch for distress or power imbalance; allow time and independent advice; pause where informed consent is doubtful.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Part 5 — Checklists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Intake &amp; route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KYC &amp; consent (F-W01)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Route confirmed (mediable / POSH / statutory)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POSH → sealed mode &amp; external member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Neutral conflict-cleared (F-W06)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POSH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IC properly constituted (incl. external member)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Conciliation only on the woman's request; no monetary basis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Inquiry within 90 days; report in 10 days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Confidentiality (s.16) maintained throughout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Settlement &amp; closure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Figure computed with calculators; statutory dues paid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Escrow instruction in place (F-W16)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Settlement e-signed &amp; e-stamped (F-W11/F-W12)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Relieving &amp; experience letters issued; closure report (F-W17)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Equator supports employers' Internal Committees and mediates workplace disputes; it does not replace the IC, the GRC or the courts. This toolkit is operational guidance,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84D726-6DF5-4946-ACEE-9079EF504F7E}"/>
</file>

<file path=customXml/itemProps3.xml><?xml version="1.0" encoding="utf-8"?>
<ds:datastoreItem xmlns:ds="http://schemas.openxmlformats.org/officeDocument/2006/customXml" ds:itemID="{72DACD48-6083-4D6E-844B-5CB2D3CD9954}"/>
</file>

<file path=customXml/itemProps4.xml><?xml version="1.0" encoding="utf-8"?>
<ds:datastoreItem xmlns:ds="http://schemas.openxmlformats.org/officeDocument/2006/customXml" ds:itemID="{535DE5C5-4613-426A-BBF0-095167E800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