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Mediation, Conciliation &amp; POSH Support</w:t>
      </w:r>
    </w:p>
    <w:p>
      <w:pPr>
        <w:pBdr>
          <w:top w:val="single" w:sz="14" w:space="6" w:color="C6A15B"/>
          <w:bottom w:val="single" w:sz="14" w:space="6" w:color="C6A15B"/>
        </w:pBdr>
      </w:pPr>
    </w:p>
    <w:p>
      <w:pPr>
        <w:spacing w:before="600"/>
        <w:jc w:val="center"/>
      </w:pPr>
      <w:r>
        <w:rPr>
          <w:rFonts w:ascii="Calibri" w:hAnsi="Calibri"/>
          <w:b/>
          <w:i w:val="0"/>
          <w:color w:val="123B4F"/>
          <w:sz w:val="48"/>
        </w:rPr>
        <w:t>Resolve a Workplace Dispute — Fairly, and in Weeks</w:t>
      </w:r>
    </w:p>
    <w:p>
      <w:pPr>
        <w:jc w:val="center"/>
      </w:pPr>
      <w:r>
        <w:rPr>
          <w:rFonts w:ascii="Calibri" w:hAnsi="Calibri"/>
          <w:b w:val="0"/>
          <w:i/>
          <w:color w:val="556168"/>
          <w:sz w:val="25"/>
        </w:rPr>
        <w:t>A guide for employees and employers</w:t>
      </w:r>
    </w:p>
    <w:p/>
    <w:p/>
    <w:p/>
    <w:p/>
    <w:p/>
    <w:p/>
    <w:p/>
    <w:p/>
    <w:p>
      <w:pPr>
        <w:jc w:val="center"/>
      </w:pPr>
      <w:r>
        <w:rPr>
          <w:rFonts w:ascii="Calibri" w:hAnsi="Calibri"/>
          <w:b/>
          <w:i w:val="0"/>
          <w:color w:val="1E7A8C"/>
          <w:sz w:val="22"/>
        </w:rPr>
        <w:t>Workplace &amp; HR Dispute Resolution vertical</w:t>
      </w:r>
    </w:p>
    <w:p>
      <w:pPr>
        <w:jc w:val="center"/>
      </w:pPr>
      <w:r>
        <w:rPr>
          <w:rFonts w:ascii="Calibri" w:hAnsi="Calibri"/>
          <w:b w:val="0"/>
          <w:i w:val="0"/>
          <w:color w:val="556168"/>
          <w:sz w:val="19"/>
        </w:rPr>
        <w:t>July 2026  ·  Draft for legal sign-off  ·  www.equatorresolution.com</w:t>
      </w:r>
    </w:p>
    <w:p>
      <w:r>
        <w:br w:type="page"/>
      </w:r>
    </w:p>
    <w:p>
      <w:pPr>
        <w:spacing w:after="120"/>
        <w:jc w:val="both"/>
      </w:pPr>
      <w:r>
        <w:rPr>
          <w:rFonts w:ascii="Calibri" w:hAnsi="Calibri"/>
          <w:b w:val="0"/>
          <w:i w:val="0"/>
          <w:color w:val="1B2A32"/>
          <w:sz w:val="21"/>
        </w:rPr>
        <w:t xml:space="preserve">A workplace dispute — unpaid dues, a contested exit, a grievance, or harassment — does not have to mean years in a labour court or a damaged reputation. </w:t>
      </w:r>
      <w:r>
        <w:rPr>
          <w:rFonts w:ascii="Calibri" w:hAnsi="Calibri"/>
          <w:b/>
          <w:i w:val="0"/>
          <w:color w:val="1B2A32"/>
          <w:sz w:val="21"/>
        </w:rPr>
        <w:t>Equator Resolution</w:t>
      </w:r>
      <w:r>
        <w:rPr>
          <w:rFonts w:ascii="Calibri" w:hAnsi="Calibri"/>
          <w:b w:val="0"/>
          <w:i w:val="0"/>
          <w:color w:val="1B2A32"/>
          <w:sz w:val="21"/>
        </w:rPr>
        <w:t xml:space="preserve"> is an institutional mediation and settlement centre that helps employees and employers reach a fair, binding outcome — quickly, confidentially, and largely online — and that supports employers' POSH obligations.</w:t>
      </w:r>
    </w:p>
    <w:p>
      <w:pPr>
        <w:keepNext/>
        <w:spacing w:before="280" w:after="120"/>
        <w:pBdr>
          <w:bottom w:val="single" w:sz="12" w:space="3" w:color="C6A15B"/>
        </w:pBdr>
      </w:pPr>
      <w:r>
        <w:rPr>
          <w:rFonts w:ascii="Calibri" w:hAnsi="Calibri"/>
          <w:b/>
          <w:i w:val="0"/>
          <w:color w:val="123B4F"/>
          <w:sz w:val="32"/>
        </w:rPr>
        <w:t>What we help with</w:t>
      </w:r>
    </w:p>
    <w:p>
      <w:pPr>
        <w:pStyle w:val="ListBullet"/>
        <w:spacing w:after="60"/>
        <w:jc w:val="both"/>
      </w:pPr>
      <w:r>
        <w:rPr>
          <w:rFonts w:ascii="Calibri" w:hAnsi="Calibri"/>
          <w:b/>
          <w:i w:val="0"/>
          <w:color w:val="1B2A32"/>
          <w:sz w:val="21"/>
        </w:rPr>
        <w:t>Wages &amp; full-and-final (F&amp;F)</w:t>
      </w:r>
      <w:r>
        <w:rPr>
          <w:rFonts w:ascii="Calibri" w:hAnsi="Calibri"/>
          <w:b w:val="0"/>
          <w:i w:val="0"/>
          <w:color w:val="1B2A32"/>
          <w:sz w:val="21"/>
        </w:rPr>
        <w:t xml:space="preserve"> — unpaid salary, arrears, leave encashment, gratuity, and a clean exit.</w:t>
      </w:r>
    </w:p>
    <w:p>
      <w:pPr>
        <w:pStyle w:val="ListBullet"/>
        <w:spacing w:after="60"/>
        <w:jc w:val="both"/>
      </w:pPr>
      <w:r>
        <w:rPr>
          <w:rFonts w:ascii="Calibri" w:hAnsi="Calibri"/>
          <w:b/>
          <w:i w:val="0"/>
          <w:color w:val="1B2A32"/>
          <w:sz w:val="21"/>
        </w:rPr>
        <w:t>Termination &amp; separation</w:t>
      </w:r>
      <w:r>
        <w:rPr>
          <w:rFonts w:ascii="Calibri" w:hAnsi="Calibri"/>
          <w:b w:val="0"/>
          <w:i w:val="0"/>
          <w:color w:val="1B2A32"/>
          <w:sz w:val="21"/>
        </w:rPr>
        <w:t xml:space="preserve"> — contested dismissal, notice period, severance, and mutual separation.</w:t>
      </w:r>
    </w:p>
    <w:p>
      <w:pPr>
        <w:pStyle w:val="ListBullet"/>
        <w:spacing w:after="60"/>
        <w:jc w:val="both"/>
      </w:pPr>
      <w:r>
        <w:rPr>
          <w:rFonts w:ascii="Calibri" w:hAnsi="Calibri"/>
          <w:b/>
          <w:i w:val="0"/>
          <w:color w:val="1B2A32"/>
          <w:sz w:val="21"/>
        </w:rPr>
        <w:t>Grievances</w:t>
      </w:r>
      <w:r>
        <w:rPr>
          <w:rFonts w:ascii="Calibri" w:hAnsi="Calibri"/>
          <w:b w:val="0"/>
          <w:i w:val="0"/>
          <w:color w:val="1B2A32"/>
          <w:sz w:val="21"/>
        </w:rPr>
        <w:t xml:space="preserve"> — pay, conditions, treatment and benefits.</w:t>
      </w:r>
    </w:p>
    <w:p>
      <w:pPr>
        <w:pStyle w:val="ListBullet"/>
        <w:spacing w:after="60"/>
        <w:jc w:val="both"/>
      </w:pPr>
      <w:r>
        <w:rPr>
          <w:rFonts w:ascii="Calibri" w:hAnsi="Calibri"/>
          <w:b/>
          <w:i w:val="0"/>
          <w:color w:val="1B2A32"/>
          <w:sz w:val="21"/>
        </w:rPr>
        <w:t>Sexual harassment (POSH)</w:t>
      </w:r>
      <w:r>
        <w:rPr>
          <w:rFonts w:ascii="Calibri" w:hAnsi="Calibri"/>
          <w:b w:val="0"/>
          <w:i w:val="0"/>
          <w:color w:val="1B2A32"/>
          <w:sz w:val="21"/>
        </w:rPr>
        <w:t xml:space="preserve"> — we support the Internal Committee with trained external members and a confidential process.</w:t>
      </w:r>
    </w:p>
    <w:p>
      <w:pPr>
        <w:pStyle w:val="ListBullet"/>
        <w:spacing w:after="60"/>
        <w:jc w:val="both"/>
      </w:pPr>
      <w:r>
        <w:rPr>
          <w:rFonts w:ascii="Calibri" w:hAnsi="Calibri"/>
          <w:b w:val="0"/>
          <w:i w:val="0"/>
          <w:color w:val="1B2A32"/>
          <w:sz w:val="21"/>
        </w:rPr>
        <w:t xml:space="preserve">Not sure where to start? Our </w:t>
      </w:r>
      <w:r>
        <w:rPr>
          <w:rFonts w:ascii="Calibri" w:hAnsi="Calibri"/>
          <w:b/>
          <w:i w:val="0"/>
          <w:color w:val="1B2A32"/>
          <w:sz w:val="21"/>
        </w:rPr>
        <w:t>AI Dispute Explorer</w:t>
      </w:r>
      <w:r>
        <w:rPr>
          <w:rFonts w:ascii="Calibri" w:hAnsi="Calibri"/>
          <w:b w:val="0"/>
          <w:i w:val="0"/>
          <w:color w:val="1B2A32"/>
          <w:sz w:val="21"/>
        </w:rPr>
        <w:t xml:space="preserve"> recommends the route, explains your rights, and drafts your complaint.</w:t>
      </w:r>
    </w:p>
    <w:p>
      <w:pPr>
        <w:keepNext/>
        <w:spacing w:before="280" w:after="120"/>
        <w:pBdr>
          <w:bottom w:val="single" w:sz="12" w:space="3" w:color="C6A15B"/>
        </w:pBdr>
      </w:pPr>
      <w:r>
        <w:rPr>
          <w:rFonts w:ascii="Calibri" w:hAnsi="Calibri"/>
          <w:b/>
          <w:i w:val="0"/>
          <w:color w:val="123B4F"/>
          <w:sz w:val="32"/>
        </w:rPr>
        <w:t>Why employees and employers choose Equator</w:t>
      </w:r>
    </w:p>
    <w:p>
      <w:pPr>
        <w:pStyle w:val="ListBullet"/>
        <w:spacing w:after="60"/>
        <w:jc w:val="both"/>
      </w:pPr>
      <w:r>
        <w:rPr>
          <w:rFonts w:ascii="Calibri" w:hAnsi="Calibri"/>
          <w:b/>
          <w:i w:val="0"/>
          <w:color w:val="1B2A32"/>
          <w:sz w:val="21"/>
        </w:rPr>
        <w:t>Fair &amp; neutral</w:t>
      </w:r>
      <w:r>
        <w:rPr>
          <w:rFonts w:ascii="Calibri" w:hAnsi="Calibri"/>
          <w:b w:val="0"/>
          <w:i w:val="0"/>
          <w:color w:val="1B2A32"/>
          <w:sz w:val="21"/>
        </w:rPr>
        <w:t xml:space="preserve"> — we act for neither side; no coercion.</w:t>
      </w:r>
    </w:p>
    <w:p>
      <w:pPr>
        <w:pStyle w:val="ListBullet"/>
        <w:spacing w:after="60"/>
        <w:jc w:val="both"/>
      </w:pPr>
      <w:r>
        <w:rPr>
          <w:rFonts w:ascii="Calibri" w:hAnsi="Calibri"/>
          <w:b/>
          <w:i w:val="0"/>
          <w:color w:val="1B2A32"/>
          <w:sz w:val="21"/>
        </w:rPr>
        <w:t>A clean exit</w:t>
      </w:r>
      <w:r>
        <w:rPr>
          <w:rFonts w:ascii="Calibri" w:hAnsi="Calibri"/>
          <w:b w:val="0"/>
          <w:i w:val="0"/>
          <w:color w:val="1B2A32"/>
          <w:sz w:val="21"/>
        </w:rPr>
        <w:t xml:space="preserve"> — relieving and experience letters, return of assets, and a mutual release.</w:t>
      </w:r>
    </w:p>
    <w:p>
      <w:pPr>
        <w:pStyle w:val="ListBullet"/>
        <w:spacing w:after="60"/>
        <w:jc w:val="both"/>
      </w:pPr>
      <w:r>
        <w:rPr>
          <w:rFonts w:ascii="Calibri" w:hAnsi="Calibri"/>
          <w:b/>
          <w:i w:val="0"/>
          <w:color w:val="1B2A32"/>
          <w:sz w:val="21"/>
        </w:rPr>
        <w:t>Binding &amp; enforceable</w:t>
      </w:r>
      <w:r>
        <w:rPr>
          <w:rFonts w:ascii="Calibri" w:hAnsi="Calibri"/>
          <w:b w:val="0"/>
          <w:i w:val="0"/>
          <w:color w:val="1B2A32"/>
          <w:sz w:val="21"/>
        </w:rPr>
        <w:t xml:space="preserve"> — a mediated settlement is enforceable as a court decree (Mediation Act, s.27).</w:t>
      </w:r>
    </w:p>
    <w:p>
      <w:pPr>
        <w:pStyle w:val="ListBullet"/>
        <w:spacing w:after="60"/>
        <w:jc w:val="both"/>
      </w:pPr>
      <w:r>
        <w:rPr>
          <w:rFonts w:ascii="Calibri" w:hAnsi="Calibri"/>
          <w:b/>
          <w:i w:val="0"/>
          <w:color w:val="1B2A32"/>
          <w:sz w:val="21"/>
        </w:rPr>
        <w:t>Money secured</w:t>
      </w:r>
      <w:r>
        <w:rPr>
          <w:rFonts w:ascii="Calibri" w:hAnsi="Calibri"/>
          <w:b w:val="0"/>
          <w:i w:val="0"/>
          <w:color w:val="1B2A32"/>
          <w:sz w:val="21"/>
        </w:rPr>
        <w:t xml:space="preserve"> — F&amp;F/settlement sums held in escrow, released against relieving and clearance.</w:t>
      </w:r>
    </w:p>
    <w:p>
      <w:pPr>
        <w:pStyle w:val="ListBullet"/>
        <w:spacing w:after="60"/>
        <w:jc w:val="both"/>
      </w:pPr>
      <w:r>
        <w:rPr>
          <w:rFonts w:ascii="Calibri" w:hAnsi="Calibri"/>
          <w:b/>
          <w:i w:val="0"/>
          <w:color w:val="1B2A32"/>
          <w:sz w:val="21"/>
        </w:rPr>
        <w:t>Statutory dues protected</w:t>
      </w:r>
      <w:r>
        <w:rPr>
          <w:rFonts w:ascii="Calibri" w:hAnsi="Calibri"/>
          <w:b w:val="0"/>
          <w:i w:val="0"/>
          <w:color w:val="1B2A32"/>
          <w:sz w:val="21"/>
        </w:rPr>
        <w:t xml:space="preserve"> — gratuity and PF are paid, never waived.</w:t>
      </w:r>
    </w:p>
    <w:p>
      <w:pPr>
        <w:pStyle w:val="ListBullet"/>
        <w:spacing w:after="60"/>
        <w:jc w:val="both"/>
      </w:pPr>
      <w:r>
        <w:rPr>
          <w:rFonts w:ascii="Calibri" w:hAnsi="Calibri"/>
          <w:b/>
          <w:i w:val="0"/>
          <w:color w:val="1B2A32"/>
          <w:sz w:val="21"/>
        </w:rPr>
        <w:t>Confidential &amp; fast</w:t>
      </w:r>
      <w:r>
        <w:rPr>
          <w:rFonts w:ascii="Calibri" w:hAnsi="Calibri"/>
          <w:b w:val="0"/>
          <w:i w:val="0"/>
          <w:color w:val="1B2A32"/>
          <w:sz w:val="21"/>
        </w:rPr>
        <w:t xml:space="preserve"> — most matters settle in weeks.</w:t>
      </w:r>
    </w:p>
    <w:p>
      <w:pPr>
        <w:keepNext/>
        <w:spacing w:before="280" w:after="120"/>
        <w:pBdr>
          <w:bottom w:val="single" w:sz="12" w:space="3" w:color="C6A15B"/>
        </w:pBdr>
      </w:pPr>
      <w:r>
        <w:rPr>
          <w:rFonts w:ascii="Calibri" w:hAnsi="Calibri"/>
          <w:b/>
          <w:i w:val="0"/>
          <w:color w:val="123B4F"/>
          <w:sz w:val="32"/>
        </w:rPr>
        <w:t>For employers — POSH, done right</w:t>
      </w:r>
    </w:p>
    <w:p>
      <w:pPr>
        <w:spacing w:after="120"/>
        <w:jc w:val="both"/>
      </w:pPr>
      <w:r>
        <w:rPr>
          <w:rFonts w:ascii="Calibri" w:hAnsi="Calibri"/>
          <w:b w:val="0"/>
          <w:i w:val="0"/>
          <w:color w:val="1B2A32"/>
          <w:sz w:val="21"/>
        </w:rPr>
        <w:t xml:space="preserve">We help you meet the </w:t>
      </w:r>
      <w:r>
        <w:rPr>
          <w:rFonts w:ascii="Calibri" w:hAnsi="Calibri"/>
          <w:b/>
          <w:i w:val="0"/>
          <w:color w:val="1B2A32"/>
          <w:sz w:val="21"/>
        </w:rPr>
        <w:t>POSH Act, 2013</w:t>
      </w:r>
      <w:r>
        <w:rPr>
          <w:rFonts w:ascii="Calibri" w:hAnsi="Calibri"/>
          <w:b w:val="0"/>
          <w:i w:val="0"/>
          <w:color w:val="1B2A32"/>
          <w:sz w:val="21"/>
        </w:rPr>
        <w:t xml:space="preserve">: trained </w:t>
      </w:r>
      <w:r>
        <w:rPr>
          <w:rFonts w:ascii="Calibri" w:hAnsi="Calibri"/>
          <w:b/>
          <w:i w:val="0"/>
          <w:color w:val="1B2A32"/>
          <w:sz w:val="21"/>
        </w:rPr>
        <w:t>external Internal-Committee members</w:t>
      </w:r>
      <w:r>
        <w:rPr>
          <w:rFonts w:ascii="Calibri" w:hAnsi="Calibri"/>
          <w:b w:val="0"/>
          <w:i w:val="0"/>
          <w:color w:val="1B2A32"/>
          <w:sz w:val="21"/>
        </w:rPr>
        <w:t xml:space="preserve">, a </w:t>
      </w:r>
      <w:r>
        <w:rPr>
          <w:rFonts w:ascii="Calibri" w:hAnsi="Calibri"/>
          <w:b/>
          <w:i w:val="0"/>
          <w:color w:val="1B2A32"/>
          <w:sz w:val="21"/>
        </w:rPr>
        <w:t>sealed, confidential</w:t>
      </w:r>
      <w:r>
        <w:rPr>
          <w:rFonts w:ascii="Calibri" w:hAnsi="Calibri"/>
          <w:b w:val="0"/>
          <w:i w:val="0"/>
          <w:color w:val="1B2A32"/>
          <w:sz w:val="21"/>
        </w:rPr>
        <w:t xml:space="preserve"> case-management process, lawful </w:t>
      </w:r>
      <w:r>
        <w:rPr>
          <w:rFonts w:ascii="Calibri" w:hAnsi="Calibri"/>
          <w:b/>
          <w:i w:val="0"/>
          <w:color w:val="1B2A32"/>
          <w:sz w:val="21"/>
        </w:rPr>
        <w:t>s.10 conciliation</w:t>
      </w:r>
      <w:r>
        <w:rPr>
          <w:rFonts w:ascii="Calibri" w:hAnsi="Calibri"/>
          <w:b w:val="0"/>
          <w:i w:val="0"/>
          <w:color w:val="1B2A32"/>
          <w:sz w:val="21"/>
        </w:rPr>
        <w:t xml:space="preserve"> (only at the complainant's request, never on a monetary basis), and IC training — with the 90-day inquiry, 10-day report and 60-day action tracked. We also mediate wage, F&amp;F, separation and grievance disputes to reduce cost and reputational risk. Ask about </w:t>
      </w:r>
      <w:r>
        <w:rPr>
          <w:rFonts w:ascii="Calibri" w:hAnsi="Calibri"/>
          <w:b/>
          <w:i w:val="0"/>
          <w:color w:val="1B2A32"/>
          <w:sz w:val="21"/>
        </w:rPr>
        <w:t>employer subscriptions</w:t>
      </w:r>
      <w:r>
        <w:rPr>
          <w:rFonts w:ascii="Calibri" w:hAnsi="Calibri"/>
          <w:b w:val="0"/>
          <w:i w:val="0"/>
          <w:color w:val="1B2A32"/>
          <w:sz w:val="21"/>
        </w:rPr>
        <w:t>.</w:t>
      </w:r>
    </w:p>
    <w:p>
      <w:pPr>
        <w:keepNext/>
        <w:spacing w:before="280" w:after="120"/>
        <w:pBdr>
          <w:bottom w:val="single" w:sz="12" w:space="3" w:color="C6A15B"/>
        </w:pBdr>
      </w:pPr>
      <w:r>
        <w:rPr>
          <w:rFonts w:ascii="Calibri" w:hAnsi="Calibri"/>
          <w:b/>
          <w:i w:val="0"/>
          <w:color w:val="123B4F"/>
          <w:sz w:val="32"/>
        </w:rPr>
        <w:t>Know your rights (employees)</w:t>
      </w:r>
    </w:p>
    <w:p>
      <w:pPr>
        <w:pStyle w:val="ListBullet"/>
        <w:spacing w:after="60"/>
        <w:jc w:val="both"/>
      </w:pPr>
      <w:r>
        <w:rPr>
          <w:rFonts w:ascii="Calibri" w:hAnsi="Calibri"/>
          <w:b w:val="0"/>
          <w:i w:val="0"/>
          <w:color w:val="1B2A32"/>
          <w:sz w:val="21"/>
        </w:rPr>
        <w:t xml:space="preserve">Your </w:t>
      </w:r>
      <w:r>
        <w:rPr>
          <w:rFonts w:ascii="Calibri" w:hAnsi="Calibri"/>
          <w:b/>
          <w:i w:val="0"/>
          <w:color w:val="1B2A32"/>
          <w:sz w:val="21"/>
        </w:rPr>
        <w:t>statutory dues</w:t>
      </w:r>
      <w:r>
        <w:rPr>
          <w:rFonts w:ascii="Calibri" w:hAnsi="Calibri"/>
          <w:b w:val="0"/>
          <w:i w:val="0"/>
          <w:color w:val="1B2A32"/>
          <w:sz w:val="21"/>
        </w:rPr>
        <w:t xml:space="preserve"> (gratuity, PF, ESI) must be paid — they cannot be settled away.</w:t>
      </w:r>
    </w:p>
    <w:p>
      <w:pPr>
        <w:pStyle w:val="ListBullet"/>
        <w:spacing w:after="60"/>
        <w:jc w:val="both"/>
      </w:pPr>
      <w:r>
        <w:rPr>
          <w:rFonts w:ascii="Calibri" w:hAnsi="Calibri"/>
          <w:b w:val="0"/>
          <w:i w:val="0"/>
          <w:color w:val="1B2A32"/>
          <w:sz w:val="21"/>
        </w:rPr>
        <w:t xml:space="preserve">A </w:t>
      </w:r>
      <w:r>
        <w:rPr>
          <w:rFonts w:ascii="Calibri" w:hAnsi="Calibri"/>
          <w:b/>
          <w:i w:val="0"/>
          <w:color w:val="1B2A32"/>
          <w:sz w:val="21"/>
        </w:rPr>
        <w:t>sexual-harassment complaint</w:t>
      </w:r>
      <w:r>
        <w:rPr>
          <w:rFonts w:ascii="Calibri" w:hAnsi="Calibri"/>
          <w:b w:val="0"/>
          <w:i w:val="0"/>
          <w:color w:val="1B2A32"/>
          <w:sz w:val="21"/>
        </w:rPr>
        <w:t xml:space="preserve"> goes to the Internal Committee, is confidential, and can never be diverted or based on money.</w:t>
      </w:r>
    </w:p>
    <w:p>
      <w:pPr>
        <w:pStyle w:val="ListBullet"/>
        <w:spacing w:after="60"/>
        <w:jc w:val="both"/>
      </w:pPr>
      <w:r>
        <w:rPr>
          <w:rFonts w:ascii="Calibri" w:hAnsi="Calibri"/>
          <w:b w:val="0"/>
          <w:i w:val="0"/>
          <w:color w:val="1B2A32"/>
          <w:sz w:val="21"/>
        </w:rPr>
        <w:t xml:space="preserve">A </w:t>
      </w:r>
      <w:r>
        <w:rPr>
          <w:rFonts w:ascii="Calibri" w:hAnsi="Calibri"/>
          <w:b/>
          <w:i w:val="0"/>
          <w:color w:val="1B2A32"/>
          <w:sz w:val="21"/>
        </w:rPr>
        <w:t>grievance</w:t>
      </w:r>
      <w:r>
        <w:rPr>
          <w:rFonts w:ascii="Calibri" w:hAnsi="Calibri"/>
          <w:b w:val="0"/>
          <w:i w:val="0"/>
          <w:color w:val="1B2A32"/>
          <w:sz w:val="21"/>
        </w:rPr>
        <w:t xml:space="preserve"> can go to your establishment's Grievance Redressal Committee under the Industrial Relations Code, 2020.</w:t>
      </w:r>
    </w:p>
    <w:p>
      <w:pPr>
        <w:pStyle w:val="ListBullet"/>
        <w:spacing w:after="60"/>
        <w:jc w:val="both"/>
      </w:pPr>
      <w:r>
        <w:rPr>
          <w:rFonts w:ascii="Calibri" w:hAnsi="Calibri"/>
          <w:b w:val="0"/>
          <w:i w:val="0"/>
          <w:color w:val="1B2A32"/>
          <w:sz w:val="21"/>
        </w:rPr>
        <w:t xml:space="preserve">If there is a </w:t>
      </w:r>
      <w:r>
        <w:rPr>
          <w:rFonts w:ascii="Calibri" w:hAnsi="Calibri"/>
          <w:b/>
          <w:i w:val="0"/>
          <w:color w:val="1B2A32"/>
          <w:sz w:val="21"/>
        </w:rPr>
        <w:t>criminal act or a threat to your safety</w:t>
      </w:r>
      <w:r>
        <w:rPr>
          <w:rFonts w:ascii="Calibri" w:hAnsi="Calibri"/>
          <w:b w:val="0"/>
          <w:i w:val="0"/>
          <w:color w:val="1B2A32"/>
          <w:sz w:val="21"/>
        </w:rPr>
        <w:t>, you can also approach the police.</w:t>
      </w:r>
    </w:p>
    <w:p>
      <w:pPr>
        <w:keepNext/>
        <w:spacing w:before="280" w:after="120"/>
        <w:pBdr>
          <w:bottom w:val="single" w:sz="12" w:space="3" w:color="C6A15B"/>
        </w:pBdr>
      </w:pPr>
      <w:r>
        <w:rPr>
          <w:rFonts w:ascii="Calibri" w:hAnsi="Calibri"/>
          <w:b/>
          <w:i w:val="0"/>
          <w:color w:val="123B4F"/>
          <w:sz w:val="32"/>
        </w:rPr>
        <w:t>How it works</w:t>
      </w:r>
    </w:p>
    <w:p>
      <w:pPr>
        <w:spacing w:after="120"/>
        <w:jc w:val="both"/>
      </w:pPr>
      <w:r>
        <w:rPr>
          <w:rFonts w:ascii="Calibri" w:hAnsi="Calibri"/>
          <w:b/>
          <w:i w:val="0"/>
          <w:color w:val="1B2A32"/>
          <w:sz w:val="21"/>
        </w:rPr>
        <w:t>1. Start</w:t>
      </w:r>
      <w:r>
        <w:rPr>
          <w:rFonts w:ascii="Calibri" w:hAnsi="Calibri"/>
          <w:b w:val="0"/>
          <w:i w:val="0"/>
          <w:color w:val="1B2A32"/>
          <w:sz w:val="21"/>
        </w:rPr>
        <w:t xml:space="preserve"> online — tell us about the dispute (we verify both sides).  </w:t>
      </w:r>
      <w:r>
        <w:rPr>
          <w:rFonts w:ascii="Calibri" w:hAnsi="Calibri"/>
          <w:b/>
          <w:i w:val="0"/>
          <w:color w:val="1B2A32"/>
          <w:sz w:val="21"/>
        </w:rPr>
        <w:t>2. Route</w:t>
      </w:r>
      <w:r>
        <w:rPr>
          <w:rFonts w:ascii="Calibri" w:hAnsi="Calibri"/>
          <w:b w:val="0"/>
          <w:i w:val="0"/>
          <w:color w:val="1B2A32"/>
          <w:sz w:val="21"/>
        </w:rPr>
        <w:t xml:space="preserve"> — mediation, POSH Internal Committee, or grievance committee.  </w:t>
      </w:r>
      <w:r>
        <w:rPr>
          <w:rFonts w:ascii="Calibri" w:hAnsi="Calibri"/>
          <w:b/>
          <w:i w:val="0"/>
          <w:color w:val="1B2A32"/>
          <w:sz w:val="21"/>
        </w:rPr>
        <w:t>3. Resolve</w:t>
      </w:r>
      <w:r>
        <w:rPr>
          <w:rFonts w:ascii="Calibri" w:hAnsi="Calibri"/>
          <w:b w:val="0"/>
          <w:i w:val="0"/>
          <w:color w:val="1B2A32"/>
          <w:sz w:val="21"/>
        </w:rPr>
        <w:t xml:space="preserve"> — a neutral helps you agree fair terms; calculators keep the money transparent.  </w:t>
      </w:r>
      <w:r>
        <w:rPr>
          <w:rFonts w:ascii="Calibri" w:hAnsi="Calibri"/>
          <w:b/>
          <w:i w:val="0"/>
          <w:color w:val="1B2A32"/>
          <w:sz w:val="21"/>
        </w:rPr>
        <w:t>4. Secure</w:t>
      </w:r>
      <w:r>
        <w:rPr>
          <w:rFonts w:ascii="Calibri" w:hAnsi="Calibri"/>
          <w:b w:val="0"/>
          <w:i w:val="0"/>
          <w:color w:val="1B2A32"/>
          <w:sz w:val="21"/>
        </w:rPr>
        <w:t xml:space="preserve"> — funds go into escrow; you e-sign and e-stamp.  </w:t>
      </w:r>
      <w:r>
        <w:rPr>
          <w:rFonts w:ascii="Calibri" w:hAnsi="Calibri"/>
          <w:b/>
          <w:i w:val="0"/>
          <w:color w:val="1B2A32"/>
          <w:sz w:val="21"/>
        </w:rPr>
        <w:t>5. Close</w:t>
      </w:r>
      <w:r>
        <w:rPr>
          <w:rFonts w:ascii="Calibri" w:hAnsi="Calibri"/>
          <w:b w:val="0"/>
          <w:i w:val="0"/>
          <w:color w:val="1B2A32"/>
          <w:sz w:val="21"/>
        </w:rPr>
        <w:t xml:space="preserve"> — escrow releases on relieving; you get your letters and a clean record.</w:t>
      </w:r>
    </w:p>
    <w:p>
      <w:pPr>
        <w:spacing w:after="40"/>
        <w:jc w:val="both"/>
      </w:pPr>
      <w:r>
        <w:rPr>
          <w:rFonts w:ascii="Calibri" w:hAnsi="Calibri"/>
          <w:b w:val="0"/>
          <w:i w:val="0"/>
          <w:color w:val="1B2A32"/>
          <w:sz w:val="21"/>
        </w:rPr>
        <w:t>Equator Resolution is a neutral mediation &amp; settlement institution; it supports employers' Internal Committees and complements the grievance machinery and the courts, and does not replace them. This leaflet is general information, not legal advice. If in danger, contact the police.</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Workplace &amp;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EFE7118-41C8-4598-AE23-85D71C120D72}"/>
</file>

<file path=customXml/itemProps3.xml><?xml version="1.0" encoding="utf-8"?>
<ds:datastoreItem xmlns:ds="http://schemas.openxmlformats.org/officeDocument/2006/customXml" ds:itemID="{5E21297A-8ACA-41FE-A4C2-3A85BD8D5753}"/>
</file>

<file path=customXml/itemProps4.xml><?xml version="1.0" encoding="utf-8"?>
<ds:datastoreItem xmlns:ds="http://schemas.openxmlformats.org/officeDocument/2006/customXml" ds:itemID="{AD63DA06-B970-499A-BF66-511792AD08A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