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POSH Compliance Pack for Employers</w:t>
      </w:r>
    </w:p>
    <w:p>
      <w:pPr>
        <w:pBdr>
          <w:top w:val="single" w:sz="14" w:space="6" w:color="C6A15B"/>
          <w:bottom w:val="single" w:sz="14" w:space="6" w:color="C6A15B"/>
        </w:pBdr>
      </w:pPr>
    </w:p>
    <w:p>
      <w:pPr>
        <w:spacing w:before="600"/>
        <w:jc w:val="center"/>
      </w:pPr>
      <w:r>
        <w:rPr>
          <w:rFonts w:ascii="Calibri" w:hAnsi="Calibri"/>
          <w:b/>
          <w:i w:val="0"/>
          <w:color w:val="123B4F"/>
          <w:sz w:val="48"/>
        </w:rPr>
        <w:t>Internal Committee — Constitution Order &amp; Charter</w:t>
      </w:r>
    </w:p>
    <w:p>
      <w:pPr>
        <w:jc w:val="center"/>
      </w:pPr>
      <w:r>
        <w:rPr>
          <w:rFonts w:ascii="Calibri" w:hAnsi="Calibri"/>
          <w:b w:val="0"/>
          <w:i/>
          <w:color w:val="556168"/>
          <w:sz w:val="25"/>
        </w:rPr>
        <w:t>The order constituting the IC, with its charter, eligibility declarations and operating rules</w:t>
      </w:r>
    </w:p>
    <w:p/>
    <w:p/>
    <w:p/>
    <w:p/>
    <w:p/>
    <w:p/>
    <w:p/>
    <w:p/>
    <w:p>
      <w:pPr>
        <w:jc w:val="center"/>
      </w:pPr>
      <w:r>
        <w:rPr>
          <w:rFonts w:ascii="Calibri" w:hAnsi="Calibri"/>
          <w:b/>
          <w:i w:val="0"/>
          <w:color w:val="1E7A8C"/>
          <w:sz w:val="22"/>
        </w:rPr>
        <w:t>Workplace &amp; HR Dispute Resolution vertical</w:t>
      </w:r>
    </w:p>
    <w:p>
      <w:pPr>
        <w:jc w:val="center"/>
      </w:pPr>
      <w:r>
        <w:rPr>
          <w:rFonts w:ascii="Calibri" w:hAnsi="Calibri"/>
          <w:b w:val="0"/>
          <w:i w:val="0"/>
          <w:color w:val="556168"/>
          <w:sz w:val="19"/>
        </w:rPr>
        <w:t>July 2026  ·  Draft for legal sign-off  ·  www.equatorresolution.com</w:t>
      </w:r>
    </w:p>
    <w:p>
      <w:r>
        <w:br w:type="page"/>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How to use this</w:t>
            </w:r>
          </w:p>
          <w:p>
            <w:r>
              <w:rPr>
                <w:rFonts w:ascii="Calibri" w:hAnsi="Calibri"/>
                <w:b w:val="0"/>
                <w:i w:val="0"/>
                <w:color w:val="1B2A32"/>
                <w:sz w:val="19"/>
              </w:rPr>
              <w:t xml:space="preserve">This is a </w:t>
            </w:r>
            <w:r>
              <w:rPr>
                <w:rFonts w:ascii="Calibri" w:hAnsi="Calibri"/>
                <w:b/>
                <w:i w:val="0"/>
                <w:color w:val="1B2A32"/>
                <w:sz w:val="19"/>
              </w:rPr>
              <w:t>model document for adaptation</w:t>
            </w:r>
            <w:r>
              <w:rPr>
                <w:rFonts w:ascii="Calibri" w:hAnsi="Calibri"/>
                <w:b w:val="0"/>
                <w:i w:val="0"/>
                <w:color w:val="1B2A32"/>
                <w:sz w:val="19"/>
              </w:rPr>
              <w:t>, not legal advice. It must be tailored to your organisation and reviewed by counsel before adoption. Statutory references are to the Sexual Harassment of Women at Workplace (Prevention, Prohibition and Redressal) Act, 2013 and its Rules, stated as at July 2026.</w:t>
            </w:r>
          </w:p>
        </w:tc>
      </w:tr>
    </w:tbl>
    <w:p>
      <w:pPr>
        <w:spacing w:after="40"/>
      </w:pPr>
    </w:p>
    <w:p>
      <w:pPr>
        <w:keepNext/>
        <w:spacing w:before="280" w:after="120"/>
        <w:pBdr>
          <w:bottom w:val="single" w:sz="12" w:space="3" w:color="C6A15B"/>
        </w:pBdr>
      </w:pPr>
      <w:r>
        <w:rPr>
          <w:rFonts w:ascii="Calibri" w:hAnsi="Calibri"/>
          <w:b/>
          <w:i w:val="0"/>
          <w:color w:val="123B4F"/>
          <w:sz w:val="32"/>
        </w:rPr>
        <w:t>Part 1 — Order constituting the Internal Committee</w:t>
      </w:r>
    </w:p>
    <w:p>
      <w:pPr>
        <w:spacing w:after="120"/>
        <w:jc w:val="both"/>
      </w:pPr>
      <w:r>
        <w:rPr>
          <w:rFonts w:ascii="Calibri" w:hAnsi="Calibri"/>
          <w:b/>
          <w:i w:val="0"/>
          <w:color w:val="1B2A32"/>
          <w:sz w:val="21"/>
        </w:rPr>
        <w:t>[Organisation letterhead]</w:t>
      </w:r>
      <w:r>
        <w:rPr>
          <w:rFonts w:ascii="Calibri" w:hAnsi="Calibri"/>
          <w:b w:val="0"/>
          <w:i w:val="0"/>
          <w:color w:val="1B2A32"/>
          <w:sz w:val="21"/>
        </w:rPr>
        <w:t xml:space="preserve">  ·  </w:t>
      </w:r>
      <w:r>
        <w:rPr>
          <w:rFonts w:ascii="Calibri" w:hAnsi="Calibri"/>
          <w:b/>
          <w:i w:val="0"/>
          <w:color w:val="1B2A32"/>
          <w:sz w:val="21"/>
        </w:rPr>
        <w:t>Order No. [•]</w:t>
      </w:r>
      <w:r>
        <w:rPr>
          <w:rFonts w:ascii="Calibri" w:hAnsi="Calibri"/>
          <w:b w:val="0"/>
          <w:i w:val="0"/>
          <w:color w:val="1B2A32"/>
          <w:sz w:val="21"/>
        </w:rPr>
        <w:t xml:space="preserve">  ·  </w:t>
      </w:r>
      <w:r>
        <w:rPr>
          <w:rFonts w:ascii="Calibri" w:hAnsi="Calibri"/>
          <w:b/>
          <w:i w:val="0"/>
          <w:color w:val="1B2A32"/>
          <w:sz w:val="21"/>
        </w:rPr>
        <w:t>Dated [•]</w:t>
      </w:r>
    </w:p>
    <w:p>
      <w:pPr>
        <w:spacing w:after="120"/>
        <w:jc w:val="both"/>
      </w:pPr>
      <w:r>
        <w:rPr>
          <w:rFonts w:ascii="Calibri" w:hAnsi="Calibri"/>
          <w:b w:val="0"/>
          <w:i w:val="0"/>
          <w:color w:val="1B2A32"/>
          <w:sz w:val="21"/>
        </w:rPr>
        <w:t xml:space="preserve">In exercise of the powers under </w:t>
      </w:r>
      <w:r>
        <w:rPr>
          <w:rFonts w:ascii="Calibri" w:hAnsi="Calibri"/>
          <w:b/>
          <w:i w:val="0"/>
          <w:color w:val="1B2A32"/>
          <w:sz w:val="21"/>
        </w:rPr>
        <w:t>section 4 of the Sexual Harassment of Women at Workplace (Prevention, Prohibition and Redressal) Act, 2013</w:t>
      </w:r>
      <w:r>
        <w:rPr>
          <w:rFonts w:ascii="Calibri" w:hAnsi="Calibri"/>
          <w:b w:val="0"/>
          <w:i w:val="0"/>
          <w:color w:val="1B2A32"/>
          <w:sz w:val="21"/>
        </w:rPr>
        <w:t xml:space="preserve">, and to give effect to the organisation's POSH Policy, the following </w:t>
      </w:r>
      <w:r>
        <w:rPr>
          <w:rFonts w:ascii="Calibri" w:hAnsi="Calibri"/>
          <w:b/>
          <w:i w:val="0"/>
          <w:color w:val="1B2A32"/>
          <w:sz w:val="21"/>
        </w:rPr>
        <w:t>Internal Committee</w:t>
      </w:r>
      <w:r>
        <w:rPr>
          <w:rFonts w:ascii="Calibri" w:hAnsi="Calibri"/>
          <w:b w:val="0"/>
          <w:i w:val="0"/>
          <w:color w:val="1B2A32"/>
          <w:sz w:val="21"/>
        </w:rPr>
        <w:t xml:space="preserve"> is hereby constituted for the workplace at </w:t>
      </w:r>
      <w:r>
        <w:rPr>
          <w:rFonts w:ascii="Calibri" w:hAnsi="Calibri"/>
          <w:b/>
          <w:i w:val="0"/>
          <w:color w:val="1B2A32"/>
          <w:sz w:val="21"/>
        </w:rPr>
        <w:t>[address / unit]</w:t>
      </w:r>
      <w:r>
        <w:rPr>
          <w:rFonts w:ascii="Calibri" w:hAnsi="Calibri"/>
          <w:b w:val="0"/>
          <w:i w:val="0"/>
          <w:color w:val="1B2A32"/>
          <w:sz w:val="21"/>
        </w:rPr>
        <w:t xml:space="preserve"> with immediate effect:</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008"/>
            <w:shd w:val="clear" w:fill="123B4F"/>
          </w:tcPr>
          <w:p>
            <w:r/>
            <w:r>
              <w:rPr>
                <w:rFonts w:ascii="Calibri" w:hAnsi="Calibri"/>
                <w:b/>
                <w:i w:val="0"/>
                <w:color w:val="FFFFFF"/>
                <w:sz w:val="17"/>
              </w:rPr>
              <w:t>S.No.</w:t>
            </w:r>
          </w:p>
        </w:tc>
        <w:tc>
          <w:tcPr>
            <w:tcW w:type="dxa" w:w="2880"/>
            <w:shd w:val="clear" w:fill="123B4F"/>
          </w:tcPr>
          <w:p>
            <w:r/>
            <w:r>
              <w:rPr>
                <w:rFonts w:ascii="Calibri" w:hAnsi="Calibri"/>
                <w:b/>
                <w:i w:val="0"/>
                <w:color w:val="FFFFFF"/>
                <w:sz w:val="17"/>
              </w:rPr>
              <w:t>Name</w:t>
            </w:r>
          </w:p>
        </w:tc>
        <w:tc>
          <w:tcPr>
            <w:tcW w:type="dxa" w:w="3888"/>
            <w:shd w:val="clear" w:fill="123B4F"/>
          </w:tcPr>
          <w:p>
            <w:r/>
            <w:r>
              <w:rPr>
                <w:rFonts w:ascii="Calibri" w:hAnsi="Calibri"/>
                <w:b/>
                <w:i w:val="0"/>
                <w:color w:val="FFFFFF"/>
                <w:sz w:val="17"/>
              </w:rPr>
              <w:t>Designation in the organisation</w:t>
            </w:r>
          </w:p>
        </w:tc>
        <w:tc>
          <w:tcPr>
            <w:tcW w:type="dxa" w:w="2448"/>
            <w:shd w:val="clear" w:fill="123B4F"/>
          </w:tcPr>
          <w:p>
            <w:r/>
            <w:r>
              <w:rPr>
                <w:rFonts w:ascii="Calibri" w:hAnsi="Calibri"/>
                <w:b/>
                <w:i w:val="0"/>
                <w:color w:val="FFFFFF"/>
                <w:sz w:val="17"/>
              </w:rPr>
              <w:t>Role on the IC</w:t>
            </w:r>
          </w:p>
        </w:tc>
      </w:tr>
      <w:tr>
        <w:tc>
          <w:tcPr>
            <w:tcW w:type="dxa" w:w="1008"/>
          </w:tcPr>
          <w:p>
            <w:r/>
            <w:r>
              <w:rPr>
                <w:rFonts w:ascii="Calibri" w:hAnsi="Calibri"/>
                <w:b w:val="0"/>
                <w:i w:val="0"/>
                <w:color w:val="1B2A32"/>
                <w:sz w:val="17"/>
              </w:rPr>
              <w:t>1</w:t>
            </w:r>
          </w:p>
        </w:tc>
        <w:tc>
          <w:tcPr>
            <w:tcW w:type="dxa" w:w="2880"/>
          </w:tcPr>
          <w:p>
            <w:r/>
            <w:r>
              <w:rPr>
                <w:rFonts w:ascii="Calibri" w:hAnsi="Calibri"/>
                <w:b w:val="0"/>
                <w:i w:val="0"/>
                <w:color w:val="1B2A32"/>
                <w:sz w:val="17"/>
              </w:rPr>
              <w:t>[•]</w:t>
            </w:r>
          </w:p>
        </w:tc>
        <w:tc>
          <w:tcPr>
            <w:tcW w:type="dxa" w:w="3888"/>
          </w:tcPr>
          <w:p>
            <w:r/>
            <w:r>
              <w:rPr>
                <w:rFonts w:ascii="Calibri" w:hAnsi="Calibri"/>
                <w:b w:val="0"/>
                <w:i w:val="0"/>
                <w:color w:val="1B2A32"/>
                <w:sz w:val="17"/>
              </w:rPr>
              <w:t>[senior woman employee]</w:t>
            </w:r>
          </w:p>
        </w:tc>
        <w:tc>
          <w:tcPr>
            <w:tcW w:type="dxa" w:w="2448"/>
          </w:tcPr>
          <w:p>
            <w:r/>
            <w:r>
              <w:rPr>
                <w:rFonts w:ascii="Calibri" w:hAnsi="Calibri"/>
                <w:b w:val="0"/>
                <w:i w:val="0"/>
                <w:color w:val="1B2A32"/>
                <w:sz w:val="17"/>
              </w:rPr>
              <w:t>Presiding Officer</w:t>
            </w:r>
          </w:p>
        </w:tc>
      </w:tr>
      <w:tr>
        <w:tc>
          <w:tcPr>
            <w:tcW w:type="dxa" w:w="1008"/>
            <w:shd w:val="clear" w:fill="F3F7F9"/>
          </w:tcPr>
          <w:p>
            <w:r/>
            <w:r>
              <w:rPr>
                <w:rFonts w:ascii="Calibri" w:hAnsi="Calibri"/>
                <w:b w:val="0"/>
                <w:i w:val="0"/>
                <w:color w:val="1B2A32"/>
                <w:sz w:val="17"/>
              </w:rPr>
              <w:t>2</w:t>
            </w:r>
          </w:p>
        </w:tc>
        <w:tc>
          <w:tcPr>
            <w:tcW w:type="dxa" w:w="2880"/>
            <w:shd w:val="clear" w:fill="F3F7F9"/>
          </w:tcPr>
          <w:p>
            <w:r/>
            <w:r>
              <w:rPr>
                <w:rFonts w:ascii="Calibri" w:hAnsi="Calibri"/>
                <w:b w:val="0"/>
                <w:i w:val="0"/>
                <w:color w:val="1B2A32"/>
                <w:sz w:val="17"/>
              </w:rPr>
              <w:t>[•]</w:t>
            </w:r>
          </w:p>
        </w:tc>
        <w:tc>
          <w:tcPr>
            <w:tcW w:type="dxa" w:w="3888"/>
            <w:shd w:val="clear" w:fill="F3F7F9"/>
          </w:tcPr>
          <w:p>
            <w:r/>
            <w:r>
              <w:rPr>
                <w:rFonts w:ascii="Calibri" w:hAnsi="Calibri"/>
                <w:b w:val="0"/>
                <w:i w:val="0"/>
                <w:color w:val="1B2A32"/>
                <w:sz w:val="17"/>
              </w:rPr>
              <w:t>[•]</w:t>
            </w:r>
          </w:p>
        </w:tc>
        <w:tc>
          <w:tcPr>
            <w:tcW w:type="dxa" w:w="2448"/>
            <w:shd w:val="clear" w:fill="F3F7F9"/>
          </w:tcPr>
          <w:p>
            <w:r/>
            <w:r>
              <w:rPr>
                <w:rFonts w:ascii="Calibri" w:hAnsi="Calibri"/>
                <w:b w:val="0"/>
                <w:i w:val="0"/>
                <w:color w:val="1B2A32"/>
                <w:sz w:val="17"/>
              </w:rPr>
              <w:t>Member</w:t>
            </w:r>
          </w:p>
        </w:tc>
      </w:tr>
      <w:tr>
        <w:tc>
          <w:tcPr>
            <w:tcW w:type="dxa" w:w="1008"/>
          </w:tcPr>
          <w:p>
            <w:r/>
            <w:r>
              <w:rPr>
                <w:rFonts w:ascii="Calibri" w:hAnsi="Calibri"/>
                <w:b w:val="0"/>
                <w:i w:val="0"/>
                <w:color w:val="1B2A32"/>
                <w:sz w:val="17"/>
              </w:rPr>
              <w:t>3</w:t>
            </w:r>
          </w:p>
        </w:tc>
        <w:tc>
          <w:tcPr>
            <w:tcW w:type="dxa" w:w="2880"/>
          </w:tcPr>
          <w:p>
            <w:r/>
            <w:r>
              <w:rPr>
                <w:rFonts w:ascii="Calibri" w:hAnsi="Calibri"/>
                <w:b w:val="0"/>
                <w:i w:val="0"/>
                <w:color w:val="1B2A32"/>
                <w:sz w:val="17"/>
              </w:rPr>
              <w:t>[•]</w:t>
            </w:r>
          </w:p>
        </w:tc>
        <w:tc>
          <w:tcPr>
            <w:tcW w:type="dxa" w:w="3888"/>
          </w:tcPr>
          <w:p>
            <w:r/>
            <w:r>
              <w:rPr>
                <w:rFonts w:ascii="Calibri" w:hAnsi="Calibri"/>
                <w:b w:val="0"/>
                <w:i w:val="0"/>
                <w:color w:val="1B2A32"/>
                <w:sz w:val="17"/>
              </w:rPr>
              <w:t>[•]</w:t>
            </w:r>
          </w:p>
        </w:tc>
        <w:tc>
          <w:tcPr>
            <w:tcW w:type="dxa" w:w="2448"/>
          </w:tcPr>
          <w:p>
            <w:r/>
            <w:r>
              <w:rPr>
                <w:rFonts w:ascii="Calibri" w:hAnsi="Calibri"/>
                <w:b w:val="0"/>
                <w:i w:val="0"/>
                <w:color w:val="1B2A32"/>
                <w:sz w:val="17"/>
              </w:rPr>
              <w:t>Member</w:t>
            </w:r>
          </w:p>
        </w:tc>
      </w:tr>
      <w:tr>
        <w:tc>
          <w:tcPr>
            <w:tcW w:type="dxa" w:w="1008"/>
            <w:shd w:val="clear" w:fill="F3F7F9"/>
          </w:tcPr>
          <w:p>
            <w:r/>
            <w:r>
              <w:rPr>
                <w:rFonts w:ascii="Calibri" w:hAnsi="Calibri"/>
                <w:b w:val="0"/>
                <w:i w:val="0"/>
                <w:color w:val="1B2A32"/>
                <w:sz w:val="17"/>
              </w:rPr>
              <w:t>4</w:t>
            </w:r>
          </w:p>
        </w:tc>
        <w:tc>
          <w:tcPr>
            <w:tcW w:type="dxa" w:w="2880"/>
            <w:shd w:val="clear" w:fill="F3F7F9"/>
          </w:tcPr>
          <w:p>
            <w:r/>
            <w:r>
              <w:rPr>
                <w:rFonts w:ascii="Calibri" w:hAnsi="Calibri"/>
                <w:b w:val="0"/>
                <w:i w:val="0"/>
                <w:color w:val="1B2A32"/>
                <w:sz w:val="17"/>
              </w:rPr>
              <w:t>[•]</w:t>
            </w:r>
          </w:p>
        </w:tc>
        <w:tc>
          <w:tcPr>
            <w:tcW w:type="dxa" w:w="3888"/>
            <w:shd w:val="clear" w:fill="F3F7F9"/>
          </w:tcPr>
          <w:p>
            <w:r/>
            <w:r>
              <w:rPr>
                <w:rFonts w:ascii="Calibri" w:hAnsi="Calibri"/>
                <w:b w:val="0"/>
                <w:i w:val="0"/>
                <w:color w:val="1B2A32"/>
                <w:sz w:val="17"/>
              </w:rPr>
              <w:t>[NGO / person familiar with issues relating to sexual harassment]</w:t>
            </w:r>
          </w:p>
        </w:tc>
        <w:tc>
          <w:tcPr>
            <w:tcW w:type="dxa" w:w="2448"/>
            <w:shd w:val="clear" w:fill="F3F7F9"/>
          </w:tcPr>
          <w:p>
            <w:r/>
            <w:r>
              <w:rPr>
                <w:rFonts w:ascii="Calibri" w:hAnsi="Calibri"/>
                <w:b w:val="0"/>
                <w:i w:val="0"/>
                <w:color w:val="1B2A32"/>
                <w:sz w:val="17"/>
              </w:rPr>
              <w:t>External Member</w:t>
            </w:r>
          </w:p>
        </w:tc>
      </w:tr>
    </w:tbl>
    <w:p>
      <w:pPr>
        <w:spacing w:after="40"/>
      </w:pPr>
    </w:p>
    <w:p>
      <w:pPr>
        <w:pStyle w:val="ListBullet"/>
        <w:spacing w:after="60"/>
        <w:jc w:val="both"/>
      </w:pPr>
      <w:r>
        <w:rPr>
          <w:rFonts w:ascii="Calibri" w:hAnsi="Calibri"/>
          <w:b/>
          <w:i w:val="0"/>
          <w:color w:val="1B2A32"/>
          <w:sz w:val="21"/>
        </w:rPr>
        <w:t>Term:</w:t>
      </w:r>
      <w:r>
        <w:rPr>
          <w:rFonts w:ascii="Calibri" w:hAnsi="Calibri"/>
          <w:b w:val="0"/>
          <w:i w:val="0"/>
          <w:color w:val="1B2A32"/>
          <w:sz w:val="21"/>
        </w:rPr>
        <w:t xml:space="preserve"> three years from the date of this order, unless earlier reconstituted.</w:t>
      </w:r>
    </w:p>
    <w:p>
      <w:pPr>
        <w:pStyle w:val="ListBullet"/>
        <w:spacing w:after="60"/>
        <w:jc w:val="both"/>
      </w:pPr>
      <w:r>
        <w:rPr>
          <w:rFonts w:ascii="Calibri" w:hAnsi="Calibri"/>
          <w:b/>
          <w:i w:val="0"/>
          <w:color w:val="1B2A32"/>
          <w:sz w:val="21"/>
        </w:rPr>
        <w:t>Quorum:</w:t>
      </w:r>
      <w:r>
        <w:rPr>
          <w:rFonts w:ascii="Calibri" w:hAnsi="Calibri"/>
          <w:b w:val="0"/>
          <w:i w:val="0"/>
          <w:color w:val="1B2A32"/>
          <w:sz w:val="21"/>
        </w:rPr>
        <w:t xml:space="preserve"> three members including the Presiding Officer, and the presence of the </w:t>
      </w:r>
      <w:r>
        <w:rPr>
          <w:rFonts w:ascii="Calibri" w:hAnsi="Calibri"/>
          <w:b/>
          <w:i w:val="0"/>
          <w:color w:val="1B2A32"/>
          <w:sz w:val="21"/>
        </w:rPr>
        <w:t>external member is required</w:t>
      </w:r>
      <w:r>
        <w:rPr>
          <w:rFonts w:ascii="Calibri" w:hAnsi="Calibri"/>
          <w:b w:val="0"/>
          <w:i w:val="0"/>
          <w:color w:val="1B2A32"/>
          <w:sz w:val="21"/>
        </w:rPr>
        <w:t xml:space="preserve"> for any inquiry proceeding.</w:t>
      </w:r>
    </w:p>
    <w:p>
      <w:pPr>
        <w:pStyle w:val="ListBullet"/>
        <w:spacing w:after="60"/>
        <w:jc w:val="both"/>
      </w:pPr>
      <w:r>
        <w:rPr>
          <w:rFonts w:ascii="Calibri" w:hAnsi="Calibri"/>
          <w:b/>
          <w:i w:val="0"/>
          <w:color w:val="1B2A32"/>
          <w:sz w:val="21"/>
        </w:rPr>
        <w:t>Composition check:</w:t>
      </w:r>
      <w:r>
        <w:rPr>
          <w:rFonts w:ascii="Calibri" w:hAnsi="Calibri"/>
          <w:b w:val="0"/>
          <w:i w:val="0"/>
          <w:color w:val="1B2A32"/>
          <w:sz w:val="21"/>
        </w:rPr>
        <w:t xml:space="preserve"> at least half the members are women.</w:t>
      </w:r>
    </w:p>
    <w:p>
      <w:pPr>
        <w:pStyle w:val="ListBullet"/>
        <w:spacing w:after="60"/>
        <w:jc w:val="both"/>
      </w:pPr>
      <w:r>
        <w:rPr>
          <w:rFonts w:ascii="Calibri" w:hAnsi="Calibri"/>
          <w:b/>
          <w:i w:val="0"/>
          <w:color w:val="1B2A32"/>
          <w:sz w:val="21"/>
        </w:rPr>
        <w:t>Secretariat:</w:t>
      </w:r>
      <w:r>
        <w:rPr>
          <w:rFonts w:ascii="Calibri" w:hAnsi="Calibri"/>
          <w:b w:val="0"/>
          <w:i w:val="0"/>
          <w:color w:val="1B2A32"/>
          <w:sz w:val="21"/>
        </w:rPr>
        <w:t xml:space="preserve"> [•] shall provide administrative support without participating in deliberations.</w:t>
      </w:r>
    </w:p>
    <w:p>
      <w:pPr>
        <w:pStyle w:val="ListBullet"/>
        <w:spacing w:after="60"/>
        <w:jc w:val="both"/>
      </w:pPr>
      <w:r>
        <w:rPr>
          <w:rFonts w:ascii="Calibri" w:hAnsi="Calibri"/>
          <w:b/>
          <w:i w:val="0"/>
          <w:color w:val="1B2A32"/>
          <w:sz w:val="21"/>
        </w:rPr>
        <w:t>Publication:</w:t>
      </w:r>
      <w:r>
        <w:rPr>
          <w:rFonts w:ascii="Calibri" w:hAnsi="Calibri"/>
          <w:b w:val="0"/>
          <w:i w:val="0"/>
          <w:color w:val="1B2A32"/>
          <w:sz w:val="21"/>
        </w:rPr>
        <w:t xml:space="preserve"> the names and contact details of the Committee shall be displayed at every workplace and on the intranet.</w:t>
      </w:r>
    </w:p>
    <w:p>
      <w:pPr>
        <w:spacing w:after="120"/>
        <w:jc w:val="both"/>
      </w:pPr>
      <w:r>
        <w:rPr>
          <w:rFonts w:ascii="Calibri" w:hAnsi="Calibri"/>
          <w:b/>
          <w:i w:val="0"/>
          <w:color w:val="1B2A32"/>
          <w:sz w:val="21"/>
        </w:rPr>
        <w:t>Authorised signatory:</w:t>
      </w:r>
      <w:r>
        <w:rPr>
          <w:rFonts w:ascii="Calibri" w:hAnsi="Calibri"/>
          <w:b w:val="0"/>
          <w:i w:val="0"/>
          <w:color w:val="1B2A32"/>
          <w:sz w:val="21"/>
        </w:rPr>
        <w:t xml:space="preserve"> ____________________  ·  </w:t>
      </w:r>
      <w:r>
        <w:rPr>
          <w:rFonts w:ascii="Calibri" w:hAnsi="Calibri"/>
          <w:b/>
          <w:i w:val="0"/>
          <w:color w:val="1B2A32"/>
          <w:sz w:val="21"/>
        </w:rPr>
        <w:t>Name &amp; designation:</w:t>
      </w:r>
      <w:r>
        <w:rPr>
          <w:rFonts w:ascii="Calibri" w:hAnsi="Calibri"/>
          <w:b w:val="0"/>
          <w:i w:val="0"/>
          <w:color w:val="1B2A32"/>
          <w:sz w:val="21"/>
        </w:rPr>
        <w:t xml:space="preserve"> [•]  ·  </w:t>
      </w:r>
      <w:r>
        <w:rPr>
          <w:rFonts w:ascii="Calibri" w:hAnsi="Calibri"/>
          <w:b/>
          <w:i w:val="0"/>
          <w:color w:val="1B2A32"/>
          <w:sz w:val="21"/>
        </w:rPr>
        <w:t>Date:</w:t>
      </w:r>
      <w:r>
        <w:rPr>
          <w:rFonts w:ascii="Calibri" w:hAnsi="Calibri"/>
          <w:b w:val="0"/>
          <w:i w:val="0"/>
          <w:color w:val="1B2A32"/>
          <w:sz w:val="21"/>
        </w:rPr>
        <w:t xml:space="preserve"> [•]</w:t>
      </w:r>
    </w:p>
    <w:p>
      <w:r>
        <w:br w:type="page"/>
      </w:r>
    </w:p>
    <w:p>
      <w:pPr>
        <w:keepNext/>
        <w:spacing w:before="280" w:after="120"/>
        <w:pBdr>
          <w:bottom w:val="single" w:sz="12" w:space="3" w:color="C6A15B"/>
        </w:pBdr>
      </w:pPr>
      <w:r>
        <w:rPr>
          <w:rFonts w:ascii="Calibri" w:hAnsi="Calibri"/>
          <w:b/>
          <w:i w:val="0"/>
          <w:color w:val="123B4F"/>
          <w:sz w:val="32"/>
        </w:rPr>
        <w:t>Part 2 — Committee charter</w:t>
      </w:r>
    </w:p>
    <w:p>
      <w:pPr>
        <w:keepNext/>
        <w:spacing w:before="200" w:after="60"/>
      </w:pPr>
      <w:r>
        <w:rPr>
          <w:rFonts w:ascii="Calibri" w:hAnsi="Calibri"/>
          <w:b/>
          <w:i w:val="0"/>
          <w:color w:val="1E7A8C"/>
          <w:sz w:val="25"/>
        </w:rPr>
        <w:t>Mandate</w:t>
      </w:r>
    </w:p>
    <w:p>
      <w:pPr>
        <w:pStyle w:val="ListBullet"/>
        <w:spacing w:after="60"/>
        <w:jc w:val="both"/>
      </w:pPr>
      <w:r>
        <w:rPr>
          <w:rFonts w:ascii="Calibri" w:hAnsi="Calibri"/>
          <w:b w:val="0"/>
          <w:i w:val="0"/>
          <w:color w:val="1B2A32"/>
          <w:sz w:val="21"/>
        </w:rPr>
        <w:t>Receive and inquire into complaints of sexual harassment at the workplace.</w:t>
      </w:r>
    </w:p>
    <w:p>
      <w:pPr>
        <w:pStyle w:val="ListBullet"/>
        <w:spacing w:after="60"/>
        <w:jc w:val="both"/>
      </w:pPr>
      <w:r>
        <w:rPr>
          <w:rFonts w:ascii="Calibri" w:hAnsi="Calibri"/>
          <w:b w:val="0"/>
          <w:i w:val="0"/>
          <w:color w:val="1B2A32"/>
          <w:sz w:val="21"/>
        </w:rPr>
        <w:t xml:space="preserve">Conduct conciliation under section 10 </w:t>
      </w:r>
      <w:r>
        <w:rPr>
          <w:rFonts w:ascii="Calibri" w:hAnsi="Calibri"/>
          <w:b/>
          <w:i w:val="0"/>
          <w:color w:val="1B2A32"/>
          <w:sz w:val="21"/>
        </w:rPr>
        <w:t>only where the aggrieved woman so requests</w:t>
      </w:r>
      <w:r>
        <w:rPr>
          <w:rFonts w:ascii="Calibri" w:hAnsi="Calibri"/>
          <w:b w:val="0"/>
          <w:i w:val="0"/>
          <w:color w:val="1B2A32"/>
          <w:sz w:val="21"/>
        </w:rPr>
        <w:t>, and never on a monetary basis.</w:t>
      </w:r>
    </w:p>
    <w:p>
      <w:pPr>
        <w:pStyle w:val="ListBullet"/>
        <w:spacing w:after="60"/>
        <w:jc w:val="both"/>
      </w:pPr>
      <w:r>
        <w:rPr>
          <w:rFonts w:ascii="Calibri" w:hAnsi="Calibri"/>
          <w:b w:val="0"/>
          <w:i w:val="0"/>
          <w:color w:val="1B2A32"/>
          <w:sz w:val="21"/>
        </w:rPr>
        <w:t>Recommend interim relief, action on a proved complaint, and compensation where appropriate.</w:t>
      </w:r>
    </w:p>
    <w:p>
      <w:pPr>
        <w:pStyle w:val="ListBullet"/>
        <w:spacing w:after="60"/>
        <w:jc w:val="both"/>
      </w:pPr>
      <w:r>
        <w:rPr>
          <w:rFonts w:ascii="Calibri" w:hAnsi="Calibri"/>
          <w:b w:val="0"/>
          <w:i w:val="0"/>
          <w:color w:val="1B2A32"/>
          <w:sz w:val="21"/>
        </w:rPr>
        <w:t>Maintain records and prepare the annual report.</w:t>
      </w:r>
    </w:p>
    <w:p>
      <w:pPr>
        <w:pStyle w:val="ListBullet"/>
        <w:spacing w:after="60"/>
        <w:jc w:val="both"/>
      </w:pPr>
      <w:r>
        <w:rPr>
          <w:rFonts w:ascii="Calibri" w:hAnsi="Calibri"/>
          <w:b w:val="0"/>
          <w:i w:val="0"/>
          <w:color w:val="1B2A32"/>
          <w:sz w:val="21"/>
        </w:rPr>
        <w:t>Support awareness and its own capacity-building.</w:t>
      </w:r>
    </w:p>
    <w:p>
      <w:pPr>
        <w:keepNext/>
        <w:spacing w:before="200" w:after="60"/>
      </w:pPr>
      <w:r>
        <w:rPr>
          <w:rFonts w:ascii="Calibri" w:hAnsi="Calibri"/>
          <w:b/>
          <w:i w:val="0"/>
          <w:color w:val="1E7A8C"/>
          <w:sz w:val="25"/>
        </w:rPr>
        <w:t>Timelines the Committee must keep</w:t>
      </w:r>
    </w:p>
    <w:tbl>
      <w:tblPr>
        <w:tblStyle w:val="TableGrid"/>
        <w:tblW w:type="auto" w:w="0"/>
        <w:jc w:val="center"/>
        <w:tblLook w:firstColumn="1" w:firstRow="1" w:lastColumn="0" w:lastRow="0" w:noHBand="0" w:noVBand="1" w:val="04A0"/>
      </w:tblPr>
      <w:tblGrid>
        <w:gridCol w:w="4752"/>
        <w:gridCol w:w="4752"/>
      </w:tblGrid>
      <w:tr>
        <w:tc>
          <w:tcPr>
            <w:tcW w:type="dxa" w:w="6336"/>
            <w:shd w:val="clear" w:fill="123B4F"/>
          </w:tcPr>
          <w:p>
            <w:r/>
            <w:r>
              <w:rPr>
                <w:rFonts w:ascii="Calibri" w:hAnsi="Calibri"/>
                <w:b/>
                <w:i w:val="0"/>
                <w:color w:val="FFFFFF"/>
                <w:sz w:val="17"/>
              </w:rPr>
              <w:t>Step</w:t>
            </w:r>
          </w:p>
        </w:tc>
        <w:tc>
          <w:tcPr>
            <w:tcW w:type="dxa" w:w="3168"/>
            <w:shd w:val="clear" w:fill="123B4F"/>
          </w:tcPr>
          <w:p>
            <w:r/>
            <w:r>
              <w:rPr>
                <w:rFonts w:ascii="Calibri" w:hAnsi="Calibri"/>
                <w:b/>
                <w:i w:val="0"/>
                <w:color w:val="FFFFFF"/>
                <w:sz w:val="17"/>
              </w:rPr>
              <w:t>Timeline</w:t>
            </w:r>
          </w:p>
        </w:tc>
      </w:tr>
      <w:tr>
        <w:tc>
          <w:tcPr>
            <w:tcW w:type="dxa" w:w="6336"/>
          </w:tcPr>
          <w:p>
            <w:r/>
            <w:r>
              <w:rPr>
                <w:rFonts w:ascii="Calibri" w:hAnsi="Calibri"/>
                <w:b w:val="0"/>
                <w:i w:val="0"/>
                <w:color w:val="1B2A32"/>
                <w:sz w:val="17"/>
              </w:rPr>
              <w:t>Complaint received — acknowledge and open the file</w:t>
            </w:r>
          </w:p>
        </w:tc>
        <w:tc>
          <w:tcPr>
            <w:tcW w:type="dxa" w:w="3168"/>
          </w:tcPr>
          <w:p>
            <w:r/>
            <w:r>
              <w:rPr>
                <w:rFonts w:ascii="Calibri" w:hAnsi="Calibri"/>
                <w:b w:val="0"/>
                <w:i w:val="0"/>
                <w:color w:val="1B2A32"/>
                <w:sz w:val="17"/>
              </w:rPr>
              <w:t>Immediately</w:t>
            </w:r>
          </w:p>
        </w:tc>
      </w:tr>
      <w:tr>
        <w:tc>
          <w:tcPr>
            <w:tcW w:type="dxa" w:w="6336"/>
            <w:shd w:val="clear" w:fill="F3F7F9"/>
          </w:tcPr>
          <w:p>
            <w:r/>
            <w:r>
              <w:rPr>
                <w:rFonts w:ascii="Calibri" w:hAnsi="Calibri"/>
                <w:b w:val="0"/>
                <w:i w:val="0"/>
                <w:color w:val="1B2A32"/>
                <w:sz w:val="17"/>
              </w:rPr>
              <w:t>Copy of complaint to respondent</w:t>
            </w:r>
          </w:p>
        </w:tc>
        <w:tc>
          <w:tcPr>
            <w:tcW w:type="dxa" w:w="3168"/>
            <w:shd w:val="clear" w:fill="F3F7F9"/>
          </w:tcPr>
          <w:p>
            <w:r/>
            <w:r>
              <w:rPr>
                <w:rFonts w:ascii="Calibri" w:hAnsi="Calibri"/>
                <w:b w:val="0"/>
                <w:i w:val="0"/>
                <w:color w:val="1B2A32"/>
                <w:sz w:val="17"/>
              </w:rPr>
              <w:t>Within 7 working days</w:t>
            </w:r>
          </w:p>
        </w:tc>
      </w:tr>
      <w:tr>
        <w:tc>
          <w:tcPr>
            <w:tcW w:type="dxa" w:w="6336"/>
          </w:tcPr>
          <w:p>
            <w:r/>
            <w:r>
              <w:rPr>
                <w:rFonts w:ascii="Calibri" w:hAnsi="Calibri"/>
                <w:b w:val="0"/>
                <w:i w:val="0"/>
                <w:color w:val="1B2A32"/>
                <w:sz w:val="17"/>
              </w:rPr>
              <w:t>Respondent's reply</w:t>
            </w:r>
          </w:p>
        </w:tc>
        <w:tc>
          <w:tcPr>
            <w:tcW w:type="dxa" w:w="3168"/>
          </w:tcPr>
          <w:p>
            <w:r/>
            <w:r>
              <w:rPr>
                <w:rFonts w:ascii="Calibri" w:hAnsi="Calibri"/>
                <w:b w:val="0"/>
                <w:i w:val="0"/>
                <w:color w:val="1B2A32"/>
                <w:sz w:val="17"/>
              </w:rPr>
              <w:t>Within 10 working days of receipt</w:t>
            </w:r>
          </w:p>
        </w:tc>
      </w:tr>
      <w:tr>
        <w:tc>
          <w:tcPr>
            <w:tcW w:type="dxa" w:w="6336"/>
            <w:shd w:val="clear" w:fill="F3F7F9"/>
          </w:tcPr>
          <w:p>
            <w:r/>
            <w:r>
              <w:rPr>
                <w:rFonts w:ascii="Calibri" w:hAnsi="Calibri"/>
                <w:b w:val="0"/>
                <w:i w:val="0"/>
                <w:color w:val="1B2A32"/>
                <w:sz w:val="17"/>
              </w:rPr>
              <w:t>Inquiry completed</w:t>
            </w:r>
          </w:p>
        </w:tc>
        <w:tc>
          <w:tcPr>
            <w:tcW w:type="dxa" w:w="3168"/>
            <w:shd w:val="clear" w:fill="F3F7F9"/>
          </w:tcPr>
          <w:p>
            <w:r/>
            <w:r>
              <w:rPr>
                <w:rFonts w:ascii="Calibri" w:hAnsi="Calibri"/>
                <w:b w:val="0"/>
                <w:i w:val="0"/>
                <w:color w:val="1B2A32"/>
                <w:sz w:val="17"/>
              </w:rPr>
              <w:t>Within 90 days of the complaint</w:t>
            </w:r>
          </w:p>
        </w:tc>
      </w:tr>
      <w:tr>
        <w:tc>
          <w:tcPr>
            <w:tcW w:type="dxa" w:w="6336"/>
          </w:tcPr>
          <w:p>
            <w:r/>
            <w:r>
              <w:rPr>
                <w:rFonts w:ascii="Calibri" w:hAnsi="Calibri"/>
                <w:b w:val="0"/>
                <w:i w:val="0"/>
                <w:color w:val="1B2A32"/>
                <w:sz w:val="17"/>
              </w:rPr>
              <w:t>Report to the employer</w:t>
            </w:r>
          </w:p>
        </w:tc>
        <w:tc>
          <w:tcPr>
            <w:tcW w:type="dxa" w:w="3168"/>
          </w:tcPr>
          <w:p>
            <w:r/>
            <w:r>
              <w:rPr>
                <w:rFonts w:ascii="Calibri" w:hAnsi="Calibri"/>
                <w:b w:val="0"/>
                <w:i w:val="0"/>
                <w:color w:val="1B2A32"/>
                <w:sz w:val="17"/>
              </w:rPr>
              <w:t>Within 10 days of concluding the inquiry</w:t>
            </w:r>
          </w:p>
        </w:tc>
      </w:tr>
      <w:tr>
        <w:tc>
          <w:tcPr>
            <w:tcW w:type="dxa" w:w="6336"/>
            <w:shd w:val="clear" w:fill="F3F7F9"/>
          </w:tcPr>
          <w:p>
            <w:r/>
            <w:r>
              <w:rPr>
                <w:rFonts w:ascii="Calibri" w:hAnsi="Calibri"/>
                <w:b w:val="0"/>
                <w:i w:val="0"/>
                <w:color w:val="1B2A32"/>
                <w:sz w:val="17"/>
              </w:rPr>
              <w:t>Employer to act on recommendations</w:t>
            </w:r>
          </w:p>
        </w:tc>
        <w:tc>
          <w:tcPr>
            <w:tcW w:type="dxa" w:w="3168"/>
            <w:shd w:val="clear" w:fill="F3F7F9"/>
          </w:tcPr>
          <w:p>
            <w:r/>
            <w:r>
              <w:rPr>
                <w:rFonts w:ascii="Calibri" w:hAnsi="Calibri"/>
                <w:b w:val="0"/>
                <w:i w:val="0"/>
                <w:color w:val="1B2A32"/>
                <w:sz w:val="17"/>
              </w:rPr>
              <w:t>Within 60 days</w:t>
            </w:r>
          </w:p>
        </w:tc>
      </w:tr>
      <w:tr>
        <w:tc>
          <w:tcPr>
            <w:tcW w:type="dxa" w:w="6336"/>
          </w:tcPr>
          <w:p>
            <w:r/>
            <w:r>
              <w:rPr>
                <w:rFonts w:ascii="Calibri" w:hAnsi="Calibri"/>
                <w:b w:val="0"/>
                <w:i w:val="0"/>
                <w:color w:val="1B2A32"/>
                <w:sz w:val="17"/>
              </w:rPr>
              <w:t>Appeal window</w:t>
            </w:r>
          </w:p>
        </w:tc>
        <w:tc>
          <w:tcPr>
            <w:tcW w:type="dxa" w:w="3168"/>
          </w:tcPr>
          <w:p>
            <w:r/>
            <w:r>
              <w:rPr>
                <w:rFonts w:ascii="Calibri" w:hAnsi="Calibri"/>
                <w:b w:val="0"/>
                <w:i w:val="0"/>
                <w:color w:val="1B2A32"/>
                <w:sz w:val="17"/>
              </w:rPr>
              <w:t>90 days</w:t>
            </w:r>
          </w:p>
        </w:tc>
      </w:tr>
    </w:tbl>
    <w:p>
      <w:pPr>
        <w:spacing w:after="40"/>
      </w:pPr>
    </w:p>
    <w:p>
      <w:pPr>
        <w:keepNext/>
        <w:spacing w:before="200" w:after="60"/>
      </w:pPr>
      <w:r>
        <w:rPr>
          <w:rFonts w:ascii="Calibri" w:hAnsi="Calibri"/>
          <w:b/>
          <w:i w:val="0"/>
          <w:color w:val="1E7A8C"/>
          <w:sz w:val="25"/>
        </w:rPr>
        <w:t>How the Committee will work</w:t>
      </w:r>
    </w:p>
    <w:p>
      <w:pPr>
        <w:pStyle w:val="ListBullet"/>
        <w:spacing w:after="60"/>
        <w:jc w:val="both"/>
      </w:pPr>
      <w:r>
        <w:rPr>
          <w:rFonts w:ascii="Calibri" w:hAnsi="Calibri"/>
          <w:b/>
          <w:i w:val="0"/>
          <w:color w:val="1B2A32"/>
          <w:sz w:val="21"/>
        </w:rPr>
        <w:t>Impartiality</w:t>
      </w:r>
      <w:r>
        <w:rPr>
          <w:rFonts w:ascii="Calibri" w:hAnsi="Calibri"/>
          <w:b w:val="0"/>
          <w:i w:val="0"/>
          <w:color w:val="1B2A32"/>
          <w:sz w:val="21"/>
        </w:rPr>
        <w:t xml:space="preserve"> — any member with a personal or reporting connection to either party recuses; the recusal is recorded.</w:t>
      </w:r>
    </w:p>
    <w:p>
      <w:pPr>
        <w:pStyle w:val="ListBullet"/>
        <w:spacing w:after="60"/>
        <w:jc w:val="both"/>
      </w:pPr>
      <w:r>
        <w:rPr>
          <w:rFonts w:ascii="Calibri" w:hAnsi="Calibri"/>
          <w:b/>
          <w:i w:val="0"/>
          <w:color w:val="1B2A32"/>
          <w:sz w:val="21"/>
        </w:rPr>
        <w:t>Natural justice</w:t>
      </w:r>
      <w:r>
        <w:rPr>
          <w:rFonts w:ascii="Calibri" w:hAnsi="Calibri"/>
          <w:b w:val="0"/>
          <w:i w:val="0"/>
          <w:color w:val="1B2A32"/>
          <w:sz w:val="21"/>
        </w:rPr>
        <w:t xml:space="preserve"> — both parties are heard; each sees the material relied on against them; neither is represented by a lawyer in the inquiry.</w:t>
      </w:r>
    </w:p>
    <w:p>
      <w:pPr>
        <w:pStyle w:val="ListBullet"/>
        <w:spacing w:after="60"/>
        <w:jc w:val="both"/>
      </w:pPr>
      <w:r>
        <w:rPr>
          <w:rFonts w:ascii="Calibri" w:hAnsi="Calibri"/>
          <w:b/>
          <w:i w:val="0"/>
          <w:color w:val="1B2A32"/>
          <w:sz w:val="21"/>
        </w:rPr>
        <w:t>Dignity</w:t>
      </w:r>
      <w:r>
        <w:rPr>
          <w:rFonts w:ascii="Calibri" w:hAnsi="Calibri"/>
          <w:b w:val="0"/>
          <w:i w:val="0"/>
          <w:color w:val="1B2A32"/>
          <w:sz w:val="21"/>
        </w:rPr>
        <w:t xml:space="preserve"> — no questioning about the complainant's character, dress, personal life or past sexual history.</w:t>
      </w:r>
    </w:p>
    <w:p>
      <w:pPr>
        <w:pStyle w:val="ListBullet"/>
        <w:spacing w:after="60"/>
        <w:jc w:val="both"/>
      </w:pPr>
      <w:r>
        <w:rPr>
          <w:rFonts w:ascii="Calibri" w:hAnsi="Calibri"/>
          <w:b/>
          <w:i w:val="0"/>
          <w:color w:val="1B2A32"/>
          <w:sz w:val="21"/>
        </w:rPr>
        <w:t>Confidentiality</w:t>
      </w:r>
      <w:r>
        <w:rPr>
          <w:rFonts w:ascii="Calibri" w:hAnsi="Calibri"/>
          <w:b w:val="0"/>
          <w:i w:val="0"/>
          <w:color w:val="1B2A32"/>
          <w:sz w:val="21"/>
        </w:rPr>
        <w:t xml:space="preserve"> — section 16 is observed absolutely; papers are kept in a sealed, access-controlled file.</w:t>
      </w:r>
    </w:p>
    <w:p>
      <w:pPr>
        <w:pStyle w:val="ListBullet"/>
        <w:spacing w:after="60"/>
        <w:jc w:val="both"/>
      </w:pPr>
      <w:r>
        <w:rPr>
          <w:rFonts w:ascii="Calibri" w:hAnsi="Calibri"/>
          <w:b/>
          <w:i w:val="0"/>
          <w:color w:val="1B2A32"/>
          <w:sz w:val="21"/>
        </w:rPr>
        <w:t>Record</w:t>
      </w:r>
      <w:r>
        <w:rPr>
          <w:rFonts w:ascii="Calibri" w:hAnsi="Calibri"/>
          <w:b w:val="0"/>
          <w:i w:val="0"/>
          <w:color w:val="1B2A32"/>
          <w:sz w:val="21"/>
        </w:rPr>
        <w:t xml:space="preserve"> — minutes of every sitting, statements, documents, findings and reasons are recorded contemporaneously.</w:t>
      </w:r>
    </w:p>
    <w:p>
      <w:pPr>
        <w:pStyle w:val="ListBullet"/>
        <w:spacing w:after="60"/>
        <w:jc w:val="both"/>
      </w:pPr>
      <w:r>
        <w:rPr>
          <w:rFonts w:ascii="Calibri" w:hAnsi="Calibri"/>
          <w:b/>
          <w:i w:val="0"/>
          <w:color w:val="1B2A32"/>
          <w:sz w:val="21"/>
        </w:rPr>
        <w:t>Support</w:t>
      </w:r>
      <w:r>
        <w:rPr>
          <w:rFonts w:ascii="Calibri" w:hAnsi="Calibri"/>
          <w:b w:val="0"/>
          <w:i w:val="0"/>
          <w:color w:val="1B2A32"/>
          <w:sz w:val="21"/>
        </w:rPr>
        <w:t xml:space="preserve"> — the complainant may be accompanied by a support person who is not a lawyer and does not participate.</w:t>
      </w:r>
    </w:p>
    <w:p>
      <w:pPr>
        <w:keepNext/>
        <w:spacing w:before="200" w:after="60"/>
      </w:pPr>
      <w:r>
        <w:rPr>
          <w:rFonts w:ascii="Calibri" w:hAnsi="Calibri"/>
          <w:b/>
          <w:i w:val="0"/>
          <w:color w:val="1E7A8C"/>
          <w:sz w:val="25"/>
        </w:rPr>
        <w:t>Declarations by members</w:t>
      </w:r>
    </w:p>
    <w:p>
      <w:pPr>
        <w:spacing w:after="120"/>
        <w:jc w:val="both"/>
      </w:pPr>
      <w:r>
        <w:rPr>
          <w:rFonts w:ascii="Calibri" w:hAnsi="Calibri"/>
          <w:b w:val="0"/>
          <w:i w:val="0"/>
          <w:color w:val="1B2A32"/>
          <w:sz w:val="21"/>
        </w:rPr>
        <w:t>Each member signs, on appointment and annually:</w:t>
      </w:r>
    </w:p>
    <w:p>
      <w:pPr>
        <w:pStyle w:val="ListBullet"/>
        <w:spacing w:after="60"/>
        <w:jc w:val="both"/>
      </w:pPr>
      <w:r>
        <w:rPr>
          <w:rFonts w:ascii="Calibri" w:hAnsi="Calibri"/>
          <w:b w:val="0"/>
          <w:i w:val="0"/>
          <w:color w:val="1B2A32"/>
          <w:sz w:val="21"/>
        </w:rPr>
        <w:t>I am eligible for my role under section 4 and have no disqualifying conflict.</w:t>
      </w:r>
    </w:p>
    <w:p>
      <w:pPr>
        <w:pStyle w:val="ListBullet"/>
        <w:spacing w:after="60"/>
        <w:jc w:val="both"/>
      </w:pPr>
      <w:r>
        <w:rPr>
          <w:rFonts w:ascii="Calibri" w:hAnsi="Calibri"/>
          <w:b w:val="0"/>
          <w:i w:val="0"/>
          <w:color w:val="1B2A32"/>
          <w:sz w:val="21"/>
        </w:rPr>
        <w:t>I will maintain confidentiality under section 16, during and after my term.</w:t>
      </w:r>
    </w:p>
    <w:p>
      <w:pPr>
        <w:pStyle w:val="ListBullet"/>
        <w:spacing w:after="60"/>
        <w:jc w:val="both"/>
      </w:pPr>
      <w:r>
        <w:rPr>
          <w:rFonts w:ascii="Calibri" w:hAnsi="Calibri"/>
          <w:b w:val="0"/>
          <w:i w:val="0"/>
          <w:color w:val="1B2A32"/>
          <w:sz w:val="21"/>
        </w:rPr>
        <w:t>I will act impartially, will recuse where I have any connection to a party, and will apply natural justice.</w:t>
      </w:r>
    </w:p>
    <w:p>
      <w:pPr>
        <w:pStyle w:val="ListBullet"/>
        <w:spacing w:after="60"/>
        <w:jc w:val="both"/>
      </w:pPr>
      <w:r>
        <w:rPr>
          <w:rFonts w:ascii="Calibri" w:hAnsi="Calibri"/>
          <w:b w:val="0"/>
          <w:i w:val="0"/>
          <w:color w:val="1B2A32"/>
          <w:sz w:val="21"/>
        </w:rPr>
        <w:t>I will complete the capacity-building the organisation provides.</w:t>
      </w:r>
    </w:p>
    <w:p>
      <w:pPr>
        <w:pStyle w:val="ListBullet"/>
        <w:spacing w:after="60"/>
        <w:jc w:val="both"/>
      </w:pPr>
      <w:r>
        <w:rPr>
          <w:rFonts w:ascii="Calibri" w:hAnsi="Calibri"/>
          <w:b/>
          <w:i w:val="0"/>
          <w:color w:val="1B2A32"/>
          <w:sz w:val="21"/>
        </w:rPr>
        <w:t>External member only:</w:t>
      </w:r>
      <w:r>
        <w:rPr>
          <w:rFonts w:ascii="Calibri" w:hAnsi="Calibri"/>
          <w:b w:val="0"/>
          <w:i w:val="0"/>
          <w:color w:val="1B2A32"/>
          <w:sz w:val="21"/>
        </w:rPr>
        <w:t xml:space="preserve"> I am from an NGO or association committed to the cause of women, or am familiar with issues relating to sexual harassment, and I am independent of the employer.</w:t>
      </w:r>
    </w:p>
    <w:p>
      <w:pPr>
        <w:spacing w:after="120"/>
        <w:jc w:val="both"/>
      </w:pPr>
      <w:r>
        <w:rPr>
          <w:rFonts w:ascii="Calibri" w:hAnsi="Calibri"/>
          <w:b/>
          <w:i w:val="0"/>
          <w:color w:val="1B2A32"/>
          <w:sz w:val="21"/>
        </w:rPr>
        <w:t>Member signature:</w:t>
      </w:r>
      <w:r>
        <w:rPr>
          <w:rFonts w:ascii="Calibri" w:hAnsi="Calibri"/>
          <w:b w:val="0"/>
          <w:i w:val="0"/>
          <w:color w:val="1B2A32"/>
          <w:sz w:val="21"/>
        </w:rPr>
        <w:t xml:space="preserve"> ____________________  </w:t>
      </w:r>
      <w:r>
        <w:rPr>
          <w:rFonts w:ascii="Calibri" w:hAnsi="Calibri"/>
          <w:b/>
          <w:i w:val="0"/>
          <w:color w:val="1B2A32"/>
          <w:sz w:val="21"/>
        </w:rPr>
        <w:t>Name:</w:t>
      </w:r>
      <w:r>
        <w:rPr>
          <w:rFonts w:ascii="Calibri" w:hAnsi="Calibri"/>
          <w:b w:val="0"/>
          <w:i w:val="0"/>
          <w:color w:val="1B2A32"/>
          <w:sz w:val="21"/>
        </w:rPr>
        <w:t xml:space="preserve"> [•]  </w:t>
      </w:r>
      <w:r>
        <w:rPr>
          <w:rFonts w:ascii="Calibri" w:hAnsi="Calibri"/>
          <w:b/>
          <w:i w:val="0"/>
          <w:color w:val="1B2A32"/>
          <w:sz w:val="21"/>
        </w:rPr>
        <w:t>Date:</w:t>
      </w:r>
      <w:r>
        <w:rPr>
          <w:rFonts w:ascii="Calibri" w:hAnsi="Calibri"/>
          <w:b w:val="0"/>
          <w:i w:val="0"/>
          <w:color w:val="1B2A32"/>
          <w:sz w:val="21"/>
        </w:rPr>
        <w:t xml:space="preserve"> [•]</w:t>
      </w:r>
    </w:p>
    <w:p>
      <w:pPr>
        <w:keepNext/>
        <w:spacing w:before="200" w:after="60"/>
      </w:pPr>
      <w:r>
        <w:rPr>
          <w:rFonts w:ascii="Calibri" w:hAnsi="Calibri"/>
          <w:b/>
          <w:i w:val="0"/>
          <w:color w:val="1E7A8C"/>
          <w:sz w:val="25"/>
        </w:rPr>
        <w:t>Removal and vacancy</w:t>
      </w:r>
    </w:p>
    <w:p>
      <w:pPr>
        <w:spacing w:after="120"/>
        <w:jc w:val="both"/>
      </w:pPr>
      <w:r>
        <w:rPr>
          <w:rFonts w:ascii="Calibri" w:hAnsi="Calibri"/>
          <w:b w:val="0"/>
          <w:i w:val="0"/>
          <w:color w:val="1B2A32"/>
          <w:sz w:val="21"/>
        </w:rPr>
        <w:t>A member shall be removed where they contravene section 16 (confidentiality), are convicted of an offence or have a pending inquiry into an offence under any law, are found guilty in a disciplinary proceeding or have one pending, or have abused their position so as to render continuance prejudicial to the public interest. A vacancy is filled promptly so the Committee remains properly constituted.</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Workplace &amp;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66FEF4E-3A9D-4119-9FD4-7AFB12F82ADD}"/>
</file>

<file path=customXml/itemProps3.xml><?xml version="1.0" encoding="utf-8"?>
<ds:datastoreItem xmlns:ds="http://schemas.openxmlformats.org/officeDocument/2006/customXml" ds:itemID="{7E192583-A589-4466-9425-A1719C0A8516}"/>
</file>

<file path=customXml/itemProps4.xml><?xml version="1.0" encoding="utf-8"?>
<ds:datastoreItem xmlns:ds="http://schemas.openxmlformats.org/officeDocument/2006/customXml" ds:itemID="{5D84B0AE-D91A-4127-9540-E286B722073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