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23B4F"/>
          <w:sz w:val="34"/>
        </w:rPr>
        <w:t>EQUATOR RESOLUTION</w:t>
      </w:r>
    </w:p>
    <w:p>
      <w:pPr>
        <w:spacing w:after="60"/>
        <w:jc w:val="center"/>
      </w:pPr>
      <w:r>
        <w:rPr>
          <w:rFonts w:ascii="Calibri" w:hAnsi="Calibri"/>
          <w:b w:val="0"/>
          <w:i/>
          <w:color w:val="1E7A8C"/>
          <w:sz w:val="21"/>
        </w:rPr>
        <w:t>POSH Compliance Pack for Employers</w:t>
      </w:r>
    </w:p>
    <w:p>
      <w:pPr>
        <w:pBdr>
          <w:top w:val="single" w:sz="14" w:space="6" w:color="C6A15B"/>
          <w:bottom w:val="single" w:sz="14" w:space="6" w:color="C6A15B"/>
        </w:pBdr>
      </w:pPr>
    </w:p>
    <w:p>
      <w:pPr>
        <w:spacing w:before="600"/>
        <w:jc w:val="center"/>
      </w:pPr>
      <w:r>
        <w:rPr>
          <w:rFonts w:ascii="Calibri" w:hAnsi="Calibri"/>
          <w:b/>
          <w:i w:val="0"/>
          <w:color w:val="123B4F"/>
          <w:sz w:val="48"/>
        </w:rPr>
        <w:t>Model POSH Policy</w:t>
      </w:r>
    </w:p>
    <w:p>
      <w:pPr>
        <w:jc w:val="center"/>
      </w:pPr>
      <w:r>
        <w:rPr>
          <w:rFonts w:ascii="Calibri" w:hAnsi="Calibri"/>
          <w:b w:val="0"/>
          <w:i/>
          <w:color w:val="556168"/>
          <w:sz w:val="25"/>
        </w:rPr>
        <w:t>A ready-to-adapt policy on the prevention and redressal of sexual harassment at the workplace</w:t>
      </w:r>
    </w:p>
    <w:p/>
    <w:p/>
    <w:p/>
    <w:p/>
    <w:p/>
    <w:p/>
    <w:p/>
    <w:p/>
    <w:p>
      <w:pPr>
        <w:jc w:val="center"/>
      </w:pPr>
      <w:r>
        <w:rPr>
          <w:rFonts w:ascii="Calibri" w:hAnsi="Calibri"/>
          <w:b/>
          <w:i w:val="0"/>
          <w:color w:val="1E7A8C"/>
          <w:sz w:val="22"/>
        </w:rPr>
        <w:t>Workplace &amp; HR Dispute Resolution vertical</w:t>
      </w:r>
    </w:p>
    <w:p>
      <w:pPr>
        <w:jc w:val="center"/>
      </w:pPr>
      <w:r>
        <w:rPr>
          <w:rFonts w:ascii="Calibri" w:hAnsi="Calibri"/>
          <w:b w:val="0"/>
          <w:i w:val="0"/>
          <w:color w:val="556168"/>
          <w:sz w:val="19"/>
        </w:rPr>
        <w:t>July 2026  ·  Draft for legal sign-off  ·  www.equatorresolution.com</w:t>
      </w:r>
    </w:p>
    <w:p>
      <w:r>
        <w:br w:type="page"/>
      </w: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How to use this</w:t>
            </w:r>
          </w:p>
          <w:p>
            <w:r>
              <w:rPr>
                <w:rFonts w:ascii="Calibri" w:hAnsi="Calibri"/>
                <w:b w:val="0"/>
                <w:i w:val="0"/>
                <w:color w:val="1B2A32"/>
                <w:sz w:val="19"/>
              </w:rPr>
              <w:t xml:space="preserve">This is a </w:t>
            </w:r>
            <w:r>
              <w:rPr>
                <w:rFonts w:ascii="Calibri" w:hAnsi="Calibri"/>
                <w:b/>
                <w:i w:val="0"/>
                <w:color w:val="1B2A32"/>
                <w:sz w:val="19"/>
              </w:rPr>
              <w:t>model document for adaptation</w:t>
            </w:r>
            <w:r>
              <w:rPr>
                <w:rFonts w:ascii="Calibri" w:hAnsi="Calibri"/>
                <w:b w:val="0"/>
                <w:i w:val="0"/>
                <w:color w:val="1B2A32"/>
                <w:sz w:val="19"/>
              </w:rPr>
              <w:t>, not legal advice. It must be tailored to your organisation and reviewed by counsel before adoption. Statutory references are to the Sexual Harassment of Women at Workplace (Prevention, Prohibition and Redressal) Act, 2013 and its Rules, stated as at July 2026.</w:t>
            </w:r>
          </w:p>
        </w:tc>
      </w:tr>
    </w:tbl>
    <w:p>
      <w:pPr>
        <w:spacing w:after="40"/>
      </w:pPr>
    </w:p>
    <w:p>
      <w:pPr>
        <w:keepNext/>
        <w:spacing w:before="280" w:after="120"/>
        <w:pBdr>
          <w:bottom w:val="single" w:sz="12" w:space="3" w:color="C6A15B"/>
        </w:pBdr>
      </w:pPr>
      <w:r>
        <w:rPr>
          <w:rFonts w:ascii="Calibri" w:hAnsi="Calibri"/>
          <w:b/>
          <w:i w:val="0"/>
          <w:color w:val="123B4F"/>
          <w:sz w:val="32"/>
        </w:rPr>
        <w:t>1. Our commitment</w:t>
      </w:r>
    </w:p>
    <w:p>
      <w:pPr>
        <w:spacing w:after="120"/>
        <w:jc w:val="both"/>
      </w:pPr>
      <w:r>
        <w:rPr>
          <w:rFonts w:ascii="Calibri" w:hAnsi="Calibri"/>
          <w:b/>
          <w:i w:val="0"/>
          <w:color w:val="1B2A32"/>
          <w:sz w:val="21"/>
        </w:rPr>
        <w:t>[Organisation]</w:t>
      </w:r>
      <w:r>
        <w:rPr>
          <w:rFonts w:ascii="Calibri" w:hAnsi="Calibri"/>
          <w:b w:val="0"/>
          <w:i w:val="0"/>
          <w:color w:val="1B2A32"/>
          <w:sz w:val="21"/>
        </w:rPr>
        <w:t xml:space="preserve"> is committed to a workplace free from sexual harassment, where every person is treated with dignity and respect. Sexual harassment is a serious matter of misconduct. We will deal with every complaint promptly, fairly and confidentially, and we will protect anyone who raises a concern from retaliation.</w:t>
      </w:r>
    </w:p>
    <w:p>
      <w:pPr>
        <w:keepNext/>
        <w:spacing w:before="280" w:after="120"/>
        <w:pBdr>
          <w:bottom w:val="single" w:sz="12" w:space="3" w:color="C6A15B"/>
        </w:pBdr>
      </w:pPr>
      <w:r>
        <w:rPr>
          <w:rFonts w:ascii="Calibri" w:hAnsi="Calibri"/>
          <w:b/>
          <w:i w:val="0"/>
          <w:color w:val="123B4F"/>
          <w:sz w:val="32"/>
        </w:rPr>
        <w:t>2. Who and where this covers</w:t>
      </w:r>
    </w:p>
    <w:p>
      <w:pPr>
        <w:pStyle w:val="ListBullet"/>
        <w:spacing w:after="60"/>
        <w:jc w:val="both"/>
      </w:pPr>
      <w:r>
        <w:rPr>
          <w:rFonts w:ascii="Calibri" w:hAnsi="Calibri"/>
          <w:b/>
          <w:i w:val="0"/>
          <w:color w:val="1B2A32"/>
          <w:sz w:val="21"/>
        </w:rPr>
        <w:t>Who is protected:</w:t>
      </w:r>
      <w:r>
        <w:rPr>
          <w:rFonts w:ascii="Calibri" w:hAnsi="Calibri"/>
          <w:b w:val="0"/>
          <w:i w:val="0"/>
          <w:color w:val="1B2A32"/>
          <w:sz w:val="21"/>
        </w:rPr>
        <w:t xml:space="preserve"> any woman at the workplace, whether employed or not — including employees of any type, contract and outsourced workers, interns, apprentices, trainees, probationers, daily-wage workers and visitors.</w:t>
      </w:r>
    </w:p>
    <w:p>
      <w:pPr>
        <w:pStyle w:val="ListBullet"/>
        <w:spacing w:after="60"/>
        <w:jc w:val="both"/>
      </w:pPr>
      <w:r>
        <w:rPr>
          <w:rFonts w:ascii="Calibri" w:hAnsi="Calibri"/>
          <w:b/>
          <w:i w:val="0"/>
          <w:color w:val="1B2A32"/>
          <w:sz w:val="21"/>
        </w:rPr>
        <w:t>Who it applies to:</w:t>
      </w:r>
      <w:r>
        <w:rPr>
          <w:rFonts w:ascii="Calibri" w:hAnsi="Calibri"/>
          <w:b w:val="0"/>
          <w:i w:val="0"/>
          <w:color w:val="1B2A32"/>
          <w:sz w:val="21"/>
        </w:rPr>
        <w:t xml:space="preserve"> all employees at every level, and third parties who interact with our workplace (contractors, vendors, clients and visitors).</w:t>
      </w:r>
    </w:p>
    <w:p>
      <w:pPr>
        <w:pStyle w:val="ListBullet"/>
        <w:spacing w:after="60"/>
        <w:jc w:val="both"/>
      </w:pPr>
      <w:r>
        <w:rPr>
          <w:rFonts w:ascii="Calibri" w:hAnsi="Calibri"/>
          <w:b/>
          <w:i w:val="0"/>
          <w:color w:val="1B2A32"/>
          <w:sz w:val="21"/>
        </w:rPr>
        <w:t>Where:</w:t>
      </w:r>
      <w:r>
        <w:rPr>
          <w:rFonts w:ascii="Calibri" w:hAnsi="Calibri"/>
          <w:b w:val="0"/>
          <w:i w:val="0"/>
          <w:color w:val="1B2A32"/>
          <w:sz w:val="21"/>
        </w:rPr>
        <w:t xml:space="preserve"> our offices and sites; any place visited during employment, including transport provided by the employer; client and vendor premises; off-site events, training and travel; and </w:t>
      </w:r>
      <w:r>
        <w:rPr>
          <w:rFonts w:ascii="Calibri" w:hAnsi="Calibri"/>
          <w:b/>
          <w:i w:val="0"/>
          <w:color w:val="1B2A32"/>
          <w:sz w:val="21"/>
        </w:rPr>
        <w:t>virtual and digital environments</w:t>
      </w:r>
      <w:r>
        <w:rPr>
          <w:rFonts w:ascii="Calibri" w:hAnsi="Calibri"/>
          <w:b w:val="0"/>
          <w:i w:val="0"/>
          <w:color w:val="1B2A32"/>
          <w:sz w:val="21"/>
        </w:rPr>
        <w:t xml:space="preserve"> — email, messaging, video calls and social media connected to work.</w:t>
      </w:r>
    </w:p>
    <w:p>
      <w:pPr>
        <w:keepNext/>
        <w:spacing w:before="280" w:after="120"/>
        <w:pBdr>
          <w:bottom w:val="single" w:sz="12" w:space="3" w:color="C6A15B"/>
        </w:pBdr>
      </w:pPr>
      <w:r>
        <w:rPr>
          <w:rFonts w:ascii="Calibri" w:hAnsi="Calibri"/>
          <w:b/>
          <w:i w:val="0"/>
          <w:color w:val="123B4F"/>
          <w:sz w:val="32"/>
        </w:rPr>
        <w:t>3. What sexual harassment means</w:t>
      </w:r>
    </w:p>
    <w:p>
      <w:pPr>
        <w:spacing w:after="120"/>
        <w:jc w:val="both"/>
      </w:pPr>
      <w:r>
        <w:rPr>
          <w:rFonts w:ascii="Calibri" w:hAnsi="Calibri"/>
          <w:b w:val="0"/>
          <w:i w:val="0"/>
          <w:color w:val="1B2A32"/>
          <w:sz w:val="21"/>
        </w:rPr>
        <w:t xml:space="preserve">Sexual harassment includes any one or more of the following unwelcome acts or behaviour, whether directly or by implication: </w:t>
      </w:r>
      <w:r>
        <w:rPr>
          <w:rFonts w:ascii="Calibri" w:hAnsi="Calibri"/>
          <w:b/>
          <w:i w:val="0"/>
          <w:color w:val="1B2A32"/>
          <w:sz w:val="21"/>
        </w:rPr>
        <w:t>physical contact and advances; a demand or request for sexual favours; making sexually coloured remarks; showing pornography; and any other unwelcome physical, verbal or non-verbal conduct of a sexual nature.</w:t>
      </w:r>
    </w:p>
    <w:p>
      <w:pPr>
        <w:spacing w:after="120"/>
        <w:jc w:val="both"/>
      </w:pPr>
      <w:r>
        <w:rPr>
          <w:rFonts w:ascii="Calibri" w:hAnsi="Calibri"/>
          <w:b w:val="0"/>
          <w:i w:val="0"/>
          <w:color w:val="1B2A32"/>
          <w:sz w:val="21"/>
        </w:rPr>
        <w:t xml:space="preserve">The following circumstances, if they occur in relation to any act of sexual harassment, may also amount to sexual harassment: an </w:t>
      </w:r>
      <w:r>
        <w:rPr>
          <w:rFonts w:ascii="Calibri" w:hAnsi="Calibri"/>
          <w:b/>
          <w:i w:val="0"/>
          <w:color w:val="1B2A32"/>
          <w:sz w:val="21"/>
        </w:rPr>
        <w:t>implied or explicit promise</w:t>
      </w:r>
      <w:r>
        <w:rPr>
          <w:rFonts w:ascii="Calibri" w:hAnsi="Calibri"/>
          <w:b w:val="0"/>
          <w:i w:val="0"/>
          <w:color w:val="1B2A32"/>
          <w:sz w:val="21"/>
        </w:rPr>
        <w:t xml:space="preserve"> of preferential treatment; an </w:t>
      </w:r>
      <w:r>
        <w:rPr>
          <w:rFonts w:ascii="Calibri" w:hAnsi="Calibri"/>
          <w:b/>
          <w:i w:val="0"/>
          <w:color w:val="1B2A32"/>
          <w:sz w:val="21"/>
        </w:rPr>
        <w:t>implied or explicit threat</w:t>
      </w:r>
      <w:r>
        <w:rPr>
          <w:rFonts w:ascii="Calibri" w:hAnsi="Calibri"/>
          <w:b w:val="0"/>
          <w:i w:val="0"/>
          <w:color w:val="1B2A32"/>
          <w:sz w:val="21"/>
        </w:rPr>
        <w:t xml:space="preserve"> of detrimental treatment; a threat about present or future employment status; interference with work or creating an </w:t>
      </w:r>
      <w:r>
        <w:rPr>
          <w:rFonts w:ascii="Calibri" w:hAnsi="Calibri"/>
          <w:b/>
          <w:i w:val="0"/>
          <w:color w:val="1B2A32"/>
          <w:sz w:val="21"/>
        </w:rPr>
        <w:t>intimidating, offensive or hostile</w:t>
      </w:r>
      <w:r>
        <w:rPr>
          <w:rFonts w:ascii="Calibri" w:hAnsi="Calibri"/>
          <w:b w:val="0"/>
          <w:i w:val="0"/>
          <w:color w:val="1B2A32"/>
          <w:sz w:val="21"/>
        </w:rPr>
        <w:t xml:space="preserve"> work environment; or humiliating treatment likely to affect health or safety.</w:t>
      </w:r>
    </w:p>
    <w:tbl>
      <w:tblPr>
        <w:tblW w:type="auto" w:w="0"/>
        <w:jc w:val="center"/>
        <w:tblLook w:firstColumn="1" w:firstRow="1" w:lastColumn="0" w:lastRow="0" w:noHBand="0" w:noVBand="1" w:val="04A0"/>
      </w:tblPr>
      <w:tblGrid>
        <w:gridCol w:w="9504"/>
      </w:tblGrid>
      <w:tr>
        <w:tc>
          <w:tcPr>
            <w:tcW w:type="dxa" w:w="9360"/>
            <w:shd w:val="clear" w:fill="F5ECD6"/>
            <w:tcBorders>
              <w:start w:val="single" w:sz="22" w:space="0" w:color="C6A15B"/>
            </w:tcBorders>
          </w:tcPr>
          <w:p>
            <w:r>
              <w:rPr>
                <w:rFonts w:ascii="Calibri" w:hAnsi="Calibri"/>
                <w:b/>
                <w:i w:val="0"/>
                <w:color w:val="123B4F"/>
                <w:sz w:val="18"/>
              </w:rPr>
              <w:t>The test is 'unwelcome'</w:t>
            </w:r>
          </w:p>
          <w:p>
            <w:r>
              <w:rPr>
                <w:rFonts w:ascii="Calibri" w:hAnsi="Calibri"/>
                <w:b w:val="0"/>
                <w:i w:val="0"/>
                <w:color w:val="1B2A32"/>
                <w:sz w:val="19"/>
              </w:rPr>
              <w:t xml:space="preserve">Whether conduct is harassment turns on whether it was </w:t>
            </w:r>
            <w:r>
              <w:rPr>
                <w:rFonts w:ascii="Calibri" w:hAnsi="Calibri"/>
                <w:b/>
                <w:i w:val="0"/>
                <w:color w:val="1B2A32"/>
                <w:sz w:val="19"/>
              </w:rPr>
              <w:t>unwelcome to the person receiving it</w:t>
            </w:r>
            <w:r>
              <w:rPr>
                <w:rFonts w:ascii="Calibri" w:hAnsi="Calibri"/>
                <w:b w:val="0"/>
                <w:i w:val="0"/>
                <w:color w:val="1B2A32"/>
                <w:sz w:val="19"/>
              </w:rPr>
              <w:t xml:space="preserve"> — not on whether the person doing it intended harm, and not on whether others found it acceptable. Intention is not a defence.</w:t>
            </w:r>
          </w:p>
        </w:tc>
      </w:tr>
    </w:tbl>
    <w:p>
      <w:pPr>
        <w:spacing w:after="40"/>
      </w:pPr>
    </w:p>
    <w:p>
      <w:pPr>
        <w:keepNext/>
        <w:spacing w:before="280" w:after="120"/>
        <w:pBdr>
          <w:bottom w:val="single" w:sz="12" w:space="3" w:color="C6A15B"/>
        </w:pBdr>
      </w:pPr>
      <w:r>
        <w:rPr>
          <w:rFonts w:ascii="Calibri" w:hAnsi="Calibri"/>
          <w:b/>
          <w:i w:val="0"/>
          <w:color w:val="123B4F"/>
          <w:sz w:val="32"/>
        </w:rPr>
        <w:t>4. The Internal Committee</w:t>
      </w:r>
    </w:p>
    <w:p>
      <w:pPr>
        <w:spacing w:after="120"/>
        <w:jc w:val="both"/>
      </w:pPr>
      <w:r>
        <w:rPr>
          <w:rFonts w:ascii="Calibri" w:hAnsi="Calibri"/>
          <w:b w:val="0"/>
          <w:i w:val="0"/>
          <w:color w:val="1B2A32"/>
          <w:sz w:val="21"/>
        </w:rPr>
        <w:t xml:space="preserve">We have constituted an </w:t>
      </w:r>
      <w:r>
        <w:rPr>
          <w:rFonts w:ascii="Calibri" w:hAnsi="Calibri"/>
          <w:b/>
          <w:i w:val="0"/>
          <w:color w:val="1B2A32"/>
          <w:sz w:val="21"/>
        </w:rPr>
        <w:t>Internal Committee (IC)</w:t>
      </w:r>
      <w:r>
        <w:rPr>
          <w:rFonts w:ascii="Calibri" w:hAnsi="Calibri"/>
          <w:b w:val="0"/>
          <w:i w:val="0"/>
          <w:color w:val="1B2A32"/>
          <w:sz w:val="21"/>
        </w:rPr>
        <w:t xml:space="preserve"> as required by section 4 of the Act. Its composition, and how to contact it, are published at Annexure 1 to this policy and displayed at every workplace.</w:t>
      </w:r>
    </w:p>
    <w:p>
      <w:pPr>
        <w:pStyle w:val="ListBullet"/>
        <w:spacing w:after="60"/>
        <w:jc w:val="both"/>
      </w:pPr>
      <w:r>
        <w:rPr>
          <w:rFonts w:ascii="Calibri" w:hAnsi="Calibri"/>
          <w:b w:val="0"/>
          <w:i w:val="0"/>
          <w:color w:val="1B2A32"/>
          <w:sz w:val="21"/>
        </w:rPr>
        <w:t xml:space="preserve">A </w:t>
      </w:r>
      <w:r>
        <w:rPr>
          <w:rFonts w:ascii="Calibri" w:hAnsi="Calibri"/>
          <w:b/>
          <w:i w:val="0"/>
          <w:color w:val="1B2A32"/>
          <w:sz w:val="21"/>
        </w:rPr>
        <w:t>Presiding Officer</w:t>
      </w:r>
      <w:r>
        <w:rPr>
          <w:rFonts w:ascii="Calibri" w:hAnsi="Calibri"/>
          <w:b w:val="0"/>
          <w:i w:val="0"/>
          <w:color w:val="1B2A32"/>
          <w:sz w:val="21"/>
        </w:rPr>
        <w:t xml:space="preserve"> — a woman employed at a senior level.</w:t>
      </w:r>
    </w:p>
    <w:p>
      <w:pPr>
        <w:pStyle w:val="ListBullet"/>
        <w:spacing w:after="60"/>
        <w:jc w:val="both"/>
      </w:pPr>
      <w:r>
        <w:rPr>
          <w:rFonts w:ascii="Calibri" w:hAnsi="Calibri"/>
          <w:b w:val="0"/>
          <w:i w:val="0"/>
          <w:color w:val="1B2A32"/>
          <w:sz w:val="21"/>
        </w:rPr>
        <w:t xml:space="preserve">At least </w:t>
      </w:r>
      <w:r>
        <w:rPr>
          <w:rFonts w:ascii="Calibri" w:hAnsi="Calibri"/>
          <w:b/>
          <w:i w:val="0"/>
          <w:color w:val="1B2A32"/>
          <w:sz w:val="21"/>
        </w:rPr>
        <w:t>two members</w:t>
      </w:r>
      <w:r>
        <w:rPr>
          <w:rFonts w:ascii="Calibri" w:hAnsi="Calibri"/>
          <w:b w:val="0"/>
          <w:i w:val="0"/>
          <w:color w:val="1B2A32"/>
          <w:sz w:val="21"/>
        </w:rPr>
        <w:t xml:space="preserve"> from among employees, preferably committed to the cause of women or with relevant social work or legal experience.</w:t>
      </w:r>
    </w:p>
    <w:p>
      <w:pPr>
        <w:pStyle w:val="ListBullet"/>
        <w:spacing w:after="60"/>
        <w:jc w:val="both"/>
      </w:pPr>
      <w:r>
        <w:rPr>
          <w:rFonts w:ascii="Calibri" w:hAnsi="Calibri"/>
          <w:b w:val="0"/>
          <w:i w:val="0"/>
          <w:color w:val="1B2A32"/>
          <w:sz w:val="21"/>
        </w:rPr>
        <w:t xml:space="preserve">At least </w:t>
      </w:r>
      <w:r>
        <w:rPr>
          <w:rFonts w:ascii="Calibri" w:hAnsi="Calibri"/>
          <w:b/>
          <w:i w:val="0"/>
          <w:color w:val="1B2A32"/>
          <w:sz w:val="21"/>
        </w:rPr>
        <w:t>one external member</w:t>
      </w:r>
      <w:r>
        <w:rPr>
          <w:rFonts w:ascii="Calibri" w:hAnsi="Calibri"/>
          <w:b w:val="0"/>
          <w:i w:val="0"/>
          <w:color w:val="1B2A32"/>
          <w:sz w:val="21"/>
        </w:rPr>
        <w:t xml:space="preserve"> from a non-governmental organisation or association committed to the cause of women, or a person familiar with issues relating to sexual harassment.</w:t>
      </w:r>
    </w:p>
    <w:p>
      <w:pPr>
        <w:pStyle w:val="ListBullet"/>
        <w:spacing w:after="60"/>
        <w:jc w:val="both"/>
      </w:pPr>
      <w:r>
        <w:rPr>
          <w:rFonts w:ascii="Calibri" w:hAnsi="Calibri"/>
          <w:b w:val="0"/>
          <w:i w:val="0"/>
          <w:color w:val="1B2A32"/>
          <w:sz w:val="21"/>
        </w:rPr>
        <w:t xml:space="preserve">At least </w:t>
      </w:r>
      <w:r>
        <w:rPr>
          <w:rFonts w:ascii="Calibri" w:hAnsi="Calibri"/>
          <w:b/>
          <w:i w:val="0"/>
          <w:color w:val="1B2A32"/>
          <w:sz w:val="21"/>
        </w:rPr>
        <w:t>half</w:t>
      </w:r>
      <w:r>
        <w:rPr>
          <w:rFonts w:ascii="Calibri" w:hAnsi="Calibri"/>
          <w:b w:val="0"/>
          <w:i w:val="0"/>
          <w:color w:val="1B2A32"/>
          <w:sz w:val="21"/>
        </w:rPr>
        <w:t xml:space="preserve"> the total members shall be women. Members hold office for a term not exceeding three years.</w:t>
      </w:r>
    </w:p>
    <w:p>
      <w:pPr>
        <w:spacing w:after="120"/>
        <w:jc w:val="both"/>
      </w:pPr>
      <w:r>
        <w:rPr>
          <w:rFonts w:ascii="Calibri" w:hAnsi="Calibri"/>
          <w:b w:val="0"/>
          <w:i w:val="0"/>
          <w:color w:val="1B2A32"/>
          <w:sz w:val="21"/>
        </w:rPr>
        <w:t xml:space="preserve">Where a complaint is against the employer, or where we have fewer than ten workers, the complaint is made to the </w:t>
      </w:r>
      <w:r>
        <w:rPr>
          <w:rFonts w:ascii="Calibri" w:hAnsi="Calibri"/>
          <w:b/>
          <w:i w:val="0"/>
          <w:color w:val="1B2A32"/>
          <w:sz w:val="21"/>
        </w:rPr>
        <w:t>Local Committee</w:t>
      </w:r>
      <w:r>
        <w:rPr>
          <w:rFonts w:ascii="Calibri" w:hAnsi="Calibri"/>
          <w:b w:val="0"/>
          <w:i w:val="0"/>
          <w:color w:val="1B2A32"/>
          <w:sz w:val="21"/>
        </w:rPr>
        <w:t xml:space="preserve"> of the district.</w:t>
      </w:r>
    </w:p>
    <w:p>
      <w:pPr>
        <w:keepNext/>
        <w:spacing w:before="280" w:after="120"/>
        <w:pBdr>
          <w:bottom w:val="single" w:sz="12" w:space="3" w:color="C6A15B"/>
        </w:pBdr>
      </w:pPr>
      <w:r>
        <w:rPr>
          <w:rFonts w:ascii="Calibri" w:hAnsi="Calibri"/>
          <w:b/>
          <w:i w:val="0"/>
          <w:color w:val="123B4F"/>
          <w:sz w:val="32"/>
        </w:rPr>
        <w:t>5. How to complain</w:t>
      </w:r>
    </w:p>
    <w:tbl>
      <w:tblPr>
        <w:tblStyle w:val="TableGrid"/>
        <w:tblW w:type="auto" w:w="0"/>
        <w:jc w:val="center"/>
        <w:tblLook w:firstColumn="1" w:firstRow="1" w:lastColumn="0" w:lastRow="0" w:noHBand="0" w:noVBand="1" w:val="04A0"/>
      </w:tblPr>
      <w:tblGrid>
        <w:gridCol w:w="4752"/>
        <w:gridCol w:w="4752"/>
      </w:tblGrid>
      <w:tr>
        <w:tc>
          <w:tcPr>
            <w:tcW w:type="dxa" w:w="2304"/>
            <w:shd w:val="clear" w:fill="123B4F"/>
          </w:tcPr>
          <w:p>
            <w:r/>
            <w:r>
              <w:rPr>
                <w:rFonts w:ascii="Calibri" w:hAnsi="Calibri"/>
                <w:b/>
                <w:i w:val="0"/>
                <w:color w:val="FFFFFF"/>
                <w:sz w:val="17"/>
              </w:rPr>
              <w:t>Question</w:t>
            </w:r>
          </w:p>
        </w:tc>
        <w:tc>
          <w:tcPr>
            <w:tcW w:type="dxa" w:w="7200"/>
            <w:shd w:val="clear" w:fill="123B4F"/>
          </w:tcPr>
          <w:p>
            <w:r/>
            <w:r>
              <w:rPr>
                <w:rFonts w:ascii="Calibri" w:hAnsi="Calibri"/>
                <w:b/>
                <w:i w:val="0"/>
                <w:color w:val="FFFFFF"/>
                <w:sz w:val="17"/>
              </w:rPr>
              <w:t>Answer</w:t>
            </w:r>
          </w:p>
        </w:tc>
      </w:tr>
      <w:tr>
        <w:tc>
          <w:tcPr>
            <w:tcW w:type="dxa" w:w="2304"/>
          </w:tcPr>
          <w:p>
            <w:r/>
            <w:r>
              <w:rPr>
                <w:rFonts w:ascii="Calibri" w:hAnsi="Calibri"/>
                <w:b w:val="0"/>
                <w:i w:val="0"/>
                <w:color w:val="1B2A32"/>
                <w:sz w:val="17"/>
              </w:rPr>
              <w:t>Who can complain?</w:t>
            </w:r>
          </w:p>
        </w:tc>
        <w:tc>
          <w:tcPr>
            <w:tcW w:type="dxa" w:w="7200"/>
          </w:tcPr>
          <w:p>
            <w:r/>
            <w:r>
              <w:rPr>
                <w:rFonts w:ascii="Calibri" w:hAnsi="Calibri"/>
                <w:b w:val="0"/>
                <w:i w:val="0"/>
                <w:color w:val="1B2A32"/>
                <w:sz w:val="17"/>
              </w:rPr>
              <w:t>The aggrieved woman. If she is unable to do so — because of physical or mental incapacity or death — a relative, friend, co-worker, or other authorised person may complain on her behalf with the required consent.</w:t>
            </w:r>
          </w:p>
        </w:tc>
      </w:tr>
      <w:tr>
        <w:tc>
          <w:tcPr>
            <w:tcW w:type="dxa" w:w="2304"/>
            <w:shd w:val="clear" w:fill="F3F7F9"/>
          </w:tcPr>
          <w:p>
            <w:r/>
            <w:r>
              <w:rPr>
                <w:rFonts w:ascii="Calibri" w:hAnsi="Calibri"/>
                <w:b w:val="0"/>
                <w:i w:val="0"/>
                <w:color w:val="1B2A32"/>
                <w:sz w:val="17"/>
              </w:rPr>
              <w:t>By when?</w:t>
            </w:r>
          </w:p>
        </w:tc>
        <w:tc>
          <w:tcPr>
            <w:tcW w:type="dxa" w:w="7200"/>
            <w:shd w:val="clear" w:fill="F3F7F9"/>
          </w:tcPr>
          <w:p>
            <w:r/>
            <w:r>
              <w:rPr>
                <w:rFonts w:ascii="Calibri" w:hAnsi="Calibri"/>
                <w:b w:val="0"/>
                <w:i w:val="0"/>
                <w:color w:val="1B2A32"/>
                <w:sz w:val="17"/>
              </w:rPr>
              <w:t xml:space="preserve">Within </w:t>
            </w:r>
            <w:r>
              <w:rPr>
                <w:rFonts w:ascii="Calibri" w:hAnsi="Calibri"/>
                <w:b/>
                <w:i w:val="0"/>
                <w:color w:val="1B2A32"/>
                <w:sz w:val="17"/>
              </w:rPr>
              <w:t>three months</w:t>
            </w:r>
            <w:r>
              <w:rPr>
                <w:rFonts w:ascii="Calibri" w:hAnsi="Calibri"/>
                <w:b w:val="0"/>
                <w:i w:val="0"/>
                <w:color w:val="1B2A32"/>
                <w:sz w:val="17"/>
              </w:rPr>
              <w:t xml:space="preserve"> of the incident, or of the last incident in a series. The IC may extend this by a further </w:t>
            </w:r>
            <w:r>
              <w:rPr>
                <w:rFonts w:ascii="Calibri" w:hAnsi="Calibri"/>
                <w:b/>
                <w:i w:val="0"/>
                <w:color w:val="1B2A32"/>
                <w:sz w:val="17"/>
              </w:rPr>
              <w:t>three months</w:t>
            </w:r>
            <w:r>
              <w:rPr>
                <w:rFonts w:ascii="Calibri" w:hAnsi="Calibri"/>
                <w:b w:val="0"/>
                <w:i w:val="0"/>
                <w:color w:val="1B2A32"/>
                <w:sz w:val="17"/>
              </w:rPr>
              <w:t xml:space="preserve"> for reasons recorded in writing.</w:t>
            </w:r>
          </w:p>
        </w:tc>
      </w:tr>
      <w:tr>
        <w:tc>
          <w:tcPr>
            <w:tcW w:type="dxa" w:w="2304"/>
          </w:tcPr>
          <w:p>
            <w:r/>
            <w:r>
              <w:rPr>
                <w:rFonts w:ascii="Calibri" w:hAnsi="Calibri"/>
                <w:b w:val="0"/>
                <w:i w:val="0"/>
                <w:color w:val="1B2A32"/>
                <w:sz w:val="17"/>
              </w:rPr>
              <w:t>In what form?</w:t>
            </w:r>
          </w:p>
        </w:tc>
        <w:tc>
          <w:tcPr>
            <w:tcW w:type="dxa" w:w="7200"/>
          </w:tcPr>
          <w:p>
            <w:r/>
            <w:r>
              <w:rPr>
                <w:rFonts w:ascii="Calibri" w:hAnsi="Calibri"/>
                <w:b w:val="0"/>
                <w:i w:val="0"/>
                <w:color w:val="1B2A32"/>
                <w:sz w:val="17"/>
              </w:rPr>
              <w:t>In writing, with the required number of copies and supporting documents where available. The IC will help a complainant reduce a complaint to writing if she needs assistance.</w:t>
            </w:r>
          </w:p>
        </w:tc>
      </w:tr>
      <w:tr>
        <w:tc>
          <w:tcPr>
            <w:tcW w:type="dxa" w:w="2304"/>
            <w:shd w:val="clear" w:fill="F3F7F9"/>
          </w:tcPr>
          <w:p>
            <w:r/>
            <w:r>
              <w:rPr>
                <w:rFonts w:ascii="Calibri" w:hAnsi="Calibri"/>
                <w:b w:val="0"/>
                <w:i w:val="0"/>
                <w:color w:val="1B2A32"/>
                <w:sz w:val="17"/>
              </w:rPr>
              <w:t>To whom?</w:t>
            </w:r>
          </w:p>
        </w:tc>
        <w:tc>
          <w:tcPr>
            <w:tcW w:type="dxa" w:w="7200"/>
            <w:shd w:val="clear" w:fill="F3F7F9"/>
          </w:tcPr>
          <w:p>
            <w:r/>
            <w:r>
              <w:rPr>
                <w:rFonts w:ascii="Calibri" w:hAnsi="Calibri"/>
                <w:b w:val="0"/>
                <w:i w:val="0"/>
                <w:color w:val="1B2A32"/>
                <w:sz w:val="17"/>
              </w:rPr>
              <w:t xml:space="preserve">The Presiding Officer or any member of the IC — details at Annexure 1. A complaint may also be made through </w:t>
            </w:r>
            <w:r>
              <w:rPr>
                <w:rFonts w:ascii="Calibri" w:hAnsi="Calibri"/>
                <w:b/>
                <w:i w:val="0"/>
                <w:color w:val="1B2A32"/>
                <w:sz w:val="17"/>
              </w:rPr>
              <w:t>[internal channel/email]</w:t>
            </w:r>
            <w:r>
              <w:rPr>
                <w:rFonts w:ascii="Calibri" w:hAnsi="Calibri"/>
                <w:b w:val="0"/>
                <w:i w:val="0"/>
                <w:color w:val="1B2A32"/>
                <w:sz w:val="17"/>
              </w:rPr>
              <w:t>.</w:t>
            </w:r>
          </w:p>
        </w:tc>
      </w:tr>
      <w:tr>
        <w:tc>
          <w:tcPr>
            <w:tcW w:type="dxa" w:w="2304"/>
          </w:tcPr>
          <w:p>
            <w:r/>
            <w:r>
              <w:rPr>
                <w:rFonts w:ascii="Calibri" w:hAnsi="Calibri"/>
                <w:b w:val="0"/>
                <w:i w:val="0"/>
                <w:color w:val="1B2A32"/>
                <w:sz w:val="17"/>
              </w:rPr>
              <w:t>Anonymously?</w:t>
            </w:r>
          </w:p>
        </w:tc>
        <w:tc>
          <w:tcPr>
            <w:tcW w:type="dxa" w:w="7200"/>
          </w:tcPr>
          <w:p>
            <w:r/>
            <w:r>
              <w:rPr>
                <w:rFonts w:ascii="Calibri" w:hAnsi="Calibri"/>
                <w:b w:val="0"/>
                <w:i w:val="0"/>
                <w:color w:val="1B2A32"/>
                <w:sz w:val="17"/>
              </w:rPr>
              <w:t>We encourage a named complaint so that a fair inquiry is possible, but concerns raised anonymously will be looked into so far as we fairly can.</w:t>
            </w:r>
          </w:p>
        </w:tc>
      </w:tr>
    </w:tbl>
    <w:p>
      <w:pPr>
        <w:spacing w:after="40"/>
      </w:pPr>
    </w:p>
    <w:p>
      <w:pPr>
        <w:keepNext/>
        <w:spacing w:before="280" w:after="120"/>
        <w:pBdr>
          <w:bottom w:val="single" w:sz="12" w:space="3" w:color="C6A15B"/>
        </w:pBdr>
      </w:pPr>
      <w:r>
        <w:rPr>
          <w:rFonts w:ascii="Calibri" w:hAnsi="Calibri"/>
          <w:b/>
          <w:i w:val="0"/>
          <w:color w:val="123B4F"/>
          <w:sz w:val="32"/>
        </w:rPr>
        <w:t>6. Conciliation — the complainant's choice alone</w:t>
      </w: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Section 10 — a narrow and protective provision</w:t>
            </w:r>
          </w:p>
          <w:p>
            <w:r>
              <w:rPr>
                <w:rFonts w:ascii="Calibri" w:hAnsi="Calibri"/>
                <w:b w:val="0"/>
                <w:i w:val="0"/>
                <w:color w:val="1B2A32"/>
                <w:sz w:val="19"/>
              </w:rPr>
              <w:t xml:space="preserve">Before an inquiry begins, and </w:t>
            </w:r>
            <w:r>
              <w:rPr>
                <w:rFonts w:ascii="Calibri" w:hAnsi="Calibri"/>
                <w:b/>
                <w:i w:val="0"/>
                <w:color w:val="1B2A32"/>
                <w:sz w:val="19"/>
              </w:rPr>
              <w:t>only if the aggrieved woman herself requests it</w:t>
            </w:r>
            <w:r>
              <w:rPr>
                <w:rFonts w:ascii="Calibri" w:hAnsi="Calibri"/>
                <w:b w:val="0"/>
                <w:i w:val="0"/>
                <w:color w:val="1B2A32"/>
                <w:sz w:val="19"/>
              </w:rPr>
              <w:t xml:space="preserve">, the IC may attempt conciliation. The IC cannot start conciliation on its own initiative or at the respondent's request. </w:t>
            </w:r>
            <w:r>
              <w:rPr>
                <w:rFonts w:ascii="Calibri" w:hAnsi="Calibri"/>
                <w:b/>
                <w:i w:val="0"/>
                <w:color w:val="1B2A32"/>
                <w:sz w:val="19"/>
              </w:rPr>
              <w:t>No monetary settlement may be made the basis of conciliation.</w:t>
            </w:r>
            <w:r>
              <w:rPr>
                <w:rFonts w:ascii="Calibri" w:hAnsi="Calibri"/>
                <w:b w:val="0"/>
                <w:i w:val="0"/>
                <w:color w:val="1B2A32"/>
                <w:sz w:val="19"/>
              </w:rPr>
              <w:t xml:space="preserve"> If a settlement is reached, the IC records the terms and forwards them to the employer for implementation, and gives copies to both parties. If the respondent does not comply with the terms, the IC proceeds with an inquiry.</w:t>
            </w:r>
          </w:p>
        </w:tc>
      </w:tr>
    </w:tbl>
    <w:p>
      <w:pPr>
        <w:spacing w:after="40"/>
      </w:pPr>
    </w:p>
    <w:p>
      <w:pPr>
        <w:keepNext/>
        <w:spacing w:before="280" w:after="120"/>
        <w:pBdr>
          <w:bottom w:val="single" w:sz="12" w:space="3" w:color="C6A15B"/>
        </w:pBdr>
      </w:pPr>
      <w:r>
        <w:rPr>
          <w:rFonts w:ascii="Calibri" w:hAnsi="Calibri"/>
          <w:b/>
          <w:i w:val="0"/>
          <w:color w:val="123B4F"/>
          <w:sz w:val="32"/>
        </w:rPr>
        <w:t>7. The inquiry</w:t>
      </w:r>
    </w:p>
    <w:p>
      <w:pPr>
        <w:pStyle w:val="ListBullet"/>
        <w:spacing w:after="60"/>
        <w:jc w:val="both"/>
      </w:pPr>
      <w:r>
        <w:rPr>
          <w:rFonts w:ascii="Calibri" w:hAnsi="Calibri"/>
          <w:b w:val="0"/>
          <w:i w:val="0"/>
          <w:color w:val="1B2A32"/>
          <w:sz w:val="21"/>
        </w:rPr>
        <w:t xml:space="preserve">The IC sends the respondent a copy of the complaint; the respondent files a reply within </w:t>
      </w:r>
      <w:r>
        <w:rPr>
          <w:rFonts w:ascii="Calibri" w:hAnsi="Calibri"/>
          <w:b/>
          <w:i w:val="0"/>
          <w:color w:val="1B2A32"/>
          <w:sz w:val="21"/>
        </w:rPr>
        <w:t>ten working days</w:t>
      </w:r>
      <w:r>
        <w:rPr>
          <w:rFonts w:ascii="Calibri" w:hAnsi="Calibri"/>
          <w:b w:val="0"/>
          <w:i w:val="0"/>
          <w:color w:val="1B2A32"/>
          <w:sz w:val="21"/>
        </w:rPr>
        <w:t>.</w:t>
      </w:r>
    </w:p>
    <w:p>
      <w:pPr>
        <w:pStyle w:val="ListBullet"/>
        <w:spacing w:after="60"/>
        <w:jc w:val="both"/>
      </w:pPr>
      <w:r>
        <w:rPr>
          <w:rFonts w:ascii="Calibri" w:hAnsi="Calibri"/>
          <w:b w:val="0"/>
          <w:i w:val="0"/>
          <w:color w:val="1B2A32"/>
          <w:sz w:val="21"/>
        </w:rPr>
        <w:t xml:space="preserve">The inquiry follows the principles of </w:t>
      </w:r>
      <w:r>
        <w:rPr>
          <w:rFonts w:ascii="Calibri" w:hAnsi="Calibri"/>
          <w:b/>
          <w:i w:val="0"/>
          <w:color w:val="1B2A32"/>
          <w:sz w:val="21"/>
        </w:rPr>
        <w:t>natural justice</w:t>
      </w:r>
      <w:r>
        <w:rPr>
          <w:rFonts w:ascii="Calibri" w:hAnsi="Calibri"/>
          <w:b w:val="0"/>
          <w:i w:val="0"/>
          <w:color w:val="1B2A32"/>
          <w:sz w:val="21"/>
        </w:rPr>
        <w:t xml:space="preserve"> — both parties are heard and may lead evidence.</w:t>
      </w:r>
    </w:p>
    <w:p>
      <w:pPr>
        <w:pStyle w:val="ListBullet"/>
        <w:spacing w:after="60"/>
        <w:jc w:val="both"/>
      </w:pPr>
      <w:r>
        <w:rPr>
          <w:rFonts w:ascii="Calibri" w:hAnsi="Calibri"/>
          <w:b/>
          <w:i w:val="0"/>
          <w:color w:val="1B2A32"/>
          <w:sz w:val="21"/>
        </w:rPr>
        <w:t>A legal practitioner may not represent either party</w:t>
      </w:r>
      <w:r>
        <w:rPr>
          <w:rFonts w:ascii="Calibri" w:hAnsi="Calibri"/>
          <w:b w:val="0"/>
          <w:i w:val="0"/>
          <w:color w:val="1B2A32"/>
          <w:sz w:val="21"/>
        </w:rPr>
        <w:t xml:space="preserve"> in the inquiry.</w:t>
      </w:r>
    </w:p>
    <w:p>
      <w:pPr>
        <w:pStyle w:val="ListBullet"/>
        <w:spacing w:after="60"/>
        <w:jc w:val="both"/>
      </w:pPr>
      <w:r>
        <w:rPr>
          <w:rFonts w:ascii="Calibri" w:hAnsi="Calibri"/>
          <w:b w:val="0"/>
          <w:i w:val="0"/>
          <w:color w:val="1B2A32"/>
          <w:sz w:val="21"/>
        </w:rPr>
        <w:t>The IC has the powers of a civil court in respect of summoning and document production.</w:t>
      </w:r>
    </w:p>
    <w:p>
      <w:pPr>
        <w:pStyle w:val="ListBullet"/>
        <w:spacing w:after="60"/>
        <w:jc w:val="both"/>
      </w:pPr>
      <w:r>
        <w:rPr>
          <w:rFonts w:ascii="Calibri" w:hAnsi="Calibri"/>
          <w:b w:val="0"/>
          <w:i w:val="0"/>
          <w:color w:val="1B2A32"/>
          <w:sz w:val="21"/>
        </w:rPr>
        <w:t xml:space="preserve">The inquiry is completed within </w:t>
      </w:r>
      <w:r>
        <w:rPr>
          <w:rFonts w:ascii="Calibri" w:hAnsi="Calibri"/>
          <w:b/>
          <w:i w:val="0"/>
          <w:color w:val="1B2A32"/>
          <w:sz w:val="21"/>
        </w:rPr>
        <w:t>ninety days</w:t>
      </w:r>
      <w:r>
        <w:rPr>
          <w:rFonts w:ascii="Calibri" w:hAnsi="Calibri"/>
          <w:b w:val="0"/>
          <w:i w:val="0"/>
          <w:color w:val="1B2A32"/>
          <w:sz w:val="21"/>
        </w:rPr>
        <w:t xml:space="preserve">, and the report is given to the employer within </w:t>
      </w:r>
      <w:r>
        <w:rPr>
          <w:rFonts w:ascii="Calibri" w:hAnsi="Calibri"/>
          <w:b/>
          <w:i w:val="0"/>
          <w:color w:val="1B2A32"/>
          <w:sz w:val="21"/>
        </w:rPr>
        <w:t>ten days</w:t>
      </w:r>
      <w:r>
        <w:rPr>
          <w:rFonts w:ascii="Calibri" w:hAnsi="Calibri"/>
          <w:b w:val="0"/>
          <w:i w:val="0"/>
          <w:color w:val="1B2A32"/>
          <w:sz w:val="21"/>
        </w:rPr>
        <w:t xml:space="preserve"> of its conclusion.</w:t>
      </w:r>
    </w:p>
    <w:p>
      <w:pPr>
        <w:pStyle w:val="ListBullet"/>
        <w:spacing w:after="60"/>
        <w:jc w:val="both"/>
      </w:pPr>
      <w:r>
        <w:rPr>
          <w:rFonts w:ascii="Calibri" w:hAnsi="Calibri"/>
          <w:b w:val="0"/>
          <w:i w:val="0"/>
          <w:color w:val="1B2A32"/>
          <w:sz w:val="21"/>
        </w:rPr>
        <w:t>Proceedings are confidential; both parties are treated with respect throughout.</w:t>
      </w:r>
    </w:p>
    <w:p>
      <w:pPr>
        <w:keepNext/>
        <w:spacing w:before="280" w:after="120"/>
        <w:pBdr>
          <w:bottom w:val="single" w:sz="12" w:space="3" w:color="C6A15B"/>
        </w:pBdr>
      </w:pPr>
      <w:r>
        <w:rPr>
          <w:rFonts w:ascii="Calibri" w:hAnsi="Calibri"/>
          <w:b/>
          <w:i w:val="0"/>
          <w:color w:val="123B4F"/>
          <w:sz w:val="32"/>
        </w:rPr>
        <w:t>8. Interim relief during the inquiry</w:t>
      </w:r>
    </w:p>
    <w:p>
      <w:pPr>
        <w:spacing w:after="120"/>
        <w:jc w:val="both"/>
      </w:pPr>
      <w:r>
        <w:rPr>
          <w:rFonts w:ascii="Calibri" w:hAnsi="Calibri"/>
          <w:b w:val="0"/>
          <w:i w:val="0"/>
          <w:color w:val="1B2A32"/>
          <w:sz w:val="21"/>
        </w:rPr>
        <w:t xml:space="preserve">At the written request of the complainant, the IC may recommend interim measures — </w:t>
      </w:r>
      <w:r>
        <w:rPr>
          <w:rFonts w:ascii="Calibri" w:hAnsi="Calibri"/>
          <w:b/>
          <w:i w:val="0"/>
          <w:color w:val="1B2A32"/>
          <w:sz w:val="21"/>
        </w:rPr>
        <w:t>transfer</w:t>
      </w:r>
      <w:r>
        <w:rPr>
          <w:rFonts w:ascii="Calibri" w:hAnsi="Calibri"/>
          <w:b w:val="0"/>
          <w:i w:val="0"/>
          <w:color w:val="1B2A32"/>
          <w:sz w:val="21"/>
        </w:rPr>
        <w:t xml:space="preserve"> of the complainant or the respondent to another workplace; </w:t>
      </w:r>
      <w:r>
        <w:rPr>
          <w:rFonts w:ascii="Calibri" w:hAnsi="Calibri"/>
          <w:b/>
          <w:i w:val="0"/>
          <w:color w:val="1B2A32"/>
          <w:sz w:val="21"/>
        </w:rPr>
        <w:t>leave</w:t>
      </w:r>
      <w:r>
        <w:rPr>
          <w:rFonts w:ascii="Calibri" w:hAnsi="Calibri"/>
          <w:b w:val="0"/>
          <w:i w:val="0"/>
          <w:color w:val="1B2A32"/>
          <w:sz w:val="21"/>
        </w:rPr>
        <w:t xml:space="preserve"> of up to three months in addition to her entitlement; restraining the respondent from reporting on her work or writing her appraisal; or such other relief as may be prescribed. Leave granted as interim relief will not be deducted from her leave balance.</w:t>
      </w:r>
    </w:p>
    <w:p>
      <w:pPr>
        <w:keepNext/>
        <w:spacing w:before="280" w:after="120"/>
        <w:pBdr>
          <w:bottom w:val="single" w:sz="12" w:space="3" w:color="C6A15B"/>
        </w:pBdr>
      </w:pPr>
      <w:r>
        <w:rPr>
          <w:rFonts w:ascii="Calibri" w:hAnsi="Calibri"/>
          <w:b/>
          <w:i w:val="0"/>
          <w:color w:val="123B4F"/>
          <w:sz w:val="32"/>
        </w:rPr>
        <w:t>9. Outcome and action</w:t>
      </w:r>
    </w:p>
    <w:p>
      <w:pPr>
        <w:spacing w:after="120"/>
        <w:jc w:val="both"/>
      </w:pPr>
      <w:r>
        <w:rPr>
          <w:rFonts w:ascii="Calibri" w:hAnsi="Calibri"/>
          <w:b w:val="0"/>
          <w:i w:val="0"/>
          <w:color w:val="1B2A32"/>
          <w:sz w:val="21"/>
        </w:rPr>
        <w:t xml:space="preserve">If the allegation is </w:t>
      </w:r>
      <w:r>
        <w:rPr>
          <w:rFonts w:ascii="Calibri" w:hAnsi="Calibri"/>
          <w:b/>
          <w:i w:val="0"/>
          <w:color w:val="1B2A32"/>
          <w:sz w:val="21"/>
        </w:rPr>
        <w:t>proved</w:t>
      </w:r>
      <w:r>
        <w:rPr>
          <w:rFonts w:ascii="Calibri" w:hAnsi="Calibri"/>
          <w:b w:val="0"/>
          <w:i w:val="0"/>
          <w:color w:val="1B2A32"/>
          <w:sz w:val="21"/>
        </w:rPr>
        <w:t xml:space="preserve">, the IC recommends action for misconduct under our service rules — which may include a written apology, warning, censure, withholding of promotion or increment, transfer, or </w:t>
      </w:r>
      <w:r>
        <w:rPr>
          <w:rFonts w:ascii="Calibri" w:hAnsi="Calibri"/>
          <w:b/>
          <w:i w:val="0"/>
          <w:color w:val="1B2A32"/>
          <w:sz w:val="21"/>
        </w:rPr>
        <w:t>termination</w:t>
      </w:r>
      <w:r>
        <w:rPr>
          <w:rFonts w:ascii="Calibri" w:hAnsi="Calibri"/>
          <w:b w:val="0"/>
          <w:i w:val="0"/>
          <w:color w:val="1B2A32"/>
          <w:sz w:val="21"/>
        </w:rPr>
        <w:t xml:space="preserve"> — and may recommend that </w:t>
      </w:r>
      <w:r>
        <w:rPr>
          <w:rFonts w:ascii="Calibri" w:hAnsi="Calibri"/>
          <w:b/>
          <w:i w:val="0"/>
          <w:color w:val="1B2A32"/>
          <w:sz w:val="21"/>
        </w:rPr>
        <w:t>compensation</w:t>
      </w:r>
      <w:r>
        <w:rPr>
          <w:rFonts w:ascii="Calibri" w:hAnsi="Calibri"/>
          <w:b w:val="0"/>
          <w:i w:val="0"/>
          <w:color w:val="1B2A32"/>
          <w:sz w:val="21"/>
        </w:rPr>
        <w:t xml:space="preserve"> be paid to the complainant, having regard to her mental trauma and suffering, loss of career opportunity, medical expenses, the respondent's income and financial status, and the feasibility of payment. </w:t>
      </w:r>
      <w:r>
        <w:rPr>
          <w:rFonts w:ascii="Calibri" w:hAnsi="Calibri"/>
          <w:b/>
          <w:i w:val="0"/>
          <w:color w:val="1B2A32"/>
          <w:sz w:val="21"/>
        </w:rPr>
        <w:t>The employer will act on the recommendations within sixty days.</w:t>
      </w:r>
    </w:p>
    <w:p>
      <w:pPr>
        <w:spacing w:after="120"/>
        <w:jc w:val="both"/>
      </w:pPr>
      <w:r>
        <w:rPr>
          <w:rFonts w:ascii="Calibri" w:hAnsi="Calibri"/>
          <w:b w:val="0"/>
          <w:i w:val="0"/>
          <w:color w:val="1B2A32"/>
          <w:sz w:val="21"/>
        </w:rPr>
        <w:t xml:space="preserve">If the allegation is </w:t>
      </w:r>
      <w:r>
        <w:rPr>
          <w:rFonts w:ascii="Calibri" w:hAnsi="Calibri"/>
          <w:b/>
          <w:i w:val="0"/>
          <w:color w:val="1B2A32"/>
          <w:sz w:val="21"/>
        </w:rPr>
        <w:t>not proved</w:t>
      </w:r>
      <w:r>
        <w:rPr>
          <w:rFonts w:ascii="Calibri" w:hAnsi="Calibri"/>
          <w:b w:val="0"/>
          <w:i w:val="0"/>
          <w:color w:val="1B2A32"/>
          <w:sz w:val="21"/>
        </w:rPr>
        <w:t>, the IC records that no action is required. A complaint that is not proved is not, by itself, a false complaint.</w:t>
      </w:r>
    </w:p>
    <w:tbl>
      <w:tblPr>
        <w:tblW w:type="auto" w:w="0"/>
        <w:jc w:val="center"/>
        <w:tblLook w:firstColumn="1" w:firstRow="1" w:lastColumn="0" w:lastRow="0" w:noHBand="0" w:noVBand="1" w:val="04A0"/>
      </w:tblPr>
      <w:tblGrid>
        <w:gridCol w:w="9504"/>
      </w:tblGrid>
      <w:tr>
        <w:tc>
          <w:tcPr>
            <w:tcW w:type="dxa" w:w="9360"/>
            <w:shd w:val="clear" w:fill="F5ECD6"/>
            <w:tcBorders>
              <w:start w:val="single" w:sz="22" w:space="0" w:color="C6A15B"/>
            </w:tcBorders>
          </w:tcPr>
          <w:p>
            <w:r>
              <w:rPr>
                <w:rFonts w:ascii="Calibri" w:hAnsi="Calibri"/>
                <w:b/>
                <w:i w:val="0"/>
                <w:color w:val="123B4F"/>
                <w:sz w:val="18"/>
              </w:rPr>
              <w:t>Malicious complaints</w:t>
            </w:r>
          </w:p>
          <w:p>
            <w:r>
              <w:rPr>
                <w:rFonts w:ascii="Calibri" w:hAnsi="Calibri"/>
                <w:b w:val="0"/>
                <w:i w:val="0"/>
                <w:color w:val="1B2A32"/>
                <w:sz w:val="19"/>
              </w:rPr>
              <w:t xml:space="preserve">Where the IC concludes that a complaint was </w:t>
            </w:r>
            <w:r>
              <w:rPr>
                <w:rFonts w:ascii="Calibri" w:hAnsi="Calibri"/>
                <w:b/>
                <w:i w:val="0"/>
                <w:color w:val="1B2A32"/>
                <w:sz w:val="19"/>
              </w:rPr>
              <w:t>malicious</w:t>
            </w:r>
            <w:r>
              <w:rPr>
                <w:rFonts w:ascii="Calibri" w:hAnsi="Calibri"/>
                <w:b w:val="0"/>
                <w:i w:val="0"/>
                <w:color w:val="1B2A32"/>
                <w:sz w:val="19"/>
              </w:rPr>
              <w:t xml:space="preserve">, or that false evidence or forged documents were produced, it may recommend action against the person who did so. </w:t>
            </w:r>
            <w:r>
              <w:rPr>
                <w:rFonts w:ascii="Calibri" w:hAnsi="Calibri"/>
                <w:b/>
                <w:i w:val="0"/>
                <w:color w:val="1B2A32"/>
                <w:sz w:val="19"/>
              </w:rPr>
              <w:t>Inability to substantiate a complaint, or a lack of adequate proof, does not attract this provision</w:t>
            </w:r>
            <w:r>
              <w:rPr>
                <w:rFonts w:ascii="Calibri" w:hAnsi="Calibri"/>
                <w:b w:val="0"/>
                <w:i w:val="0"/>
                <w:color w:val="1B2A32"/>
                <w:sz w:val="19"/>
              </w:rPr>
              <w:t xml:space="preserve"> — a woman who complains in good faith and cannot prove her case has done nothing wrong.</w:t>
            </w:r>
          </w:p>
        </w:tc>
      </w:tr>
    </w:tbl>
    <w:p>
      <w:pPr>
        <w:spacing w:after="40"/>
      </w:pPr>
    </w:p>
    <w:p>
      <w:pPr>
        <w:keepNext/>
        <w:spacing w:before="280" w:after="120"/>
        <w:pBdr>
          <w:bottom w:val="single" w:sz="12" w:space="3" w:color="C6A15B"/>
        </w:pBdr>
      </w:pPr>
      <w:r>
        <w:rPr>
          <w:rFonts w:ascii="Calibri" w:hAnsi="Calibri"/>
          <w:b/>
          <w:i w:val="0"/>
          <w:color w:val="123B4F"/>
          <w:sz w:val="32"/>
        </w:rPr>
        <w:t>10. No retaliation</w:t>
      </w:r>
    </w:p>
    <w:p>
      <w:pPr>
        <w:spacing w:after="120"/>
        <w:jc w:val="both"/>
      </w:pPr>
      <w:r>
        <w:rPr>
          <w:rFonts w:ascii="Calibri" w:hAnsi="Calibri"/>
          <w:b w:val="0"/>
          <w:i w:val="0"/>
          <w:color w:val="1B2A32"/>
          <w:sz w:val="21"/>
        </w:rPr>
        <w:t>Retaliation against a complainant, a witness or an IC member — in any form, including exclusion, adverse appraisal, transfer, or social hostility — is itself misconduct and will be dealt with as such.</w:t>
      </w:r>
    </w:p>
    <w:p>
      <w:pPr>
        <w:keepNext/>
        <w:spacing w:before="280" w:after="120"/>
        <w:pBdr>
          <w:bottom w:val="single" w:sz="12" w:space="3" w:color="C6A15B"/>
        </w:pBdr>
      </w:pPr>
      <w:r>
        <w:rPr>
          <w:rFonts w:ascii="Calibri" w:hAnsi="Calibri"/>
          <w:b/>
          <w:i w:val="0"/>
          <w:color w:val="123B4F"/>
          <w:sz w:val="32"/>
        </w:rPr>
        <w:t>11. Confidentiality</w:t>
      </w:r>
    </w:p>
    <w:p>
      <w:pPr>
        <w:spacing w:after="120"/>
        <w:jc w:val="both"/>
      </w:pPr>
      <w:r>
        <w:rPr>
          <w:rFonts w:ascii="Calibri" w:hAnsi="Calibri"/>
          <w:b w:val="0"/>
          <w:i w:val="0"/>
          <w:color w:val="1B2A32"/>
          <w:sz w:val="21"/>
        </w:rPr>
        <w:t xml:space="preserve">Under </w:t>
      </w:r>
      <w:r>
        <w:rPr>
          <w:rFonts w:ascii="Calibri" w:hAnsi="Calibri"/>
          <w:b/>
          <w:i w:val="0"/>
          <w:color w:val="1B2A32"/>
          <w:sz w:val="21"/>
        </w:rPr>
        <w:t>section 16</w:t>
      </w:r>
      <w:r>
        <w:rPr>
          <w:rFonts w:ascii="Calibri" w:hAnsi="Calibri"/>
          <w:b w:val="0"/>
          <w:i w:val="0"/>
          <w:color w:val="1B2A32"/>
          <w:sz w:val="21"/>
        </w:rPr>
        <w:t xml:space="preserve">, the complaint, the identity and addresses of the complainant, respondent and witnesses, the conciliation and inquiry proceedings, and the recommendations and action taken </w:t>
      </w:r>
      <w:r>
        <w:rPr>
          <w:rFonts w:ascii="Calibri" w:hAnsi="Calibri"/>
          <w:b/>
          <w:i w:val="0"/>
          <w:color w:val="1B2A32"/>
          <w:sz w:val="21"/>
        </w:rPr>
        <w:t>shall not be published, communicated or made known to the public, press or media in any manner</w:t>
      </w:r>
      <w:r>
        <w:rPr>
          <w:rFonts w:ascii="Calibri" w:hAnsi="Calibri"/>
          <w:b w:val="0"/>
          <w:i w:val="0"/>
          <w:color w:val="1B2A32"/>
          <w:sz w:val="21"/>
        </w:rPr>
        <w:t>. Breach of confidentiality attracts a penalty under the Act and will be treated as misconduct.</w:t>
      </w:r>
    </w:p>
    <w:p>
      <w:pPr>
        <w:keepNext/>
        <w:spacing w:before="280" w:after="120"/>
        <w:pBdr>
          <w:bottom w:val="single" w:sz="12" w:space="3" w:color="C6A15B"/>
        </w:pBdr>
      </w:pPr>
      <w:r>
        <w:rPr>
          <w:rFonts w:ascii="Calibri" w:hAnsi="Calibri"/>
          <w:b/>
          <w:i w:val="0"/>
          <w:color w:val="123B4F"/>
          <w:sz w:val="32"/>
        </w:rPr>
        <w:t>12. Appeal</w:t>
      </w:r>
    </w:p>
    <w:p>
      <w:pPr>
        <w:spacing w:after="120"/>
        <w:jc w:val="both"/>
      </w:pPr>
      <w:r>
        <w:rPr>
          <w:rFonts w:ascii="Calibri" w:hAnsi="Calibri"/>
          <w:b w:val="0"/>
          <w:i w:val="0"/>
          <w:color w:val="1B2A32"/>
          <w:sz w:val="21"/>
        </w:rPr>
        <w:t xml:space="preserve">Any person aggrieved by the recommendations, or by non-implementation of them, may </w:t>
      </w:r>
      <w:r>
        <w:rPr>
          <w:rFonts w:ascii="Calibri" w:hAnsi="Calibri"/>
          <w:b/>
          <w:i w:val="0"/>
          <w:color w:val="1B2A32"/>
          <w:sz w:val="21"/>
        </w:rPr>
        <w:t>appeal within ninety days</w:t>
      </w:r>
      <w:r>
        <w:rPr>
          <w:rFonts w:ascii="Calibri" w:hAnsi="Calibri"/>
          <w:b w:val="0"/>
          <w:i w:val="0"/>
          <w:color w:val="1B2A32"/>
          <w:sz w:val="21"/>
        </w:rPr>
        <w:t xml:space="preserve"> to the appellate authority notified under the Act or the applicable service rules.</w:t>
      </w:r>
    </w:p>
    <w:p>
      <w:pPr>
        <w:keepNext/>
        <w:spacing w:before="280" w:after="120"/>
        <w:pBdr>
          <w:bottom w:val="single" w:sz="12" w:space="3" w:color="C6A15B"/>
        </w:pBdr>
      </w:pPr>
      <w:r>
        <w:rPr>
          <w:rFonts w:ascii="Calibri" w:hAnsi="Calibri"/>
          <w:b/>
          <w:i w:val="0"/>
          <w:color w:val="123B4F"/>
          <w:sz w:val="32"/>
        </w:rPr>
        <w:t>13. Criminal proceedings</w:t>
      </w:r>
    </w:p>
    <w:p>
      <w:pPr>
        <w:spacing w:after="120"/>
        <w:jc w:val="both"/>
      </w:pPr>
      <w:r>
        <w:rPr>
          <w:rFonts w:ascii="Calibri" w:hAnsi="Calibri"/>
          <w:b w:val="0"/>
          <w:i w:val="0"/>
          <w:color w:val="1B2A32"/>
          <w:sz w:val="21"/>
        </w:rPr>
        <w:t>This policy does not limit a complainant's right to initiate criminal proceedings. On her request, we will assist her in filing a complaint with the police, and will provide the support the Act requires. Where the conduct also constitutes an offence, the IC's process and the criminal process run separately.</w:t>
      </w:r>
    </w:p>
    <w:p>
      <w:pPr>
        <w:keepNext/>
        <w:spacing w:before="280" w:after="120"/>
        <w:pBdr>
          <w:bottom w:val="single" w:sz="12" w:space="3" w:color="C6A15B"/>
        </w:pBdr>
      </w:pPr>
      <w:r>
        <w:rPr>
          <w:rFonts w:ascii="Calibri" w:hAnsi="Calibri"/>
          <w:b/>
          <w:i w:val="0"/>
          <w:color w:val="123B4F"/>
          <w:sz w:val="32"/>
        </w:rPr>
        <w:t>14. Awareness, training and records</w:t>
      </w:r>
    </w:p>
    <w:p>
      <w:pPr>
        <w:pStyle w:val="ListBullet"/>
        <w:spacing w:after="60"/>
        <w:jc w:val="both"/>
      </w:pPr>
      <w:r>
        <w:rPr>
          <w:rFonts w:ascii="Calibri" w:hAnsi="Calibri"/>
          <w:b w:val="0"/>
          <w:i w:val="0"/>
          <w:color w:val="1B2A32"/>
          <w:sz w:val="21"/>
        </w:rPr>
        <w:t>This policy is displayed at every workplace and on the intranet, with the IC's details.</w:t>
      </w:r>
    </w:p>
    <w:p>
      <w:pPr>
        <w:pStyle w:val="ListBullet"/>
        <w:spacing w:after="60"/>
        <w:jc w:val="both"/>
      </w:pPr>
      <w:r>
        <w:rPr>
          <w:rFonts w:ascii="Calibri" w:hAnsi="Calibri"/>
          <w:b w:val="0"/>
          <w:i w:val="0"/>
          <w:color w:val="1B2A32"/>
          <w:sz w:val="21"/>
        </w:rPr>
        <w:t xml:space="preserve">We run </w:t>
      </w:r>
      <w:r>
        <w:rPr>
          <w:rFonts w:ascii="Calibri" w:hAnsi="Calibri"/>
          <w:b/>
          <w:i w:val="0"/>
          <w:color w:val="1B2A32"/>
          <w:sz w:val="21"/>
        </w:rPr>
        <w:t>regular awareness programmes</w:t>
      </w:r>
      <w:r>
        <w:rPr>
          <w:rFonts w:ascii="Calibri" w:hAnsi="Calibri"/>
          <w:b w:val="0"/>
          <w:i w:val="0"/>
          <w:color w:val="1B2A32"/>
          <w:sz w:val="21"/>
        </w:rPr>
        <w:t xml:space="preserve"> for all employees and </w:t>
      </w:r>
      <w:r>
        <w:rPr>
          <w:rFonts w:ascii="Calibri" w:hAnsi="Calibri"/>
          <w:b/>
          <w:i w:val="0"/>
          <w:color w:val="1B2A32"/>
          <w:sz w:val="21"/>
        </w:rPr>
        <w:t>capacity-building</w:t>
      </w:r>
      <w:r>
        <w:rPr>
          <w:rFonts w:ascii="Calibri" w:hAnsi="Calibri"/>
          <w:b w:val="0"/>
          <w:i w:val="0"/>
          <w:color w:val="1B2A32"/>
          <w:sz w:val="21"/>
        </w:rPr>
        <w:t xml:space="preserve"> for IC members.</w:t>
      </w:r>
    </w:p>
    <w:p>
      <w:pPr>
        <w:pStyle w:val="ListBullet"/>
        <w:spacing w:after="60"/>
        <w:jc w:val="both"/>
      </w:pPr>
      <w:r>
        <w:rPr>
          <w:rFonts w:ascii="Calibri" w:hAnsi="Calibri"/>
          <w:b w:val="0"/>
          <w:i w:val="0"/>
          <w:color w:val="1B2A32"/>
          <w:sz w:val="21"/>
        </w:rPr>
        <w:t xml:space="preserve">The IC maintains a register of complaints and prepares an </w:t>
      </w:r>
      <w:r>
        <w:rPr>
          <w:rFonts w:ascii="Calibri" w:hAnsi="Calibri"/>
          <w:b/>
          <w:i w:val="0"/>
          <w:color w:val="1B2A32"/>
          <w:sz w:val="21"/>
        </w:rPr>
        <w:t>annual report</w:t>
      </w:r>
      <w:r>
        <w:rPr>
          <w:rFonts w:ascii="Calibri" w:hAnsi="Calibri"/>
          <w:b w:val="0"/>
          <w:i w:val="0"/>
          <w:color w:val="1B2A32"/>
          <w:sz w:val="21"/>
        </w:rPr>
        <w:t>, which is included in our annual report and filed with the District Officer as required.</w:t>
      </w:r>
    </w:p>
    <w:p>
      <w:pPr>
        <w:pStyle w:val="ListBullet"/>
        <w:spacing w:after="60"/>
        <w:jc w:val="both"/>
      </w:pPr>
      <w:r>
        <w:rPr>
          <w:rFonts w:ascii="Calibri" w:hAnsi="Calibri"/>
          <w:b w:val="0"/>
          <w:i w:val="0"/>
          <w:color w:val="1B2A32"/>
          <w:sz w:val="21"/>
        </w:rPr>
        <w:t>We assist the IC in securing attendance and in any criminal proceeding the complainant chooses to pursue.</w:t>
      </w:r>
    </w:p>
    <w:p>
      <w:pPr>
        <w:keepNext/>
        <w:spacing w:before="280" w:after="120"/>
        <w:pBdr>
          <w:bottom w:val="single" w:sz="12" w:space="3" w:color="C6A15B"/>
        </w:pBdr>
      </w:pPr>
      <w:r>
        <w:rPr>
          <w:rFonts w:ascii="Calibri" w:hAnsi="Calibri"/>
          <w:b/>
          <w:i w:val="0"/>
          <w:color w:val="123B4F"/>
          <w:sz w:val="32"/>
        </w:rPr>
        <w:t>15. Penalties for non-compliance</w:t>
      </w:r>
    </w:p>
    <w:p>
      <w:pPr>
        <w:spacing w:after="120"/>
        <w:jc w:val="both"/>
      </w:pPr>
      <w:r>
        <w:rPr>
          <w:rFonts w:ascii="Calibri" w:hAnsi="Calibri"/>
          <w:b w:val="0"/>
          <w:i w:val="0"/>
          <w:color w:val="1B2A32"/>
          <w:sz w:val="21"/>
        </w:rPr>
        <w:t xml:space="preserve">An employer who fails to constitute an Internal Committee, or otherwise contravenes the Act, is liable to a fine, and on repetition to twice the punishment and possible </w:t>
      </w:r>
      <w:r>
        <w:rPr>
          <w:rFonts w:ascii="Calibri" w:hAnsi="Calibri"/>
          <w:b/>
          <w:i w:val="0"/>
          <w:color w:val="1B2A32"/>
          <w:sz w:val="21"/>
        </w:rPr>
        <w:t>cancellation of licence or registration</w:t>
      </w:r>
      <w:r>
        <w:rPr>
          <w:rFonts w:ascii="Calibri" w:hAnsi="Calibri"/>
          <w:b w:val="0"/>
          <w:i w:val="0"/>
          <w:color w:val="1B2A32"/>
          <w:sz w:val="21"/>
        </w:rPr>
        <w:t>. We treat compliance as a serious governance obligation, not a formality.</w:t>
      </w:r>
    </w:p>
    <w:p>
      <w:pPr>
        <w:keepNext/>
        <w:spacing w:before="280" w:after="120"/>
        <w:pBdr>
          <w:bottom w:val="single" w:sz="12" w:space="3" w:color="C6A15B"/>
        </w:pBdr>
      </w:pPr>
      <w:r>
        <w:rPr>
          <w:rFonts w:ascii="Calibri" w:hAnsi="Calibri"/>
          <w:b/>
          <w:i w:val="0"/>
          <w:color w:val="123B4F"/>
          <w:sz w:val="32"/>
        </w:rPr>
        <w:t>Annexure 1 — Our Internal Committee</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3312"/>
            <w:shd w:val="clear" w:fill="123B4F"/>
          </w:tcPr>
          <w:p>
            <w:r/>
            <w:r>
              <w:rPr>
                <w:rFonts w:ascii="Calibri" w:hAnsi="Calibri"/>
                <w:b/>
                <w:i w:val="0"/>
                <w:color w:val="FFFFFF"/>
                <w:sz w:val="17"/>
              </w:rPr>
              <w:t>Role</w:t>
            </w:r>
          </w:p>
        </w:tc>
        <w:tc>
          <w:tcPr>
            <w:tcW w:type="dxa" w:w="2160"/>
            <w:shd w:val="clear" w:fill="123B4F"/>
          </w:tcPr>
          <w:p>
            <w:r/>
            <w:r>
              <w:rPr>
                <w:rFonts w:ascii="Calibri" w:hAnsi="Calibri"/>
                <w:b/>
                <w:i w:val="0"/>
                <w:color w:val="FFFFFF"/>
                <w:sz w:val="17"/>
              </w:rPr>
              <w:t>Name</w:t>
            </w:r>
          </w:p>
        </w:tc>
        <w:tc>
          <w:tcPr>
            <w:tcW w:type="dxa" w:w="2160"/>
            <w:shd w:val="clear" w:fill="123B4F"/>
          </w:tcPr>
          <w:p>
            <w:r/>
            <w:r>
              <w:rPr>
                <w:rFonts w:ascii="Calibri" w:hAnsi="Calibri"/>
                <w:b/>
                <w:i w:val="0"/>
                <w:color w:val="FFFFFF"/>
                <w:sz w:val="17"/>
              </w:rPr>
              <w:t>Designation</w:t>
            </w:r>
          </w:p>
        </w:tc>
        <w:tc>
          <w:tcPr>
            <w:tcW w:type="dxa" w:w="1872"/>
            <w:shd w:val="clear" w:fill="123B4F"/>
          </w:tcPr>
          <w:p>
            <w:r/>
            <w:r>
              <w:rPr>
                <w:rFonts w:ascii="Calibri" w:hAnsi="Calibri"/>
                <w:b/>
                <w:i w:val="0"/>
                <w:color w:val="FFFFFF"/>
                <w:sz w:val="17"/>
              </w:rPr>
              <w:t>Contact</w:t>
            </w:r>
          </w:p>
        </w:tc>
      </w:tr>
      <w:tr>
        <w:tc>
          <w:tcPr>
            <w:tcW w:type="dxa" w:w="3312"/>
          </w:tcPr>
          <w:p>
            <w:r/>
            <w:r>
              <w:rPr>
                <w:rFonts w:ascii="Calibri" w:hAnsi="Calibri"/>
                <w:b w:val="0"/>
                <w:i w:val="0"/>
                <w:color w:val="1B2A32"/>
                <w:sz w:val="17"/>
              </w:rPr>
              <w:t>Presiding Officer</w:t>
            </w:r>
          </w:p>
        </w:tc>
        <w:tc>
          <w:tcPr>
            <w:tcW w:type="dxa" w:w="2160"/>
          </w:tcPr>
          <w:p>
            <w:r/>
            <w:r>
              <w:rPr>
                <w:rFonts w:ascii="Calibri" w:hAnsi="Calibri"/>
                <w:b w:val="0"/>
                <w:i w:val="0"/>
                <w:color w:val="1B2A32"/>
                <w:sz w:val="17"/>
              </w:rPr>
              <w:t>[•]</w:t>
            </w:r>
          </w:p>
        </w:tc>
        <w:tc>
          <w:tcPr>
            <w:tcW w:type="dxa" w:w="2160"/>
          </w:tcPr>
          <w:p>
            <w:r/>
            <w:r>
              <w:rPr>
                <w:rFonts w:ascii="Calibri" w:hAnsi="Calibri"/>
                <w:b w:val="0"/>
                <w:i w:val="0"/>
                <w:color w:val="1B2A32"/>
                <w:sz w:val="17"/>
              </w:rPr>
              <w:t>[•]</w:t>
            </w:r>
          </w:p>
        </w:tc>
        <w:tc>
          <w:tcPr>
            <w:tcW w:type="dxa" w:w="1872"/>
          </w:tcPr>
          <w:p>
            <w:r/>
            <w:r>
              <w:rPr>
                <w:rFonts w:ascii="Calibri" w:hAnsi="Calibri"/>
                <w:b w:val="0"/>
                <w:i w:val="0"/>
                <w:color w:val="1B2A32"/>
                <w:sz w:val="17"/>
              </w:rPr>
              <w:t>[email / phone]</w:t>
            </w:r>
          </w:p>
        </w:tc>
      </w:tr>
      <w:tr>
        <w:tc>
          <w:tcPr>
            <w:tcW w:type="dxa" w:w="3312"/>
            <w:shd w:val="clear" w:fill="F3F7F9"/>
          </w:tcPr>
          <w:p>
            <w:r/>
            <w:r>
              <w:rPr>
                <w:rFonts w:ascii="Calibri" w:hAnsi="Calibri"/>
                <w:b w:val="0"/>
                <w:i w:val="0"/>
                <w:color w:val="1B2A32"/>
                <w:sz w:val="17"/>
              </w:rPr>
              <w:t>Member</w:t>
            </w:r>
          </w:p>
        </w:tc>
        <w:tc>
          <w:tcPr>
            <w:tcW w:type="dxa" w:w="2160"/>
            <w:shd w:val="clear" w:fill="F3F7F9"/>
          </w:tcPr>
          <w:p>
            <w:r/>
            <w:r>
              <w:rPr>
                <w:rFonts w:ascii="Calibri" w:hAnsi="Calibri"/>
                <w:b w:val="0"/>
                <w:i w:val="0"/>
                <w:color w:val="1B2A32"/>
                <w:sz w:val="17"/>
              </w:rPr>
              <w:t>[•]</w:t>
            </w:r>
          </w:p>
        </w:tc>
        <w:tc>
          <w:tcPr>
            <w:tcW w:type="dxa" w:w="2160"/>
            <w:shd w:val="clear" w:fill="F3F7F9"/>
          </w:tcPr>
          <w:p>
            <w:r/>
            <w:r>
              <w:rPr>
                <w:rFonts w:ascii="Calibri" w:hAnsi="Calibri"/>
                <w:b w:val="0"/>
                <w:i w:val="0"/>
                <w:color w:val="1B2A32"/>
                <w:sz w:val="17"/>
              </w:rPr>
              <w:t>[•]</w:t>
            </w:r>
          </w:p>
        </w:tc>
        <w:tc>
          <w:tcPr>
            <w:tcW w:type="dxa" w:w="1872"/>
            <w:shd w:val="clear" w:fill="F3F7F9"/>
          </w:tcPr>
          <w:p>
            <w:r/>
            <w:r>
              <w:rPr>
                <w:rFonts w:ascii="Calibri" w:hAnsi="Calibri"/>
                <w:b w:val="0"/>
                <w:i w:val="0"/>
                <w:color w:val="1B2A32"/>
                <w:sz w:val="17"/>
              </w:rPr>
              <w:t>[•]</w:t>
            </w:r>
          </w:p>
        </w:tc>
      </w:tr>
      <w:tr>
        <w:tc>
          <w:tcPr>
            <w:tcW w:type="dxa" w:w="3312"/>
          </w:tcPr>
          <w:p>
            <w:r/>
            <w:r>
              <w:rPr>
                <w:rFonts w:ascii="Calibri" w:hAnsi="Calibri"/>
                <w:b w:val="0"/>
                <w:i w:val="0"/>
                <w:color w:val="1B2A32"/>
                <w:sz w:val="17"/>
              </w:rPr>
              <w:t>Member</w:t>
            </w:r>
          </w:p>
        </w:tc>
        <w:tc>
          <w:tcPr>
            <w:tcW w:type="dxa" w:w="2160"/>
          </w:tcPr>
          <w:p>
            <w:r/>
            <w:r>
              <w:rPr>
                <w:rFonts w:ascii="Calibri" w:hAnsi="Calibri"/>
                <w:b w:val="0"/>
                <w:i w:val="0"/>
                <w:color w:val="1B2A32"/>
                <w:sz w:val="17"/>
              </w:rPr>
              <w:t>[•]</w:t>
            </w:r>
          </w:p>
        </w:tc>
        <w:tc>
          <w:tcPr>
            <w:tcW w:type="dxa" w:w="2160"/>
          </w:tcPr>
          <w:p>
            <w:r/>
            <w:r>
              <w:rPr>
                <w:rFonts w:ascii="Calibri" w:hAnsi="Calibri"/>
                <w:b w:val="0"/>
                <w:i w:val="0"/>
                <w:color w:val="1B2A32"/>
                <w:sz w:val="17"/>
              </w:rPr>
              <w:t>[•]</w:t>
            </w:r>
          </w:p>
        </w:tc>
        <w:tc>
          <w:tcPr>
            <w:tcW w:type="dxa" w:w="1872"/>
          </w:tcPr>
          <w:p>
            <w:r/>
            <w:r>
              <w:rPr>
                <w:rFonts w:ascii="Calibri" w:hAnsi="Calibri"/>
                <w:b w:val="0"/>
                <w:i w:val="0"/>
                <w:color w:val="1B2A32"/>
                <w:sz w:val="17"/>
              </w:rPr>
              <w:t>[•]</w:t>
            </w:r>
          </w:p>
        </w:tc>
      </w:tr>
      <w:tr>
        <w:tc>
          <w:tcPr>
            <w:tcW w:type="dxa" w:w="3312"/>
            <w:shd w:val="clear" w:fill="F3F7F9"/>
          </w:tcPr>
          <w:p>
            <w:r/>
            <w:r>
              <w:rPr>
                <w:rFonts w:ascii="Calibri" w:hAnsi="Calibri"/>
                <w:b w:val="0"/>
                <w:i w:val="0"/>
                <w:color w:val="1B2A32"/>
                <w:sz w:val="17"/>
              </w:rPr>
              <w:t>External Member</w:t>
            </w:r>
          </w:p>
        </w:tc>
        <w:tc>
          <w:tcPr>
            <w:tcW w:type="dxa" w:w="2160"/>
            <w:shd w:val="clear" w:fill="F3F7F9"/>
          </w:tcPr>
          <w:p>
            <w:r/>
            <w:r>
              <w:rPr>
                <w:rFonts w:ascii="Calibri" w:hAnsi="Calibri"/>
                <w:b w:val="0"/>
                <w:i w:val="0"/>
                <w:color w:val="1B2A32"/>
                <w:sz w:val="17"/>
              </w:rPr>
              <w:t>[•]</w:t>
            </w:r>
          </w:p>
        </w:tc>
        <w:tc>
          <w:tcPr>
            <w:tcW w:type="dxa" w:w="2160"/>
            <w:shd w:val="clear" w:fill="F3F7F9"/>
          </w:tcPr>
          <w:p>
            <w:r/>
            <w:r>
              <w:rPr>
                <w:rFonts w:ascii="Calibri" w:hAnsi="Calibri"/>
                <w:b w:val="0"/>
                <w:i w:val="0"/>
                <w:color w:val="1B2A32"/>
                <w:sz w:val="17"/>
              </w:rPr>
              <w:t>[NGO / expertise]</w:t>
            </w:r>
          </w:p>
        </w:tc>
        <w:tc>
          <w:tcPr>
            <w:tcW w:type="dxa" w:w="1872"/>
            <w:shd w:val="clear" w:fill="F3F7F9"/>
          </w:tcPr>
          <w:p>
            <w:r/>
            <w:r>
              <w:rPr>
                <w:rFonts w:ascii="Calibri" w:hAnsi="Calibri"/>
                <w:b w:val="0"/>
                <w:i w:val="0"/>
                <w:color w:val="1B2A32"/>
                <w:sz w:val="17"/>
              </w:rPr>
              <w:t>[•]</w:t>
            </w:r>
          </w:p>
        </w:tc>
      </w:tr>
      <w:tr>
        <w:tc>
          <w:tcPr>
            <w:tcW w:type="dxa" w:w="3312"/>
          </w:tcPr>
          <w:p>
            <w:r/>
            <w:r>
              <w:rPr>
                <w:rFonts w:ascii="Calibri" w:hAnsi="Calibri"/>
                <w:b w:val="0"/>
                <w:i w:val="0"/>
                <w:color w:val="1B2A32"/>
                <w:sz w:val="17"/>
              </w:rPr>
              <w:t>Local Committee (for complaints against the employer)</w:t>
            </w:r>
          </w:p>
        </w:tc>
        <w:tc>
          <w:tcPr>
            <w:tcW w:type="dxa" w:w="2160"/>
          </w:tcPr>
          <w:p>
            <w:r/>
            <w:r>
              <w:rPr>
                <w:rFonts w:ascii="Calibri" w:hAnsi="Calibri"/>
                <w:b w:val="0"/>
                <w:i w:val="0"/>
                <w:color w:val="1B2A32"/>
                <w:sz w:val="17"/>
              </w:rPr>
              <w:t>[District Officer's LC]</w:t>
            </w:r>
          </w:p>
        </w:tc>
        <w:tc>
          <w:tcPr>
            <w:tcW w:type="dxa" w:w="2160"/>
          </w:tcPr>
          <w:p>
            <w:r/>
            <w:r>
              <w:rPr>
                <w:rFonts w:ascii="Calibri" w:hAnsi="Calibri"/>
                <w:b w:val="0"/>
                <w:i w:val="0"/>
                <w:color w:val="1B2A32"/>
                <w:sz w:val="17"/>
              </w:rPr>
              <w:t>—</w:t>
            </w:r>
          </w:p>
        </w:tc>
        <w:tc>
          <w:tcPr>
            <w:tcW w:type="dxa" w:w="1872"/>
          </w:tcPr>
          <w:p>
            <w:r/>
            <w:r>
              <w:rPr>
                <w:rFonts w:ascii="Calibri" w:hAnsi="Calibri"/>
                <w:b w:val="0"/>
                <w:i w:val="0"/>
                <w:color w:val="1B2A32"/>
                <w:sz w:val="17"/>
              </w:rPr>
              <w:t>[•]</w:t>
            </w:r>
          </w:p>
        </w:tc>
      </w:tr>
    </w:tbl>
    <w:p>
      <w:pPr>
        <w:spacing w:after="40"/>
      </w:pPr>
    </w:p>
    <w:sectPr w:rsidR="00FC693F" w:rsidRPr="0006063C" w:rsidSect="00034616">
      <w:headerReference w:type="default" r:id="rId9"/>
      <w:footerReference w:type="default" r:id="rId10"/>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556168"/>
        <w:sz w:val="16"/>
      </w:rPr>
      <w:t xml:space="preserve">Equator Resolution · An Infrabyx Group venture · Confidential draft — not legal advice · Page </w:t>
    </w:r>
    <w:r>
      <w:rPr>
        <w:rFonts w:ascii="Calibri" w:hAnsi="Calibri"/>
        <w:color w:val="55616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Workplace &amp; HR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56CBDFD-AAE4-42BA-B606-E22E1ADF16C8}"/>
</file>

<file path=customXml/itemProps3.xml><?xml version="1.0" encoding="utf-8"?>
<ds:datastoreItem xmlns:ds="http://schemas.openxmlformats.org/officeDocument/2006/customXml" ds:itemID="{3C91E917-A84C-410A-996B-CCB2AEB7904A}"/>
</file>

<file path=customXml/itemProps4.xml><?xml version="1.0" encoding="utf-8"?>
<ds:datastoreItem xmlns:ds="http://schemas.openxmlformats.org/officeDocument/2006/customXml" ds:itemID="{6E81E61D-8C6B-45EA-A0C7-6CE5A347EB2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