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POSH Support</w:t>
      </w:r>
    </w:p>
    <w:p>
      <w:pPr>
        <w:pBdr>
          <w:top w:val="single" w:sz="14" w:space="6" w:color="C6A15B"/>
          <w:bottom w:val="single" w:sz="14" w:space="6" w:color="C6A15B"/>
        </w:pBdr>
      </w:pPr>
    </w:p>
    <w:p>
      <w:pPr>
        <w:spacing w:before="600"/>
        <w:jc w:val="center"/>
      </w:pPr>
      <w:r>
        <w:rPr>
          <w:rFonts w:ascii="Calibri" w:hAnsi="Calibri"/>
          <w:b/>
          <w:i w:val="0"/>
          <w:color w:val="123B4F"/>
          <w:sz w:val="48"/>
        </w:rPr>
        <w:t>Rules of Workplace Dispute Resolution</w:t>
      </w:r>
    </w:p>
    <w:p>
      <w:pPr>
        <w:jc w:val="center"/>
      </w:pPr>
      <w:r>
        <w:rPr>
          <w:rFonts w:ascii="Calibri" w:hAnsi="Calibri"/>
          <w:b w:val="0"/>
          <w:i/>
          <w:color w:val="556168"/>
          <w:sz w:val="25"/>
        </w:rPr>
        <w:t>The published rulebook for employment, wage, separation and grievance mediation — and for POSH support</w:t>
      </w:r>
    </w:p>
    <w:p/>
    <w:p/>
    <w:p/>
    <w:p/>
    <w:p/>
    <w:p/>
    <w:p/>
    <w:p/>
    <w:p>
      <w:pPr>
        <w:jc w:val="center"/>
      </w:pPr>
      <w:r>
        <w:rPr>
          <w:rFonts w:ascii="Calibri" w:hAnsi="Calibri"/>
          <w:b/>
          <w:i w:val="0"/>
          <w:color w:val="1E7A8C"/>
          <w:sz w:val="22"/>
        </w:rPr>
        <w:t>Workplace &amp; HR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Preamble &amp; application</w:t>
      </w:r>
    </w:p>
    <w:p>
      <w:pPr>
        <w:spacing w:after="120"/>
        <w:jc w:val="both"/>
      </w:pPr>
      <w:r>
        <w:rPr>
          <w:rFonts w:ascii="Calibri" w:hAnsi="Calibri"/>
          <w:b w:val="0"/>
          <w:i w:val="0"/>
          <w:color w:val="1B2A32"/>
          <w:sz w:val="21"/>
        </w:rPr>
        <w:t xml:space="preserve">These Rules govern every workplace and employment dispute administered by </w:t>
      </w:r>
      <w:r>
        <w:rPr>
          <w:rFonts w:ascii="Calibri" w:hAnsi="Calibri"/>
          <w:b/>
          <w:i w:val="0"/>
          <w:color w:val="1B2A32"/>
          <w:sz w:val="21"/>
        </w:rPr>
        <w:t>Equator Resolution</w:t>
      </w:r>
      <w:r>
        <w:rPr>
          <w:rFonts w:ascii="Calibri" w:hAnsi="Calibri"/>
          <w:b w:val="0"/>
          <w:i w:val="0"/>
          <w:color w:val="1B2A32"/>
          <w:sz w:val="21"/>
        </w:rPr>
        <w:t xml:space="preserve"> ("Equator", "the Institution"). They apply where the parties agree to resolve a dispute under the Equator Rules — by a clause in the employment contract or an HR policy, a joint reference, or an accepted invitation after a dispute arises. They are to be read with the </w:t>
      </w:r>
      <w:r>
        <w:rPr>
          <w:rFonts w:ascii="Calibri" w:hAnsi="Calibri"/>
          <w:b/>
          <w:i w:val="0"/>
          <w:color w:val="1B2A32"/>
          <w:sz w:val="21"/>
        </w:rPr>
        <w:t>Mediation Act, 2023</w:t>
      </w:r>
      <w:r>
        <w:rPr>
          <w:rFonts w:ascii="Calibri" w:hAnsi="Calibri"/>
          <w:b w:val="0"/>
          <w:i w:val="0"/>
          <w:color w:val="1B2A32"/>
          <w:sz w:val="21"/>
        </w:rPr>
        <w:t xml:space="preserve">, the </w:t>
      </w:r>
      <w:r>
        <w:rPr>
          <w:rFonts w:ascii="Calibri" w:hAnsi="Calibri"/>
          <w:b/>
          <w:i w:val="0"/>
          <w:color w:val="1B2A32"/>
          <w:sz w:val="21"/>
        </w:rPr>
        <w:t>four Labour Codes</w:t>
      </w:r>
      <w:r>
        <w:rPr>
          <w:rFonts w:ascii="Calibri" w:hAnsi="Calibri"/>
          <w:b w:val="0"/>
          <w:i w:val="0"/>
          <w:color w:val="1B2A32"/>
          <w:sz w:val="21"/>
        </w:rPr>
        <w:t xml:space="preserve"> (in force from 21 November 2025), the </w:t>
      </w:r>
      <w:r>
        <w:rPr>
          <w:rFonts w:ascii="Calibri" w:hAnsi="Calibri"/>
          <w:b/>
          <w:i w:val="0"/>
          <w:color w:val="1B2A32"/>
          <w:sz w:val="21"/>
        </w:rPr>
        <w:t>POSH Act, 2013</w:t>
      </w:r>
      <w:r>
        <w:rPr>
          <w:rFonts w:ascii="Calibri" w:hAnsi="Calibri"/>
          <w:b w:val="0"/>
          <w:i w:val="0"/>
          <w:color w:val="1B2A32"/>
          <w:sz w:val="21"/>
        </w:rPr>
        <w:t>, and all other applicable law.</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Two governing limits</w:t>
            </w:r>
          </w:p>
          <w:p>
            <w:r>
              <w:rPr>
                <w:rFonts w:ascii="Calibri" w:hAnsi="Calibri"/>
                <w:b/>
                <w:i w:val="0"/>
                <w:color w:val="1B2A32"/>
                <w:sz w:val="19"/>
              </w:rPr>
              <w:t>(1) POSH.</w:t>
            </w:r>
            <w:r>
              <w:rPr>
                <w:rFonts w:ascii="Calibri" w:hAnsi="Calibri"/>
                <w:b w:val="0"/>
                <w:i w:val="0"/>
                <w:color w:val="1B2A32"/>
                <w:sz w:val="19"/>
              </w:rPr>
              <w:t xml:space="preserve"> A complaint of sexual harassment belongs to the employer's </w:t>
            </w:r>
            <w:r>
              <w:rPr>
                <w:rFonts w:ascii="Calibri" w:hAnsi="Calibri"/>
                <w:b/>
                <w:i w:val="0"/>
                <w:color w:val="1B2A32"/>
                <w:sz w:val="19"/>
              </w:rPr>
              <w:t>Internal Committee</w:t>
            </w:r>
            <w:r>
              <w:rPr>
                <w:rFonts w:ascii="Calibri" w:hAnsi="Calibri"/>
                <w:b w:val="0"/>
                <w:i w:val="0"/>
                <w:color w:val="1B2A32"/>
                <w:sz w:val="19"/>
              </w:rPr>
              <w:t xml:space="preserve">. These Rules do not divert it, and Equator's role is confined to supporting the Committee. </w:t>
            </w:r>
            <w:r>
              <w:rPr>
                <w:rFonts w:ascii="Calibri" w:hAnsi="Calibri"/>
                <w:b/>
                <w:i w:val="0"/>
                <w:color w:val="1B2A32"/>
                <w:sz w:val="19"/>
              </w:rPr>
              <w:t>(2) Statutory dues.</w:t>
            </w:r>
            <w:r>
              <w:rPr>
                <w:rFonts w:ascii="Calibri" w:hAnsi="Calibri"/>
                <w:b w:val="0"/>
                <w:i w:val="0"/>
                <w:color w:val="1B2A32"/>
                <w:sz w:val="19"/>
              </w:rPr>
              <w:t xml:space="preserve"> Gratuity, provident fund and other statutory entitlements are </w:t>
            </w:r>
            <w:r>
              <w:rPr>
                <w:rFonts w:ascii="Calibri" w:hAnsi="Calibri"/>
                <w:b/>
                <w:i w:val="0"/>
                <w:color w:val="1B2A32"/>
                <w:sz w:val="19"/>
              </w:rPr>
              <w:t>paid, never waived</w:t>
            </w:r>
            <w:r>
              <w:rPr>
                <w:rFonts w:ascii="Calibri" w:hAnsi="Calibri"/>
                <w:b w:val="0"/>
                <w:i w:val="0"/>
                <w:color w:val="1B2A32"/>
                <w:sz w:val="19"/>
              </w:rPr>
              <w:t>; no settlement under these Rules may bargain them away.</w:t>
            </w:r>
          </w:p>
        </w:tc>
      </w:tr>
    </w:tbl>
    <w:p>
      <w:pPr>
        <w:spacing w:after="40"/>
      </w:pPr>
    </w:p>
    <w:p>
      <w:pPr>
        <w:keepNext/>
        <w:spacing w:before="280" w:after="120"/>
        <w:pBdr>
          <w:bottom w:val="single" w:sz="12" w:space="3" w:color="C6A15B"/>
        </w:pBdr>
      </w:pPr>
      <w:r>
        <w:rPr>
          <w:rFonts w:ascii="Calibri" w:hAnsi="Calibri"/>
          <w:b/>
          <w:i w:val="0"/>
          <w:color w:val="123B4F"/>
          <w:sz w:val="32"/>
        </w:rPr>
        <w:t>1.  Definitions</w:t>
      </w:r>
    </w:p>
    <w:p>
      <w:pPr>
        <w:pStyle w:val="ListBullet"/>
        <w:spacing w:after="60"/>
        <w:jc w:val="both"/>
      </w:pPr>
      <w:r>
        <w:rPr>
          <w:rFonts w:ascii="Calibri" w:hAnsi="Calibri"/>
          <w:b/>
          <w:i w:val="0"/>
          <w:color w:val="1B2A32"/>
          <w:sz w:val="21"/>
        </w:rPr>
        <w:t>"Employee"</w:t>
      </w:r>
      <w:r>
        <w:rPr>
          <w:rFonts w:ascii="Calibri" w:hAnsi="Calibri"/>
          <w:b w:val="0"/>
          <w:i w:val="0"/>
          <w:color w:val="1B2A32"/>
          <w:sz w:val="21"/>
        </w:rPr>
        <w:t xml:space="preserve"> includes an ex-employee, a worker, a contract or gig worker, an apprentice, a trainee and a probationer.</w:t>
      </w:r>
    </w:p>
    <w:p>
      <w:pPr>
        <w:pStyle w:val="ListBullet"/>
        <w:spacing w:after="60"/>
        <w:jc w:val="both"/>
      </w:pPr>
      <w:r>
        <w:rPr>
          <w:rFonts w:ascii="Calibri" w:hAnsi="Calibri"/>
          <w:b/>
          <w:i w:val="0"/>
          <w:color w:val="1B2A32"/>
          <w:sz w:val="21"/>
        </w:rPr>
        <w:t>"Employer"</w:t>
      </w:r>
      <w:r>
        <w:rPr>
          <w:rFonts w:ascii="Calibri" w:hAnsi="Calibri"/>
          <w:b w:val="0"/>
          <w:i w:val="0"/>
          <w:color w:val="1B2A32"/>
          <w:sz w:val="21"/>
        </w:rPr>
        <w:t xml:space="preserve"> includes an establishment, its authorised officers and, where relevant, a principal employer.</w:t>
      </w:r>
    </w:p>
    <w:p>
      <w:pPr>
        <w:pStyle w:val="ListBullet"/>
        <w:spacing w:after="60"/>
        <w:jc w:val="both"/>
      </w:pPr>
      <w:r>
        <w:rPr>
          <w:rFonts w:ascii="Calibri" w:hAnsi="Calibri"/>
          <w:b/>
          <w:i w:val="0"/>
          <w:color w:val="1B2A32"/>
          <w:sz w:val="21"/>
        </w:rPr>
        <w:t>"Neutral"</w:t>
      </w:r>
      <w:r>
        <w:rPr>
          <w:rFonts w:ascii="Calibri" w:hAnsi="Calibri"/>
          <w:b w:val="0"/>
          <w:i w:val="0"/>
          <w:color w:val="1B2A32"/>
          <w:sz w:val="21"/>
        </w:rPr>
        <w:t xml:space="preserve"> means a mediator or conciliator appointed under these Rules from the Equator panel.</w:t>
      </w:r>
    </w:p>
    <w:p>
      <w:pPr>
        <w:pStyle w:val="ListBullet"/>
        <w:spacing w:after="60"/>
        <w:jc w:val="both"/>
      </w:pPr>
      <w:r>
        <w:rPr>
          <w:rFonts w:ascii="Calibri" w:hAnsi="Calibri"/>
          <w:b/>
          <w:i w:val="0"/>
          <w:color w:val="1B2A32"/>
          <w:sz w:val="21"/>
        </w:rPr>
        <w:t>"IC"</w:t>
      </w:r>
      <w:r>
        <w:rPr>
          <w:rFonts w:ascii="Calibri" w:hAnsi="Calibri"/>
          <w:b w:val="0"/>
          <w:i w:val="0"/>
          <w:color w:val="1B2A32"/>
          <w:sz w:val="21"/>
        </w:rPr>
        <w:t xml:space="preserve"> means an Internal Committee constituted under section 4 of the POSH Act, 2013.</w:t>
      </w:r>
    </w:p>
    <w:p>
      <w:pPr>
        <w:pStyle w:val="ListBullet"/>
        <w:spacing w:after="60"/>
        <w:jc w:val="both"/>
      </w:pPr>
      <w:r>
        <w:rPr>
          <w:rFonts w:ascii="Calibri" w:hAnsi="Calibri"/>
          <w:b/>
          <w:i w:val="0"/>
          <w:color w:val="1B2A32"/>
          <w:sz w:val="21"/>
        </w:rPr>
        <w:t>"GRC"</w:t>
      </w:r>
      <w:r>
        <w:rPr>
          <w:rFonts w:ascii="Calibri" w:hAnsi="Calibri"/>
          <w:b w:val="0"/>
          <w:i w:val="0"/>
          <w:color w:val="1B2A32"/>
          <w:sz w:val="21"/>
        </w:rPr>
        <w:t xml:space="preserve"> means a Grievance Redressal Committee under the Industrial Relations Code, 2020.</w:t>
      </w:r>
    </w:p>
    <w:p>
      <w:pPr>
        <w:pStyle w:val="ListBullet"/>
        <w:spacing w:after="60"/>
        <w:jc w:val="both"/>
      </w:pPr>
      <w:r>
        <w:rPr>
          <w:rFonts w:ascii="Calibri" w:hAnsi="Calibri"/>
          <w:b/>
          <w:i w:val="0"/>
          <w:color w:val="1B2A32"/>
          <w:sz w:val="21"/>
        </w:rPr>
        <w:t>"MSA"</w:t>
      </w:r>
      <w:r>
        <w:rPr>
          <w:rFonts w:ascii="Calibri" w:hAnsi="Calibri"/>
          <w:b w:val="0"/>
          <w:i w:val="0"/>
          <w:color w:val="1B2A32"/>
          <w:sz w:val="21"/>
        </w:rPr>
        <w:t xml:space="preserve"> means a mediated settlement agreement under the Mediation Act, 2023.</w:t>
      </w:r>
    </w:p>
    <w:p>
      <w:pPr>
        <w:pStyle w:val="ListBullet"/>
        <w:spacing w:after="60"/>
        <w:jc w:val="both"/>
      </w:pPr>
      <w:r>
        <w:rPr>
          <w:rFonts w:ascii="Calibri" w:hAnsi="Calibri"/>
          <w:b/>
          <w:i w:val="0"/>
          <w:color w:val="1B2A32"/>
          <w:sz w:val="21"/>
        </w:rPr>
        <w:t>"F&amp;F"</w:t>
      </w:r>
      <w:r>
        <w:rPr>
          <w:rFonts w:ascii="Calibri" w:hAnsi="Calibri"/>
          <w:b w:val="0"/>
          <w:i w:val="0"/>
          <w:color w:val="1B2A32"/>
          <w:sz w:val="21"/>
        </w:rPr>
        <w:t xml:space="preserve"> means a full-and-final settlement on separation.</w:t>
      </w:r>
    </w:p>
    <w:p>
      <w:pPr>
        <w:keepNext/>
        <w:spacing w:before="280" w:after="120"/>
        <w:pBdr>
          <w:bottom w:val="single" w:sz="12" w:space="3" w:color="C6A15B"/>
        </w:pBdr>
      </w:pPr>
      <w:r>
        <w:rPr>
          <w:rFonts w:ascii="Calibri" w:hAnsi="Calibri"/>
          <w:b/>
          <w:i w:val="0"/>
          <w:color w:val="123B4F"/>
          <w:sz w:val="32"/>
        </w:rPr>
        <w:t>2.  Scope — matters resolvable under these Rules</w:t>
      </w:r>
    </w:p>
    <w:p>
      <w:pPr>
        <w:spacing w:after="120"/>
        <w:jc w:val="both"/>
      </w:pPr>
      <w:r>
        <w:rPr>
          <w:rFonts w:ascii="Calibri" w:hAnsi="Calibri"/>
          <w:b w:val="0"/>
          <w:i w:val="0"/>
          <w:color w:val="1B2A32"/>
          <w:sz w:val="21"/>
        </w:rPr>
        <w:t xml:space="preserve">Subject to Rule 18 (Exclusions): wage and salary dues; </w:t>
      </w:r>
      <w:r>
        <w:rPr>
          <w:rFonts w:ascii="Calibri" w:hAnsi="Calibri"/>
          <w:b/>
          <w:i w:val="0"/>
          <w:color w:val="1B2A32"/>
          <w:sz w:val="21"/>
        </w:rPr>
        <w:t>full-and-final settlement</w:t>
      </w:r>
      <w:r>
        <w:rPr>
          <w:rFonts w:ascii="Calibri" w:hAnsi="Calibri"/>
          <w:b w:val="0"/>
          <w:i w:val="0"/>
          <w:color w:val="1B2A32"/>
          <w:sz w:val="21"/>
        </w:rPr>
        <w:t>; contested termination and separation; notice period, employment bond and post-employment restraint; gratuity, provident fund, ESI and other benefits; leave and attendance; workplace grievances not amounting to sexual harassment; discrimination and equal-pay claims; retrenchment and layoff terms; and contractor or gig-worker disputes.</w:t>
      </w:r>
    </w:p>
    <w:p>
      <w:pPr>
        <w:keepNext/>
        <w:spacing w:before="280" w:after="120"/>
        <w:pBdr>
          <w:bottom w:val="single" w:sz="12" w:space="3" w:color="C6A15B"/>
        </w:pBdr>
      </w:pPr>
      <w:r>
        <w:rPr>
          <w:rFonts w:ascii="Calibri" w:hAnsi="Calibri"/>
          <w:b/>
          <w:i w:val="0"/>
          <w:color w:val="123B4F"/>
          <w:sz w:val="32"/>
        </w:rPr>
        <w:t>3.  Route triage — a condition of administration</w:t>
      </w:r>
    </w:p>
    <w:p>
      <w:pPr>
        <w:spacing w:after="120"/>
        <w:jc w:val="both"/>
      </w:pPr>
      <w:r>
        <w:rPr>
          <w:rFonts w:ascii="Calibri" w:hAnsi="Calibri"/>
          <w:b w:val="0"/>
          <w:i w:val="0"/>
          <w:color w:val="1B2A32"/>
          <w:sz w:val="21"/>
        </w:rPr>
        <w:t>On commencement the Case Manager classifies the matter and routes it. Equator will not administer as a mediation anything that belongs elsewhere:</w:t>
      </w:r>
    </w:p>
    <w:tbl>
      <w:tblPr>
        <w:tblStyle w:val="TableGrid"/>
        <w:tblW w:type="auto" w:w="0"/>
        <w:jc w:val="center"/>
        <w:tblLook w:firstColumn="1" w:firstRow="1" w:lastColumn="0" w:lastRow="0" w:noHBand="0" w:noVBand="1" w:val="04A0"/>
      </w:tblPr>
      <w:tblGrid>
        <w:gridCol w:w="3168"/>
        <w:gridCol w:w="3168"/>
        <w:gridCol w:w="3168"/>
      </w:tblGrid>
      <w:tr>
        <w:tc>
          <w:tcPr>
            <w:tcW w:type="dxa" w:w="2736"/>
            <w:shd w:val="clear" w:fill="123B4F"/>
          </w:tcPr>
          <w:p>
            <w:r/>
            <w:r>
              <w:rPr>
                <w:rFonts w:ascii="Calibri" w:hAnsi="Calibri"/>
                <w:b/>
                <w:i w:val="0"/>
                <w:color w:val="FFFFFF"/>
                <w:sz w:val="16"/>
              </w:rPr>
              <w:t>If the matter is…</w:t>
            </w:r>
          </w:p>
        </w:tc>
        <w:tc>
          <w:tcPr>
            <w:tcW w:type="dxa" w:w="3312"/>
            <w:shd w:val="clear" w:fill="123B4F"/>
          </w:tcPr>
          <w:p>
            <w:r/>
            <w:r>
              <w:rPr>
                <w:rFonts w:ascii="Calibri" w:hAnsi="Calibri"/>
                <w:b/>
                <w:i w:val="0"/>
                <w:color w:val="FFFFFF"/>
                <w:sz w:val="16"/>
              </w:rPr>
              <w:t>It is routed to…</w:t>
            </w:r>
          </w:p>
        </w:tc>
        <w:tc>
          <w:tcPr>
            <w:tcW w:type="dxa" w:w="3456"/>
            <w:shd w:val="clear" w:fill="123B4F"/>
          </w:tcPr>
          <w:p>
            <w:r/>
            <w:r>
              <w:rPr>
                <w:rFonts w:ascii="Calibri" w:hAnsi="Calibri"/>
                <w:b/>
                <w:i w:val="0"/>
                <w:color w:val="FFFFFF"/>
                <w:sz w:val="16"/>
              </w:rPr>
              <w:t>Equator's role</w:t>
            </w:r>
          </w:p>
        </w:tc>
      </w:tr>
      <w:tr>
        <w:tc>
          <w:tcPr>
            <w:tcW w:type="dxa" w:w="2736"/>
          </w:tcPr>
          <w:p>
            <w:r/>
            <w:r>
              <w:rPr>
                <w:rFonts w:ascii="Calibri" w:hAnsi="Calibri"/>
                <w:b w:val="0"/>
                <w:i w:val="0"/>
                <w:color w:val="1B2A32"/>
                <w:sz w:val="16"/>
              </w:rPr>
              <w:t>Sexual harassment (POSH)</w:t>
            </w:r>
          </w:p>
        </w:tc>
        <w:tc>
          <w:tcPr>
            <w:tcW w:type="dxa" w:w="3312"/>
          </w:tcPr>
          <w:p>
            <w:r/>
            <w:r>
              <w:rPr>
                <w:rFonts w:ascii="Calibri" w:hAnsi="Calibri"/>
                <w:b w:val="0"/>
                <w:i w:val="0"/>
                <w:color w:val="1B2A32"/>
                <w:sz w:val="16"/>
              </w:rPr>
              <w:t>The employer's Internal Committee (or the Local Committee)</w:t>
            </w:r>
          </w:p>
        </w:tc>
        <w:tc>
          <w:tcPr>
            <w:tcW w:type="dxa" w:w="3456"/>
          </w:tcPr>
          <w:p>
            <w:r/>
            <w:r>
              <w:rPr>
                <w:rFonts w:ascii="Calibri" w:hAnsi="Calibri"/>
                <w:b w:val="0"/>
                <w:i w:val="0"/>
                <w:color w:val="1B2A32"/>
                <w:sz w:val="16"/>
              </w:rPr>
              <w:t>Support only — trained external member, sealed case management, lawful s.10 conciliation</w:t>
            </w:r>
          </w:p>
        </w:tc>
      </w:tr>
      <w:tr>
        <w:tc>
          <w:tcPr>
            <w:tcW w:type="dxa" w:w="2736"/>
            <w:shd w:val="clear" w:fill="F3F7F9"/>
          </w:tcPr>
          <w:p>
            <w:r/>
            <w:r>
              <w:rPr>
                <w:rFonts w:ascii="Calibri" w:hAnsi="Calibri"/>
                <w:b w:val="0"/>
                <w:i w:val="0"/>
                <w:color w:val="1B2A32"/>
                <w:sz w:val="16"/>
              </w:rPr>
              <w:t>A criminal offence or a threat to safety</w:t>
            </w:r>
          </w:p>
        </w:tc>
        <w:tc>
          <w:tcPr>
            <w:tcW w:type="dxa" w:w="3312"/>
            <w:shd w:val="clear" w:fill="F3F7F9"/>
          </w:tcPr>
          <w:p>
            <w:r/>
            <w:r>
              <w:rPr>
                <w:rFonts w:ascii="Calibri" w:hAnsi="Calibri"/>
                <w:b w:val="0"/>
                <w:i w:val="0"/>
                <w:color w:val="1B2A32"/>
                <w:sz w:val="16"/>
              </w:rPr>
              <w:t>The police</w:t>
            </w:r>
          </w:p>
        </w:tc>
        <w:tc>
          <w:tcPr>
            <w:tcW w:type="dxa" w:w="3456"/>
            <w:shd w:val="clear" w:fill="F3F7F9"/>
          </w:tcPr>
          <w:p>
            <w:r/>
            <w:r>
              <w:rPr>
                <w:rFonts w:ascii="Calibri" w:hAnsi="Calibri"/>
                <w:b w:val="0"/>
                <w:i w:val="0"/>
                <w:color w:val="1B2A32"/>
                <w:sz w:val="16"/>
              </w:rPr>
              <w:t>Signpost; ensure safety; do not mediate the criminal aspect</w:t>
            </w:r>
          </w:p>
        </w:tc>
      </w:tr>
      <w:tr>
        <w:tc>
          <w:tcPr>
            <w:tcW w:type="dxa" w:w="2736"/>
          </w:tcPr>
          <w:p>
            <w:r/>
            <w:r>
              <w:rPr>
                <w:rFonts w:ascii="Calibri" w:hAnsi="Calibri"/>
                <w:b w:val="0"/>
                <w:i w:val="0"/>
                <w:color w:val="1B2A32"/>
                <w:sz w:val="16"/>
              </w:rPr>
              <w:t>A collective or statutory industrial dispute</w:t>
            </w:r>
          </w:p>
        </w:tc>
        <w:tc>
          <w:tcPr>
            <w:tcW w:type="dxa" w:w="3312"/>
          </w:tcPr>
          <w:p>
            <w:r/>
            <w:r>
              <w:rPr>
                <w:rFonts w:ascii="Calibri" w:hAnsi="Calibri"/>
                <w:b w:val="0"/>
                <w:i w:val="0"/>
                <w:color w:val="1B2A32"/>
                <w:sz w:val="16"/>
              </w:rPr>
              <w:t>GRC, conciliation officer or Industrial Tribunal under the IR Code</w:t>
            </w:r>
          </w:p>
        </w:tc>
        <w:tc>
          <w:tcPr>
            <w:tcW w:type="dxa" w:w="3456"/>
          </w:tcPr>
          <w:p>
            <w:r/>
            <w:r>
              <w:rPr>
                <w:rFonts w:ascii="Calibri" w:hAnsi="Calibri"/>
                <w:b w:val="0"/>
                <w:i w:val="0"/>
                <w:color w:val="1B2A32"/>
                <w:sz w:val="16"/>
              </w:rPr>
              <w:t>Signpost; mediate a settlement only where lawful and both sides agree</w:t>
            </w:r>
          </w:p>
        </w:tc>
      </w:tr>
      <w:tr>
        <w:tc>
          <w:tcPr>
            <w:tcW w:type="dxa" w:w="2736"/>
            <w:shd w:val="clear" w:fill="F3F7F9"/>
          </w:tcPr>
          <w:p>
            <w:r/>
            <w:r>
              <w:rPr>
                <w:rFonts w:ascii="Calibri" w:hAnsi="Calibri"/>
                <w:b w:val="0"/>
                <w:i w:val="0"/>
                <w:color w:val="1B2A32"/>
                <w:sz w:val="16"/>
              </w:rPr>
              <w:t>An individual grievance</w:t>
            </w:r>
          </w:p>
        </w:tc>
        <w:tc>
          <w:tcPr>
            <w:tcW w:type="dxa" w:w="3312"/>
            <w:shd w:val="clear" w:fill="F3F7F9"/>
          </w:tcPr>
          <w:p>
            <w:r/>
            <w:r>
              <w:rPr>
                <w:rFonts w:ascii="Calibri" w:hAnsi="Calibri"/>
                <w:b w:val="0"/>
                <w:i w:val="0"/>
                <w:color w:val="1B2A32"/>
                <w:sz w:val="16"/>
              </w:rPr>
              <w:t>The GRC first, then mediation if unresolved</w:t>
            </w:r>
          </w:p>
        </w:tc>
        <w:tc>
          <w:tcPr>
            <w:tcW w:type="dxa" w:w="3456"/>
            <w:shd w:val="clear" w:fill="F3F7F9"/>
          </w:tcPr>
          <w:p>
            <w:r/>
            <w:r>
              <w:rPr>
                <w:rFonts w:ascii="Calibri" w:hAnsi="Calibri"/>
                <w:b w:val="0"/>
                <w:i w:val="0"/>
                <w:color w:val="1B2A32"/>
                <w:sz w:val="16"/>
              </w:rPr>
              <w:t>Mediate</w:t>
            </w:r>
          </w:p>
        </w:tc>
      </w:tr>
      <w:tr>
        <w:tc>
          <w:tcPr>
            <w:tcW w:type="dxa" w:w="2736"/>
          </w:tcPr>
          <w:p>
            <w:r/>
            <w:r>
              <w:rPr>
                <w:rFonts w:ascii="Calibri" w:hAnsi="Calibri"/>
                <w:b w:val="0"/>
                <w:i w:val="0"/>
                <w:color w:val="1B2A32"/>
                <w:sz w:val="16"/>
              </w:rPr>
              <w:t>Money, contract or separation</w:t>
            </w:r>
          </w:p>
        </w:tc>
        <w:tc>
          <w:tcPr>
            <w:tcW w:type="dxa" w:w="3312"/>
          </w:tcPr>
          <w:p>
            <w:r/>
            <w:r>
              <w:rPr>
                <w:rFonts w:ascii="Calibri" w:hAnsi="Calibri"/>
                <w:b w:val="0"/>
                <w:i w:val="0"/>
                <w:color w:val="1B2A32"/>
                <w:sz w:val="16"/>
              </w:rPr>
              <w:t>Mediation under these Rules</w:t>
            </w:r>
          </w:p>
        </w:tc>
        <w:tc>
          <w:tcPr>
            <w:tcW w:type="dxa" w:w="3456"/>
          </w:tcPr>
          <w:p>
            <w:r/>
            <w:r>
              <w:rPr>
                <w:rFonts w:ascii="Calibri" w:hAnsi="Calibri"/>
                <w:b w:val="0"/>
                <w:i w:val="0"/>
                <w:color w:val="1B2A32"/>
                <w:sz w:val="16"/>
              </w:rPr>
              <w:t>Administer in full</w:t>
            </w:r>
          </w:p>
        </w:tc>
      </w:tr>
    </w:tbl>
    <w:p>
      <w:pPr>
        <w:spacing w:after="40"/>
      </w:pPr>
    </w:p>
    <w:p>
      <w:pPr>
        <w:keepNext/>
        <w:spacing w:before="280" w:after="120"/>
        <w:pBdr>
          <w:bottom w:val="single" w:sz="12" w:space="3" w:color="C6A15B"/>
        </w:pBdr>
      </w:pPr>
      <w:r>
        <w:rPr>
          <w:rFonts w:ascii="Calibri" w:hAnsi="Calibri"/>
          <w:b/>
          <w:i w:val="0"/>
          <w:color w:val="123B4F"/>
          <w:sz w:val="32"/>
        </w:rPr>
        <w:t>4.  Commencement, either-party initiation and response</w:t>
      </w:r>
    </w:p>
    <w:p>
      <w:pPr>
        <w:spacing w:after="120"/>
        <w:jc w:val="both"/>
      </w:pPr>
      <w:r>
        <w:rPr>
          <w:rFonts w:ascii="Calibri" w:hAnsi="Calibri"/>
          <w:b w:val="0"/>
          <w:i w:val="0"/>
          <w:color w:val="1B2A32"/>
          <w:sz w:val="21"/>
        </w:rPr>
        <w:t xml:space="preserve">A matter commences on a </w:t>
      </w:r>
      <w:r>
        <w:rPr>
          <w:rFonts w:ascii="Calibri" w:hAnsi="Calibri"/>
          <w:b/>
          <w:i w:val="0"/>
          <w:color w:val="1B2A32"/>
          <w:sz w:val="21"/>
        </w:rPr>
        <w:t>Request for Resolution</w:t>
      </w:r>
      <w:r>
        <w:rPr>
          <w:rFonts w:ascii="Calibri" w:hAnsi="Calibri"/>
          <w:b w:val="0"/>
          <w:i w:val="0"/>
          <w:color w:val="1B2A32"/>
          <w:sz w:val="21"/>
        </w:rPr>
        <w:t xml:space="preserve"> (Form F-W02) with the prescribed particulars and fee, or on a joint reference. </w:t>
      </w:r>
      <w:r>
        <w:rPr>
          <w:rFonts w:ascii="Calibri" w:hAnsi="Calibri"/>
          <w:b/>
          <w:i w:val="0"/>
          <w:color w:val="1B2A32"/>
          <w:sz w:val="21"/>
        </w:rPr>
        <w:t>Either the employee or the employer may initiate.</w:t>
      </w:r>
      <w:r>
        <w:rPr>
          <w:rFonts w:ascii="Calibri" w:hAnsi="Calibri"/>
          <w:b w:val="0"/>
          <w:i w:val="0"/>
          <w:color w:val="1B2A32"/>
          <w:sz w:val="21"/>
        </w:rPr>
        <w:t xml:space="preserve"> The Institution invites the other party and allows a reasonable period (ordinarily 14 days) to respond. Participation is </w:t>
      </w:r>
      <w:r>
        <w:rPr>
          <w:rFonts w:ascii="Calibri" w:hAnsi="Calibri"/>
          <w:b/>
          <w:i w:val="0"/>
          <w:color w:val="1B2A32"/>
          <w:sz w:val="21"/>
        </w:rPr>
        <w:t>voluntary</w:t>
      </w:r>
      <w:r>
        <w:rPr>
          <w:rFonts w:ascii="Calibri" w:hAnsi="Calibri"/>
          <w:b w:val="0"/>
          <w:i w:val="0"/>
          <w:color w:val="1B2A32"/>
          <w:sz w:val="21"/>
        </w:rPr>
        <w:t>; a party may decline or withdraw at any time. Where a party declines, a non-commencement report issues, no adverse inference is drawn, and remedies are unaffected.</w:t>
      </w:r>
    </w:p>
    <w:p>
      <w:pPr>
        <w:keepNext/>
        <w:spacing w:before="280" w:after="120"/>
        <w:pBdr>
          <w:bottom w:val="single" w:sz="12" w:space="3" w:color="C6A15B"/>
        </w:pBdr>
      </w:pPr>
      <w:r>
        <w:rPr>
          <w:rFonts w:ascii="Calibri" w:hAnsi="Calibri"/>
          <w:b/>
          <w:i w:val="0"/>
          <w:color w:val="123B4F"/>
          <w:sz w:val="32"/>
        </w:rPr>
        <w:t>5.  Appointment of the neutral; independence and challenge</w:t>
      </w:r>
    </w:p>
    <w:p>
      <w:pPr>
        <w:spacing w:after="120"/>
        <w:jc w:val="both"/>
      </w:pPr>
      <w:r>
        <w:rPr>
          <w:rFonts w:ascii="Calibri" w:hAnsi="Calibri"/>
          <w:b w:val="0"/>
          <w:i w:val="0"/>
          <w:color w:val="1B2A32"/>
          <w:sz w:val="21"/>
        </w:rPr>
        <w:t xml:space="preserve">The Institution appoints from its panel having regard to the nature of the dispute, the sector, the languages of the parties, any expressed preference (including as to the </w:t>
      </w:r>
      <w:r>
        <w:rPr>
          <w:rFonts w:ascii="Calibri" w:hAnsi="Calibri"/>
          <w:b/>
          <w:i w:val="0"/>
          <w:color w:val="1B2A32"/>
          <w:sz w:val="21"/>
        </w:rPr>
        <w:t>gender</w:t>
      </w:r>
      <w:r>
        <w:rPr>
          <w:rFonts w:ascii="Calibri" w:hAnsi="Calibri"/>
          <w:b w:val="0"/>
          <w:i w:val="0"/>
          <w:color w:val="1B2A32"/>
          <w:sz w:val="21"/>
        </w:rPr>
        <w:t xml:space="preserve"> of the neutral), availability and the conflict position. Every neutral signs a </w:t>
      </w:r>
      <w:r>
        <w:rPr>
          <w:rFonts w:ascii="Calibri" w:hAnsi="Calibri"/>
          <w:b/>
          <w:i w:val="0"/>
          <w:color w:val="1B2A32"/>
          <w:sz w:val="21"/>
        </w:rPr>
        <w:t>disclosure</w:t>
      </w:r>
      <w:r>
        <w:rPr>
          <w:rFonts w:ascii="Calibri" w:hAnsi="Calibri"/>
          <w:b w:val="0"/>
          <w:i w:val="0"/>
          <w:color w:val="1B2A32"/>
          <w:sz w:val="21"/>
        </w:rPr>
        <w:t xml:space="preserve"> (Form F-W06) before acting and is under a continuing duty to disclose. A party may challenge a neutral; the Institution decides and, if upheld, appoints a replacement.</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Structural conflict — declared and managed</w:t>
            </w:r>
          </w:p>
          <w:p>
            <w:r>
              <w:rPr>
                <w:rFonts w:ascii="Calibri" w:hAnsi="Calibri"/>
                <w:b w:val="0"/>
                <w:i w:val="0"/>
                <w:color w:val="1B2A32"/>
                <w:sz w:val="19"/>
              </w:rPr>
              <w:t xml:space="preserve">Where Equator supplies an external member to an employer's Internal Committee </w:t>
            </w:r>
            <w:r>
              <w:rPr>
                <w:rFonts w:ascii="Calibri" w:hAnsi="Calibri"/>
                <w:b/>
                <w:i w:val="0"/>
                <w:color w:val="1B2A32"/>
                <w:sz w:val="19"/>
              </w:rPr>
              <w:t>and</w:t>
            </w:r>
            <w:r>
              <w:rPr>
                <w:rFonts w:ascii="Calibri" w:hAnsi="Calibri"/>
                <w:b w:val="0"/>
                <w:i w:val="0"/>
                <w:color w:val="1B2A32"/>
                <w:sz w:val="19"/>
              </w:rPr>
              <w:t xml:space="preserve"> is asked to mediate a money dispute involving the same employer, the Institution shall disclose the relationship to both parties and shall not use the same individual in both roles. Where the two matters concern the same employee, Equator shall decline the mediation unless both parties give informed written consent after disclosure.</w:t>
            </w:r>
          </w:p>
        </w:tc>
      </w:tr>
    </w:tbl>
    <w:p>
      <w:pPr>
        <w:spacing w:after="40"/>
      </w:pPr>
    </w:p>
    <w:p>
      <w:pPr>
        <w:keepNext/>
        <w:spacing w:before="280" w:after="120"/>
        <w:pBdr>
          <w:bottom w:val="single" w:sz="12" w:space="3" w:color="C6A15B"/>
        </w:pBdr>
      </w:pPr>
      <w:r>
        <w:rPr>
          <w:rFonts w:ascii="Calibri" w:hAnsi="Calibri"/>
          <w:b/>
          <w:i w:val="0"/>
          <w:color w:val="123B4F"/>
          <w:sz w:val="32"/>
        </w:rPr>
        <w:t>6.  Authority to settle</w:t>
      </w:r>
    </w:p>
    <w:p>
      <w:pPr>
        <w:spacing w:after="120"/>
        <w:jc w:val="both"/>
      </w:pPr>
      <w:r>
        <w:rPr>
          <w:rFonts w:ascii="Calibri" w:hAnsi="Calibri"/>
          <w:b w:val="0"/>
          <w:i w:val="0"/>
          <w:color w:val="1B2A32"/>
          <w:sz w:val="21"/>
        </w:rPr>
        <w:t xml:space="preserve">Each party must attend with, or have immediately available, a person with </w:t>
      </w:r>
      <w:r>
        <w:rPr>
          <w:rFonts w:ascii="Calibri" w:hAnsi="Calibri"/>
          <w:b/>
          <w:i w:val="0"/>
          <w:color w:val="1B2A32"/>
          <w:sz w:val="21"/>
        </w:rPr>
        <w:t>authority to settle</w:t>
      </w:r>
      <w:r>
        <w:rPr>
          <w:rFonts w:ascii="Calibri" w:hAnsi="Calibri"/>
          <w:b w:val="0"/>
          <w:i w:val="0"/>
          <w:color w:val="1B2A32"/>
          <w:sz w:val="21"/>
        </w:rPr>
        <w:t>. For an employer that means an officer empowered under its delegation to approve the settlement figure and the terms. A neutral may adjourn where a party attends without authority.</w:t>
      </w:r>
    </w:p>
    <w:p>
      <w:pPr>
        <w:keepNext/>
        <w:spacing w:before="280" w:after="120"/>
        <w:pBdr>
          <w:bottom w:val="single" w:sz="12" w:space="3" w:color="C6A15B"/>
        </w:pBdr>
      </w:pPr>
      <w:r>
        <w:rPr>
          <w:rFonts w:ascii="Calibri" w:hAnsi="Calibri"/>
          <w:b/>
          <w:i w:val="0"/>
          <w:color w:val="123B4F"/>
          <w:sz w:val="32"/>
        </w:rPr>
        <w:t>7.  Conduct of the process</w:t>
      </w:r>
    </w:p>
    <w:p>
      <w:pPr>
        <w:spacing w:after="120"/>
        <w:jc w:val="both"/>
      </w:pPr>
      <w:r>
        <w:rPr>
          <w:rFonts w:ascii="Calibri" w:hAnsi="Calibri"/>
          <w:b w:val="0"/>
          <w:i w:val="0"/>
          <w:color w:val="1B2A32"/>
          <w:sz w:val="21"/>
        </w:rPr>
        <w:t xml:space="preserve">The neutral conducts the process flexibly, fairly and expeditiously, in joint session, caucus or shuttle, in person or online. The neutral does </w:t>
      </w:r>
      <w:r>
        <w:rPr>
          <w:rFonts w:ascii="Calibri" w:hAnsi="Calibri"/>
          <w:b/>
          <w:i w:val="0"/>
          <w:color w:val="1B2A32"/>
          <w:sz w:val="21"/>
        </w:rPr>
        <w:t>not</w:t>
      </w:r>
      <w:r>
        <w:rPr>
          <w:rFonts w:ascii="Calibri" w:hAnsi="Calibri"/>
          <w:b w:val="0"/>
          <w:i w:val="0"/>
          <w:color w:val="1B2A32"/>
          <w:sz w:val="21"/>
        </w:rPr>
        <w:t xml:space="preserve"> decide the dispute, does </w:t>
      </w:r>
      <w:r>
        <w:rPr>
          <w:rFonts w:ascii="Calibri" w:hAnsi="Calibri"/>
          <w:b/>
          <w:i w:val="0"/>
          <w:color w:val="1B2A32"/>
          <w:sz w:val="21"/>
        </w:rPr>
        <w:t>not</w:t>
      </w:r>
      <w:r>
        <w:rPr>
          <w:rFonts w:ascii="Calibri" w:hAnsi="Calibri"/>
          <w:b w:val="0"/>
          <w:i w:val="0"/>
          <w:color w:val="1B2A32"/>
          <w:sz w:val="21"/>
        </w:rPr>
        <w:t xml:space="preserve"> give legal advice, and shall not pressure any party to settle. The neutral shall ensure each party has a genuine opportunity to be heard, to understand the figures under discussion, and to obtain independent legal advice.</w:t>
      </w:r>
    </w:p>
    <w:p>
      <w:pPr>
        <w:keepNext/>
        <w:spacing w:before="280" w:after="120"/>
        <w:pBdr>
          <w:bottom w:val="single" w:sz="12" w:space="3" w:color="C6A15B"/>
        </w:pBdr>
      </w:pPr>
      <w:r>
        <w:rPr>
          <w:rFonts w:ascii="Calibri" w:hAnsi="Calibri"/>
          <w:b/>
          <w:i w:val="0"/>
          <w:color w:val="123B4F"/>
          <w:sz w:val="32"/>
        </w:rPr>
        <w:t>8.  Power imbalance and vulnerable parties</w:t>
      </w:r>
    </w:p>
    <w:p>
      <w:pPr>
        <w:spacing w:after="120"/>
        <w:jc w:val="both"/>
      </w:pPr>
      <w:r>
        <w:rPr>
          <w:rFonts w:ascii="Calibri" w:hAnsi="Calibri"/>
          <w:b w:val="0"/>
          <w:i w:val="0"/>
          <w:color w:val="1B2A32"/>
          <w:sz w:val="21"/>
        </w:rPr>
        <w:t>The relationship between an employer and an employee is rarely equal, and a departing or dismissed employee may be under acute financial pressure. The neutral shall be alert to that imbalance and shall: allow time and independent advice; refuse to let urgency substitute for understanding; offer shuttle or separate sessions where a party is uncomfortable; and terminate the process where a settlement would not be genuinely voluntary.</w:t>
      </w:r>
    </w:p>
    <w:p>
      <w:pPr>
        <w:keepNext/>
        <w:spacing w:before="280" w:after="120"/>
        <w:pBdr>
          <w:bottom w:val="single" w:sz="12" w:space="3" w:color="C6A15B"/>
        </w:pBdr>
      </w:pPr>
      <w:r>
        <w:rPr>
          <w:rFonts w:ascii="Calibri" w:hAnsi="Calibri"/>
          <w:b/>
          <w:i w:val="0"/>
          <w:color w:val="123B4F"/>
          <w:sz w:val="32"/>
        </w:rPr>
        <w:t>9.  Confidentiality and without prejudice</w:t>
      </w:r>
    </w:p>
    <w:p>
      <w:pPr>
        <w:spacing w:after="120"/>
        <w:jc w:val="both"/>
      </w:pPr>
      <w:r>
        <w:rPr>
          <w:rFonts w:ascii="Calibri" w:hAnsi="Calibri"/>
          <w:b w:val="0"/>
          <w:i w:val="0"/>
          <w:color w:val="1B2A32"/>
          <w:sz w:val="21"/>
        </w:rPr>
        <w:t xml:space="preserve">The process is </w:t>
      </w:r>
      <w:r>
        <w:rPr>
          <w:rFonts w:ascii="Calibri" w:hAnsi="Calibri"/>
          <w:b/>
          <w:i w:val="0"/>
          <w:color w:val="1B2A32"/>
          <w:sz w:val="21"/>
        </w:rPr>
        <w:t>confidential</w:t>
      </w:r>
      <w:r>
        <w:rPr>
          <w:rFonts w:ascii="Calibri" w:hAnsi="Calibri"/>
          <w:b w:val="0"/>
          <w:i w:val="0"/>
          <w:color w:val="1B2A32"/>
          <w:sz w:val="21"/>
        </w:rPr>
        <w:t xml:space="preserve"> and </w:t>
      </w:r>
      <w:r>
        <w:rPr>
          <w:rFonts w:ascii="Calibri" w:hAnsi="Calibri"/>
          <w:b/>
          <w:i w:val="0"/>
          <w:color w:val="1B2A32"/>
          <w:sz w:val="21"/>
        </w:rPr>
        <w:t>without prejudice</w:t>
      </w:r>
      <w:r>
        <w:rPr>
          <w:rFonts w:ascii="Calibri" w:hAnsi="Calibri"/>
          <w:b w:val="0"/>
          <w:i w:val="0"/>
          <w:color w:val="1B2A32"/>
          <w:sz w:val="21"/>
        </w:rPr>
        <w:t xml:space="preserve"> (Mediation Act, s.22). Anything said, admitted or proposed is inadmissible in later proceedings, save the signed settlement and the statutory exceptions — including a threat to life or safety, or where the law requires disclosure. </w:t>
      </w:r>
      <w:r>
        <w:rPr>
          <w:rFonts w:ascii="Calibri" w:hAnsi="Calibri"/>
          <w:b/>
          <w:i w:val="0"/>
          <w:color w:val="1B2A32"/>
          <w:sz w:val="21"/>
        </w:rPr>
        <w:t>Caucus information is not disclosed to the other party</w:t>
      </w:r>
      <w:r>
        <w:rPr>
          <w:rFonts w:ascii="Calibri" w:hAnsi="Calibri"/>
          <w:b w:val="0"/>
          <w:i w:val="0"/>
          <w:color w:val="1B2A32"/>
          <w:sz w:val="21"/>
        </w:rPr>
        <w:t xml:space="preserve"> without express permission. Where a matter touches an IC proceeding, </w:t>
      </w:r>
      <w:r>
        <w:rPr>
          <w:rFonts w:ascii="Calibri" w:hAnsi="Calibri"/>
          <w:b/>
          <w:i w:val="0"/>
          <w:color w:val="1B2A32"/>
          <w:sz w:val="21"/>
        </w:rPr>
        <w:t>section 16 of the POSH Act</w:t>
      </w:r>
      <w:r>
        <w:rPr>
          <w:rFonts w:ascii="Calibri" w:hAnsi="Calibri"/>
          <w:b w:val="0"/>
          <w:i w:val="0"/>
          <w:color w:val="1B2A32"/>
          <w:sz w:val="21"/>
        </w:rPr>
        <w:t xml:space="preserve"> applies additionally and absolutely.</w:t>
      </w:r>
    </w:p>
    <w:p>
      <w:pPr>
        <w:keepNext/>
        <w:spacing w:before="280" w:after="120"/>
        <w:pBdr>
          <w:bottom w:val="single" w:sz="12" w:space="3" w:color="C6A15B"/>
        </w:pBdr>
      </w:pPr>
      <w:r>
        <w:rPr>
          <w:rFonts w:ascii="Calibri" w:hAnsi="Calibri"/>
          <w:b/>
          <w:i w:val="0"/>
          <w:color w:val="123B4F"/>
          <w:sz w:val="32"/>
        </w:rPr>
        <w:t>10.  Settlement, full-and-final and enforceability</w:t>
      </w:r>
    </w:p>
    <w:p>
      <w:pPr>
        <w:spacing w:after="120"/>
        <w:jc w:val="both"/>
      </w:pPr>
      <w:r>
        <w:rPr>
          <w:rFonts w:ascii="Calibri" w:hAnsi="Calibri"/>
          <w:b w:val="0"/>
          <w:i w:val="0"/>
          <w:color w:val="1B2A32"/>
          <w:sz w:val="21"/>
        </w:rPr>
        <w:t xml:space="preserve">A settlement is reduced to writing (Forms F-W11/F-W12), signed by the parties and authenticated by the neutral, and may be </w:t>
      </w:r>
      <w:r>
        <w:rPr>
          <w:rFonts w:ascii="Calibri" w:hAnsi="Calibri"/>
          <w:b/>
          <w:i w:val="0"/>
          <w:color w:val="1B2A32"/>
          <w:sz w:val="21"/>
        </w:rPr>
        <w:t>e-signed and e-stamped</w:t>
      </w:r>
      <w:r>
        <w:rPr>
          <w:rFonts w:ascii="Calibri" w:hAnsi="Calibri"/>
          <w:b w:val="0"/>
          <w:i w:val="0"/>
          <w:color w:val="1B2A32"/>
          <w:sz w:val="21"/>
        </w:rPr>
        <w:t xml:space="preserve">. It records the settled figure, the payment schedule, the escrow arrangement, the </w:t>
      </w:r>
      <w:r>
        <w:rPr>
          <w:rFonts w:ascii="Calibri" w:hAnsi="Calibri"/>
          <w:b/>
          <w:i w:val="0"/>
          <w:color w:val="1B2A32"/>
          <w:sz w:val="21"/>
        </w:rPr>
        <w:t>relieving and experience letters</w:t>
      </w:r>
      <w:r>
        <w:rPr>
          <w:rFonts w:ascii="Calibri" w:hAnsi="Calibri"/>
          <w:b w:val="0"/>
          <w:i w:val="0"/>
          <w:color w:val="1B2A32"/>
          <w:sz w:val="21"/>
        </w:rPr>
        <w:t xml:space="preserve">, the return of assets, any mutual release, and — expressly — the </w:t>
      </w:r>
      <w:r>
        <w:rPr>
          <w:rFonts w:ascii="Calibri" w:hAnsi="Calibri"/>
          <w:b/>
          <w:i w:val="0"/>
          <w:color w:val="1B2A32"/>
          <w:sz w:val="21"/>
        </w:rPr>
        <w:t>proper payment of statutory dues</w:t>
      </w:r>
      <w:r>
        <w:rPr>
          <w:rFonts w:ascii="Calibri" w:hAnsi="Calibri"/>
          <w:b w:val="0"/>
          <w:i w:val="0"/>
          <w:color w:val="1B2A32"/>
          <w:sz w:val="21"/>
        </w:rPr>
        <w:t xml:space="preserve">. An MSA is </w:t>
      </w:r>
      <w:r>
        <w:rPr>
          <w:rFonts w:ascii="Calibri" w:hAnsi="Calibri"/>
          <w:b/>
          <w:i w:val="0"/>
          <w:color w:val="1B2A32"/>
          <w:sz w:val="21"/>
        </w:rPr>
        <w:t>enforceable as a decree</w:t>
      </w:r>
      <w:r>
        <w:rPr>
          <w:rFonts w:ascii="Calibri" w:hAnsi="Calibri"/>
          <w:b w:val="0"/>
          <w:i w:val="0"/>
          <w:color w:val="1B2A32"/>
          <w:sz w:val="21"/>
        </w:rPr>
        <w:t xml:space="preserve"> under section 27 of the Mediation Act, 2023.</w:t>
      </w:r>
    </w:p>
    <w:p>
      <w:pPr>
        <w:keepNext/>
        <w:spacing w:before="280" w:after="120"/>
        <w:pBdr>
          <w:bottom w:val="single" w:sz="12" w:space="3" w:color="C6A15B"/>
        </w:pBdr>
      </w:pPr>
      <w:r>
        <w:rPr>
          <w:rFonts w:ascii="Calibri" w:hAnsi="Calibri"/>
          <w:b/>
          <w:i w:val="0"/>
          <w:color w:val="123B4F"/>
          <w:sz w:val="32"/>
        </w:rPr>
        <w:t>11.  Escrow</w:t>
      </w:r>
    </w:p>
    <w:p>
      <w:pPr>
        <w:spacing w:after="120"/>
        <w:jc w:val="both"/>
      </w:pPr>
      <w:r>
        <w:rPr>
          <w:rFonts w:ascii="Calibri" w:hAnsi="Calibri"/>
          <w:b w:val="0"/>
          <w:i w:val="0"/>
          <w:color w:val="1B2A32"/>
          <w:sz w:val="21"/>
        </w:rPr>
        <w:t xml:space="preserve">Where money is to move, the parties may use the Institution's </w:t>
      </w:r>
      <w:r>
        <w:rPr>
          <w:rFonts w:ascii="Calibri" w:hAnsi="Calibri"/>
          <w:b/>
          <w:i w:val="0"/>
          <w:color w:val="1B2A32"/>
          <w:sz w:val="21"/>
        </w:rPr>
        <w:t>escrow</w:t>
      </w:r>
      <w:r>
        <w:rPr>
          <w:rFonts w:ascii="Calibri" w:hAnsi="Calibri"/>
          <w:b w:val="0"/>
          <w:i w:val="0"/>
          <w:color w:val="1B2A32"/>
          <w:sz w:val="21"/>
        </w:rPr>
        <w:t xml:space="preserve"> facility (Form F-W16). Funds are held by a regulated escrow agent and released only against agreed milestones — typically signature, relieving and return of assets — with a receipt and audit entry for each release. The Institution does not itself hold party funds.</w:t>
      </w:r>
    </w:p>
    <w:p>
      <w:pPr>
        <w:keepNext/>
        <w:spacing w:before="280" w:after="120"/>
        <w:pBdr>
          <w:bottom w:val="single" w:sz="12" w:space="3" w:color="C6A15B"/>
        </w:pBdr>
      </w:pPr>
      <w:r>
        <w:rPr>
          <w:rFonts w:ascii="Calibri" w:hAnsi="Calibri"/>
          <w:b/>
          <w:i w:val="0"/>
          <w:color w:val="123B4F"/>
          <w:sz w:val="32"/>
        </w:rPr>
        <w:t>12.  POSH support — the limits of Equator's role</w:t>
      </w:r>
    </w:p>
    <w:p>
      <w:pPr>
        <w:pStyle w:val="ListNumber"/>
        <w:spacing w:after="60"/>
        <w:jc w:val="both"/>
      </w:pPr>
      <w:r>
        <w:rPr>
          <w:rFonts w:ascii="Calibri" w:hAnsi="Calibri"/>
          <w:b w:val="0"/>
          <w:i w:val="0"/>
          <w:color w:val="1B2A32"/>
          <w:sz w:val="21"/>
        </w:rPr>
        <w:t xml:space="preserve">Equator may supply a </w:t>
      </w:r>
      <w:r>
        <w:rPr>
          <w:rFonts w:ascii="Calibri" w:hAnsi="Calibri"/>
          <w:b/>
          <w:i w:val="0"/>
          <w:color w:val="1B2A32"/>
          <w:sz w:val="21"/>
        </w:rPr>
        <w:t>trained external member</w:t>
      </w:r>
      <w:r>
        <w:rPr>
          <w:rFonts w:ascii="Calibri" w:hAnsi="Calibri"/>
          <w:b w:val="0"/>
          <w:i w:val="0"/>
          <w:color w:val="1B2A32"/>
          <w:sz w:val="21"/>
        </w:rPr>
        <w:t xml:space="preserve"> to an employer's Internal Committee (POSH s.4).</w:t>
      </w:r>
    </w:p>
    <w:p>
      <w:pPr>
        <w:pStyle w:val="ListNumber"/>
        <w:spacing w:after="60"/>
        <w:jc w:val="both"/>
      </w:pPr>
      <w:r>
        <w:rPr>
          <w:rFonts w:ascii="Calibri" w:hAnsi="Calibri"/>
          <w:b w:val="0"/>
          <w:i w:val="0"/>
          <w:color w:val="1B2A32"/>
          <w:sz w:val="21"/>
        </w:rPr>
        <w:t xml:space="preserve">Equator may provide </w:t>
      </w:r>
      <w:r>
        <w:rPr>
          <w:rFonts w:ascii="Calibri" w:hAnsi="Calibri"/>
          <w:b/>
          <w:i w:val="0"/>
          <w:color w:val="1B2A32"/>
          <w:sz w:val="21"/>
        </w:rPr>
        <w:t>secure, sealed case management</w:t>
      </w:r>
      <w:r>
        <w:rPr>
          <w:rFonts w:ascii="Calibri" w:hAnsi="Calibri"/>
          <w:b w:val="0"/>
          <w:i w:val="0"/>
          <w:color w:val="1B2A32"/>
          <w:sz w:val="21"/>
        </w:rPr>
        <w:t>, documentation and IC training.</w:t>
      </w:r>
    </w:p>
    <w:p>
      <w:pPr>
        <w:pStyle w:val="ListNumber"/>
        <w:spacing w:after="60"/>
        <w:jc w:val="both"/>
      </w:pPr>
      <w:r>
        <w:rPr>
          <w:rFonts w:ascii="Calibri" w:hAnsi="Calibri"/>
          <w:b w:val="0"/>
          <w:i w:val="0"/>
          <w:color w:val="1B2A32"/>
          <w:sz w:val="21"/>
        </w:rPr>
        <w:t xml:space="preserve">Equator may facilitate </w:t>
      </w:r>
      <w:r>
        <w:rPr>
          <w:rFonts w:ascii="Calibri" w:hAnsi="Calibri"/>
          <w:b/>
          <w:i w:val="0"/>
          <w:color w:val="1B2A32"/>
          <w:sz w:val="21"/>
        </w:rPr>
        <w:t>section 10 conciliation</w:t>
      </w:r>
      <w:r>
        <w:rPr>
          <w:rFonts w:ascii="Calibri" w:hAnsi="Calibri"/>
          <w:b w:val="0"/>
          <w:i w:val="0"/>
          <w:color w:val="1B2A32"/>
          <w:sz w:val="21"/>
        </w:rPr>
        <w:t xml:space="preserve"> — but only at the aggrieved woman's request, never at the Committee's or respondent's initiative, and </w:t>
      </w:r>
      <w:r>
        <w:rPr>
          <w:rFonts w:ascii="Calibri" w:hAnsi="Calibri"/>
          <w:b/>
          <w:i w:val="0"/>
          <w:color w:val="1B2A32"/>
          <w:sz w:val="21"/>
        </w:rPr>
        <w:t>never on a monetary basis</w:t>
      </w:r>
      <w:r>
        <w:rPr>
          <w:rFonts w:ascii="Calibri" w:hAnsi="Calibri"/>
          <w:b w:val="0"/>
          <w:i w:val="0"/>
          <w:color w:val="1B2A32"/>
          <w:sz w:val="21"/>
        </w:rPr>
        <w:t>.</w:t>
      </w:r>
    </w:p>
    <w:p>
      <w:pPr>
        <w:pStyle w:val="ListNumber"/>
        <w:spacing w:after="60"/>
        <w:jc w:val="both"/>
      </w:pPr>
      <w:r>
        <w:rPr>
          <w:rFonts w:ascii="Calibri" w:hAnsi="Calibri"/>
          <w:b w:val="0"/>
          <w:i w:val="0"/>
          <w:color w:val="1B2A32"/>
          <w:sz w:val="21"/>
        </w:rPr>
        <w:t xml:space="preserve">Equator does </w:t>
      </w:r>
      <w:r>
        <w:rPr>
          <w:rFonts w:ascii="Calibri" w:hAnsi="Calibri"/>
          <w:b/>
          <w:i w:val="0"/>
          <w:color w:val="1B2A32"/>
          <w:sz w:val="21"/>
        </w:rPr>
        <w:t>not</w:t>
      </w:r>
      <w:r>
        <w:rPr>
          <w:rFonts w:ascii="Calibri" w:hAnsi="Calibri"/>
          <w:b w:val="0"/>
          <w:i w:val="0"/>
          <w:color w:val="1B2A32"/>
          <w:sz w:val="21"/>
        </w:rPr>
        <w:t xml:space="preserve"> replace the Internal Committee, does </w:t>
      </w:r>
      <w:r>
        <w:rPr>
          <w:rFonts w:ascii="Calibri" w:hAnsi="Calibri"/>
          <w:b/>
          <w:i w:val="0"/>
          <w:color w:val="1B2A32"/>
          <w:sz w:val="21"/>
        </w:rPr>
        <w:t>not</w:t>
      </w:r>
      <w:r>
        <w:rPr>
          <w:rFonts w:ascii="Calibri" w:hAnsi="Calibri"/>
          <w:b w:val="0"/>
          <w:i w:val="0"/>
          <w:color w:val="1B2A32"/>
          <w:sz w:val="21"/>
        </w:rPr>
        <w:t xml:space="preserve"> conduct the statutory inquiry as an institution, and does </w:t>
      </w:r>
      <w:r>
        <w:rPr>
          <w:rFonts w:ascii="Calibri" w:hAnsi="Calibri"/>
          <w:b/>
          <w:i w:val="0"/>
          <w:color w:val="1B2A32"/>
          <w:sz w:val="21"/>
        </w:rPr>
        <w:t>not</w:t>
      </w:r>
      <w:r>
        <w:rPr>
          <w:rFonts w:ascii="Calibri" w:hAnsi="Calibri"/>
          <w:b w:val="0"/>
          <w:i w:val="0"/>
          <w:color w:val="1B2A32"/>
          <w:sz w:val="21"/>
        </w:rPr>
        <w:t xml:space="preserve"> handle the criminal aspect.</w:t>
      </w:r>
    </w:p>
    <w:p>
      <w:pPr>
        <w:pStyle w:val="ListNumber"/>
        <w:spacing w:after="60"/>
        <w:jc w:val="both"/>
      </w:pPr>
      <w:r>
        <w:rPr>
          <w:rFonts w:ascii="Calibri" w:hAnsi="Calibri"/>
          <w:b w:val="0"/>
          <w:i w:val="0"/>
          <w:color w:val="1B2A32"/>
          <w:sz w:val="21"/>
        </w:rPr>
        <w:t>Equator shall never discourage a complaint, and shall signpost the police where there is an offence or a threat to safety.</w:t>
      </w:r>
    </w:p>
    <w:p>
      <w:pPr>
        <w:keepNext/>
        <w:spacing w:before="280" w:after="120"/>
        <w:pBdr>
          <w:bottom w:val="single" w:sz="12" w:space="3" w:color="C6A15B"/>
        </w:pBdr>
      </w:pPr>
      <w:r>
        <w:rPr>
          <w:rFonts w:ascii="Calibri" w:hAnsi="Calibri"/>
          <w:b/>
          <w:i w:val="0"/>
          <w:color w:val="123B4F"/>
          <w:sz w:val="32"/>
        </w:rPr>
        <w:t>13.  Time limits</w:t>
      </w:r>
    </w:p>
    <w:p>
      <w:pPr>
        <w:spacing w:after="120"/>
        <w:jc w:val="both"/>
      </w:pPr>
      <w:r>
        <w:rPr>
          <w:rFonts w:ascii="Calibri" w:hAnsi="Calibri"/>
          <w:b w:val="0"/>
          <w:i w:val="0"/>
          <w:color w:val="1B2A32"/>
          <w:sz w:val="21"/>
        </w:rPr>
        <w:t xml:space="preserve">A mediation is to be completed within the period fixed by the Case Manager, ordinarily </w:t>
      </w:r>
      <w:r>
        <w:rPr>
          <w:rFonts w:ascii="Calibri" w:hAnsi="Calibri"/>
          <w:b/>
          <w:i w:val="0"/>
          <w:color w:val="1B2A32"/>
          <w:sz w:val="21"/>
        </w:rPr>
        <w:t>30–45 days</w:t>
      </w:r>
      <w:r>
        <w:rPr>
          <w:rFonts w:ascii="Calibri" w:hAnsi="Calibri"/>
          <w:b w:val="0"/>
          <w:i w:val="0"/>
          <w:color w:val="1B2A32"/>
          <w:sz w:val="21"/>
        </w:rPr>
        <w:t xml:space="preserve">, extendable by consent (Form F-W20). </w:t>
      </w:r>
      <w:r>
        <w:rPr>
          <w:rFonts w:ascii="Calibri" w:hAnsi="Calibri"/>
          <w:b/>
          <w:i w:val="0"/>
          <w:color w:val="1B2A32"/>
          <w:sz w:val="21"/>
        </w:rPr>
        <w:t>POSH timelines are statutory and belong to the Internal Committee</w:t>
      </w:r>
      <w:r>
        <w:rPr>
          <w:rFonts w:ascii="Calibri" w:hAnsi="Calibri"/>
          <w:b w:val="0"/>
          <w:i w:val="0"/>
          <w:color w:val="1B2A32"/>
          <w:sz w:val="21"/>
        </w:rPr>
        <w:t xml:space="preserve"> — an inquiry within 90 days, a report within 10 days of conclusion, employer action within 60 days, and an appeal within 90 days — and are not varied by these Rules. Nothing here extends or curtails any statutory limitation period.</w:t>
      </w:r>
    </w:p>
    <w:p>
      <w:pPr>
        <w:keepNext/>
        <w:spacing w:before="280" w:after="120"/>
        <w:pBdr>
          <w:bottom w:val="single" w:sz="12" w:space="3" w:color="C6A15B"/>
        </w:pBdr>
      </w:pPr>
      <w:r>
        <w:rPr>
          <w:rFonts w:ascii="Calibri" w:hAnsi="Calibri"/>
          <w:b/>
          <w:i w:val="0"/>
          <w:color w:val="123B4F"/>
          <w:sz w:val="32"/>
        </w:rPr>
        <w:t>14.  Fees and costs</w:t>
      </w:r>
    </w:p>
    <w:p>
      <w:pPr>
        <w:spacing w:after="120"/>
        <w:jc w:val="both"/>
      </w:pPr>
      <w:r>
        <w:rPr>
          <w:rFonts w:ascii="Calibri" w:hAnsi="Calibri"/>
          <w:b w:val="0"/>
          <w:i w:val="0"/>
          <w:color w:val="1B2A32"/>
          <w:sz w:val="21"/>
        </w:rPr>
        <w:t xml:space="preserve">Fees are charged under the published </w:t>
      </w:r>
      <w:r>
        <w:rPr>
          <w:rFonts w:ascii="Calibri" w:hAnsi="Calibri"/>
          <w:b/>
          <w:i w:val="0"/>
          <w:color w:val="1B2A32"/>
          <w:sz w:val="21"/>
        </w:rPr>
        <w:t>Schedule of Fees</w:t>
      </w:r>
      <w:r>
        <w:rPr>
          <w:rFonts w:ascii="Calibri" w:hAnsi="Calibri"/>
          <w:b w:val="0"/>
          <w:i w:val="0"/>
          <w:color w:val="1B2A32"/>
          <w:sz w:val="21"/>
        </w:rPr>
        <w:t xml:space="preserve">. Unless agreed otherwise, fees are shared, with the employer ordinarily bearing the larger share in an individual employee matter; each party bears its own representation costs. </w:t>
      </w:r>
      <w:r>
        <w:rPr>
          <w:rFonts w:ascii="Calibri" w:hAnsi="Calibri"/>
          <w:b/>
          <w:i w:val="0"/>
          <w:color w:val="1B2A32"/>
          <w:sz w:val="21"/>
        </w:rPr>
        <w:t>Concessions and pro-bono places</w:t>
      </w:r>
      <w:r>
        <w:rPr>
          <w:rFonts w:ascii="Calibri" w:hAnsi="Calibri"/>
          <w:b w:val="0"/>
          <w:i w:val="0"/>
          <w:color w:val="1B2A32"/>
          <w:sz w:val="21"/>
        </w:rPr>
        <w:t xml:space="preserve"> are available for individual employees on a means basis, and a party's inability to pay shall not deny access.</w:t>
      </w:r>
    </w:p>
    <w:p>
      <w:pPr>
        <w:keepNext/>
        <w:spacing w:before="280" w:after="120"/>
        <w:pBdr>
          <w:bottom w:val="single" w:sz="12" w:space="3" w:color="C6A15B"/>
        </w:pBdr>
      </w:pPr>
      <w:r>
        <w:rPr>
          <w:rFonts w:ascii="Calibri" w:hAnsi="Calibri"/>
          <w:b/>
          <w:i w:val="0"/>
          <w:color w:val="123B4F"/>
          <w:sz w:val="32"/>
        </w:rPr>
        <w:t>15.  Termination</w:t>
      </w:r>
    </w:p>
    <w:p>
      <w:pPr>
        <w:spacing w:after="120"/>
        <w:jc w:val="both"/>
      </w:pPr>
      <w:r>
        <w:rPr>
          <w:rFonts w:ascii="Calibri" w:hAnsi="Calibri"/>
          <w:b w:val="0"/>
          <w:i w:val="0"/>
          <w:color w:val="1B2A32"/>
          <w:sz w:val="21"/>
        </w:rPr>
        <w:t>The process ends on a signed settlement; on the neutral's written declaration that settlement is unlikely or that continuation would be inappropriate; on a party's withdrawal; or on non-payment of fees after notice. Termination without settlement prejudices no one, and confidentiality survives.</w:t>
      </w:r>
    </w:p>
    <w:p>
      <w:pPr>
        <w:keepNext/>
        <w:spacing w:before="280" w:after="120"/>
        <w:pBdr>
          <w:bottom w:val="single" w:sz="12" w:space="3" w:color="C6A15B"/>
        </w:pBdr>
      </w:pPr>
      <w:r>
        <w:rPr>
          <w:rFonts w:ascii="Calibri" w:hAnsi="Calibri"/>
          <w:b/>
          <w:i w:val="0"/>
          <w:color w:val="123B4F"/>
          <w:sz w:val="32"/>
        </w:rPr>
        <w:t>16.  Data protection</w:t>
      </w:r>
    </w:p>
    <w:p>
      <w:pPr>
        <w:spacing w:after="120"/>
        <w:jc w:val="both"/>
      </w:pPr>
      <w:r>
        <w:rPr>
          <w:rFonts w:ascii="Calibri" w:hAnsi="Calibri"/>
          <w:b w:val="0"/>
          <w:i w:val="0"/>
          <w:color w:val="1B2A32"/>
          <w:sz w:val="21"/>
        </w:rPr>
        <w:t xml:space="preserve">The Institution processes personal data under the </w:t>
      </w:r>
      <w:r>
        <w:rPr>
          <w:rFonts w:ascii="Calibri" w:hAnsi="Calibri"/>
          <w:b/>
          <w:i w:val="0"/>
          <w:color w:val="1B2A32"/>
          <w:sz w:val="21"/>
        </w:rPr>
        <w:t>DPDP Act, 2023</w:t>
      </w:r>
      <w:r>
        <w:rPr>
          <w:rFonts w:ascii="Calibri" w:hAnsi="Calibri"/>
          <w:b w:val="0"/>
          <w:i w:val="0"/>
          <w:color w:val="1B2A32"/>
          <w:sz w:val="21"/>
        </w:rPr>
        <w:t xml:space="preserve">. Employment, disciplinary, health and POSH data are treated as sensitive: minimised, masked, access-controlled and retained only as long as necessary. POSH material is held in a </w:t>
      </w:r>
      <w:r>
        <w:rPr>
          <w:rFonts w:ascii="Calibri" w:hAnsi="Calibri"/>
          <w:b/>
          <w:i w:val="0"/>
          <w:color w:val="1B2A32"/>
          <w:sz w:val="21"/>
        </w:rPr>
        <w:t>sealed</w:t>
      </w:r>
      <w:r>
        <w:rPr>
          <w:rFonts w:ascii="Calibri" w:hAnsi="Calibri"/>
          <w:b w:val="0"/>
          <w:i w:val="0"/>
          <w:color w:val="1B2A32"/>
          <w:sz w:val="21"/>
        </w:rPr>
        <w:t xml:space="preserve"> store accessible only to the Internal Committee and designated support.</w:t>
      </w:r>
    </w:p>
    <w:p>
      <w:pPr>
        <w:keepNext/>
        <w:spacing w:before="280" w:after="120"/>
        <w:pBdr>
          <w:bottom w:val="single" w:sz="12" w:space="3" w:color="C6A15B"/>
        </w:pBdr>
      </w:pPr>
      <w:r>
        <w:rPr>
          <w:rFonts w:ascii="Calibri" w:hAnsi="Calibri"/>
          <w:b/>
          <w:i w:val="0"/>
          <w:color w:val="123B4F"/>
          <w:sz w:val="32"/>
        </w:rPr>
        <w:t>17.  Exclusions</w:t>
      </w:r>
    </w:p>
    <w:p>
      <w:pPr>
        <w:pStyle w:val="ListBullet"/>
        <w:spacing w:after="60"/>
        <w:jc w:val="both"/>
      </w:pPr>
      <w:r>
        <w:rPr>
          <w:rFonts w:ascii="Calibri" w:hAnsi="Calibri"/>
          <w:b w:val="0"/>
          <w:i w:val="0"/>
          <w:color w:val="1B2A32"/>
          <w:sz w:val="21"/>
        </w:rPr>
        <w:t xml:space="preserve">The </w:t>
      </w:r>
      <w:r>
        <w:rPr>
          <w:rFonts w:ascii="Calibri" w:hAnsi="Calibri"/>
          <w:b/>
          <w:i w:val="0"/>
          <w:color w:val="1B2A32"/>
          <w:sz w:val="21"/>
        </w:rPr>
        <w:t>statutory inquiry</w:t>
      </w:r>
      <w:r>
        <w:rPr>
          <w:rFonts w:ascii="Calibri" w:hAnsi="Calibri"/>
          <w:b w:val="0"/>
          <w:i w:val="0"/>
          <w:color w:val="1B2A32"/>
          <w:sz w:val="21"/>
        </w:rPr>
        <w:t xml:space="preserve"> into a sexual-harassment complaint, and any criminal liability;</w:t>
      </w:r>
    </w:p>
    <w:p>
      <w:pPr>
        <w:pStyle w:val="ListBullet"/>
        <w:spacing w:after="60"/>
        <w:jc w:val="both"/>
      </w:pPr>
      <w:r>
        <w:rPr>
          <w:rFonts w:ascii="Calibri" w:hAnsi="Calibri"/>
          <w:b w:val="0"/>
          <w:i w:val="0"/>
          <w:color w:val="1B2A32"/>
          <w:sz w:val="21"/>
        </w:rPr>
        <w:t>Matters reserved to a court, tribunal or statutory authority, or otherwise non-mediable in law;</w:t>
      </w:r>
    </w:p>
    <w:p>
      <w:pPr>
        <w:pStyle w:val="ListBullet"/>
        <w:spacing w:after="60"/>
        <w:jc w:val="both"/>
      </w:pPr>
      <w:r>
        <w:rPr>
          <w:rFonts w:ascii="Calibri" w:hAnsi="Calibri"/>
          <w:b w:val="0"/>
          <w:i w:val="0"/>
          <w:color w:val="1B2A32"/>
          <w:sz w:val="21"/>
        </w:rPr>
        <w:t>Any waiver of statutory dues or of a right that cannot lawfully be waived;</w:t>
      </w:r>
    </w:p>
    <w:p>
      <w:pPr>
        <w:pStyle w:val="ListBullet"/>
        <w:spacing w:after="60"/>
        <w:jc w:val="both"/>
      </w:pPr>
      <w:r>
        <w:rPr>
          <w:rFonts w:ascii="Calibri" w:hAnsi="Calibri"/>
          <w:b w:val="0"/>
          <w:i w:val="0"/>
          <w:color w:val="1B2A32"/>
          <w:sz w:val="21"/>
        </w:rPr>
        <w:t>Any matter where a party lacks capacity to participate, or where participation would be unsafe;</w:t>
      </w:r>
    </w:p>
    <w:p>
      <w:pPr>
        <w:pStyle w:val="ListBullet"/>
        <w:spacing w:after="60"/>
        <w:jc w:val="both"/>
      </w:pPr>
      <w:r>
        <w:rPr>
          <w:rFonts w:ascii="Calibri" w:hAnsi="Calibri"/>
          <w:b w:val="0"/>
          <w:i w:val="0"/>
          <w:color w:val="1B2A32"/>
          <w:sz w:val="21"/>
        </w:rPr>
        <w:t>Any matter the Institution considers unsuitable or contrary to law or public policy.</w:t>
      </w:r>
    </w:p>
    <w:p>
      <w:pPr>
        <w:keepNext/>
        <w:spacing w:before="280" w:after="120"/>
        <w:pBdr>
          <w:bottom w:val="single" w:sz="12" w:space="3" w:color="C6A15B"/>
        </w:pBdr>
      </w:pPr>
      <w:r>
        <w:rPr>
          <w:rFonts w:ascii="Calibri" w:hAnsi="Calibri"/>
          <w:b/>
          <w:i w:val="0"/>
          <w:color w:val="123B4F"/>
          <w:sz w:val="32"/>
        </w:rPr>
        <w:t>18.  Ethics; limitation of liability; general</w:t>
      </w:r>
    </w:p>
    <w:p>
      <w:pPr>
        <w:spacing w:after="120"/>
        <w:jc w:val="both"/>
      </w:pPr>
      <w:r>
        <w:rPr>
          <w:rFonts w:ascii="Calibri" w:hAnsi="Calibri"/>
          <w:b w:val="0"/>
          <w:i w:val="0"/>
          <w:color w:val="1B2A32"/>
          <w:sz w:val="21"/>
        </w:rPr>
        <w:t xml:space="preserve">Neutrals and staff are bound by the </w:t>
      </w:r>
      <w:r>
        <w:rPr>
          <w:rFonts w:ascii="Calibri" w:hAnsi="Calibri"/>
          <w:b/>
          <w:i w:val="0"/>
          <w:color w:val="1B2A32"/>
          <w:sz w:val="21"/>
        </w:rPr>
        <w:t>Code of Conduct</w:t>
      </w:r>
      <w:r>
        <w:rPr>
          <w:rFonts w:ascii="Calibri" w:hAnsi="Calibri"/>
          <w:b w:val="0"/>
          <w:i w:val="0"/>
          <w:color w:val="1B2A32"/>
          <w:sz w:val="21"/>
        </w:rPr>
        <w:t xml:space="preserve"> (Annexure A). The Institution and its neutrals act in good faith and are not liable for the parties' commercial decisions or for any settlement they choose to make; nothing excludes liability that cannot lawfully be excluded. The Institution may amend these Rules; the version current at commencement governs. These Rules are governed by the laws of India.</w:t>
      </w:r>
    </w:p>
    <w:p>
      <w:r>
        <w:br w:type="page"/>
      </w:r>
    </w:p>
    <w:p>
      <w:pPr>
        <w:keepNext/>
        <w:spacing w:before="280" w:after="120"/>
        <w:pBdr>
          <w:bottom w:val="single" w:sz="12" w:space="3" w:color="C6A15B"/>
        </w:pBdr>
      </w:pPr>
      <w:r>
        <w:rPr>
          <w:rFonts w:ascii="Calibri" w:hAnsi="Calibri"/>
          <w:b/>
          <w:i w:val="0"/>
          <w:color w:val="123B4F"/>
          <w:sz w:val="32"/>
        </w:rPr>
        <w:t>Annexure A — Code of Conduct (neutrals, external IC members and staff)</w:t>
      </w:r>
    </w:p>
    <w:p>
      <w:pPr>
        <w:pStyle w:val="ListBullet"/>
        <w:spacing w:after="60"/>
        <w:jc w:val="both"/>
      </w:pPr>
      <w:r>
        <w:rPr>
          <w:rFonts w:ascii="Calibri" w:hAnsi="Calibri"/>
          <w:b/>
          <w:i w:val="0"/>
          <w:color w:val="1B2A32"/>
          <w:sz w:val="21"/>
        </w:rPr>
        <w:t>Independence &amp; impartiality</w:t>
      </w:r>
      <w:r>
        <w:rPr>
          <w:rFonts w:ascii="Calibri" w:hAnsi="Calibri"/>
          <w:b w:val="0"/>
          <w:i w:val="0"/>
          <w:color w:val="1B2A32"/>
          <w:sz w:val="21"/>
        </w:rPr>
        <w:t xml:space="preserve"> — act for neither employer nor employee; disclose and manage every conflict, including the structural conflict at Rule 7.</w:t>
      </w:r>
    </w:p>
    <w:p>
      <w:pPr>
        <w:pStyle w:val="ListBullet"/>
        <w:spacing w:after="60"/>
        <w:jc w:val="both"/>
      </w:pPr>
      <w:r>
        <w:rPr>
          <w:rFonts w:ascii="Calibri" w:hAnsi="Calibri"/>
          <w:b/>
          <w:i w:val="0"/>
          <w:color w:val="1B2A32"/>
          <w:sz w:val="21"/>
        </w:rPr>
        <w:t>No coercion</w:t>
      </w:r>
      <w:r>
        <w:rPr>
          <w:rFonts w:ascii="Calibri" w:hAnsi="Calibri"/>
          <w:b w:val="0"/>
          <w:i w:val="0"/>
          <w:color w:val="1B2A32"/>
          <w:sz w:val="21"/>
        </w:rPr>
        <w:t xml:space="preserve"> — never pressure an employee into an unaffordable or unfair settlement, and never lend the Institution's weight to an employer's position.</w:t>
      </w:r>
    </w:p>
    <w:p>
      <w:pPr>
        <w:pStyle w:val="ListBullet"/>
        <w:spacing w:after="60"/>
        <w:jc w:val="both"/>
      </w:pPr>
      <w:r>
        <w:rPr>
          <w:rFonts w:ascii="Calibri" w:hAnsi="Calibri"/>
          <w:b/>
          <w:i w:val="0"/>
          <w:color w:val="1B2A32"/>
          <w:sz w:val="21"/>
        </w:rPr>
        <w:t>Statutory floor</w:t>
      </w:r>
      <w:r>
        <w:rPr>
          <w:rFonts w:ascii="Calibri" w:hAnsi="Calibri"/>
          <w:b w:val="0"/>
          <w:i w:val="0"/>
          <w:color w:val="1B2A32"/>
          <w:sz w:val="21"/>
        </w:rPr>
        <w:t xml:space="preserve"> — never draft or endorse a term that waives gratuity, provident fund or another statutory entitlement.</w:t>
      </w:r>
    </w:p>
    <w:p>
      <w:pPr>
        <w:pStyle w:val="ListBullet"/>
        <w:spacing w:after="60"/>
        <w:jc w:val="both"/>
      </w:pPr>
      <w:r>
        <w:rPr>
          <w:rFonts w:ascii="Calibri" w:hAnsi="Calibri"/>
          <w:b/>
          <w:i w:val="0"/>
          <w:color w:val="1B2A32"/>
          <w:sz w:val="21"/>
        </w:rPr>
        <w:t>POSH discipline</w:t>
      </w:r>
      <w:r>
        <w:rPr>
          <w:rFonts w:ascii="Calibri" w:hAnsi="Calibri"/>
          <w:b w:val="0"/>
          <w:i w:val="0"/>
          <w:color w:val="1B2A32"/>
          <w:sz w:val="21"/>
        </w:rPr>
        <w:t xml:space="preserve"> — never discourage a complaint; never propose or accept a monetary basis for s.10 conciliation; observe s.16 confidentiality absolutely.</w:t>
      </w:r>
    </w:p>
    <w:p>
      <w:pPr>
        <w:pStyle w:val="ListBullet"/>
        <w:spacing w:after="60"/>
        <w:jc w:val="both"/>
      </w:pPr>
      <w:r>
        <w:rPr>
          <w:rFonts w:ascii="Calibri" w:hAnsi="Calibri"/>
          <w:b/>
          <w:i w:val="0"/>
          <w:color w:val="1B2A32"/>
          <w:sz w:val="21"/>
        </w:rPr>
        <w:t>Competence</w:t>
      </w:r>
      <w:r>
        <w:rPr>
          <w:rFonts w:ascii="Calibri" w:hAnsi="Calibri"/>
          <w:b w:val="0"/>
          <w:i w:val="0"/>
          <w:color w:val="1B2A32"/>
          <w:sz w:val="21"/>
        </w:rPr>
        <w:t xml:space="preserve"> — accept only matters within one's training; maintain CPD, including on the Labour Codes and POSH.</w:t>
      </w:r>
    </w:p>
    <w:p>
      <w:pPr>
        <w:pStyle w:val="ListBullet"/>
        <w:spacing w:after="60"/>
        <w:jc w:val="both"/>
      </w:pPr>
      <w:r>
        <w:rPr>
          <w:rFonts w:ascii="Calibri" w:hAnsi="Calibri"/>
          <w:b/>
          <w:i w:val="0"/>
          <w:color w:val="1B2A32"/>
          <w:sz w:val="21"/>
        </w:rPr>
        <w:t>Confidentiality</w:t>
      </w:r>
      <w:r>
        <w:rPr>
          <w:rFonts w:ascii="Calibri" w:hAnsi="Calibri"/>
          <w:b w:val="0"/>
          <w:i w:val="0"/>
          <w:color w:val="1B2A32"/>
          <w:sz w:val="21"/>
        </w:rPr>
        <w:t xml:space="preserve"> — honour s.22 and the caucus rule, subject only to the safety and legal exceptions.</w:t>
      </w:r>
    </w:p>
    <w:p>
      <w:pPr>
        <w:pStyle w:val="ListBullet"/>
        <w:spacing w:after="60"/>
        <w:jc w:val="both"/>
      </w:pPr>
      <w:r>
        <w:rPr>
          <w:rFonts w:ascii="Calibri" w:hAnsi="Calibri"/>
          <w:b/>
          <w:i w:val="0"/>
          <w:color w:val="1B2A32"/>
          <w:sz w:val="21"/>
        </w:rPr>
        <w:t>Dignity</w:t>
      </w:r>
      <w:r>
        <w:rPr>
          <w:rFonts w:ascii="Calibri" w:hAnsi="Calibri"/>
          <w:b w:val="0"/>
          <w:i w:val="0"/>
          <w:color w:val="1B2A32"/>
          <w:sz w:val="21"/>
        </w:rPr>
        <w:t xml:space="preserve"> — no questioning of a complainant's character, dress or personal life; respectful treatment of every party.</w:t>
      </w:r>
    </w:p>
    <w:p>
      <w:pPr>
        <w:pStyle w:val="ListBullet"/>
        <w:spacing w:after="60"/>
        <w:jc w:val="both"/>
      </w:pPr>
      <w:r>
        <w:rPr>
          <w:rFonts w:ascii="Calibri" w:hAnsi="Calibri"/>
          <w:b/>
          <w:i w:val="0"/>
          <w:color w:val="1B2A32"/>
          <w:sz w:val="21"/>
        </w:rPr>
        <w:t>Integrity</w:t>
      </w:r>
      <w:r>
        <w:rPr>
          <w:rFonts w:ascii="Calibri" w:hAnsi="Calibri"/>
          <w:b w:val="0"/>
          <w:i w:val="0"/>
          <w:color w:val="1B2A32"/>
          <w:sz w:val="21"/>
        </w:rPr>
        <w:t xml:space="preserve"> — no solicitation, no personal benefit, no misuse of information, no advice-giving.</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Breach</w:t>
            </w:r>
          </w:p>
          <w:p>
            <w:r>
              <w:rPr>
                <w:rFonts w:ascii="Calibri" w:hAnsi="Calibri"/>
                <w:b w:val="0"/>
                <w:i w:val="0"/>
                <w:color w:val="1B2A32"/>
                <w:sz w:val="19"/>
              </w:rPr>
              <w:t>A breach may result in suspension or removal from the panel, withdrawal of any IC appointment, and referral to the appropriate professional or statutory body.</w:t>
            </w:r>
          </w:p>
        </w:tc>
      </w:tr>
    </w:tbl>
    <w:p>
      <w:pPr>
        <w:spacing w:after="40"/>
      </w:pPr>
    </w:p>
    <w:p>
      <w:pPr>
        <w:spacing w:after="40"/>
        <w:jc w:val="both"/>
      </w:pPr>
      <w:r>
        <w:rPr>
          <w:rFonts w:ascii="Calibri" w:hAnsi="Calibri"/>
          <w:b w:val="0"/>
          <w:i w:val="0"/>
          <w:color w:val="1B2A32"/>
          <w:sz w:val="21"/>
        </w:rPr>
        <w:t>These Rules are a draft for adoption; settle with counsel and align with the Mediation Council of India's requirements once notified, and with State rules under the Labour Codes. Not legal advice.</w:t>
      </w: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Workplace &amp;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03CF1F0-4B8F-47AE-906D-E24041A985A5}"/>
</file>

<file path=customXml/itemProps3.xml><?xml version="1.0" encoding="utf-8"?>
<ds:datastoreItem xmlns:ds="http://schemas.openxmlformats.org/officeDocument/2006/customXml" ds:itemID="{8193A82F-1D53-4DB5-9DE5-7CDD9FC0B52F}"/>
</file>

<file path=customXml/itemProps4.xml><?xml version="1.0" encoding="utf-8"?>
<ds:datastoreItem xmlns:ds="http://schemas.openxmlformats.org/officeDocument/2006/customXml" ds:itemID="{CA4C228B-E9CB-457B-9D88-7DCF3880BBE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