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POSH Support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Forum Interface Map (Workplace)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Where each workplace dispute belongs, and how Equator fits alongside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Workplace &amp; HR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The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069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02_tri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6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17"/>
        </w:rPr>
        <w:t>Figure — route triage across POSH, statutory and mediable matters.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59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Forum</w:t>
            </w:r>
          </w:p>
        </w:tc>
        <w:tc>
          <w:tcPr>
            <w:tcW w:type="dxa" w:w="316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When it applies</w:t>
            </w:r>
          </w:p>
        </w:tc>
        <w:tc>
          <w:tcPr>
            <w:tcW w:type="dxa" w:w="374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Equator's interface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Internal Committee (POSH)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Sexual harassment at the workplace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Support only: external member, sealed case management, lawful s.10 conciliation, training. Never replaces the IC.</w:t>
            </w:r>
          </w:p>
        </w:tc>
      </w:tr>
      <w:tr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Local Committee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Complaint against the employer, or establishment with fewer than 10 workers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Signpost; support the complainant to reach it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Grievance Redressal Committee (IR Code)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Individual grievance in an establishment of notified size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Mediate where unresolved and both sides agree</w:t>
            </w:r>
          </w:p>
        </w:tc>
      </w:tr>
      <w:tr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Conciliation officer / Industrial Tribunal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Collective or statutory industrial dispute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Signpost; mediate a settlement around it only where lawful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Labour authorities / inspector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Wage, PF, ESI and compliance enforcement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Signpost; a settlement does not displace statutory enforcement</w:t>
            </w:r>
          </w:p>
        </w:tc>
      </w:tr>
      <w:tr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Civil court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Contractual claims outside the statutory scheme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Mediate; settlement enforceable as a decree (s.27)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Police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Criminal conduct or a threat to safety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Signpost immediately; never mediate the criminal aspect</w:t>
            </w:r>
          </w:p>
        </w:tc>
      </w:tr>
      <w:tr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Equator mediation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Wages, F&amp;F, separation, notice, benefits, grievance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Primary route; escrow-secured; enforceable settlement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DCEAEF"/>
            <w:tcBorders>
              <w:start w:val="single" w:sz="22" w:space="0" w:color="1E7A8C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One front door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A party does not need to know which forum fits. Triage routes the matter — and where the law reserves something to a statutory body, Equator signposts it rather than absorbing it.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Workplace &amp; HR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677E56-54A2-4009-B10D-224CB8DF3C41}"/>
</file>

<file path=customXml/itemProps3.xml><?xml version="1.0" encoding="utf-8"?>
<ds:datastoreItem xmlns:ds="http://schemas.openxmlformats.org/officeDocument/2006/customXml" ds:itemID="{1440AA5D-C2E3-4AD7-95CF-DF85706D1825}"/>
</file>

<file path=customXml/itemProps4.xml><?xml version="1.0" encoding="utf-8"?>
<ds:datastoreItem xmlns:ds="http://schemas.openxmlformats.org/officeDocument/2006/customXml" ds:itemID="{5CA40ECF-89D8-46E5-AB42-586059AB39B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