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POSH Support</w:t>
      </w:r>
    </w:p>
    <w:p>
      <w:pPr>
        <w:pBdr>
          <w:top w:val="single" w:sz="14" w:space="6" w:color="C6A15B"/>
          <w:bottom w:val="single" w:sz="14" w:space="6" w:color="C6A15B"/>
        </w:pBdr>
      </w:pPr>
    </w:p>
    <w:p>
      <w:pPr>
        <w:spacing w:before="600"/>
        <w:jc w:val="center"/>
      </w:pPr>
      <w:r>
        <w:rPr>
          <w:rFonts w:ascii="Calibri" w:hAnsi="Calibri"/>
          <w:b/>
          <w:i w:val="0"/>
          <w:color w:val="123B4F"/>
          <w:sz w:val="48"/>
        </w:rPr>
        <w:t>Full &amp; Final and Separation — Practitioner Playbook</w:t>
      </w:r>
    </w:p>
    <w:p>
      <w:pPr>
        <w:jc w:val="center"/>
      </w:pPr>
      <w:r>
        <w:rPr>
          <w:rFonts w:ascii="Calibri" w:hAnsi="Calibri"/>
          <w:b w:val="0"/>
          <w:i/>
          <w:color w:val="556168"/>
          <w:sz w:val="25"/>
        </w:rPr>
        <w:t>Getting the arithmetic and the exit right</w:t>
      </w:r>
    </w:p>
    <w:p/>
    <w:p/>
    <w:p/>
    <w:p/>
    <w:p/>
    <w:p/>
    <w:p/>
    <w:p/>
    <w:p>
      <w:pPr>
        <w:jc w:val="center"/>
      </w:pPr>
      <w:r>
        <w:rPr>
          <w:rFonts w:ascii="Calibri" w:hAnsi="Calibri"/>
          <w:b/>
          <w:i w:val="0"/>
          <w:color w:val="1E7A8C"/>
          <w:sz w:val="22"/>
        </w:rPr>
        <w:t>Workplace &amp; HR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Why F&amp;F disputes escalate</w:t>
      </w:r>
    </w:p>
    <w:p>
      <w:pPr>
        <w:spacing w:after="120"/>
        <w:jc w:val="both"/>
      </w:pPr>
      <w:r>
        <w:rPr>
          <w:rFonts w:ascii="Calibri" w:hAnsi="Calibri"/>
          <w:b w:val="0"/>
          <w:i w:val="0"/>
          <w:color w:val="1B2A32"/>
          <w:sz w:val="21"/>
        </w:rPr>
        <w:t>Most full-and-final disputes are not really about the number. They are about a person who has left without a relieving letter, cannot join elsewhere, and is watching savings run down while the employer treats the matter as routine administration. The money and the paperwork are entangled, and the leverage is asymmetric. A neutral who understands that resolves these quickly; one who treats it as an arithmetic exercise does not.</w:t>
      </w:r>
    </w:p>
    <w:p>
      <w:pPr>
        <w:keepNext/>
        <w:spacing w:before="280" w:after="120"/>
        <w:pBdr>
          <w:bottom w:val="single" w:sz="12" w:space="3" w:color="C6A15B"/>
        </w:pBdr>
      </w:pPr>
      <w:r>
        <w:rPr>
          <w:rFonts w:ascii="Calibri" w:hAnsi="Calibri"/>
          <w:b/>
          <w:i w:val="0"/>
          <w:color w:val="123B4F"/>
          <w:sz w:val="32"/>
        </w:rPr>
        <w:t>1.  Building the number</w:t>
      </w:r>
    </w:p>
    <w:tbl>
      <w:tblPr>
        <w:tblStyle w:val="TableGrid"/>
        <w:tblW w:type="auto" w:w="0"/>
        <w:jc w:val="center"/>
        <w:tblLook w:firstColumn="1" w:firstRow="1" w:lastColumn="0" w:lastRow="0" w:noHBand="0" w:noVBand="1" w:val="04A0"/>
      </w:tblPr>
      <w:tblGrid>
        <w:gridCol w:w="3168"/>
        <w:gridCol w:w="3168"/>
        <w:gridCol w:w="3168"/>
      </w:tblGrid>
      <w:tr>
        <w:tc>
          <w:tcPr>
            <w:tcW w:type="dxa" w:w="2448"/>
            <w:shd w:val="clear" w:fill="123B4F"/>
          </w:tcPr>
          <w:p>
            <w:r/>
            <w:r>
              <w:rPr>
                <w:rFonts w:ascii="Calibri" w:hAnsi="Calibri"/>
                <w:b/>
                <w:i w:val="0"/>
                <w:color w:val="FFFFFF"/>
                <w:sz w:val="16"/>
              </w:rPr>
              <w:t>Component</w:t>
            </w:r>
          </w:p>
        </w:tc>
        <w:tc>
          <w:tcPr>
            <w:tcW w:type="dxa" w:w="1872"/>
            <w:shd w:val="clear" w:fill="123B4F"/>
          </w:tcPr>
          <w:p>
            <w:r/>
            <w:r>
              <w:rPr>
                <w:rFonts w:ascii="Calibri" w:hAnsi="Calibri"/>
                <w:b/>
                <w:i w:val="0"/>
                <w:color w:val="FFFFFF"/>
                <w:sz w:val="16"/>
              </w:rPr>
              <w:t>Include</w:t>
            </w:r>
          </w:p>
        </w:tc>
        <w:tc>
          <w:tcPr>
            <w:tcW w:type="dxa" w:w="5184"/>
            <w:shd w:val="clear" w:fill="123B4F"/>
          </w:tcPr>
          <w:p>
            <w:r/>
            <w:r>
              <w:rPr>
                <w:rFonts w:ascii="Calibri" w:hAnsi="Calibri"/>
                <w:b/>
                <w:i w:val="0"/>
                <w:color w:val="FFFFFF"/>
                <w:sz w:val="16"/>
              </w:rPr>
              <w:t>Watch-points</w:t>
            </w:r>
          </w:p>
        </w:tc>
      </w:tr>
      <w:tr>
        <w:tc>
          <w:tcPr>
            <w:tcW w:type="dxa" w:w="2448"/>
          </w:tcPr>
          <w:p>
            <w:r/>
            <w:r>
              <w:rPr>
                <w:rFonts w:ascii="Calibri" w:hAnsi="Calibri"/>
                <w:b w:val="0"/>
                <w:i w:val="0"/>
                <w:color w:val="1B2A32"/>
                <w:sz w:val="16"/>
              </w:rPr>
              <w:t>Salary to last working day</w:t>
            </w:r>
          </w:p>
        </w:tc>
        <w:tc>
          <w:tcPr>
            <w:tcW w:type="dxa" w:w="1872"/>
          </w:tcPr>
          <w:p>
            <w:r/>
            <w:r>
              <w:rPr>
                <w:rFonts w:ascii="Calibri" w:hAnsi="Calibri"/>
                <w:b w:val="0"/>
                <w:i w:val="0"/>
                <w:color w:val="1B2A32"/>
                <w:sz w:val="16"/>
              </w:rPr>
              <w:t>Yes</w:t>
            </w:r>
          </w:p>
        </w:tc>
        <w:tc>
          <w:tcPr>
            <w:tcW w:type="dxa" w:w="5184"/>
          </w:tcPr>
          <w:p>
            <w:r/>
            <w:r>
              <w:rPr>
                <w:rFonts w:ascii="Calibri" w:hAnsi="Calibri"/>
                <w:b w:val="0"/>
                <w:i w:val="0"/>
                <w:color w:val="1B2A32"/>
                <w:sz w:val="16"/>
              </w:rPr>
              <w:t>Pro-rate correctly; confirm the last working day is agreed</w:t>
            </w:r>
          </w:p>
        </w:tc>
      </w:tr>
      <w:tr>
        <w:tc>
          <w:tcPr>
            <w:tcW w:type="dxa" w:w="2448"/>
            <w:shd w:val="clear" w:fill="F3F7F9"/>
          </w:tcPr>
          <w:p>
            <w:r/>
            <w:r>
              <w:rPr>
                <w:rFonts w:ascii="Calibri" w:hAnsi="Calibri"/>
                <w:b w:val="0"/>
                <w:i w:val="0"/>
                <w:color w:val="1B2A32"/>
                <w:sz w:val="16"/>
              </w:rPr>
              <w:t>Arrears / pending increment</w:t>
            </w:r>
          </w:p>
        </w:tc>
        <w:tc>
          <w:tcPr>
            <w:tcW w:type="dxa" w:w="1872"/>
            <w:shd w:val="clear" w:fill="F3F7F9"/>
          </w:tcPr>
          <w:p>
            <w:r/>
            <w:r>
              <w:rPr>
                <w:rFonts w:ascii="Calibri" w:hAnsi="Calibri"/>
                <w:b w:val="0"/>
                <w:i w:val="0"/>
                <w:color w:val="1B2A32"/>
                <w:sz w:val="16"/>
              </w:rPr>
              <w:t>Yes</w:t>
            </w:r>
          </w:p>
        </w:tc>
        <w:tc>
          <w:tcPr>
            <w:tcW w:type="dxa" w:w="5184"/>
            <w:shd w:val="clear" w:fill="F3F7F9"/>
          </w:tcPr>
          <w:p>
            <w:r/>
            <w:r>
              <w:rPr>
                <w:rFonts w:ascii="Calibri" w:hAnsi="Calibri"/>
                <w:b w:val="0"/>
                <w:i w:val="0"/>
                <w:color w:val="1B2A32"/>
                <w:sz w:val="16"/>
              </w:rPr>
              <w:t>Often forgotten; check appraisal letters</w:t>
            </w:r>
          </w:p>
        </w:tc>
      </w:tr>
      <w:tr>
        <w:tc>
          <w:tcPr>
            <w:tcW w:type="dxa" w:w="2448"/>
          </w:tcPr>
          <w:p>
            <w:r/>
            <w:r>
              <w:rPr>
                <w:rFonts w:ascii="Calibri" w:hAnsi="Calibri"/>
                <w:b w:val="0"/>
                <w:i w:val="0"/>
                <w:color w:val="1B2A32"/>
                <w:sz w:val="16"/>
              </w:rPr>
              <w:t>Leave encashment</w:t>
            </w:r>
          </w:p>
        </w:tc>
        <w:tc>
          <w:tcPr>
            <w:tcW w:type="dxa" w:w="1872"/>
          </w:tcPr>
          <w:p>
            <w:r/>
            <w:r>
              <w:rPr>
                <w:rFonts w:ascii="Calibri" w:hAnsi="Calibri"/>
                <w:b w:val="0"/>
                <w:i w:val="0"/>
                <w:color w:val="1B2A32"/>
                <w:sz w:val="16"/>
              </w:rPr>
              <w:t>Yes</w:t>
            </w:r>
          </w:p>
        </w:tc>
        <w:tc>
          <w:tcPr>
            <w:tcW w:type="dxa" w:w="5184"/>
          </w:tcPr>
          <w:p>
            <w:r/>
            <w:r>
              <w:rPr>
                <w:rFonts w:ascii="Calibri" w:hAnsi="Calibri"/>
                <w:b w:val="0"/>
                <w:i w:val="0"/>
                <w:color w:val="1B2A32"/>
                <w:sz w:val="16"/>
              </w:rPr>
              <w:t>Confirm the policy and the encashable balance</w:t>
            </w:r>
          </w:p>
        </w:tc>
      </w:tr>
      <w:tr>
        <w:tc>
          <w:tcPr>
            <w:tcW w:type="dxa" w:w="2448"/>
            <w:shd w:val="clear" w:fill="F3F7F9"/>
          </w:tcPr>
          <w:p>
            <w:r/>
            <w:r>
              <w:rPr>
                <w:rFonts w:ascii="Calibri" w:hAnsi="Calibri"/>
                <w:b w:val="0"/>
                <w:i w:val="0"/>
                <w:color w:val="1B2A32"/>
                <w:sz w:val="16"/>
              </w:rPr>
              <w:t>Bonus / incentive</w:t>
            </w:r>
          </w:p>
        </w:tc>
        <w:tc>
          <w:tcPr>
            <w:tcW w:type="dxa" w:w="1872"/>
            <w:shd w:val="clear" w:fill="F3F7F9"/>
          </w:tcPr>
          <w:p>
            <w:r/>
            <w:r>
              <w:rPr>
                <w:rFonts w:ascii="Calibri" w:hAnsi="Calibri"/>
                <w:b w:val="0"/>
                <w:i w:val="0"/>
                <w:color w:val="1B2A32"/>
                <w:sz w:val="16"/>
              </w:rPr>
              <w:t>Yes</w:t>
            </w:r>
          </w:p>
        </w:tc>
        <w:tc>
          <w:tcPr>
            <w:tcW w:type="dxa" w:w="5184"/>
            <w:shd w:val="clear" w:fill="F3F7F9"/>
          </w:tcPr>
          <w:p>
            <w:r/>
            <w:r>
              <w:rPr>
                <w:rFonts w:ascii="Calibri" w:hAnsi="Calibri"/>
                <w:b w:val="0"/>
                <w:i w:val="0"/>
                <w:color w:val="1B2A32"/>
                <w:sz w:val="16"/>
              </w:rPr>
              <w:t>Statutory bonus under the Code on Wages; discretionary incentive is negotiable</w:t>
            </w:r>
          </w:p>
        </w:tc>
      </w:tr>
      <w:tr>
        <w:tc>
          <w:tcPr>
            <w:tcW w:type="dxa" w:w="2448"/>
          </w:tcPr>
          <w:p>
            <w:r/>
            <w:r>
              <w:rPr>
                <w:rFonts w:ascii="Calibri" w:hAnsi="Calibri"/>
                <w:b/>
                <w:i w:val="0"/>
                <w:color w:val="1B2A32"/>
                <w:sz w:val="16"/>
              </w:rPr>
              <w:t>Gratuity</w:t>
            </w:r>
          </w:p>
        </w:tc>
        <w:tc>
          <w:tcPr>
            <w:tcW w:type="dxa" w:w="1872"/>
          </w:tcPr>
          <w:p>
            <w:r/>
            <w:r>
              <w:rPr>
                <w:rFonts w:ascii="Calibri" w:hAnsi="Calibri"/>
                <w:b/>
                <w:i w:val="0"/>
                <w:color w:val="1B2A32"/>
                <w:sz w:val="16"/>
              </w:rPr>
              <w:t>Yes — statutory</w:t>
            </w:r>
          </w:p>
        </w:tc>
        <w:tc>
          <w:tcPr>
            <w:tcW w:type="dxa" w:w="5184"/>
          </w:tcPr>
          <w:p>
            <w:r/>
            <w:r>
              <w:rPr>
                <w:rFonts w:ascii="Calibri" w:hAnsi="Calibri"/>
                <w:b w:val="0"/>
                <w:i w:val="0"/>
                <w:color w:val="1B2A32"/>
                <w:sz w:val="16"/>
              </w:rPr>
              <w:t xml:space="preserve">(15 × wages × completed years) / 26; usually 5+ years; </w:t>
            </w:r>
            <w:r>
              <w:rPr>
                <w:rFonts w:ascii="Calibri" w:hAnsi="Calibri"/>
                <w:b/>
                <w:i w:val="0"/>
                <w:color w:val="1B2A32"/>
                <w:sz w:val="16"/>
              </w:rPr>
              <w:t>recompute on the Code wage definition</w:t>
            </w:r>
          </w:p>
        </w:tc>
      </w:tr>
      <w:tr>
        <w:tc>
          <w:tcPr>
            <w:tcW w:type="dxa" w:w="2448"/>
            <w:shd w:val="clear" w:fill="F3F7F9"/>
          </w:tcPr>
          <w:p>
            <w:r/>
            <w:r>
              <w:rPr>
                <w:rFonts w:ascii="Calibri" w:hAnsi="Calibri"/>
                <w:b w:val="0"/>
                <w:i w:val="0"/>
                <w:color w:val="1B2A32"/>
                <w:sz w:val="16"/>
              </w:rPr>
              <w:t>Provident fund / ESI</w:t>
            </w:r>
          </w:p>
        </w:tc>
        <w:tc>
          <w:tcPr>
            <w:tcW w:type="dxa" w:w="1872"/>
            <w:shd w:val="clear" w:fill="F3F7F9"/>
          </w:tcPr>
          <w:p>
            <w:r/>
            <w:r>
              <w:rPr>
                <w:rFonts w:ascii="Calibri" w:hAnsi="Calibri"/>
                <w:b w:val="0"/>
                <w:i w:val="0"/>
                <w:color w:val="1B2A32"/>
                <w:sz w:val="16"/>
              </w:rPr>
              <w:t>Statutory</w:t>
            </w:r>
          </w:p>
        </w:tc>
        <w:tc>
          <w:tcPr>
            <w:tcW w:type="dxa" w:w="5184"/>
            <w:shd w:val="clear" w:fill="F3F7F9"/>
          </w:tcPr>
          <w:p>
            <w:r/>
            <w:r>
              <w:rPr>
                <w:rFonts w:ascii="Calibri" w:hAnsi="Calibri"/>
                <w:b w:val="0"/>
                <w:i w:val="0"/>
                <w:color w:val="1B2A32"/>
                <w:sz w:val="16"/>
              </w:rPr>
              <w:t>Paid, not settled; confirm remittance is current</w:t>
            </w:r>
          </w:p>
        </w:tc>
      </w:tr>
      <w:tr>
        <w:tc>
          <w:tcPr>
            <w:tcW w:type="dxa" w:w="2448"/>
          </w:tcPr>
          <w:p>
            <w:r/>
            <w:r>
              <w:rPr>
                <w:rFonts w:ascii="Calibri" w:hAnsi="Calibri"/>
                <w:b w:val="0"/>
                <w:i w:val="0"/>
                <w:color w:val="1B2A32"/>
                <w:sz w:val="16"/>
              </w:rPr>
              <w:t>Notice shortfall recovery</w:t>
            </w:r>
          </w:p>
        </w:tc>
        <w:tc>
          <w:tcPr>
            <w:tcW w:type="dxa" w:w="1872"/>
          </w:tcPr>
          <w:p>
            <w:r/>
            <w:r>
              <w:rPr>
                <w:rFonts w:ascii="Calibri" w:hAnsi="Calibri"/>
                <w:b w:val="0"/>
                <w:i w:val="0"/>
                <w:color w:val="1B2A32"/>
                <w:sz w:val="16"/>
              </w:rPr>
              <w:t>Employer's claim</w:t>
            </w:r>
          </w:p>
        </w:tc>
        <w:tc>
          <w:tcPr>
            <w:tcW w:type="dxa" w:w="5184"/>
          </w:tcPr>
          <w:p>
            <w:r/>
            <w:r>
              <w:rPr>
                <w:rFonts w:ascii="Calibri" w:hAnsi="Calibri"/>
                <w:b w:val="0"/>
                <w:i w:val="0"/>
                <w:color w:val="1B2A32"/>
                <w:sz w:val="16"/>
              </w:rPr>
              <w:t>Check the contract; often a negotiation lever, sometimes waived</w:t>
            </w:r>
          </w:p>
        </w:tc>
      </w:tr>
      <w:tr>
        <w:tc>
          <w:tcPr>
            <w:tcW w:type="dxa" w:w="2448"/>
            <w:shd w:val="clear" w:fill="F3F7F9"/>
          </w:tcPr>
          <w:p>
            <w:r/>
            <w:r>
              <w:rPr>
                <w:rFonts w:ascii="Calibri" w:hAnsi="Calibri"/>
                <w:b w:val="0"/>
                <w:i w:val="0"/>
                <w:color w:val="1B2A32"/>
                <w:sz w:val="16"/>
              </w:rPr>
              <w:t>Advances / loans / asset recovery</w:t>
            </w:r>
          </w:p>
        </w:tc>
        <w:tc>
          <w:tcPr>
            <w:tcW w:type="dxa" w:w="1872"/>
            <w:shd w:val="clear" w:fill="F3F7F9"/>
          </w:tcPr>
          <w:p>
            <w:r/>
            <w:r>
              <w:rPr>
                <w:rFonts w:ascii="Calibri" w:hAnsi="Calibri"/>
                <w:b w:val="0"/>
                <w:i w:val="0"/>
                <w:color w:val="1B2A32"/>
                <w:sz w:val="16"/>
              </w:rPr>
              <w:t>Employer's claim</w:t>
            </w:r>
          </w:p>
        </w:tc>
        <w:tc>
          <w:tcPr>
            <w:tcW w:type="dxa" w:w="5184"/>
            <w:shd w:val="clear" w:fill="F3F7F9"/>
          </w:tcPr>
          <w:p>
            <w:r/>
            <w:r>
              <w:rPr>
                <w:rFonts w:ascii="Calibri" w:hAnsi="Calibri"/>
                <w:b w:val="0"/>
                <w:i w:val="0"/>
                <w:color w:val="1B2A32"/>
                <w:sz w:val="16"/>
              </w:rPr>
              <w:t>Evidence required; disputed valuations are common</w:t>
            </w:r>
          </w:p>
        </w:tc>
      </w:tr>
      <w:tr>
        <w:tc>
          <w:tcPr>
            <w:tcW w:type="dxa" w:w="2448"/>
          </w:tcPr>
          <w:p>
            <w:r/>
            <w:r>
              <w:rPr>
                <w:rFonts w:ascii="Calibri" w:hAnsi="Calibri"/>
                <w:b w:val="0"/>
                <w:i w:val="0"/>
                <w:color w:val="1B2A32"/>
                <w:sz w:val="16"/>
              </w:rPr>
              <w:t>Tax / TDS</w:t>
            </w:r>
          </w:p>
        </w:tc>
        <w:tc>
          <w:tcPr>
            <w:tcW w:type="dxa" w:w="1872"/>
          </w:tcPr>
          <w:p>
            <w:r/>
            <w:r>
              <w:rPr>
                <w:rFonts w:ascii="Calibri" w:hAnsi="Calibri"/>
                <w:b w:val="0"/>
                <w:i w:val="0"/>
                <w:color w:val="1B2A32"/>
                <w:sz w:val="16"/>
              </w:rPr>
              <w:t>As applicable</w:t>
            </w:r>
          </w:p>
        </w:tc>
        <w:tc>
          <w:tcPr>
            <w:tcW w:type="dxa" w:w="5184"/>
          </w:tcPr>
          <w:p>
            <w:r/>
            <w:r>
              <w:rPr>
                <w:rFonts w:ascii="Calibri" w:hAnsi="Calibri"/>
                <w:b w:val="0"/>
                <w:i w:val="0"/>
                <w:color w:val="1B2A32"/>
                <w:sz w:val="16"/>
              </w:rPr>
              <w:t>Flag for professional advice; do not advise</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The statutory floor</w:t>
            </w:r>
          </w:p>
          <w:p>
            <w:r>
              <w:rPr>
                <w:rFonts w:ascii="Calibri" w:hAnsi="Calibri"/>
                <w:b w:val="0"/>
                <w:i w:val="0"/>
                <w:color w:val="1B2A32"/>
                <w:sz w:val="19"/>
              </w:rPr>
              <w:t xml:space="preserve">Gratuity and provident fund are </w:t>
            </w:r>
            <w:r>
              <w:rPr>
                <w:rFonts w:ascii="Calibri" w:hAnsi="Calibri"/>
                <w:b/>
                <w:i w:val="0"/>
                <w:color w:val="1B2A32"/>
                <w:sz w:val="19"/>
              </w:rPr>
              <w:t>paid, never waived</w:t>
            </w:r>
            <w:r>
              <w:rPr>
                <w:rFonts w:ascii="Calibri" w:hAnsi="Calibri"/>
                <w:b w:val="0"/>
                <w:i w:val="0"/>
                <w:color w:val="1B2A32"/>
                <w:sz w:val="19"/>
              </w:rPr>
              <w:t>. A settlement may resolve what is disputed; it cannot bargain away a statutory entitlement. Record their proper payment expressly in the settlement.</w:t>
            </w:r>
          </w:p>
        </w:tc>
      </w:tr>
    </w:tbl>
    <w:p>
      <w:pPr>
        <w:spacing w:after="40"/>
      </w:pPr>
    </w:p>
    <w:p>
      <w:pPr>
        <w:keepNext/>
        <w:spacing w:before="280" w:after="120"/>
        <w:pBdr>
          <w:bottom w:val="single" w:sz="12" w:space="3" w:color="C6A15B"/>
        </w:pBdr>
      </w:pPr>
      <w:r>
        <w:rPr>
          <w:rFonts w:ascii="Calibri" w:hAnsi="Calibri"/>
          <w:b/>
          <w:i w:val="0"/>
          <w:color w:val="123B4F"/>
          <w:sz w:val="32"/>
        </w:rPr>
        <w:t>2.  The non-money terms that unlock the deal</w:t>
      </w:r>
    </w:p>
    <w:p>
      <w:pPr>
        <w:pStyle w:val="ListBullet"/>
        <w:spacing w:after="60"/>
        <w:jc w:val="both"/>
      </w:pPr>
      <w:r>
        <w:rPr>
          <w:rFonts w:ascii="Calibri" w:hAnsi="Calibri"/>
          <w:b/>
          <w:i w:val="0"/>
          <w:color w:val="1B2A32"/>
          <w:sz w:val="21"/>
        </w:rPr>
        <w:t>Relieving letter and experience certificate</w:t>
      </w:r>
      <w:r>
        <w:rPr>
          <w:rFonts w:ascii="Calibri" w:hAnsi="Calibri"/>
          <w:b w:val="0"/>
          <w:i w:val="0"/>
          <w:color w:val="1B2A32"/>
          <w:sz w:val="21"/>
        </w:rPr>
        <w:t xml:space="preserve"> — frequently worth more to the employee than the disputed amount.</w:t>
      </w:r>
    </w:p>
    <w:p>
      <w:pPr>
        <w:pStyle w:val="ListBullet"/>
        <w:spacing w:after="60"/>
        <w:jc w:val="both"/>
      </w:pPr>
      <w:r>
        <w:rPr>
          <w:rFonts w:ascii="Calibri" w:hAnsi="Calibri"/>
          <w:b/>
          <w:i w:val="0"/>
          <w:color w:val="1B2A32"/>
          <w:sz w:val="21"/>
        </w:rPr>
        <w:t>Reference and non-disparagement</w:t>
      </w:r>
      <w:r>
        <w:rPr>
          <w:rFonts w:ascii="Calibri" w:hAnsi="Calibri"/>
          <w:b w:val="0"/>
          <w:i w:val="0"/>
          <w:color w:val="1B2A32"/>
          <w:sz w:val="21"/>
        </w:rPr>
        <w:t xml:space="preserve"> — an agreed, neutral form of words in both directions.</w:t>
      </w:r>
    </w:p>
    <w:p>
      <w:pPr>
        <w:pStyle w:val="ListBullet"/>
        <w:spacing w:after="60"/>
        <w:jc w:val="both"/>
      </w:pPr>
      <w:r>
        <w:rPr>
          <w:rFonts w:ascii="Calibri" w:hAnsi="Calibri"/>
          <w:b/>
          <w:i w:val="0"/>
          <w:color w:val="1B2A32"/>
          <w:sz w:val="21"/>
        </w:rPr>
        <w:t>Return of assets</w:t>
      </w:r>
      <w:r>
        <w:rPr>
          <w:rFonts w:ascii="Calibri" w:hAnsi="Calibri"/>
          <w:b w:val="0"/>
          <w:i w:val="0"/>
          <w:color w:val="1B2A32"/>
          <w:sz w:val="21"/>
        </w:rPr>
        <w:t xml:space="preserve"> — laptop, ID, documents; make release of the final tranche conditional on it.</w:t>
      </w:r>
    </w:p>
    <w:p>
      <w:pPr>
        <w:pStyle w:val="ListBullet"/>
        <w:spacing w:after="60"/>
        <w:jc w:val="both"/>
      </w:pPr>
      <w:r>
        <w:rPr>
          <w:rFonts w:ascii="Calibri" w:hAnsi="Calibri"/>
          <w:b/>
          <w:i w:val="0"/>
          <w:color w:val="1B2A32"/>
          <w:sz w:val="21"/>
        </w:rPr>
        <w:t>Notice-pay waiver</w:t>
      </w:r>
      <w:r>
        <w:rPr>
          <w:rFonts w:ascii="Calibri" w:hAnsi="Calibri"/>
          <w:b w:val="0"/>
          <w:i w:val="0"/>
          <w:color w:val="1B2A32"/>
          <w:sz w:val="21"/>
        </w:rPr>
        <w:t xml:space="preserve"> — a low-cost concession for an employer, high value to an employee.</w:t>
      </w:r>
    </w:p>
    <w:p>
      <w:pPr>
        <w:pStyle w:val="ListBullet"/>
        <w:spacing w:after="60"/>
        <w:jc w:val="both"/>
      </w:pPr>
      <w:r>
        <w:rPr>
          <w:rFonts w:ascii="Calibri" w:hAnsi="Calibri"/>
          <w:b/>
          <w:i w:val="0"/>
          <w:color w:val="1B2A32"/>
          <w:sz w:val="21"/>
        </w:rPr>
        <w:t>Confidentiality</w:t>
      </w:r>
      <w:r>
        <w:rPr>
          <w:rFonts w:ascii="Calibri" w:hAnsi="Calibri"/>
          <w:b w:val="0"/>
          <w:i w:val="0"/>
          <w:color w:val="1B2A32"/>
          <w:sz w:val="21"/>
        </w:rPr>
        <w:t xml:space="preserve"> — mutual, and drafted so it does not purport to gag a statutory complaint.</w:t>
      </w:r>
    </w:p>
    <w:p>
      <w:pPr>
        <w:pStyle w:val="ListBullet"/>
        <w:spacing w:after="60"/>
        <w:jc w:val="both"/>
      </w:pPr>
      <w:r>
        <w:rPr>
          <w:rFonts w:ascii="Calibri" w:hAnsi="Calibri"/>
          <w:b/>
          <w:i w:val="0"/>
          <w:color w:val="1B2A32"/>
          <w:sz w:val="21"/>
        </w:rPr>
        <w:t>PF/gratuity transfer confirmation</w:t>
      </w:r>
      <w:r>
        <w:rPr>
          <w:rFonts w:ascii="Calibri" w:hAnsi="Calibri"/>
          <w:b w:val="0"/>
          <w:i w:val="0"/>
          <w:color w:val="1B2A32"/>
          <w:sz w:val="21"/>
        </w:rPr>
        <w:t xml:space="preserve"> — administrative certainty the employee actually needs.</w:t>
      </w:r>
    </w:p>
    <w:p>
      <w:pPr>
        <w:keepNext/>
        <w:spacing w:before="280" w:after="120"/>
        <w:pBdr>
          <w:bottom w:val="single" w:sz="12" w:space="3" w:color="C6A15B"/>
        </w:pBdr>
      </w:pPr>
      <w:r>
        <w:rPr>
          <w:rFonts w:ascii="Calibri" w:hAnsi="Calibri"/>
          <w:b/>
          <w:i w:val="0"/>
          <w:color w:val="123B4F"/>
          <w:sz w:val="32"/>
        </w:rPr>
        <w:t>3.  Structuring payment</w:t>
      </w:r>
    </w:p>
    <w:p>
      <w:pPr>
        <w:spacing w:after="120"/>
        <w:jc w:val="both"/>
      </w:pPr>
      <w:r>
        <w:rPr>
          <w:rFonts w:ascii="Calibri" w:hAnsi="Calibri"/>
          <w:b w:val="0"/>
          <w:i w:val="0"/>
          <w:color w:val="1B2A32"/>
          <w:sz w:val="21"/>
        </w:rPr>
        <w:t xml:space="preserve">Use </w:t>
      </w:r>
      <w:r>
        <w:rPr>
          <w:rFonts w:ascii="Calibri" w:hAnsi="Calibri"/>
          <w:b/>
          <w:i w:val="0"/>
          <w:color w:val="1B2A32"/>
          <w:sz w:val="21"/>
        </w:rPr>
        <w:t>escrow</w:t>
      </w:r>
      <w:r>
        <w:rPr>
          <w:rFonts w:ascii="Calibri" w:hAnsi="Calibri"/>
          <w:b w:val="0"/>
          <w:i w:val="0"/>
          <w:color w:val="1B2A32"/>
          <w:sz w:val="21"/>
        </w:rPr>
        <w:t>: the employer funds the settlement, the money is held by the regulated agent, and it releases against signature, relieving and return of assets. This solves the standoff where each side wants the other to move first — and it is usually the single change that closes a stuck matter.</w:t>
      </w:r>
    </w:p>
    <w:p>
      <w:pPr>
        <w:keepNext/>
        <w:spacing w:before="280" w:after="120"/>
        <w:pBdr>
          <w:bottom w:val="single" w:sz="12" w:space="3" w:color="C6A15B"/>
        </w:pBdr>
      </w:pPr>
      <w:r>
        <w:rPr>
          <w:rFonts w:ascii="Calibri" w:hAnsi="Calibri"/>
          <w:b/>
          <w:i w:val="0"/>
          <w:color w:val="123B4F"/>
          <w:sz w:val="32"/>
        </w:rPr>
        <w:t>4.  Contested termination</w:t>
      </w:r>
    </w:p>
    <w:p>
      <w:pPr>
        <w:pStyle w:val="ListBullet"/>
        <w:spacing w:after="60"/>
        <w:jc w:val="both"/>
      </w:pPr>
      <w:r>
        <w:rPr>
          <w:rFonts w:ascii="Calibri" w:hAnsi="Calibri"/>
          <w:b w:val="0"/>
          <w:i w:val="0"/>
          <w:color w:val="1B2A32"/>
          <w:sz w:val="21"/>
        </w:rPr>
        <w:t xml:space="preserve">Establish the </w:t>
      </w:r>
      <w:r>
        <w:rPr>
          <w:rFonts w:ascii="Calibri" w:hAnsi="Calibri"/>
          <w:b/>
          <w:i w:val="0"/>
          <w:color w:val="1B2A32"/>
          <w:sz w:val="21"/>
        </w:rPr>
        <w:t>route taken</w:t>
      </w:r>
      <w:r>
        <w:rPr>
          <w:rFonts w:ascii="Calibri" w:hAnsi="Calibri"/>
          <w:b w:val="0"/>
          <w:i w:val="0"/>
          <w:color w:val="1B2A32"/>
          <w:sz w:val="21"/>
        </w:rPr>
        <w:t xml:space="preserve"> — standing orders, notice, disciplinary process — before discussing outcomes.</w:t>
      </w:r>
    </w:p>
    <w:p>
      <w:pPr>
        <w:pStyle w:val="ListBullet"/>
        <w:spacing w:after="60"/>
        <w:jc w:val="both"/>
      </w:pPr>
      <w:r>
        <w:rPr>
          <w:rFonts w:ascii="Calibri" w:hAnsi="Calibri"/>
          <w:b w:val="0"/>
          <w:i w:val="0"/>
          <w:color w:val="1B2A32"/>
          <w:sz w:val="21"/>
        </w:rPr>
        <w:t xml:space="preserve">Where retrenchment is in issue, compute </w:t>
      </w:r>
      <w:r>
        <w:rPr>
          <w:rFonts w:ascii="Calibri" w:hAnsi="Calibri"/>
          <w:b/>
          <w:i w:val="0"/>
          <w:color w:val="1B2A32"/>
          <w:sz w:val="21"/>
        </w:rPr>
        <w:t>fifteen days' average pay per completed year</w:t>
      </w:r>
      <w:r>
        <w:rPr>
          <w:rFonts w:ascii="Calibri" w:hAnsi="Calibri"/>
          <w:b w:val="0"/>
          <w:i w:val="0"/>
          <w:color w:val="1B2A32"/>
          <w:sz w:val="21"/>
        </w:rPr>
        <w:t xml:space="preserve"> under the IR Code and check thresholds and any permission requirement.</w:t>
      </w:r>
    </w:p>
    <w:p>
      <w:pPr>
        <w:pStyle w:val="ListBullet"/>
        <w:spacing w:after="60"/>
        <w:jc w:val="both"/>
      </w:pPr>
      <w:r>
        <w:rPr>
          <w:rFonts w:ascii="Calibri" w:hAnsi="Calibri"/>
          <w:b w:val="0"/>
          <w:i w:val="0"/>
          <w:color w:val="1B2A32"/>
          <w:sz w:val="21"/>
        </w:rPr>
        <w:t xml:space="preserve">Options beyond money: </w:t>
      </w:r>
      <w:r>
        <w:rPr>
          <w:rFonts w:ascii="Calibri" w:hAnsi="Calibri"/>
          <w:b/>
          <w:i w:val="0"/>
          <w:color w:val="1B2A32"/>
          <w:sz w:val="21"/>
        </w:rPr>
        <w:t>reinstatement</w:t>
      </w:r>
      <w:r>
        <w:rPr>
          <w:rFonts w:ascii="Calibri" w:hAnsi="Calibri"/>
          <w:b w:val="0"/>
          <w:i w:val="0"/>
          <w:color w:val="1B2A32"/>
          <w:sz w:val="21"/>
        </w:rPr>
        <w:t xml:space="preserve">, a </w:t>
      </w:r>
      <w:r>
        <w:rPr>
          <w:rFonts w:ascii="Calibri" w:hAnsi="Calibri"/>
          <w:b/>
          <w:i w:val="0"/>
          <w:color w:val="1B2A32"/>
          <w:sz w:val="21"/>
        </w:rPr>
        <w:t>changed characterisation</w:t>
      </w:r>
      <w:r>
        <w:rPr>
          <w:rFonts w:ascii="Calibri" w:hAnsi="Calibri"/>
          <w:b w:val="0"/>
          <w:i w:val="0"/>
          <w:color w:val="1B2A32"/>
          <w:sz w:val="21"/>
        </w:rPr>
        <w:t xml:space="preserve"> of the exit (resignation rather than dismissal), a </w:t>
      </w:r>
      <w:r>
        <w:rPr>
          <w:rFonts w:ascii="Calibri" w:hAnsi="Calibri"/>
          <w:b/>
          <w:i w:val="0"/>
          <w:color w:val="1B2A32"/>
          <w:sz w:val="21"/>
        </w:rPr>
        <w:t>reference</w:t>
      </w:r>
      <w:r>
        <w:rPr>
          <w:rFonts w:ascii="Calibri" w:hAnsi="Calibri"/>
          <w:b w:val="0"/>
          <w:i w:val="0"/>
          <w:color w:val="1B2A32"/>
          <w:sz w:val="21"/>
        </w:rPr>
        <w:t xml:space="preserve">, or a </w:t>
      </w:r>
      <w:r>
        <w:rPr>
          <w:rFonts w:ascii="Calibri" w:hAnsi="Calibri"/>
          <w:b/>
          <w:i w:val="0"/>
          <w:color w:val="1B2A32"/>
          <w:sz w:val="21"/>
        </w:rPr>
        <w:t>longer notice period</w:t>
      </w:r>
      <w:r>
        <w:rPr>
          <w:rFonts w:ascii="Calibri" w:hAnsi="Calibri"/>
          <w:b w:val="0"/>
          <w:i w:val="0"/>
          <w:color w:val="1B2A32"/>
          <w:sz w:val="21"/>
        </w:rPr>
        <w:t xml:space="preserve"> treated as served.</w:t>
      </w:r>
    </w:p>
    <w:p>
      <w:pPr>
        <w:pStyle w:val="ListBullet"/>
        <w:spacing w:after="60"/>
        <w:jc w:val="both"/>
      </w:pPr>
      <w:r>
        <w:rPr>
          <w:rFonts w:ascii="Calibri" w:hAnsi="Calibri"/>
          <w:b w:val="0"/>
          <w:i w:val="0"/>
          <w:color w:val="1B2A32"/>
          <w:sz w:val="21"/>
        </w:rPr>
        <w:t>Test both sides against the alternative: a tribunal, its timeline, and the cost and exposure of getting there.</w:t>
      </w:r>
    </w:p>
    <w:p>
      <w:pPr>
        <w:keepNext/>
        <w:spacing w:before="280" w:after="120"/>
        <w:pBdr>
          <w:bottom w:val="single" w:sz="12" w:space="3" w:color="C6A15B"/>
        </w:pBdr>
      </w:pPr>
      <w:r>
        <w:rPr>
          <w:rFonts w:ascii="Calibri" w:hAnsi="Calibri"/>
          <w:b/>
          <w:i w:val="0"/>
          <w:color w:val="123B4F"/>
          <w:sz w:val="32"/>
        </w:rPr>
        <w:t>5.  Bonds and post-employment restraints</w:t>
      </w:r>
    </w:p>
    <w:p>
      <w:pPr>
        <w:spacing w:after="120"/>
        <w:jc w:val="both"/>
      </w:pPr>
      <w:r>
        <w:rPr>
          <w:rFonts w:ascii="Calibri" w:hAnsi="Calibri"/>
          <w:b w:val="0"/>
          <w:i w:val="0"/>
          <w:color w:val="1B2A32"/>
          <w:sz w:val="21"/>
        </w:rPr>
        <w:t xml:space="preserve">Employment bonds and non-compete clauses are read narrowly. Under </w:t>
      </w:r>
      <w:r>
        <w:rPr>
          <w:rFonts w:ascii="Calibri" w:hAnsi="Calibri"/>
          <w:b/>
          <w:i w:val="0"/>
          <w:color w:val="1B2A32"/>
          <w:sz w:val="21"/>
        </w:rPr>
        <w:t>section 27 of the Indian Contract Act, 1872</w:t>
      </w:r>
      <w:r>
        <w:rPr>
          <w:rFonts w:ascii="Calibri" w:hAnsi="Calibri"/>
          <w:b w:val="0"/>
          <w:i w:val="0"/>
          <w:color w:val="1B2A32"/>
          <w:sz w:val="21"/>
        </w:rPr>
        <w:t xml:space="preserve"> an agreement in restraint of trade is void, and post-employment non-competes are generally unenforceable in India; reasonable restraints protecting confidential information or operating during employment stand on a different footing, and a bond tied to demonstrable, actually-incurred training cost may be enforceable to that extent. Do not advise — but do not let an unenforceable clause be used as leverage without both sides understanding the law.</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Workplace &amp;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E8FD812-825C-455C-A38D-29E74A02EDE2}"/>
</file>

<file path=customXml/itemProps3.xml><?xml version="1.0" encoding="utf-8"?>
<ds:datastoreItem xmlns:ds="http://schemas.openxmlformats.org/officeDocument/2006/customXml" ds:itemID="{B6F1C282-3B54-4483-BDB7-DBB551706897}"/>
</file>

<file path=customXml/itemProps4.xml><?xml version="1.0" encoding="utf-8"?>
<ds:datastoreItem xmlns:ds="http://schemas.openxmlformats.org/officeDocument/2006/customXml" ds:itemID="{B3B994A5-92C8-4E97-9FA7-9F4525CD3D7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