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POSH Support</w:t>
      </w:r>
    </w:p>
    <w:p>
      <w:pPr>
        <w:pBdr>
          <w:top w:val="single" w:sz="14" w:space="6" w:color="C6A15B"/>
          <w:bottom w:val="single" w:sz="14" w:space="6" w:color="C6A15B"/>
        </w:pBdr>
      </w:pPr>
    </w:p>
    <w:p>
      <w:pPr>
        <w:spacing w:before="600"/>
        <w:jc w:val="center"/>
      </w:pPr>
      <w:r>
        <w:rPr>
          <w:rFonts w:ascii="Calibri" w:hAnsi="Calibri"/>
          <w:b/>
          <w:i w:val="0"/>
          <w:color w:val="123B4F"/>
          <w:sz w:val="48"/>
        </w:rPr>
        <w:t>POSH — Practitioner Guide</w:t>
      </w:r>
    </w:p>
    <w:p>
      <w:pPr>
        <w:jc w:val="center"/>
      </w:pPr>
      <w:r>
        <w:rPr>
          <w:rFonts w:ascii="Calibri" w:hAnsi="Calibri"/>
          <w:b w:val="0"/>
          <w:i/>
          <w:color w:val="556168"/>
          <w:sz w:val="25"/>
        </w:rPr>
        <w:t>For external Internal-Committee members and case support</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Read this first</w:t>
            </w:r>
          </w:p>
          <w:p>
            <w:r>
              <w:rPr>
                <w:rFonts w:ascii="Calibri" w:hAnsi="Calibri"/>
                <w:b w:val="0"/>
                <w:i w:val="0"/>
                <w:color w:val="1B2A32"/>
                <w:sz w:val="19"/>
              </w:rPr>
              <w:t xml:space="preserve">Equator </w:t>
            </w:r>
            <w:r>
              <w:rPr>
                <w:rFonts w:ascii="Calibri" w:hAnsi="Calibri"/>
                <w:b/>
                <w:i w:val="0"/>
                <w:color w:val="1B2A32"/>
                <w:sz w:val="19"/>
              </w:rPr>
              <w:t>supports</w:t>
            </w:r>
            <w:r>
              <w:rPr>
                <w:rFonts w:ascii="Calibri" w:hAnsi="Calibri"/>
                <w:b w:val="0"/>
                <w:i w:val="0"/>
                <w:color w:val="1B2A32"/>
                <w:sz w:val="19"/>
              </w:rPr>
              <w:t xml:space="preserve"> the Internal Committee; it does not replace it. Nothing in this guide authorises the Institution or any individual to conduct the statutory inquiry in place of a properly constituted Committee, to divert a complaint, or to base a section 10 conciliation on money.</w:t>
            </w:r>
          </w:p>
        </w:tc>
      </w:tr>
    </w:tbl>
    <w:p>
      <w:pPr>
        <w:spacing w:after="40"/>
      </w:pPr>
    </w:p>
    <w:p>
      <w:pPr>
        <w:keepNext/>
        <w:spacing w:before="280" w:after="120"/>
        <w:pBdr>
          <w:bottom w:val="single" w:sz="12" w:space="3" w:color="C6A15B"/>
        </w:pBdr>
      </w:pPr>
      <w:r>
        <w:rPr>
          <w:rFonts w:ascii="Calibri" w:hAnsi="Calibri"/>
          <w:b/>
          <w:i w:val="0"/>
          <w:color w:val="123B4F"/>
          <w:sz w:val="32"/>
        </w:rPr>
        <w:t>The Committee</w:t>
      </w:r>
    </w:p>
    <w:p>
      <w:pPr>
        <w:spacing w:after="120"/>
        <w:jc w:val="both"/>
      </w:pPr>
      <w:r>
        <w:rPr>
          <w:rFonts w:ascii="Calibri" w:hAnsi="Calibri"/>
          <w:b w:val="0"/>
          <w:i w:val="0"/>
          <w:color w:val="1B2A32"/>
          <w:sz w:val="21"/>
        </w:rPr>
        <w:t xml:space="preserve">A properly constituted </w:t>
      </w:r>
      <w:r>
        <w:rPr>
          <w:rFonts w:ascii="Calibri" w:hAnsi="Calibri"/>
          <w:b/>
          <w:i w:val="0"/>
          <w:color w:val="1B2A32"/>
          <w:sz w:val="21"/>
        </w:rPr>
        <w:t>Internal Committee</w:t>
      </w:r>
      <w:r>
        <w:rPr>
          <w:rFonts w:ascii="Calibri" w:hAnsi="Calibri"/>
          <w:b w:val="0"/>
          <w:i w:val="0"/>
          <w:color w:val="1B2A32"/>
          <w:sz w:val="21"/>
        </w:rPr>
        <w:t xml:space="preserve"> under section 4 has a </w:t>
      </w:r>
      <w:r>
        <w:rPr>
          <w:rFonts w:ascii="Calibri" w:hAnsi="Calibri"/>
          <w:b/>
          <w:i w:val="0"/>
          <w:color w:val="1B2A32"/>
          <w:sz w:val="21"/>
        </w:rPr>
        <w:t>Presiding Officer</w:t>
      </w:r>
      <w:r>
        <w:rPr>
          <w:rFonts w:ascii="Calibri" w:hAnsi="Calibri"/>
          <w:b w:val="0"/>
          <w:i w:val="0"/>
          <w:color w:val="1B2A32"/>
          <w:sz w:val="21"/>
        </w:rPr>
        <w:t xml:space="preserve"> who is a woman employed at a senior level, at least two members from among employees preferably committed to the cause of women or with relevant social-work or legal experience, and </w:t>
      </w:r>
      <w:r>
        <w:rPr>
          <w:rFonts w:ascii="Calibri" w:hAnsi="Calibri"/>
          <w:b/>
          <w:i w:val="0"/>
          <w:color w:val="1B2A32"/>
          <w:sz w:val="21"/>
        </w:rPr>
        <w:t>at least one external member</w:t>
      </w:r>
      <w:r>
        <w:rPr>
          <w:rFonts w:ascii="Calibri" w:hAnsi="Calibri"/>
          <w:b w:val="0"/>
          <w:i w:val="0"/>
          <w:color w:val="1B2A32"/>
          <w:sz w:val="21"/>
        </w:rPr>
        <w:t xml:space="preserve"> from an NGO or association committed to the cause of women, or a person familiar with issues relating to sexual harassment. </w:t>
      </w:r>
      <w:r>
        <w:rPr>
          <w:rFonts w:ascii="Calibri" w:hAnsi="Calibri"/>
          <w:b/>
          <w:i w:val="0"/>
          <w:color w:val="1B2A32"/>
          <w:sz w:val="21"/>
        </w:rPr>
        <w:t>At least half the members must be women.</w:t>
      </w:r>
      <w:r>
        <w:rPr>
          <w:rFonts w:ascii="Calibri" w:hAnsi="Calibri"/>
          <w:b w:val="0"/>
          <w:i w:val="0"/>
          <w:color w:val="1B2A32"/>
          <w:sz w:val="21"/>
        </w:rPr>
        <w:t xml:space="preserve"> A Committee that lacks the external member is not properly constituted, and its proceedings are vulnerable.</w:t>
      </w:r>
    </w:p>
    <w:p>
      <w:pPr>
        <w:jc w:val="center"/>
      </w:pPr>
      <w:r>
        <w:drawing>
          <wp:inline xmlns:a="http://schemas.openxmlformats.org/drawingml/2006/main" xmlns:pic="http://schemas.openxmlformats.org/drawingml/2006/picture">
            <wp:extent cx="4937760" cy="6500342"/>
            <wp:docPr id="1" name="Picture 1"/>
            <wp:cNvGraphicFramePr>
              <a:graphicFrameLocks noChangeAspect="1"/>
            </wp:cNvGraphicFramePr>
            <a:graphic>
              <a:graphicData uri="http://schemas.openxmlformats.org/drawingml/2006/picture">
                <pic:pic>
                  <pic:nvPicPr>
                    <pic:cNvPr id="0" name="wp03_posh.png"/>
                    <pic:cNvPicPr/>
                  </pic:nvPicPr>
                  <pic:blipFill>
                    <a:blip r:embed="rId11"/>
                    <a:stretch>
                      <a:fillRect/>
                    </a:stretch>
                  </pic:blipFill>
                  <pic:spPr>
                    <a:xfrm>
                      <a:off x="0" y="0"/>
                      <a:ext cx="4937760" cy="6500342"/>
                    </a:xfrm>
                    <a:prstGeom prst="rect"/>
                  </pic:spPr>
                </pic:pic>
              </a:graphicData>
            </a:graphic>
          </wp:inline>
        </w:drawing>
      </w:r>
    </w:p>
    <w:p>
      <w:pPr>
        <w:jc w:val="center"/>
      </w:pPr>
      <w:r>
        <w:rPr>
          <w:rFonts w:ascii="Calibri" w:hAnsi="Calibri"/>
          <w:b w:val="0"/>
          <w:i/>
          <w:color w:val="556168"/>
          <w:sz w:val="17"/>
        </w:rPr>
        <w:t>Figure — the statutory process and its timelines.</w:t>
      </w:r>
    </w:p>
    <w:p>
      <w:pPr>
        <w:keepNext/>
        <w:spacing w:before="280" w:after="120"/>
        <w:pBdr>
          <w:bottom w:val="single" w:sz="12" w:space="3" w:color="C6A15B"/>
        </w:pBdr>
      </w:pPr>
      <w:r>
        <w:rPr>
          <w:rFonts w:ascii="Calibri" w:hAnsi="Calibri"/>
          <w:b/>
          <w:i w:val="0"/>
          <w:color w:val="123B4F"/>
          <w:sz w:val="32"/>
        </w:rPr>
        <w:t>1.  Section 10 conciliation — the narrow gate</w:t>
      </w:r>
    </w:p>
    <w:tbl>
      <w:tblPr>
        <w:tblStyle w:val="TableGrid"/>
        <w:tblW w:type="auto" w:w="0"/>
        <w:jc w:val="center"/>
        <w:tblLook w:firstColumn="1" w:firstRow="1" w:lastColumn="0" w:lastRow="0" w:noHBand="0" w:noVBand="1" w:val="04A0"/>
      </w:tblPr>
      <w:tblGrid>
        <w:gridCol w:w="4752"/>
        <w:gridCol w:w="4752"/>
      </w:tblGrid>
      <w:tr>
        <w:tc>
          <w:tcPr>
            <w:tcW w:type="dxa" w:w="2880"/>
            <w:shd w:val="clear" w:fill="123B4F"/>
          </w:tcPr>
          <w:p>
            <w:r/>
            <w:r>
              <w:rPr>
                <w:rFonts w:ascii="Calibri" w:hAnsi="Calibri"/>
                <w:b/>
                <w:i w:val="0"/>
                <w:color w:val="FFFFFF"/>
                <w:sz w:val="17"/>
              </w:rPr>
              <w:t>Question</w:t>
            </w:r>
          </w:p>
        </w:tc>
        <w:tc>
          <w:tcPr>
            <w:tcW w:type="dxa" w:w="6624"/>
            <w:shd w:val="clear" w:fill="123B4F"/>
          </w:tcPr>
          <w:p>
            <w:r/>
            <w:r>
              <w:rPr>
                <w:rFonts w:ascii="Calibri" w:hAnsi="Calibri"/>
                <w:b/>
                <w:i w:val="0"/>
                <w:color w:val="FFFFFF"/>
                <w:sz w:val="17"/>
              </w:rPr>
              <w:t>The answer</w:t>
            </w:r>
          </w:p>
        </w:tc>
      </w:tr>
      <w:tr>
        <w:tc>
          <w:tcPr>
            <w:tcW w:type="dxa" w:w="2880"/>
          </w:tcPr>
          <w:p>
            <w:r/>
            <w:r>
              <w:rPr>
                <w:rFonts w:ascii="Calibri" w:hAnsi="Calibri"/>
                <w:b w:val="0"/>
                <w:i w:val="0"/>
                <w:color w:val="1B2A32"/>
                <w:sz w:val="17"/>
              </w:rPr>
              <w:t>Who may ask for it?</w:t>
            </w:r>
          </w:p>
        </w:tc>
        <w:tc>
          <w:tcPr>
            <w:tcW w:type="dxa" w:w="6624"/>
          </w:tcPr>
          <w:p>
            <w:r/>
            <w:r>
              <w:rPr>
                <w:rFonts w:ascii="Calibri" w:hAnsi="Calibri"/>
                <w:b/>
                <w:i w:val="0"/>
                <w:color w:val="1B2A32"/>
                <w:sz w:val="17"/>
              </w:rPr>
              <w:t>Only the aggrieved woman.</w:t>
            </w:r>
            <w:r>
              <w:rPr>
                <w:rFonts w:ascii="Calibri" w:hAnsi="Calibri"/>
                <w:b w:val="0"/>
                <w:i w:val="0"/>
                <w:color w:val="1B2A32"/>
                <w:sz w:val="17"/>
              </w:rPr>
              <w:t xml:space="preserve"> The Committee cannot initiate it, and the respondent cannot request it.</w:t>
            </w:r>
          </w:p>
        </w:tc>
      </w:tr>
      <w:tr>
        <w:tc>
          <w:tcPr>
            <w:tcW w:type="dxa" w:w="2880"/>
            <w:shd w:val="clear" w:fill="F3F7F9"/>
          </w:tcPr>
          <w:p>
            <w:r/>
            <w:r>
              <w:rPr>
                <w:rFonts w:ascii="Calibri" w:hAnsi="Calibri"/>
                <w:b w:val="0"/>
                <w:i w:val="0"/>
                <w:color w:val="1B2A32"/>
                <w:sz w:val="17"/>
              </w:rPr>
              <w:t>When?</w:t>
            </w:r>
          </w:p>
        </w:tc>
        <w:tc>
          <w:tcPr>
            <w:tcW w:type="dxa" w:w="6624"/>
            <w:shd w:val="clear" w:fill="F3F7F9"/>
          </w:tcPr>
          <w:p>
            <w:r/>
            <w:r>
              <w:rPr>
                <w:rFonts w:ascii="Calibri" w:hAnsi="Calibri"/>
                <w:b/>
                <w:i w:val="0"/>
                <w:color w:val="1B2A32"/>
                <w:sz w:val="17"/>
              </w:rPr>
              <w:t>Before</w:t>
            </w:r>
            <w:r>
              <w:rPr>
                <w:rFonts w:ascii="Calibri" w:hAnsi="Calibri"/>
                <w:b w:val="0"/>
                <w:i w:val="0"/>
                <w:color w:val="1B2A32"/>
                <w:sz w:val="17"/>
              </w:rPr>
              <w:t xml:space="preserve"> the inquiry begins.</w:t>
            </w:r>
          </w:p>
        </w:tc>
      </w:tr>
      <w:tr>
        <w:tc>
          <w:tcPr>
            <w:tcW w:type="dxa" w:w="2880"/>
          </w:tcPr>
          <w:p>
            <w:r/>
            <w:r>
              <w:rPr>
                <w:rFonts w:ascii="Calibri" w:hAnsi="Calibri"/>
                <w:b w:val="0"/>
                <w:i w:val="0"/>
                <w:color w:val="1B2A32"/>
                <w:sz w:val="17"/>
              </w:rPr>
              <w:t>Can money be the basis?</w:t>
            </w:r>
          </w:p>
        </w:tc>
        <w:tc>
          <w:tcPr>
            <w:tcW w:type="dxa" w:w="6624"/>
          </w:tcPr>
          <w:p>
            <w:r/>
            <w:r>
              <w:rPr>
                <w:rFonts w:ascii="Calibri" w:hAnsi="Calibri"/>
                <w:b/>
                <w:i w:val="0"/>
                <w:color w:val="1B2A32"/>
                <w:sz w:val="17"/>
              </w:rPr>
              <w:t>No.</w:t>
            </w:r>
            <w:r>
              <w:rPr>
                <w:rFonts w:ascii="Calibri" w:hAnsi="Calibri"/>
                <w:b w:val="0"/>
                <w:i w:val="0"/>
                <w:color w:val="1B2A32"/>
                <w:sz w:val="17"/>
              </w:rPr>
              <w:t xml:space="preserve"> No monetary settlement may be made the basis of conciliation.</w:t>
            </w:r>
          </w:p>
        </w:tc>
      </w:tr>
      <w:tr>
        <w:tc>
          <w:tcPr>
            <w:tcW w:type="dxa" w:w="2880"/>
            <w:shd w:val="clear" w:fill="F3F7F9"/>
          </w:tcPr>
          <w:p>
            <w:r/>
            <w:r>
              <w:rPr>
                <w:rFonts w:ascii="Calibri" w:hAnsi="Calibri"/>
                <w:b w:val="0"/>
                <w:i w:val="0"/>
                <w:color w:val="1B2A32"/>
                <w:sz w:val="17"/>
              </w:rPr>
              <w:t>What may the terms contain?</w:t>
            </w:r>
          </w:p>
        </w:tc>
        <w:tc>
          <w:tcPr>
            <w:tcW w:type="dxa" w:w="6624"/>
            <w:shd w:val="clear" w:fill="F3F7F9"/>
          </w:tcPr>
          <w:p>
            <w:r/>
            <w:r>
              <w:rPr>
                <w:rFonts w:ascii="Calibri" w:hAnsi="Calibri"/>
                <w:b w:val="0"/>
                <w:i w:val="0"/>
                <w:color w:val="1B2A32"/>
                <w:sz w:val="17"/>
              </w:rPr>
              <w:t>Corrective action, an apology, a transfer, an assurance against retaliation, changes to working arrangements — non-monetary undertakings.</w:t>
            </w:r>
          </w:p>
        </w:tc>
      </w:tr>
      <w:tr>
        <w:tc>
          <w:tcPr>
            <w:tcW w:type="dxa" w:w="2880"/>
          </w:tcPr>
          <w:p>
            <w:r/>
            <w:r>
              <w:rPr>
                <w:rFonts w:ascii="Calibri" w:hAnsi="Calibri"/>
                <w:b w:val="0"/>
                <w:i w:val="0"/>
                <w:color w:val="1B2A32"/>
                <w:sz w:val="17"/>
              </w:rPr>
              <w:t>What happens to the terms?</w:t>
            </w:r>
          </w:p>
        </w:tc>
        <w:tc>
          <w:tcPr>
            <w:tcW w:type="dxa" w:w="6624"/>
          </w:tcPr>
          <w:p>
            <w:r/>
            <w:r>
              <w:rPr>
                <w:rFonts w:ascii="Calibri" w:hAnsi="Calibri"/>
                <w:b w:val="0"/>
                <w:i w:val="0"/>
                <w:color w:val="1B2A32"/>
                <w:sz w:val="17"/>
              </w:rPr>
              <w:t xml:space="preserve">The Committee </w:t>
            </w:r>
            <w:r>
              <w:rPr>
                <w:rFonts w:ascii="Calibri" w:hAnsi="Calibri"/>
                <w:b/>
                <w:i w:val="0"/>
                <w:color w:val="1B2A32"/>
                <w:sz w:val="17"/>
              </w:rPr>
              <w:t>records</w:t>
            </w:r>
            <w:r>
              <w:rPr>
                <w:rFonts w:ascii="Calibri" w:hAnsi="Calibri"/>
                <w:b w:val="0"/>
                <w:i w:val="0"/>
                <w:color w:val="1B2A32"/>
                <w:sz w:val="17"/>
              </w:rPr>
              <w:t xml:space="preserve"> them and forwards them to the employer for implementation, with copies to both parties.</w:t>
            </w:r>
          </w:p>
        </w:tc>
      </w:tr>
      <w:tr>
        <w:tc>
          <w:tcPr>
            <w:tcW w:type="dxa" w:w="2880"/>
            <w:shd w:val="clear" w:fill="F3F7F9"/>
          </w:tcPr>
          <w:p>
            <w:r/>
            <w:r>
              <w:rPr>
                <w:rFonts w:ascii="Calibri" w:hAnsi="Calibri"/>
                <w:b w:val="0"/>
                <w:i w:val="0"/>
                <w:color w:val="1B2A32"/>
                <w:sz w:val="17"/>
              </w:rPr>
              <w:t>If the respondent does not comply?</w:t>
            </w:r>
          </w:p>
        </w:tc>
        <w:tc>
          <w:tcPr>
            <w:tcW w:type="dxa" w:w="6624"/>
            <w:shd w:val="clear" w:fill="F3F7F9"/>
          </w:tcPr>
          <w:p>
            <w:r/>
            <w:r>
              <w:rPr>
                <w:rFonts w:ascii="Calibri" w:hAnsi="Calibri"/>
                <w:b w:val="0"/>
                <w:i w:val="0"/>
                <w:color w:val="1B2A32"/>
                <w:sz w:val="17"/>
              </w:rPr>
              <w:t xml:space="preserve">The Committee </w:t>
            </w:r>
            <w:r>
              <w:rPr>
                <w:rFonts w:ascii="Calibri" w:hAnsi="Calibri"/>
                <w:b/>
                <w:i w:val="0"/>
                <w:color w:val="1B2A32"/>
                <w:sz w:val="17"/>
              </w:rPr>
              <w:t>proceeds with an inquiry</w:t>
            </w:r>
            <w:r>
              <w:rPr>
                <w:rFonts w:ascii="Calibri" w:hAnsi="Calibri"/>
                <w:b w:val="0"/>
                <w:i w:val="0"/>
                <w:color w:val="1B2A32"/>
                <w:sz w:val="17"/>
              </w:rPr>
              <w:t>.</w:t>
            </w:r>
          </w:p>
        </w:tc>
      </w:tr>
      <w:tr>
        <w:tc>
          <w:tcPr>
            <w:tcW w:type="dxa" w:w="2880"/>
          </w:tcPr>
          <w:p>
            <w:r/>
            <w:r>
              <w:rPr>
                <w:rFonts w:ascii="Calibri" w:hAnsi="Calibri"/>
                <w:b w:val="0"/>
                <w:i w:val="0"/>
                <w:color w:val="1B2A32"/>
                <w:sz w:val="17"/>
              </w:rPr>
              <w:t>Does she lose anything by trying?</w:t>
            </w:r>
          </w:p>
        </w:tc>
        <w:tc>
          <w:tcPr>
            <w:tcW w:type="dxa" w:w="6624"/>
          </w:tcPr>
          <w:p>
            <w:r/>
            <w:r>
              <w:rPr>
                <w:rFonts w:ascii="Calibri" w:hAnsi="Calibri"/>
                <w:b w:val="0"/>
                <w:i w:val="0"/>
                <w:color w:val="1B2A32"/>
                <w:sz w:val="17"/>
              </w:rPr>
              <w:t>No. She may opt for an inquiry at any point.</w:t>
            </w:r>
          </w:p>
        </w:tc>
      </w:tr>
    </w:tbl>
    <w:p>
      <w:pPr>
        <w:spacing w:after="40"/>
      </w:pPr>
    </w:p>
    <w:p>
      <w:pPr>
        <w:keepNext/>
        <w:spacing w:before="280" w:after="120"/>
        <w:pBdr>
          <w:bottom w:val="single" w:sz="12" w:space="3" w:color="C6A15B"/>
        </w:pBdr>
      </w:pPr>
      <w:r>
        <w:rPr>
          <w:rFonts w:ascii="Calibri" w:hAnsi="Calibri"/>
          <w:b/>
          <w:i w:val="0"/>
          <w:color w:val="123B4F"/>
          <w:sz w:val="32"/>
        </w:rPr>
        <w:t>2.  Running an inquiry that will stand</w:t>
      </w:r>
    </w:p>
    <w:p>
      <w:pPr>
        <w:pStyle w:val="ListNumber"/>
        <w:spacing w:after="60"/>
        <w:jc w:val="both"/>
      </w:pPr>
      <w:r>
        <w:rPr>
          <w:rFonts w:ascii="Calibri" w:hAnsi="Calibri"/>
          <w:b w:val="0"/>
          <w:i w:val="0"/>
          <w:color w:val="1B2A32"/>
          <w:sz w:val="21"/>
        </w:rPr>
        <w:t xml:space="preserve">Give the respondent a </w:t>
      </w:r>
      <w:r>
        <w:rPr>
          <w:rFonts w:ascii="Calibri" w:hAnsi="Calibri"/>
          <w:b/>
          <w:i w:val="0"/>
          <w:color w:val="1B2A32"/>
          <w:sz w:val="21"/>
        </w:rPr>
        <w:t>copy of the complaint</w:t>
      </w:r>
      <w:r>
        <w:rPr>
          <w:rFonts w:ascii="Calibri" w:hAnsi="Calibri"/>
          <w:b w:val="0"/>
          <w:i w:val="0"/>
          <w:color w:val="1B2A32"/>
          <w:sz w:val="21"/>
        </w:rPr>
        <w:t xml:space="preserve"> and </w:t>
      </w:r>
      <w:r>
        <w:rPr>
          <w:rFonts w:ascii="Calibri" w:hAnsi="Calibri"/>
          <w:b/>
          <w:i w:val="0"/>
          <w:color w:val="1B2A32"/>
          <w:sz w:val="21"/>
        </w:rPr>
        <w:t>ten working days</w:t>
      </w:r>
      <w:r>
        <w:rPr>
          <w:rFonts w:ascii="Calibri" w:hAnsi="Calibri"/>
          <w:b w:val="0"/>
          <w:i w:val="0"/>
          <w:color w:val="1B2A32"/>
          <w:sz w:val="21"/>
        </w:rPr>
        <w:t xml:space="preserve"> to reply.</w:t>
      </w:r>
    </w:p>
    <w:p>
      <w:pPr>
        <w:pStyle w:val="ListNumber"/>
        <w:spacing w:after="60"/>
        <w:jc w:val="both"/>
      </w:pPr>
      <w:r>
        <w:rPr>
          <w:rFonts w:ascii="Calibri" w:hAnsi="Calibri"/>
          <w:b w:val="0"/>
          <w:i w:val="0"/>
          <w:color w:val="1B2A32"/>
          <w:sz w:val="21"/>
        </w:rPr>
        <w:t>Hear both parties; allow each to lead evidence and to see the material relied on against them.</w:t>
      </w:r>
    </w:p>
    <w:p>
      <w:pPr>
        <w:pStyle w:val="ListNumber"/>
        <w:spacing w:after="60"/>
        <w:jc w:val="both"/>
      </w:pPr>
      <w:r>
        <w:rPr>
          <w:rFonts w:ascii="Calibri" w:hAnsi="Calibri"/>
          <w:b/>
          <w:i w:val="0"/>
          <w:color w:val="1B2A32"/>
          <w:sz w:val="21"/>
        </w:rPr>
        <w:t>No legal practitioner represents</w:t>
      </w:r>
      <w:r>
        <w:rPr>
          <w:rFonts w:ascii="Calibri" w:hAnsi="Calibri"/>
          <w:b w:val="0"/>
          <w:i w:val="0"/>
          <w:color w:val="1B2A32"/>
          <w:sz w:val="21"/>
        </w:rPr>
        <w:t xml:space="preserve"> either party in the inquiry.</w:t>
      </w:r>
    </w:p>
    <w:p>
      <w:pPr>
        <w:pStyle w:val="ListNumber"/>
        <w:spacing w:after="60"/>
        <w:jc w:val="both"/>
      </w:pPr>
      <w:r>
        <w:rPr>
          <w:rFonts w:ascii="Calibri" w:hAnsi="Calibri"/>
          <w:b w:val="0"/>
          <w:i w:val="0"/>
          <w:color w:val="1B2A32"/>
          <w:sz w:val="21"/>
        </w:rPr>
        <w:t xml:space="preserve">Consider </w:t>
      </w:r>
      <w:r>
        <w:rPr>
          <w:rFonts w:ascii="Calibri" w:hAnsi="Calibri"/>
          <w:b/>
          <w:i w:val="0"/>
          <w:color w:val="1B2A32"/>
          <w:sz w:val="21"/>
        </w:rPr>
        <w:t>interim relief</w:t>
      </w:r>
      <w:r>
        <w:rPr>
          <w:rFonts w:ascii="Calibri" w:hAnsi="Calibri"/>
          <w:b w:val="0"/>
          <w:i w:val="0"/>
          <w:color w:val="1B2A32"/>
          <w:sz w:val="21"/>
        </w:rPr>
        <w:t xml:space="preserve"> on the complainant's written request — transfer, leave of up to three months in addition to entitlement, or restraining the respondent from appraising her work.</w:t>
      </w:r>
    </w:p>
    <w:p>
      <w:pPr>
        <w:pStyle w:val="ListNumber"/>
        <w:spacing w:after="60"/>
        <w:jc w:val="both"/>
      </w:pPr>
      <w:r>
        <w:rPr>
          <w:rFonts w:ascii="Calibri" w:hAnsi="Calibri"/>
          <w:b w:val="0"/>
          <w:i w:val="0"/>
          <w:color w:val="1B2A32"/>
          <w:sz w:val="21"/>
        </w:rPr>
        <w:t xml:space="preserve">Complete the inquiry within </w:t>
      </w:r>
      <w:r>
        <w:rPr>
          <w:rFonts w:ascii="Calibri" w:hAnsi="Calibri"/>
          <w:b/>
          <w:i w:val="0"/>
          <w:color w:val="1B2A32"/>
          <w:sz w:val="21"/>
        </w:rPr>
        <w:t>90 days</w:t>
      </w:r>
      <w:r>
        <w:rPr>
          <w:rFonts w:ascii="Calibri" w:hAnsi="Calibri"/>
          <w:b w:val="0"/>
          <w:i w:val="0"/>
          <w:color w:val="1B2A32"/>
          <w:sz w:val="21"/>
        </w:rPr>
        <w:t xml:space="preserve">; submit the report within </w:t>
      </w:r>
      <w:r>
        <w:rPr>
          <w:rFonts w:ascii="Calibri" w:hAnsi="Calibri"/>
          <w:b/>
          <w:i w:val="0"/>
          <w:color w:val="1B2A32"/>
          <w:sz w:val="21"/>
        </w:rPr>
        <w:t>10 days</w:t>
      </w:r>
      <w:r>
        <w:rPr>
          <w:rFonts w:ascii="Calibri" w:hAnsi="Calibri"/>
          <w:b w:val="0"/>
          <w:i w:val="0"/>
          <w:color w:val="1B2A32"/>
          <w:sz w:val="21"/>
        </w:rPr>
        <w:t xml:space="preserve"> of concluding it.</w:t>
      </w:r>
    </w:p>
    <w:p>
      <w:pPr>
        <w:pStyle w:val="ListNumber"/>
        <w:spacing w:after="60"/>
        <w:jc w:val="both"/>
      </w:pPr>
      <w:r>
        <w:rPr>
          <w:rFonts w:ascii="Calibri" w:hAnsi="Calibri"/>
          <w:b w:val="0"/>
          <w:i w:val="0"/>
          <w:color w:val="1B2A32"/>
          <w:sz w:val="21"/>
        </w:rPr>
        <w:t xml:space="preserve">Record findings </w:t>
      </w:r>
      <w:r>
        <w:rPr>
          <w:rFonts w:ascii="Calibri" w:hAnsi="Calibri"/>
          <w:b/>
          <w:i w:val="0"/>
          <w:color w:val="1B2A32"/>
          <w:sz w:val="21"/>
        </w:rPr>
        <w:t>with reasons</w:t>
      </w:r>
      <w:r>
        <w:rPr>
          <w:rFonts w:ascii="Calibri" w:hAnsi="Calibri"/>
          <w:b w:val="0"/>
          <w:i w:val="0"/>
          <w:color w:val="1B2A32"/>
          <w:sz w:val="21"/>
        </w:rPr>
        <w:t>; recommend action and, where appropriate, compensation.</w:t>
      </w:r>
    </w:p>
    <w:p>
      <w:pPr>
        <w:pStyle w:val="ListNumber"/>
        <w:spacing w:after="60"/>
        <w:jc w:val="both"/>
      </w:pPr>
      <w:r>
        <w:rPr>
          <w:rFonts w:ascii="Calibri" w:hAnsi="Calibri"/>
          <w:b w:val="0"/>
          <w:i w:val="0"/>
          <w:color w:val="1B2A32"/>
          <w:sz w:val="21"/>
        </w:rPr>
        <w:t xml:space="preserve">The employer acts within </w:t>
      </w:r>
      <w:r>
        <w:rPr>
          <w:rFonts w:ascii="Calibri" w:hAnsi="Calibri"/>
          <w:b/>
          <w:i w:val="0"/>
          <w:color w:val="1B2A32"/>
          <w:sz w:val="21"/>
        </w:rPr>
        <w:t>60 days</w:t>
      </w:r>
      <w:r>
        <w:rPr>
          <w:rFonts w:ascii="Calibri" w:hAnsi="Calibri"/>
          <w:b w:val="0"/>
          <w:i w:val="0"/>
          <w:color w:val="1B2A32"/>
          <w:sz w:val="21"/>
        </w:rPr>
        <w:t xml:space="preserve">; either party may appeal within </w:t>
      </w:r>
      <w:r>
        <w:rPr>
          <w:rFonts w:ascii="Calibri" w:hAnsi="Calibri"/>
          <w:b/>
          <w:i w:val="0"/>
          <w:color w:val="1B2A32"/>
          <w:sz w:val="21"/>
        </w:rPr>
        <w:t>90 days</w:t>
      </w:r>
      <w:r>
        <w:rPr>
          <w:rFonts w:ascii="Calibri" w:hAnsi="Calibri"/>
          <w:b w:val="0"/>
          <w:i w:val="0"/>
          <w:color w:val="1B2A32"/>
          <w:sz w:val="21"/>
        </w:rPr>
        <w:t>.</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Never ask</w:t>
            </w:r>
          </w:p>
          <w:p>
            <w:r>
              <w:rPr>
                <w:rFonts w:ascii="Calibri" w:hAnsi="Calibri"/>
                <w:b w:val="0"/>
                <w:i w:val="0"/>
                <w:color w:val="1B2A32"/>
                <w:sz w:val="19"/>
              </w:rPr>
              <w:t>Do not question a complainant about her character, her dress, her personal life or her sexual history. It is irrelevant, it is harmful, and it will discredit the inquiry.</w:t>
            </w:r>
          </w:p>
        </w:tc>
      </w:tr>
    </w:tbl>
    <w:p>
      <w:pPr>
        <w:spacing w:after="40"/>
      </w:pPr>
    </w:p>
    <w:p>
      <w:pPr>
        <w:keepNext/>
        <w:spacing w:before="280" w:after="120"/>
        <w:pBdr>
          <w:bottom w:val="single" w:sz="12" w:space="3" w:color="C6A15B"/>
        </w:pBdr>
      </w:pPr>
      <w:r>
        <w:rPr>
          <w:rFonts w:ascii="Calibri" w:hAnsi="Calibri"/>
          <w:b/>
          <w:i w:val="0"/>
          <w:color w:val="123B4F"/>
          <w:sz w:val="32"/>
        </w:rPr>
        <w:t>3.  Compensation — the factors</w:t>
      </w:r>
    </w:p>
    <w:p>
      <w:pPr>
        <w:spacing w:after="120"/>
        <w:jc w:val="both"/>
      </w:pPr>
      <w:r>
        <w:rPr>
          <w:rFonts w:ascii="Calibri" w:hAnsi="Calibri"/>
          <w:b w:val="0"/>
          <w:i w:val="0"/>
          <w:color w:val="1B2A32"/>
          <w:sz w:val="21"/>
        </w:rPr>
        <w:t xml:space="preserve">Where compensation is recommended, the Act directs regard to the </w:t>
      </w:r>
      <w:r>
        <w:rPr>
          <w:rFonts w:ascii="Calibri" w:hAnsi="Calibri"/>
          <w:b/>
          <w:i w:val="0"/>
          <w:color w:val="1B2A32"/>
          <w:sz w:val="21"/>
        </w:rPr>
        <w:t>mental trauma, pain, suffering and emotional distress</w:t>
      </w:r>
      <w:r>
        <w:rPr>
          <w:rFonts w:ascii="Calibri" w:hAnsi="Calibri"/>
          <w:b w:val="0"/>
          <w:i w:val="0"/>
          <w:color w:val="1B2A32"/>
          <w:sz w:val="21"/>
        </w:rPr>
        <w:t xml:space="preserve"> caused; the </w:t>
      </w:r>
      <w:r>
        <w:rPr>
          <w:rFonts w:ascii="Calibri" w:hAnsi="Calibri"/>
          <w:b/>
          <w:i w:val="0"/>
          <w:color w:val="1B2A32"/>
          <w:sz w:val="21"/>
        </w:rPr>
        <w:t>loss of career opportunity</w:t>
      </w:r>
      <w:r>
        <w:rPr>
          <w:rFonts w:ascii="Calibri" w:hAnsi="Calibri"/>
          <w:b w:val="0"/>
          <w:i w:val="0"/>
          <w:color w:val="1B2A32"/>
          <w:sz w:val="21"/>
        </w:rPr>
        <w:t xml:space="preserve">; </w:t>
      </w:r>
      <w:r>
        <w:rPr>
          <w:rFonts w:ascii="Calibri" w:hAnsi="Calibri"/>
          <w:b/>
          <w:i w:val="0"/>
          <w:color w:val="1B2A32"/>
          <w:sz w:val="21"/>
        </w:rPr>
        <w:t>medical expenses</w:t>
      </w:r>
      <w:r>
        <w:rPr>
          <w:rFonts w:ascii="Calibri" w:hAnsi="Calibri"/>
          <w:b w:val="0"/>
          <w:i w:val="0"/>
          <w:color w:val="1B2A32"/>
          <w:sz w:val="21"/>
        </w:rPr>
        <w:t xml:space="preserve"> incurred; the </w:t>
      </w:r>
      <w:r>
        <w:rPr>
          <w:rFonts w:ascii="Calibri" w:hAnsi="Calibri"/>
          <w:b/>
          <w:i w:val="0"/>
          <w:color w:val="1B2A32"/>
          <w:sz w:val="21"/>
        </w:rPr>
        <w:t>income and financial status</w:t>
      </w:r>
      <w:r>
        <w:rPr>
          <w:rFonts w:ascii="Calibri" w:hAnsi="Calibri"/>
          <w:b w:val="0"/>
          <w:i w:val="0"/>
          <w:color w:val="1B2A32"/>
          <w:sz w:val="21"/>
        </w:rPr>
        <w:t xml:space="preserve"> of the respondent; and the </w:t>
      </w:r>
      <w:r>
        <w:rPr>
          <w:rFonts w:ascii="Calibri" w:hAnsi="Calibri"/>
          <w:b/>
          <w:i w:val="0"/>
          <w:color w:val="1B2A32"/>
          <w:sz w:val="21"/>
        </w:rPr>
        <w:t>feasibility of payment</w:t>
      </w:r>
      <w:r>
        <w:rPr>
          <w:rFonts w:ascii="Calibri" w:hAnsi="Calibri"/>
          <w:b w:val="0"/>
          <w:i w:val="0"/>
          <w:color w:val="1B2A32"/>
          <w:sz w:val="21"/>
        </w:rPr>
        <w:t>, whether in a lump sum or instalments.</w:t>
      </w:r>
    </w:p>
    <w:p>
      <w:pPr>
        <w:keepNext/>
        <w:spacing w:before="280" w:after="120"/>
        <w:pBdr>
          <w:bottom w:val="single" w:sz="12" w:space="3" w:color="C6A15B"/>
        </w:pBdr>
      </w:pPr>
      <w:r>
        <w:rPr>
          <w:rFonts w:ascii="Calibri" w:hAnsi="Calibri"/>
          <w:b/>
          <w:i w:val="0"/>
          <w:color w:val="123B4F"/>
          <w:sz w:val="32"/>
        </w:rPr>
        <w:t>4.  Malicious complaints — handle with great care</w:t>
      </w:r>
    </w:p>
    <w:p>
      <w:pPr>
        <w:spacing w:after="120"/>
        <w:jc w:val="both"/>
      </w:pPr>
      <w:r>
        <w:rPr>
          <w:rFonts w:ascii="Calibri" w:hAnsi="Calibri"/>
          <w:b w:val="0"/>
          <w:i w:val="0"/>
          <w:color w:val="1B2A32"/>
          <w:sz w:val="21"/>
        </w:rPr>
        <w:t xml:space="preserve">The Act permits action where a complaint is found </w:t>
      </w:r>
      <w:r>
        <w:rPr>
          <w:rFonts w:ascii="Calibri" w:hAnsi="Calibri"/>
          <w:b/>
          <w:i w:val="0"/>
          <w:color w:val="1B2A32"/>
          <w:sz w:val="21"/>
        </w:rPr>
        <w:t>malicious</w:t>
      </w:r>
      <w:r>
        <w:rPr>
          <w:rFonts w:ascii="Calibri" w:hAnsi="Calibri"/>
          <w:b w:val="0"/>
          <w:i w:val="0"/>
          <w:color w:val="1B2A32"/>
          <w:sz w:val="21"/>
        </w:rPr>
        <w:t xml:space="preserve">, or where false evidence or forged documents were produced. But it is explicit that </w:t>
      </w:r>
      <w:r>
        <w:rPr>
          <w:rFonts w:ascii="Calibri" w:hAnsi="Calibri"/>
          <w:b/>
          <w:i w:val="0"/>
          <w:color w:val="1B2A32"/>
          <w:sz w:val="21"/>
        </w:rPr>
        <w:t>mere inability to substantiate a complaint, or a lack of adequate proof, does not attract this provision</w:t>
      </w:r>
      <w:r>
        <w:rPr>
          <w:rFonts w:ascii="Calibri" w:hAnsi="Calibri"/>
          <w:b w:val="0"/>
          <w:i w:val="0"/>
          <w:color w:val="1B2A32"/>
          <w:sz w:val="21"/>
        </w:rPr>
        <w:t>. A woman who complains in good faith and cannot prove her case has done nothing wrong. Treating an unproved complaint as a false one is the single most damaging error a Committee can make — it silences everyone watching.</w:t>
      </w:r>
    </w:p>
    <w:p>
      <w:pPr>
        <w:keepNext/>
        <w:spacing w:before="280" w:after="120"/>
        <w:pBdr>
          <w:bottom w:val="single" w:sz="12" w:space="3" w:color="C6A15B"/>
        </w:pBdr>
      </w:pPr>
      <w:r>
        <w:rPr>
          <w:rFonts w:ascii="Calibri" w:hAnsi="Calibri"/>
          <w:b/>
          <w:i w:val="0"/>
          <w:color w:val="123B4F"/>
          <w:sz w:val="32"/>
        </w:rPr>
        <w:t>5.  Confidentiality (section 16)</w:t>
      </w:r>
    </w:p>
    <w:p>
      <w:pPr>
        <w:spacing w:after="120"/>
        <w:jc w:val="both"/>
      </w:pPr>
      <w:r>
        <w:rPr>
          <w:rFonts w:ascii="Calibri" w:hAnsi="Calibri"/>
          <w:b w:val="0"/>
          <w:i w:val="0"/>
          <w:color w:val="1B2A32"/>
          <w:sz w:val="21"/>
        </w:rPr>
        <w:t xml:space="preserve">The complaint, the identities and addresses of the complainant, respondent and witnesses, the conciliation and inquiry proceedings, and the recommendations and action taken </w:t>
      </w:r>
      <w:r>
        <w:rPr>
          <w:rFonts w:ascii="Calibri" w:hAnsi="Calibri"/>
          <w:b/>
          <w:i w:val="0"/>
          <w:color w:val="1B2A32"/>
          <w:sz w:val="21"/>
        </w:rPr>
        <w:t>must not be published or made known to the public, press or media</w:t>
      </w:r>
      <w:r>
        <w:rPr>
          <w:rFonts w:ascii="Calibri" w:hAnsi="Calibri"/>
          <w:b w:val="0"/>
          <w:i w:val="0"/>
          <w:color w:val="1B2A32"/>
          <w:sz w:val="21"/>
        </w:rPr>
        <w:t>. Breach attracts a penalty. Keep papers in a sealed, access-controlled file; do not discuss a matter outside the Committee; do not use identifying detail in the annual report.</w:t>
      </w:r>
    </w:p>
    <w:p>
      <w:pPr>
        <w:keepNext/>
        <w:spacing w:before="280" w:after="120"/>
        <w:pBdr>
          <w:bottom w:val="single" w:sz="12" w:space="3" w:color="C6A15B"/>
        </w:pBdr>
      </w:pPr>
      <w:r>
        <w:rPr>
          <w:rFonts w:ascii="Calibri" w:hAnsi="Calibri"/>
          <w:b/>
          <w:i w:val="0"/>
          <w:color w:val="123B4F"/>
          <w:sz w:val="32"/>
        </w:rPr>
        <w:t>6.  Records and the annual report</w:t>
      </w:r>
    </w:p>
    <w:p>
      <w:pPr>
        <w:spacing w:after="120"/>
        <w:jc w:val="both"/>
      </w:pPr>
      <w:r>
        <w:rPr>
          <w:rFonts w:ascii="Calibri" w:hAnsi="Calibri"/>
          <w:b w:val="0"/>
          <w:i w:val="0"/>
          <w:color w:val="1B2A32"/>
          <w:sz w:val="21"/>
        </w:rPr>
        <w:t xml:space="preserve">Maintain a register of complaints and the Committee's proceedings. Prepare the </w:t>
      </w:r>
      <w:r>
        <w:rPr>
          <w:rFonts w:ascii="Calibri" w:hAnsi="Calibri"/>
          <w:b/>
          <w:i w:val="0"/>
          <w:color w:val="1B2A32"/>
          <w:sz w:val="21"/>
        </w:rPr>
        <w:t>annual report</w:t>
      </w:r>
      <w:r>
        <w:rPr>
          <w:rFonts w:ascii="Calibri" w:hAnsi="Calibri"/>
          <w:b w:val="0"/>
          <w:i w:val="0"/>
          <w:color w:val="1B2A32"/>
          <w:sz w:val="21"/>
        </w:rPr>
        <w:t xml:space="preserve"> in each calendar year, submit it to the employer and the District Officer, and ensure the employer includes the number of cases filed and disposed of in its own annual report. Report </w:t>
      </w:r>
      <w:r>
        <w:rPr>
          <w:rFonts w:ascii="Calibri" w:hAnsi="Calibri"/>
          <w:b/>
          <w:i w:val="0"/>
          <w:color w:val="1B2A32"/>
          <w:sz w:val="21"/>
        </w:rPr>
        <w:t>numbers, not narratives</w:t>
      </w:r>
      <w:r>
        <w:rPr>
          <w:rFonts w:ascii="Calibri" w:hAnsi="Calibri"/>
          <w:b w:val="0"/>
          <w:i w:val="0"/>
          <w:color w:val="1B2A32"/>
          <w:sz w:val="21"/>
        </w:rPr>
        <w:t>.</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9587BD-A739-4F6D-8FFF-DF4FEB8E6D2C}"/>
</file>

<file path=customXml/itemProps3.xml><?xml version="1.0" encoding="utf-8"?>
<ds:datastoreItem xmlns:ds="http://schemas.openxmlformats.org/officeDocument/2006/customXml" ds:itemID="{DCE386E3-F84E-466B-A302-FE5EC9FDD375}"/>
</file>

<file path=customXml/itemProps4.xml><?xml version="1.0" encoding="utf-8"?>
<ds:datastoreItem xmlns:ds="http://schemas.openxmlformats.org/officeDocument/2006/customXml" ds:itemID="{FA0D7E84-4221-4F87-B2CA-B40856C62B9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