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POSH Support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Sector &amp; Employer-Type Playbooks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How workplace disputes differ by sector and employer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Workplace &amp; HR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Using these playbooks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law is the same; the pressure points are not. Each playbook notes the typical disputes, the settlement levers that actually work, and what a neutral should watch for.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01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Sector / employer type</w:t>
            </w:r>
          </w:p>
        </w:tc>
        <w:tc>
          <w:tcPr>
            <w:tcW w:type="dxa" w:w="259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Typical disputes</w:t>
            </w:r>
          </w:p>
        </w:tc>
        <w:tc>
          <w:tcPr>
            <w:tcW w:type="dxa" w:w="2592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Levers that work</w:t>
            </w:r>
          </w:p>
        </w:tc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Watch-points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IT / ITeS &amp; startups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Notice period, bond, moonlighting, ESOP on exit, sudden layoffs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Notice waiver, ESOP acceleration or buy-back clarity, staggered F&amp;F, reference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ESOP terms are often misunderstood by both sides; layoff rounds create clustered, similar matters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Manufacturing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Retrenchment, standing orders, contract labour, wage computation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IR Code compensation correctly computed, phased exits, re-engagement rights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Union involvement may make it a collective dispute — route to statutory machinery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Financial services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Clawbacks, garden leave, restrictive covenants, regulated-role exits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Clawback recalculation, agreed reference, notice treated as served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Regulatory reporting obligations may constrain what can be agreed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Healthcare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Shift and overtime disputes, bonds for trainees, harassment complaints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Bond reduced to actual cost, roster changes, structured apology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Patient-safety allegations may need a separate process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Retail / hospitality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Wage dues, wrongful deduction, informal terms, POSH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Documented dues, wage recomputation, POSH pathway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Often no appointment letter — itself a compliance failure and a bargaining fact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Gig / platform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Deactivation, classification, social-security coverage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Reinstatement of access, dues, clarity on status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Code on Social Security is extending coverage — do not assume they are outside it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Public-sector / large enterprise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Disciplinary, promotion, transfer, service conditions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Process-based remedies, review, reference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Service rules and statutory routes may exclude mediation — screen carefully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MSME / family business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Informal contracts, unpaid dues, personal grievances</w:t>
            </w:r>
          </w:p>
        </w:tc>
        <w:tc>
          <w:tcPr>
            <w:tcW w:type="dxa" w:w="2592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Direct dialogue, realistic instalments, documentation going forward</w:t>
            </w:r>
          </w:p>
        </w:tc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Owner and employer are the same person — power imbalance is acute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Cross-cutting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In every sector, ask whether wages were computed on the </w:t>
      </w:r>
      <w:r>
        <w:rPr>
          <w:rFonts w:ascii="Calibri" w:hAnsi="Calibri"/>
          <w:b/>
          <w:i w:val="0"/>
          <w:color w:val="1B2A32"/>
          <w:sz w:val="21"/>
        </w:rPr>
        <w:t>Code on Wages definition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it changes gratuity and PF.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In every sector, a </w:t>
      </w:r>
      <w:r>
        <w:rPr>
          <w:rFonts w:ascii="Calibri" w:hAnsi="Calibri"/>
          <w:b/>
          <w:i w:val="0"/>
          <w:color w:val="1B2A32"/>
          <w:sz w:val="21"/>
        </w:rPr>
        <w:t>POSH complaint goes to the Internal Committee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is never traded against a money settlement.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In every sector, </w:t>
      </w:r>
      <w:r>
        <w:rPr>
          <w:rFonts w:ascii="Calibri" w:hAnsi="Calibri"/>
          <w:b/>
          <w:i w:val="0"/>
          <w:color w:val="1B2A32"/>
          <w:sz w:val="21"/>
        </w:rPr>
        <w:t>statutory dues are paid, not waived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Workplace &amp; HR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550521-8A23-4447-B068-EF31BA165EE5}"/>
</file>

<file path=customXml/itemProps3.xml><?xml version="1.0" encoding="utf-8"?>
<ds:datastoreItem xmlns:ds="http://schemas.openxmlformats.org/officeDocument/2006/customXml" ds:itemID="{AC9BC597-9C78-4A32-B0CA-B9B54E01A42B}"/>
</file>

<file path=customXml/itemProps4.xml><?xml version="1.0" encoding="utf-8"?>
<ds:datastoreItem xmlns:ds="http://schemas.openxmlformats.org/officeDocument/2006/customXml" ds:itemID="{1162655F-D489-481C-B4EA-1E3CD3267E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