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POSH Support</w:t>
      </w:r>
    </w:p>
    <w:p>
      <w:pPr>
        <w:pBdr>
          <w:top w:val="single" w:sz="14" w:space="6" w:color="C6A15B"/>
          <w:bottom w:val="single" w:sz="14" w:space="6" w:color="C6A15B"/>
        </w:pBdr>
      </w:pPr>
    </w:p>
    <w:p>
      <w:pPr>
        <w:spacing w:before="600"/>
        <w:jc w:val="center"/>
      </w:pPr>
      <w:r>
        <w:rPr>
          <w:rFonts w:ascii="Calibri" w:hAnsi="Calibri"/>
          <w:b/>
          <w:i w:val="0"/>
          <w:color w:val="123B4F"/>
          <w:sz w:val="48"/>
        </w:rPr>
        <w:t>The Labour Codes — Practitioner Guide</w:t>
      </w:r>
    </w:p>
    <w:p>
      <w:pPr>
        <w:jc w:val="center"/>
      </w:pPr>
      <w:r>
        <w:rPr>
          <w:rFonts w:ascii="Calibri" w:hAnsi="Calibri"/>
          <w:b w:val="0"/>
          <w:i/>
          <w:color w:val="556168"/>
          <w:sz w:val="25"/>
        </w:rPr>
        <w:t>What changed on 21 November 2025, and what it means for workplace disputes</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Law as at July 2026</w:t>
            </w:r>
          </w:p>
          <w:p>
            <w:r>
              <w:rPr>
                <w:rFonts w:ascii="Calibri" w:hAnsi="Calibri"/>
                <w:b w:val="0"/>
                <w:i w:val="0"/>
                <w:color w:val="1B2A32"/>
                <w:sz w:val="19"/>
              </w:rPr>
              <w:t xml:space="preserve">All four Labour Codes are </w:t>
            </w:r>
            <w:r>
              <w:rPr>
                <w:rFonts w:ascii="Calibri" w:hAnsi="Calibri"/>
                <w:b/>
                <w:i w:val="0"/>
                <w:color w:val="1B2A32"/>
                <w:sz w:val="19"/>
              </w:rPr>
              <w:t>in force nationwide from 21 November 2025</w:t>
            </w:r>
            <w:r>
              <w:rPr>
                <w:rFonts w:ascii="Calibri" w:hAnsi="Calibri"/>
                <w:b w:val="0"/>
                <w:i w:val="0"/>
                <w:color w:val="1B2A32"/>
                <w:sz w:val="19"/>
              </w:rPr>
              <w:t xml:space="preserve">, consolidating 29 central statutes. Central Rules were notified in </w:t>
            </w:r>
            <w:r>
              <w:rPr>
                <w:rFonts w:ascii="Calibri" w:hAnsi="Calibri"/>
                <w:b/>
                <w:i w:val="0"/>
                <w:color w:val="1B2A32"/>
                <w:sz w:val="19"/>
              </w:rPr>
              <w:t>May 2026</w:t>
            </w:r>
            <w:r>
              <w:rPr>
                <w:rFonts w:ascii="Calibri" w:hAnsi="Calibri"/>
                <w:b w:val="0"/>
                <w:i w:val="0"/>
                <w:color w:val="1B2A32"/>
                <w:sz w:val="19"/>
              </w:rPr>
              <w:t xml:space="preserve">. </w:t>
            </w:r>
            <w:r>
              <w:rPr>
                <w:rFonts w:ascii="Calibri" w:hAnsi="Calibri"/>
                <w:b/>
                <w:i w:val="0"/>
                <w:color w:val="1B2A32"/>
                <w:sz w:val="19"/>
              </w:rPr>
              <w:t>State rules remain uneven</w:t>
            </w:r>
            <w:r>
              <w:rPr>
                <w:rFonts w:ascii="Calibri" w:hAnsi="Calibri"/>
                <w:b w:val="0"/>
                <w:i w:val="0"/>
                <w:color w:val="1B2A32"/>
                <w:sz w:val="19"/>
              </w:rPr>
              <w:t xml:space="preserve"> — several major industrial States are still in draft. Always confirm the position in the State where the establishment operates.</w:t>
            </w:r>
          </w:p>
        </w:tc>
      </w:tr>
    </w:tbl>
    <w:p>
      <w:pPr>
        <w:spacing w:after="40"/>
      </w:pPr>
    </w:p>
    <w:p>
      <w:pPr>
        <w:keepNext/>
        <w:spacing w:before="280" w:after="120"/>
        <w:pBdr>
          <w:bottom w:val="single" w:sz="12" w:space="3" w:color="C6A15B"/>
        </w:pBdr>
      </w:pPr>
      <w:r>
        <w:rPr>
          <w:rFonts w:ascii="Calibri" w:hAnsi="Calibri"/>
          <w:b/>
          <w:i w:val="0"/>
          <w:color w:val="123B4F"/>
          <w:sz w:val="32"/>
        </w:rPr>
        <w:t>The four Codes at a glance</w:t>
      </w:r>
    </w:p>
    <w:tbl>
      <w:tblPr>
        <w:tblStyle w:val="TableGrid"/>
        <w:tblW w:type="auto" w:w="0"/>
        <w:jc w:val="center"/>
        <w:tblLook w:firstColumn="1" w:firstRow="1" w:lastColumn="0" w:lastRow="0" w:noHBand="0" w:noVBand="1" w:val="04A0"/>
      </w:tblPr>
      <w:tblGrid>
        <w:gridCol w:w="3168"/>
        <w:gridCol w:w="3168"/>
        <w:gridCol w:w="3168"/>
      </w:tblGrid>
      <w:tr>
        <w:tc>
          <w:tcPr>
            <w:tcW w:type="dxa" w:w="2016"/>
            <w:shd w:val="clear" w:fill="123B4F"/>
          </w:tcPr>
          <w:p>
            <w:r/>
            <w:r>
              <w:rPr>
                <w:rFonts w:ascii="Calibri" w:hAnsi="Calibri"/>
                <w:b/>
                <w:i w:val="0"/>
                <w:color w:val="FFFFFF"/>
                <w:sz w:val="16"/>
              </w:rPr>
              <w:t>Code</w:t>
            </w:r>
          </w:p>
        </w:tc>
        <w:tc>
          <w:tcPr>
            <w:tcW w:type="dxa" w:w="3024"/>
            <w:shd w:val="clear" w:fill="123B4F"/>
          </w:tcPr>
          <w:p>
            <w:r/>
            <w:r>
              <w:rPr>
                <w:rFonts w:ascii="Calibri" w:hAnsi="Calibri"/>
                <w:b/>
                <w:i w:val="0"/>
                <w:color w:val="FFFFFF"/>
                <w:sz w:val="16"/>
              </w:rPr>
              <w:t>Replaces (illustrative)</w:t>
            </w:r>
          </w:p>
        </w:tc>
        <w:tc>
          <w:tcPr>
            <w:tcW w:type="dxa" w:w="4464"/>
            <w:shd w:val="clear" w:fill="123B4F"/>
          </w:tcPr>
          <w:p>
            <w:r/>
            <w:r>
              <w:rPr>
                <w:rFonts w:ascii="Calibri" w:hAnsi="Calibri"/>
                <w:b/>
                <w:i w:val="0"/>
                <w:color w:val="FFFFFF"/>
                <w:sz w:val="16"/>
              </w:rPr>
              <w:t>What a neutral most needs to know</w:t>
            </w:r>
          </w:p>
        </w:tc>
      </w:tr>
      <w:tr>
        <w:tc>
          <w:tcPr>
            <w:tcW w:type="dxa" w:w="2016"/>
          </w:tcPr>
          <w:p>
            <w:r/>
            <w:r>
              <w:rPr>
                <w:rFonts w:ascii="Calibri" w:hAnsi="Calibri"/>
                <w:b/>
                <w:i w:val="0"/>
                <w:color w:val="1B2A32"/>
                <w:sz w:val="16"/>
              </w:rPr>
              <w:t>Code on Wages, 2019</w:t>
            </w:r>
          </w:p>
        </w:tc>
        <w:tc>
          <w:tcPr>
            <w:tcW w:type="dxa" w:w="3024"/>
          </w:tcPr>
          <w:p>
            <w:r/>
            <w:r>
              <w:rPr>
                <w:rFonts w:ascii="Calibri" w:hAnsi="Calibri"/>
                <w:b w:val="0"/>
                <w:i w:val="0"/>
                <w:color w:val="1B2A32"/>
                <w:sz w:val="16"/>
              </w:rPr>
              <w:t>Payment of Wages 1936; Minimum Wages 1948; Payment of Bonus 1965; Equal Remuneration 1976</w:t>
            </w:r>
          </w:p>
        </w:tc>
        <w:tc>
          <w:tcPr>
            <w:tcW w:type="dxa" w:w="4464"/>
          </w:tcPr>
          <w:p>
            <w:r/>
            <w:r>
              <w:rPr>
                <w:rFonts w:ascii="Calibri" w:hAnsi="Calibri"/>
                <w:b w:val="0"/>
                <w:i w:val="0"/>
                <w:color w:val="1B2A32"/>
                <w:sz w:val="16"/>
              </w:rPr>
              <w:t xml:space="preserve">A single definition of </w:t>
            </w:r>
            <w:r>
              <w:rPr>
                <w:rFonts w:ascii="Calibri" w:hAnsi="Calibri"/>
                <w:b/>
                <w:i w:val="0"/>
                <w:color w:val="1B2A32"/>
                <w:sz w:val="16"/>
              </w:rPr>
              <w:t>‘wages’</w:t>
            </w:r>
            <w:r>
              <w:rPr>
                <w:rFonts w:ascii="Calibri" w:hAnsi="Calibri"/>
                <w:b w:val="0"/>
                <w:i w:val="0"/>
                <w:color w:val="1B2A32"/>
                <w:sz w:val="16"/>
              </w:rPr>
              <w:t xml:space="preserve"> — basic + dearness allowance + retaining allowance — which must be </w:t>
            </w:r>
            <w:r>
              <w:rPr>
                <w:rFonts w:ascii="Calibri" w:hAnsi="Calibri"/>
                <w:b/>
                <w:i w:val="0"/>
                <w:color w:val="1B2A32"/>
                <w:sz w:val="16"/>
              </w:rPr>
              <w:t>at least 50% of total remuneration</w:t>
            </w:r>
            <w:r>
              <w:rPr>
                <w:rFonts w:ascii="Calibri" w:hAnsi="Calibri"/>
                <w:b w:val="0"/>
                <w:i w:val="0"/>
                <w:color w:val="1B2A32"/>
                <w:sz w:val="16"/>
              </w:rPr>
              <w:t>. Where allowances exceed 50%, the excess is added back for statutory computations. This directly changes gratuity, PF and F&amp;F arithmetic.</w:t>
            </w:r>
          </w:p>
        </w:tc>
      </w:tr>
      <w:tr>
        <w:tc>
          <w:tcPr>
            <w:tcW w:type="dxa" w:w="2016"/>
            <w:shd w:val="clear" w:fill="F3F7F9"/>
          </w:tcPr>
          <w:p>
            <w:r/>
            <w:r>
              <w:rPr>
                <w:rFonts w:ascii="Calibri" w:hAnsi="Calibri"/>
                <w:b/>
                <w:i w:val="0"/>
                <w:color w:val="1B2A32"/>
                <w:sz w:val="16"/>
              </w:rPr>
              <w:t>Industrial Relations Code, 2020</w:t>
            </w:r>
          </w:p>
        </w:tc>
        <w:tc>
          <w:tcPr>
            <w:tcW w:type="dxa" w:w="3024"/>
            <w:shd w:val="clear" w:fill="F3F7F9"/>
          </w:tcPr>
          <w:p>
            <w:r/>
            <w:r>
              <w:rPr>
                <w:rFonts w:ascii="Calibri" w:hAnsi="Calibri"/>
                <w:b w:val="0"/>
                <w:i w:val="0"/>
                <w:color w:val="1B2A32"/>
                <w:sz w:val="16"/>
              </w:rPr>
              <w:t>Industrial Disputes 1947; Trade Unions 1926; Standing Orders 1946</w:t>
            </w:r>
          </w:p>
        </w:tc>
        <w:tc>
          <w:tcPr>
            <w:tcW w:type="dxa" w:w="4464"/>
            <w:shd w:val="clear" w:fill="F3F7F9"/>
          </w:tcPr>
          <w:p>
            <w:r/>
            <w:r>
              <w:rPr>
                <w:rFonts w:ascii="Calibri" w:hAnsi="Calibri"/>
                <w:b/>
                <w:i w:val="0"/>
                <w:color w:val="1B2A32"/>
                <w:sz w:val="16"/>
              </w:rPr>
              <w:t>Grievance Redressal Committee</w:t>
            </w:r>
            <w:r>
              <w:rPr>
                <w:rFonts w:ascii="Calibri" w:hAnsi="Calibri"/>
                <w:b w:val="0"/>
                <w:i w:val="0"/>
                <w:color w:val="1B2A32"/>
                <w:sz w:val="16"/>
              </w:rPr>
              <w:t xml:space="preserve"> for individual grievances; conciliation; Industrial Tribunals; retrenchment and layoff compensation; standing orders; notice and threshold requirements.</w:t>
            </w:r>
          </w:p>
        </w:tc>
      </w:tr>
      <w:tr>
        <w:tc>
          <w:tcPr>
            <w:tcW w:type="dxa" w:w="2016"/>
          </w:tcPr>
          <w:p>
            <w:r/>
            <w:r>
              <w:rPr>
                <w:rFonts w:ascii="Calibri" w:hAnsi="Calibri"/>
                <w:b/>
                <w:i w:val="0"/>
                <w:color w:val="1B2A32"/>
                <w:sz w:val="16"/>
              </w:rPr>
              <w:t>Code on Social Security, 2020</w:t>
            </w:r>
          </w:p>
        </w:tc>
        <w:tc>
          <w:tcPr>
            <w:tcW w:type="dxa" w:w="3024"/>
          </w:tcPr>
          <w:p>
            <w:r/>
            <w:r>
              <w:rPr>
                <w:rFonts w:ascii="Calibri" w:hAnsi="Calibri"/>
                <w:b w:val="0"/>
                <w:i w:val="0"/>
                <w:color w:val="1B2A32"/>
                <w:sz w:val="16"/>
              </w:rPr>
              <w:t>EPF 1952; ESI 1948; Payment of Gratuity 1972; Maternity Benefit 1961</w:t>
            </w:r>
          </w:p>
        </w:tc>
        <w:tc>
          <w:tcPr>
            <w:tcW w:type="dxa" w:w="4464"/>
          </w:tcPr>
          <w:p>
            <w:r/>
            <w:r>
              <w:rPr>
                <w:rFonts w:ascii="Calibri" w:hAnsi="Calibri"/>
                <w:b w:val="0"/>
                <w:i w:val="0"/>
                <w:color w:val="1B2A32"/>
                <w:sz w:val="16"/>
              </w:rPr>
              <w:t>Gratuity, provident fund, ESI and maternity benefit in one place; extension of coverage toward gig and platform workers.</w:t>
            </w:r>
          </w:p>
        </w:tc>
      </w:tr>
      <w:tr>
        <w:tc>
          <w:tcPr>
            <w:tcW w:type="dxa" w:w="2016"/>
            <w:shd w:val="clear" w:fill="F3F7F9"/>
          </w:tcPr>
          <w:p>
            <w:r/>
            <w:r>
              <w:rPr>
                <w:rFonts w:ascii="Calibri" w:hAnsi="Calibri"/>
                <w:b/>
                <w:i w:val="0"/>
                <w:color w:val="1B2A32"/>
                <w:sz w:val="16"/>
              </w:rPr>
              <w:t>OSH &amp; Working Conditions Code, 2020</w:t>
            </w:r>
          </w:p>
        </w:tc>
        <w:tc>
          <w:tcPr>
            <w:tcW w:type="dxa" w:w="3024"/>
            <w:shd w:val="clear" w:fill="F3F7F9"/>
          </w:tcPr>
          <w:p>
            <w:r/>
            <w:r>
              <w:rPr>
                <w:rFonts w:ascii="Calibri" w:hAnsi="Calibri"/>
                <w:b w:val="0"/>
                <w:i w:val="0"/>
                <w:color w:val="1B2A32"/>
                <w:sz w:val="16"/>
              </w:rPr>
              <w:t>Factories 1948; Contract Labour 1970; Inter-State Migrant Workmen 1979 and others</w:t>
            </w:r>
          </w:p>
        </w:tc>
        <w:tc>
          <w:tcPr>
            <w:tcW w:type="dxa" w:w="4464"/>
            <w:shd w:val="clear" w:fill="F3F7F9"/>
          </w:tcPr>
          <w:p>
            <w:r/>
            <w:r>
              <w:rPr>
                <w:rFonts w:ascii="Calibri" w:hAnsi="Calibri"/>
                <w:b w:val="0"/>
                <w:i w:val="0"/>
                <w:color w:val="1B2A32"/>
                <w:sz w:val="16"/>
              </w:rPr>
              <w:t>Working conditions, contract labour, welfare and safety; appointment letters as a statutory entitlement.</w:t>
            </w:r>
          </w:p>
        </w:tc>
      </w:tr>
    </w:tbl>
    <w:p>
      <w:pPr>
        <w:spacing w:after="40"/>
      </w:pPr>
    </w:p>
    <w:p>
      <w:pPr>
        <w:keepNext/>
        <w:spacing w:before="280" w:after="120"/>
        <w:pBdr>
          <w:bottom w:val="single" w:sz="12" w:space="3" w:color="C6A15B"/>
        </w:pBdr>
      </w:pPr>
      <w:r>
        <w:rPr>
          <w:rFonts w:ascii="Calibri" w:hAnsi="Calibri"/>
          <w:b/>
          <w:i w:val="0"/>
          <w:color w:val="123B4F"/>
          <w:sz w:val="32"/>
        </w:rPr>
        <w:t>1.  The wage definition — why it matters in every F&amp;F</w:t>
      </w:r>
    </w:p>
    <w:p>
      <w:pPr>
        <w:spacing w:after="120"/>
        <w:jc w:val="both"/>
      </w:pPr>
      <w:r>
        <w:rPr>
          <w:rFonts w:ascii="Calibri" w:hAnsi="Calibri"/>
          <w:b w:val="0"/>
          <w:i w:val="0"/>
          <w:color w:val="1B2A32"/>
          <w:sz w:val="21"/>
        </w:rPr>
        <w:t xml:space="preserve">The Code on Wages defines wages as </w:t>
      </w:r>
      <w:r>
        <w:rPr>
          <w:rFonts w:ascii="Calibri" w:hAnsi="Calibri"/>
          <w:b/>
          <w:i w:val="0"/>
          <w:color w:val="1B2A32"/>
          <w:sz w:val="21"/>
        </w:rPr>
        <w:t>basic pay + dearness allowance + retaining allowance</w:t>
      </w:r>
      <w:r>
        <w:rPr>
          <w:rFonts w:ascii="Calibri" w:hAnsi="Calibri"/>
          <w:b w:val="0"/>
          <w:i w:val="0"/>
          <w:color w:val="1B2A32"/>
          <w:sz w:val="21"/>
        </w:rPr>
        <w:t xml:space="preserve">, and provides that where the excluded components exceed </w:t>
      </w:r>
      <w:r>
        <w:rPr>
          <w:rFonts w:ascii="Calibri" w:hAnsi="Calibri"/>
          <w:b/>
          <w:i w:val="0"/>
          <w:color w:val="1B2A32"/>
          <w:sz w:val="21"/>
        </w:rPr>
        <w:t>50% of total remuneration</w:t>
      </w:r>
      <w:r>
        <w:rPr>
          <w:rFonts w:ascii="Calibri" w:hAnsi="Calibri"/>
          <w:b w:val="0"/>
          <w:i w:val="0"/>
          <w:color w:val="1B2A32"/>
          <w:sz w:val="21"/>
        </w:rPr>
        <w:t xml:space="preserve">, the excess is </w:t>
      </w:r>
      <w:r>
        <w:rPr>
          <w:rFonts w:ascii="Calibri" w:hAnsi="Calibri"/>
          <w:b/>
          <w:i w:val="0"/>
          <w:color w:val="1B2A32"/>
          <w:sz w:val="21"/>
        </w:rPr>
        <w:t>added back</w:t>
      </w:r>
      <w:r>
        <w:rPr>
          <w:rFonts w:ascii="Calibri" w:hAnsi="Calibri"/>
          <w:b w:val="0"/>
          <w:i w:val="0"/>
          <w:color w:val="1B2A32"/>
          <w:sz w:val="21"/>
        </w:rPr>
        <w:t xml:space="preserve"> to wages for the purpose of statutory calculations. The practical effect is that a salary structured with a small basic and large allowances no longer suppresses gratuity and provident-fund liability.</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What this means at the table</w:t>
            </w:r>
          </w:p>
          <w:p>
            <w:r>
              <w:rPr>
                <w:rFonts w:ascii="Calibri" w:hAnsi="Calibri"/>
                <w:b w:val="0"/>
                <w:i w:val="0"/>
                <w:color w:val="1B2A32"/>
                <w:sz w:val="19"/>
              </w:rPr>
              <w:t xml:space="preserve">An employee's gratuity and PF entitlement may be </w:t>
            </w:r>
            <w:r>
              <w:rPr>
                <w:rFonts w:ascii="Calibri" w:hAnsi="Calibri"/>
                <w:b/>
                <w:i w:val="0"/>
                <w:color w:val="1B2A32"/>
                <w:sz w:val="19"/>
              </w:rPr>
              <w:t>higher</w:t>
            </w:r>
            <w:r>
              <w:rPr>
                <w:rFonts w:ascii="Calibri" w:hAnsi="Calibri"/>
                <w:b w:val="0"/>
                <w:i w:val="0"/>
                <w:color w:val="1B2A32"/>
                <w:sz w:val="19"/>
              </w:rPr>
              <w:t xml:space="preserve"> than the employer's historic computation assumed. Before negotiating an F&amp;F, the neutral should ask both sides whether the figure has been recomputed on the Code definition. A settlement built on the old arithmetic may under-pay a statutory due — which cannot be waived and will not survive scrutiny.</w:t>
            </w:r>
          </w:p>
        </w:tc>
      </w:tr>
    </w:tbl>
    <w:p>
      <w:pPr>
        <w:spacing w:after="40"/>
      </w:pPr>
    </w:p>
    <w:p>
      <w:pPr>
        <w:keepNext/>
        <w:spacing w:before="280" w:after="120"/>
        <w:pBdr>
          <w:bottom w:val="single" w:sz="12" w:space="3" w:color="C6A15B"/>
        </w:pBdr>
      </w:pPr>
      <w:r>
        <w:rPr>
          <w:rFonts w:ascii="Calibri" w:hAnsi="Calibri"/>
          <w:b/>
          <w:i w:val="0"/>
          <w:color w:val="123B4F"/>
          <w:sz w:val="32"/>
        </w:rPr>
        <w:t>2.  Individual grievances and the GRC</w:t>
      </w:r>
    </w:p>
    <w:p>
      <w:pPr>
        <w:spacing w:after="120"/>
        <w:jc w:val="both"/>
      </w:pPr>
      <w:r>
        <w:rPr>
          <w:rFonts w:ascii="Calibri" w:hAnsi="Calibri"/>
          <w:b w:val="0"/>
          <w:i w:val="0"/>
          <w:color w:val="1B2A32"/>
          <w:sz w:val="21"/>
        </w:rPr>
        <w:t xml:space="preserve">The Industrial Relations Code requires an establishment of the notified size to constitute a </w:t>
      </w:r>
      <w:r>
        <w:rPr>
          <w:rFonts w:ascii="Calibri" w:hAnsi="Calibri"/>
          <w:b/>
          <w:i w:val="0"/>
          <w:color w:val="1B2A32"/>
          <w:sz w:val="21"/>
        </w:rPr>
        <w:t>Grievance Redressal Committee</w:t>
      </w:r>
      <w:r>
        <w:rPr>
          <w:rFonts w:ascii="Calibri" w:hAnsi="Calibri"/>
          <w:b w:val="0"/>
          <w:i w:val="0"/>
          <w:color w:val="1B2A32"/>
          <w:sz w:val="21"/>
        </w:rPr>
        <w:t>, with adequate representation of women workers, to resolve individual grievances within the statutory period. An unresolved grievance may be raised as an industrial dispute. Equator's role is to mediate where the GRC has not resolved the matter and both sides agree — not to displace the statutory machinery.</w:t>
      </w:r>
    </w:p>
    <w:p>
      <w:pPr>
        <w:keepNext/>
        <w:spacing w:before="280" w:after="120"/>
        <w:pBdr>
          <w:bottom w:val="single" w:sz="12" w:space="3" w:color="C6A15B"/>
        </w:pBdr>
      </w:pPr>
      <w:r>
        <w:rPr>
          <w:rFonts w:ascii="Calibri" w:hAnsi="Calibri"/>
          <w:b/>
          <w:i w:val="0"/>
          <w:color w:val="123B4F"/>
          <w:sz w:val="32"/>
        </w:rPr>
        <w:t>3.  Termination, retrenchment and layoff</w:t>
      </w:r>
    </w:p>
    <w:p>
      <w:pPr>
        <w:pStyle w:val="ListBullet"/>
        <w:spacing w:after="60"/>
        <w:jc w:val="both"/>
      </w:pPr>
      <w:r>
        <w:rPr>
          <w:rFonts w:ascii="Calibri" w:hAnsi="Calibri"/>
          <w:b/>
          <w:i w:val="0"/>
          <w:color w:val="1B2A32"/>
          <w:sz w:val="21"/>
        </w:rPr>
        <w:t>Retrenchment compensation</w:t>
      </w:r>
      <w:r>
        <w:rPr>
          <w:rFonts w:ascii="Calibri" w:hAnsi="Calibri"/>
          <w:b w:val="0"/>
          <w:i w:val="0"/>
          <w:color w:val="1B2A32"/>
          <w:sz w:val="21"/>
        </w:rPr>
        <w:t xml:space="preserve"> under the IR Code is computed at </w:t>
      </w:r>
      <w:r>
        <w:rPr>
          <w:rFonts w:ascii="Calibri" w:hAnsi="Calibri"/>
          <w:b/>
          <w:i w:val="0"/>
          <w:color w:val="1B2A32"/>
          <w:sz w:val="21"/>
        </w:rPr>
        <w:t>fifteen days' average pay for every completed year</w:t>
      </w:r>
      <w:r>
        <w:rPr>
          <w:rFonts w:ascii="Calibri" w:hAnsi="Calibri"/>
          <w:b w:val="0"/>
          <w:i w:val="0"/>
          <w:color w:val="1B2A32"/>
          <w:sz w:val="21"/>
        </w:rPr>
        <w:t xml:space="preserve"> of continuous service, with notice or pay in lieu.</w:t>
      </w:r>
    </w:p>
    <w:p>
      <w:pPr>
        <w:pStyle w:val="ListBullet"/>
        <w:spacing w:after="60"/>
        <w:jc w:val="both"/>
      </w:pPr>
      <w:r>
        <w:rPr>
          <w:rFonts w:ascii="Calibri" w:hAnsi="Calibri"/>
          <w:b w:val="0"/>
          <w:i w:val="0"/>
          <w:color w:val="1B2A32"/>
          <w:sz w:val="21"/>
        </w:rPr>
        <w:t xml:space="preserve">Thresholds and any requirement for </w:t>
      </w:r>
      <w:r>
        <w:rPr>
          <w:rFonts w:ascii="Calibri" w:hAnsi="Calibri"/>
          <w:b/>
          <w:i w:val="0"/>
          <w:color w:val="1B2A32"/>
          <w:sz w:val="21"/>
        </w:rPr>
        <w:t>prior government permission</w:t>
      </w:r>
      <w:r>
        <w:rPr>
          <w:rFonts w:ascii="Calibri" w:hAnsi="Calibri"/>
          <w:b w:val="0"/>
          <w:i w:val="0"/>
          <w:color w:val="1B2A32"/>
          <w:sz w:val="21"/>
        </w:rPr>
        <w:t xml:space="preserve"> vary by establishment size and by State — confirm locally before treating a termination as lawful or unlawful.</w:t>
      </w:r>
    </w:p>
    <w:p>
      <w:pPr>
        <w:pStyle w:val="ListBullet"/>
        <w:spacing w:after="60"/>
        <w:jc w:val="both"/>
      </w:pPr>
      <w:r>
        <w:rPr>
          <w:rFonts w:ascii="Calibri" w:hAnsi="Calibri"/>
          <w:b/>
          <w:i w:val="0"/>
          <w:color w:val="1B2A32"/>
          <w:sz w:val="21"/>
        </w:rPr>
        <w:t>Standing orders</w:t>
      </w:r>
      <w:r>
        <w:rPr>
          <w:rFonts w:ascii="Calibri" w:hAnsi="Calibri"/>
          <w:b w:val="0"/>
          <w:i w:val="0"/>
          <w:color w:val="1B2A32"/>
          <w:sz w:val="21"/>
        </w:rPr>
        <w:t xml:space="preserve"> may govern the disciplinary route; a dismissal that skips them is vulnerable.</w:t>
      </w:r>
    </w:p>
    <w:p>
      <w:pPr>
        <w:pStyle w:val="ListBullet"/>
        <w:spacing w:after="60"/>
        <w:jc w:val="both"/>
      </w:pPr>
      <w:r>
        <w:rPr>
          <w:rFonts w:ascii="Calibri" w:hAnsi="Calibri"/>
          <w:b w:val="0"/>
          <w:i w:val="0"/>
          <w:color w:val="1B2A32"/>
          <w:sz w:val="21"/>
        </w:rPr>
        <w:t xml:space="preserve">An </w:t>
      </w:r>
      <w:r>
        <w:rPr>
          <w:rFonts w:ascii="Calibri" w:hAnsi="Calibri"/>
          <w:b/>
          <w:i w:val="0"/>
          <w:color w:val="1B2A32"/>
          <w:sz w:val="21"/>
        </w:rPr>
        <w:t>appointment letter</w:t>
      </w:r>
      <w:r>
        <w:rPr>
          <w:rFonts w:ascii="Calibri" w:hAnsi="Calibri"/>
          <w:b w:val="0"/>
          <w:i w:val="0"/>
          <w:color w:val="1B2A32"/>
          <w:sz w:val="21"/>
        </w:rPr>
        <w:t xml:space="preserve"> is now a statutory entitlement; its absence is itself a compliance failure and often evidence in a dispute.</w:t>
      </w:r>
    </w:p>
    <w:p>
      <w:pPr>
        <w:keepNext/>
        <w:spacing w:before="280" w:after="120"/>
        <w:pBdr>
          <w:bottom w:val="single" w:sz="12" w:space="3" w:color="C6A15B"/>
        </w:pBdr>
      </w:pPr>
      <w:r>
        <w:rPr>
          <w:rFonts w:ascii="Calibri" w:hAnsi="Calibri"/>
          <w:b/>
          <w:i w:val="0"/>
          <w:color w:val="123B4F"/>
          <w:sz w:val="32"/>
        </w:rPr>
        <w:t>4.  Gig and platform workers</w:t>
      </w:r>
    </w:p>
    <w:p>
      <w:pPr>
        <w:spacing w:after="120"/>
        <w:jc w:val="both"/>
      </w:pPr>
      <w:r>
        <w:rPr>
          <w:rFonts w:ascii="Calibri" w:hAnsi="Calibri"/>
          <w:b w:val="0"/>
          <w:i w:val="0"/>
          <w:color w:val="1B2A32"/>
          <w:sz w:val="21"/>
        </w:rPr>
        <w:t xml:space="preserve">The Code on Social Security extends social-security coverage toward </w:t>
      </w:r>
      <w:r>
        <w:rPr>
          <w:rFonts w:ascii="Calibri" w:hAnsi="Calibri"/>
          <w:b/>
          <w:i w:val="0"/>
          <w:color w:val="1B2A32"/>
          <w:sz w:val="21"/>
        </w:rPr>
        <w:t>gig and platform workers</w:t>
      </w:r>
      <w:r>
        <w:rPr>
          <w:rFonts w:ascii="Calibri" w:hAnsi="Calibri"/>
          <w:b w:val="0"/>
          <w:i w:val="0"/>
          <w:color w:val="1B2A32"/>
          <w:sz w:val="21"/>
        </w:rPr>
        <w:t>, with aggregator contribution obligations. Disputes involving contractors and platform workers are increasingly within scope rather than outside it — screen carefully rather than assuming a commercial characterisation ends the matter.</w:t>
      </w:r>
    </w:p>
    <w:p>
      <w:pPr>
        <w:keepNext/>
        <w:spacing w:before="280" w:after="120"/>
        <w:pBdr>
          <w:bottom w:val="single" w:sz="12" w:space="3" w:color="C6A15B"/>
        </w:pBdr>
      </w:pPr>
      <w:r>
        <w:rPr>
          <w:rFonts w:ascii="Calibri" w:hAnsi="Calibri"/>
          <w:b/>
          <w:i w:val="0"/>
          <w:color w:val="123B4F"/>
          <w:sz w:val="32"/>
        </w:rPr>
        <w:t>5.  What is still uncertain</w:t>
      </w:r>
    </w:p>
    <w:p>
      <w:pPr>
        <w:pStyle w:val="ListBullet"/>
        <w:spacing w:after="60"/>
        <w:jc w:val="both"/>
      </w:pPr>
      <w:r>
        <w:rPr>
          <w:rFonts w:ascii="Calibri" w:hAnsi="Calibri"/>
          <w:b/>
          <w:i w:val="0"/>
          <w:color w:val="1B2A32"/>
          <w:sz w:val="21"/>
        </w:rPr>
        <w:t>State rules</w:t>
      </w:r>
      <w:r>
        <w:rPr>
          <w:rFonts w:ascii="Calibri" w:hAnsi="Calibri"/>
          <w:b w:val="0"/>
          <w:i w:val="0"/>
          <w:color w:val="1B2A32"/>
          <w:sz w:val="21"/>
        </w:rPr>
        <w:t xml:space="preserve"> — several major industrial States have not notified final rules; the operative detail differs by State.</w:t>
      </w:r>
    </w:p>
    <w:p>
      <w:pPr>
        <w:pStyle w:val="ListBullet"/>
        <w:spacing w:after="60"/>
        <w:jc w:val="both"/>
      </w:pPr>
      <w:r>
        <w:rPr>
          <w:rFonts w:ascii="Calibri" w:hAnsi="Calibri"/>
          <w:b w:val="0"/>
          <w:i w:val="0"/>
          <w:color w:val="1B2A32"/>
          <w:sz w:val="21"/>
        </w:rPr>
        <w:t xml:space="preserve">Interaction between the Codes and </w:t>
      </w:r>
      <w:r>
        <w:rPr>
          <w:rFonts w:ascii="Calibri" w:hAnsi="Calibri"/>
          <w:b/>
          <w:i w:val="0"/>
          <w:color w:val="1B2A32"/>
          <w:sz w:val="21"/>
        </w:rPr>
        <w:t>existing State amendments</w:t>
      </w:r>
      <w:r>
        <w:rPr>
          <w:rFonts w:ascii="Calibri" w:hAnsi="Calibri"/>
          <w:b w:val="0"/>
          <w:i w:val="0"/>
          <w:color w:val="1B2A32"/>
          <w:sz w:val="21"/>
        </w:rPr>
        <w:t xml:space="preserve"> and settlements.</w:t>
      </w:r>
    </w:p>
    <w:p>
      <w:pPr>
        <w:pStyle w:val="ListBullet"/>
        <w:spacing w:after="60"/>
        <w:jc w:val="both"/>
      </w:pPr>
      <w:r>
        <w:rPr>
          <w:rFonts w:ascii="Calibri" w:hAnsi="Calibri"/>
          <w:b w:val="0"/>
          <w:i w:val="0"/>
          <w:color w:val="1B2A32"/>
          <w:sz w:val="21"/>
        </w:rPr>
        <w:t xml:space="preserve">How tribunals will read the </w:t>
      </w:r>
      <w:r>
        <w:rPr>
          <w:rFonts w:ascii="Calibri" w:hAnsi="Calibri"/>
          <w:b/>
          <w:i w:val="0"/>
          <w:color w:val="1B2A32"/>
          <w:sz w:val="21"/>
        </w:rPr>
        <w:t>50% wage rule</w:t>
      </w:r>
      <w:r>
        <w:rPr>
          <w:rFonts w:ascii="Calibri" w:hAnsi="Calibri"/>
          <w:b w:val="0"/>
          <w:i w:val="0"/>
          <w:color w:val="1B2A32"/>
          <w:sz w:val="21"/>
        </w:rPr>
        <w:t xml:space="preserve"> in disputed structures.</w:t>
      </w:r>
    </w:p>
    <w:p>
      <w:pPr>
        <w:pStyle w:val="ListBullet"/>
        <w:spacing w:after="60"/>
        <w:jc w:val="both"/>
      </w:pPr>
      <w:r>
        <w:rPr>
          <w:rFonts w:ascii="Calibri" w:hAnsi="Calibri"/>
          <w:b w:val="0"/>
          <w:i w:val="0"/>
          <w:color w:val="1B2A32"/>
          <w:sz w:val="21"/>
        </w:rPr>
        <w:t>Transitional treatment of entitlements accrued before 21 November 2025.</w:t>
      </w:r>
    </w:p>
    <w:p>
      <w:pPr>
        <w:spacing w:after="40"/>
        <w:jc w:val="both"/>
      </w:pPr>
      <w:r>
        <w:rPr>
          <w:rFonts w:ascii="Calibri" w:hAnsi="Calibri"/>
          <w:b w:val="0"/>
          <w:i w:val="0"/>
          <w:color w:val="1B2A32"/>
          <w:sz w:val="21"/>
        </w:rPr>
        <w:t>Confirm every proposition here with counsel for the relevant State before relying on it. Not legal advice.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BB8AA85-8C67-429C-A129-60F6DBB52D4C}"/>
</file>

<file path=customXml/itemProps3.xml><?xml version="1.0" encoding="utf-8"?>
<ds:datastoreItem xmlns:ds="http://schemas.openxmlformats.org/officeDocument/2006/customXml" ds:itemID="{3A06B2D8-9C67-4819-866B-A65A7E333939}"/>
</file>

<file path=customXml/itemProps4.xml><?xml version="1.0" encoding="utf-8"?>
<ds:datastoreItem xmlns:ds="http://schemas.openxmlformats.org/officeDocument/2006/customXml" ds:itemID="{A153F3A7-FE42-4FA4-9D4A-79AFC9D52A8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