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POSH Support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Competitive &amp; Market Note (Workplace)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Where Equator sits in India's workplace dispute and POSH-compliance market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Workplace &amp; HR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On the figures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Market sizing here is directional and marked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[verify]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where it needs a cited source. The structural points — the POSH obligation and the Labour Code transition — are matters of law and are stated as at July 2026.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Two markets, not one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workplace vertical sells into two quite different markets, and conflating them is the most common strategic error: a </w:t>
      </w:r>
      <w:r>
        <w:rPr>
          <w:rFonts w:ascii="Calibri" w:hAnsi="Calibri"/>
          <w:b/>
          <w:i w:val="0"/>
          <w:color w:val="1B2A32"/>
          <w:sz w:val="21"/>
        </w:rPr>
        <w:t>dispute market</w:t>
      </w:r>
      <w:r>
        <w:rPr>
          <w:rFonts w:ascii="Calibri" w:hAnsi="Calibri"/>
          <w:b w:val="0"/>
          <w:i w:val="0"/>
          <w:color w:val="1B2A32"/>
          <w:sz w:val="21"/>
        </w:rPr>
        <w:t xml:space="preserve"> (episodic, employee-triggered, price-sensitive) and a </w:t>
      </w:r>
      <w:r>
        <w:rPr>
          <w:rFonts w:ascii="Calibri" w:hAnsi="Calibri"/>
          <w:b/>
          <w:i w:val="0"/>
          <w:color w:val="1B2A32"/>
          <w:sz w:val="21"/>
        </w:rPr>
        <w:t>compliance market</w:t>
      </w:r>
      <w:r>
        <w:rPr>
          <w:rFonts w:ascii="Calibri" w:hAnsi="Calibri"/>
          <w:b w:val="0"/>
          <w:i w:val="0"/>
          <w:color w:val="1B2A32"/>
          <w:sz w:val="21"/>
        </w:rPr>
        <w:t xml:space="preserve"> (recurring, employer-budgeted, board-visible). The compliance market is what makes the vertical financially durable; the dispute market is what makes it credible.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01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</w:r>
          </w:p>
        </w:tc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Dispute market</w:t>
            </w:r>
          </w:p>
        </w:tc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Compliance market (POSH)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Buyer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Employee or employer, per matter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Employer — HR and legal leadership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Trigger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 dispute has already happened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Statutory obligation, board risk, audit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Revenue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Per matter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Recurring annual subscription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Volume driver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Attrition, layoffs, sector cycles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Number of establishments with 10+ workers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Price sensitivity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High (individual employees)</w:t>
            </w:r>
          </w:p>
        </w:tc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Moderate (budgeted compliance spend)</w:t>
            </w:r>
          </w:p>
        </w:tc>
      </w:tr>
      <w:tr>
        <w:tc>
          <w:tcPr>
            <w:tcW w:type="dxa" w:w="201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Competitive field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Lawyers, consultants, informal settlement</w:t>
            </w:r>
          </w:p>
        </w:tc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POSH consultancies, law firms, trainers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Demand drivers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Driver</w:t>
            </w:r>
          </w:p>
        </w:tc>
        <w:tc>
          <w:tcPr>
            <w:tcW w:type="dxa" w:w="3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Position as at July 2026</w:t>
            </w:r>
          </w:p>
        </w:tc>
        <w:tc>
          <w:tcPr>
            <w:tcW w:type="dxa" w:w="3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Relevance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POSH obligation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Mandatory Internal Committee for every workplace with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10 or more workers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 xml:space="preserve">, with at least one </w:t>
            </w:r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external member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 structural, recurring need — and the external-member requirement is the specific gap most employers cannot fill internally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Labour Codes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In force 21 Nov 2025</w:t>
            </w:r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; Central Rules 2026; State rules uneven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 transition period generates disputes and drives compliance review of wage structures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Wage-definition change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‘Wages’ ≥50% of remuneration for statutory computation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Recomputation of gratuity and PF — a direct source of F&amp;F disputes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Tribunal delay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Labour adjudication remains slow [verify]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Strengthens the case for settlement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Employment volatility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Layoff and restructuring cycles, especially in technology [verify]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Clustered separation matters, well suited to bulk handling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The competitive field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44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Who</w:t>
            </w:r>
          </w:p>
        </w:tc>
        <w:tc>
          <w:tcPr>
            <w:tcW w:type="dxa" w:w="345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What they do</w:t>
            </w:r>
          </w:p>
        </w:tc>
        <w:tc>
          <w:tcPr>
            <w:tcW w:type="dxa" w:w="3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Where Equator differs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Law firms (employment practice)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Advise one side; litigate; draft settlements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We act for neither side; faster and materially cheaper; we do not litigate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POSH consultancies &amp; trainers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Policy drafting, training, external members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We combine POSH support with an institutional dispute process, escrow and enforceable settlements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HR consultancies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Process advice, outsourced HR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We are a neutral institution, not an employer-side adviser — which is what makes us usable by employees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Informal settlement (in-house)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HR negotiates directly with the employee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Neutrality, documented process, escrow, and an outcome enforceable as a decree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ODR platforms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Online dispute workflows [verify current focus]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Purpose-built for employment and POSH, with a certified panel and a published rulebook</w:t>
            </w:r>
          </w:p>
        </w:tc>
      </w:tr>
      <w:tr>
        <w:tc>
          <w:tcPr>
            <w:tcW w:type="dxa" w:w="2448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6"/>
              </w:rPr>
              <w:t>Statutory forums</w:t>
            </w:r>
          </w:p>
        </w:tc>
        <w:tc>
          <w:tcPr>
            <w:tcW w:type="dxa" w:w="345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GRC, conciliation officers, tribunals</w:t>
            </w:r>
          </w:p>
        </w:tc>
        <w:tc>
          <w:tcPr>
            <w:tcW w:type="dxa" w:w="3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We complement them and route to them; we do not compete with them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Positioning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Statement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Equator is the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neutral institution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for workplace disputes — the only party in the room that is not paid to take a side — and the </w:t>
            </w:r>
            <w:r>
              <w:rPr>
                <w:rFonts w:ascii="Calibri" w:hAnsi="Calibri"/>
                <w:b/>
                <w:i w:val="0"/>
                <w:color w:val="1B2A32"/>
                <w:sz w:val="19"/>
              </w:rPr>
              <w:t>external-member and IC-support partner</w:t>
            </w:r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 xml:space="preserve"> that makes an employer's POSH obligation real rather than nominal.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The honest risks in this market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Perceived employer capture.</w:t>
      </w:r>
      <w:r>
        <w:rPr>
          <w:rFonts w:ascii="Calibri" w:hAnsi="Calibri"/>
          <w:b w:val="0"/>
          <w:i w:val="0"/>
          <w:color w:val="1B2A32"/>
          <w:sz w:val="21"/>
        </w:rPr>
        <w:t xml:space="preserve"> We are paid by employers for POSH subscriptions and often for mediation. If employees come to see us as the employer's service, the vertical fails. Mitigation: panel balance, published outcome data, employee concessions, and the conflict protocol in the Rules.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Commoditised POSH training.</w:t>
      </w:r>
      <w:r>
        <w:rPr>
          <w:rFonts w:ascii="Calibri" w:hAnsi="Calibri"/>
          <w:b w:val="0"/>
          <w:i w:val="0"/>
          <w:color w:val="1B2A32"/>
          <w:sz w:val="21"/>
        </w:rPr>
        <w:t xml:space="preserve"> Cheap, box-ticking providers set a low price anchor. Mitigation: sell competence and defensibility, not attendance certificates.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Conflict of interest.</w:t>
      </w:r>
      <w:r>
        <w:rPr>
          <w:rFonts w:ascii="Calibri" w:hAnsi="Calibri"/>
          <w:b w:val="0"/>
          <w:i w:val="0"/>
          <w:color w:val="1B2A32"/>
          <w:sz w:val="21"/>
        </w:rPr>
        <w:t xml:space="preserve"> Supplying an IC external member to an employer whose disputes we also mediate is a genuine structural conflict — disclosed and managed, never assumed away.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Regulatory dependence.</w:t>
      </w:r>
      <w:r>
        <w:rPr>
          <w:rFonts w:ascii="Calibri" w:hAnsi="Calibri"/>
          <w:b w:val="0"/>
          <w:i w:val="0"/>
          <w:color w:val="1B2A32"/>
          <w:sz w:val="21"/>
        </w:rPr>
        <w:t xml:space="preserve"> Much of the compliance demand exists because the law requires it; changes to thresholds would move the market.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Sources &amp; verification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POSH obligation and external-member requirement: Sexual Harassment of Women at Workplace (Prevention, Prohibition and Redressal) Act, 2013, s.4.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Labour Codes in force 21 November 2025; Central Rules notified 2026; State rules progressive.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Wage definition and the 50% rule: Code on Wages, 2019.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Market volumes, tribunal pendency and layoff data: </w:t>
      </w:r>
      <w:r>
        <w:rPr>
          <w:rFonts w:ascii="Calibri" w:hAnsi="Calibri"/>
          <w:b/>
          <w:i w:val="0"/>
          <w:color w:val="1B2A32"/>
          <w:sz w:val="21"/>
        </w:rPr>
        <w:t>[verify — cite official or industry sources before external use]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Workplace &amp; HR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A840DD-ADC8-49B5-96FD-7AE5EAE0CA01}"/>
</file>

<file path=customXml/itemProps3.xml><?xml version="1.0" encoding="utf-8"?>
<ds:datastoreItem xmlns:ds="http://schemas.openxmlformats.org/officeDocument/2006/customXml" ds:itemID="{4531703C-C434-4368-978B-024CDA53467F}"/>
</file>

<file path=customXml/itemProps4.xml><?xml version="1.0" encoding="utf-8"?>
<ds:datastoreItem xmlns:ds="http://schemas.openxmlformats.org/officeDocument/2006/customXml" ds:itemID="{E62B2EA4-E7DA-448B-9184-688265AEAF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