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POSH Support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Institutional Readiness (Workplace)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Empanelment rubric, employer partnership programme and panel MoU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Workplace &amp; HR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Empanelment — who we put on the workplace panel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workplace panel needs two distinct capabilities that rarely sit in one person: </w:t>
      </w:r>
      <w:r>
        <w:rPr>
          <w:rFonts w:ascii="Calibri" w:hAnsi="Calibri"/>
          <w:b/>
          <w:i w:val="0"/>
          <w:color w:val="1B2A32"/>
          <w:sz w:val="21"/>
        </w:rPr>
        <w:t>employment-law and industrial-relations literacy</w:t>
      </w:r>
      <w:r>
        <w:rPr>
          <w:rFonts w:ascii="Calibri" w:hAnsi="Calibri"/>
          <w:b w:val="0"/>
          <w:i w:val="0"/>
          <w:color w:val="1B2A32"/>
          <w:sz w:val="21"/>
        </w:rPr>
        <w:t xml:space="preserve">, and </w:t>
      </w:r>
      <w:r>
        <w:rPr>
          <w:rFonts w:ascii="Calibri" w:hAnsi="Calibri"/>
          <w:b/>
          <w:i w:val="0"/>
          <w:color w:val="1B2A32"/>
          <w:sz w:val="21"/>
        </w:rPr>
        <w:t>the ability to hold a room where one party controls the other's livelihood</w:t>
      </w:r>
      <w:r>
        <w:rPr>
          <w:rFonts w:ascii="Calibri" w:hAnsi="Calibri"/>
          <w:b w:val="0"/>
          <w:i w:val="0"/>
          <w:color w:val="1B2A32"/>
          <w:sz w:val="21"/>
        </w:rPr>
        <w:t>. For POSH work a third is required — genuine competence in handling disclosures of harassment.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Eligible backgrounds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Retired HR and industrial-relations leaders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settlement realism and employer-side credibility.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Employment and labour lawyers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Codes, standing orders, tribunal practice.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Retired labour-court or tribunal officers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process authority.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Psychologists, social workers and counsellors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for conduct, harassment and interpersonal matters.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POSH specialists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for external Internal-Committee membership (a distinct, certified role).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Trade-union and worker-rights practitioners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balance and legitimacy with employees.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Scoring rubric (100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Criterion</w:t>
            </w:r>
          </w:p>
        </w:tc>
        <w:tc>
          <w:tcPr>
            <w:tcW w:type="dxa" w:w="129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Weight</w:t>
            </w:r>
          </w:p>
        </w:tc>
        <w:tc>
          <w:tcPr>
            <w:tcW w:type="dxa" w:w="475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is assessed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Employment / IR expertise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25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Labour Codes, standing orders, termination, wages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Mediation skill &amp; training</w:t>
            </w:r>
          </w:p>
        </w:tc>
        <w:tc>
          <w:tcPr>
            <w:tcW w:type="dxa" w:w="12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Certification; observed practice; technique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Power-imbalance competence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15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Ability to protect voluntariness where livelihoods are at stake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POSH competence (where claimed)</w:t>
            </w:r>
          </w:p>
        </w:tc>
        <w:tc>
          <w:tcPr>
            <w:tcW w:type="dxa" w:w="12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15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Screening, disclosure handling, s.10 limits, s.16 discipline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Independence &amp; integrity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Conflicts record; no capture by employer or union side</w:t>
            </w:r>
          </w:p>
        </w:tc>
      </w:tr>
      <w:tr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Settlement record &amp; durability</w:t>
            </w:r>
          </w:p>
        </w:tc>
        <w:tc>
          <w:tcPr>
            <w:tcW w:type="dxa" w:w="129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</w:t>
            </w:r>
          </w:p>
        </w:tc>
        <w:tc>
          <w:tcPr>
            <w:tcW w:type="dxa" w:w="475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Outcomes and whether they hold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Accessibility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Languages, availability, digital fluency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Thresholds:</w:t>
      </w:r>
      <w:r>
        <w:rPr>
          <w:rFonts w:ascii="Calibri" w:hAnsi="Calibri"/>
          <w:b w:val="0"/>
          <w:i w:val="0"/>
          <w:color w:val="1B2A32"/>
          <w:sz w:val="21"/>
        </w:rPr>
        <w:t xml:space="preserve"> ≥80 Grade A; 65–79 Grade B; 50–64 Grade C. A </w:t>
      </w:r>
      <w:r>
        <w:rPr>
          <w:rFonts w:ascii="Calibri" w:hAnsi="Calibri"/>
          <w:b/>
          <w:i w:val="0"/>
          <w:color w:val="1B2A32"/>
          <w:sz w:val="21"/>
        </w:rPr>
        <w:t>POSH external-member endorsement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requires ≥12 on the POSH criterion and separate certification; it is not granted by seniority alone.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The capture risk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A panel drawn only from HR leadership will be read by employees as the employer's panel, and a panel drawn only from union practitioners will be read the other way. Balance is not decoration here — it is what makes the institution usable by both sides. Track and publish the composition.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Employer partnership &amp; BD programme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8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Employer pain</w:t>
            </w:r>
          </w:p>
        </w:tc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Equator offer</w:t>
            </w:r>
          </w:p>
        </w:tc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Commercial shape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POSH compliance is patchy; no credible external member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Trained external IC members + IC training + annual-report support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Annual subscription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Exit disputes drag and escalate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Fast, escrow-secured F&amp;F and separation mediation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Per-matter or panel SLA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Litigation cost and reputational exposure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Confidential resolution before a tribunal claim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Per-matter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Grievance machinery exists on paper only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GRC design support and escalation mediation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Advisory + per-matter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Layoff or restructuring round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Bulk handling of separations on consistent terms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Project pricing</w:t>
            </w:r>
          </w:p>
        </w:tc>
      </w:tr>
      <w:tr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Labour Code transition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Compliance review of wage structure and F&amp;F arithmetic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Advisory engagement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BD motion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Target list — employers with 10+ workers (POSH obligation) and known exit volume.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Lead with </w:t>
      </w:r>
      <w:r>
        <w:rPr>
          <w:rFonts w:ascii="Calibri" w:hAnsi="Calibri"/>
          <w:b/>
          <w:i w:val="0"/>
          <w:color w:val="1B2A32"/>
          <w:sz w:val="21"/>
        </w:rPr>
        <w:t>POSH</w:t>
      </w:r>
      <w:r>
        <w:rPr>
          <w:rFonts w:ascii="Calibri" w:hAnsi="Calibri"/>
          <w:b w:val="0"/>
          <w:i w:val="0"/>
          <w:color w:val="1B2A32"/>
          <w:sz w:val="21"/>
        </w:rPr>
        <w:t>: it is mandatory, board-visible, and the external-member gap is real.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Land the subscription; earn the right to handle exit disputes.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Pilot a ring-fenced batch of separations; prove cycle time and cost.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Convert to a panel SLA and insert the ADR clause into the standard employment contract and HR policy.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Quarterly review with HR and legal leadership.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An ethical line to hold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Selling POSH services to an employer and mediating that employer's disputes creates a structural conflict. It is manageable — different individuals, disclosure to both parties, and refusal where the same employee is involved — but it must be disclosed and documented every time, not assumed away. This is written into the Rules at Rule 7.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Employer Panel MoU — heads of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Clause</w:t>
            </w:r>
          </w:p>
        </w:tc>
        <w:tc>
          <w:tcPr>
            <w:tcW w:type="dxa" w:w="7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Substance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1. Scope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Categories referred: F&amp;F, separation, notice, benefits, grievance. POSH handled separately and never diverted.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2. Referral &amp; volumes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Mechanism, indicative volumes, acknowledgement and scheduling SLAs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3. Authority to settle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Named officers with delegated settlement authority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4. Neutrality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Equator acts for neither party; the employer accepts it will not receive preferential treatment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5. POSH services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External IC member, training, annual-report support — separately scoped; conflict protocol applies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6. Fees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Per the Tariff; employer's share in individual employee matters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7. Escrow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Use of the facility; milestones; relieving conditionality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8. Statutory dues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Employer confirms statutory dues are computed on the Code on Wages definition and will be paid, not settled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9. Data protection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DPDP roles; sensitive and POSH data handling; sealed storage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10. Records &amp; MIS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Reporting, dashboards, audit rights, quarterly review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11. Term &amp; termination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Term, renewal, termination; survival for pending matters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12. Liability &amp; conflict</w:t>
            </w:r>
          </w:p>
        </w:tc>
        <w:tc>
          <w:tcPr>
            <w:tcW w:type="dxa" w:w="7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Limitation; the disclosed structural conflict and how it is managed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For Equator Resolution:</w:t>
      </w:r>
      <w:r>
        <w:rPr>
          <w:rFonts w:ascii="Calibri" w:hAnsi="Calibri"/>
          <w:b w:val="0"/>
          <w:i w:val="0"/>
          <w:color w:val="1B2A32"/>
          <w:sz w:val="21"/>
        </w:rPr>
        <w:t xml:space="preserve"> ____________________   </w:t>
      </w:r>
      <w:r>
        <w:rPr>
          <w:rFonts w:ascii="Calibri" w:hAnsi="Calibri"/>
          <w:b/>
          <w:i w:val="0"/>
          <w:color w:val="1B2A32"/>
          <w:sz w:val="21"/>
        </w:rPr>
        <w:t>For [Employer]:</w:t>
      </w:r>
      <w:r>
        <w:rPr>
          <w:rFonts w:ascii="Calibri" w:hAnsi="Calibri"/>
          <w:b w:val="0"/>
          <w:i w:val="0"/>
          <w:color w:val="1B2A32"/>
          <w:sz w:val="21"/>
        </w:rPr>
        <w:t xml:space="preserve"> ____________________   </w:t>
      </w:r>
      <w:r>
        <w:rPr>
          <w:rFonts w:ascii="Calibri" w:hAnsi="Calibri"/>
          <w:b/>
          <w:i w:val="0"/>
          <w:color w:val="1B2A32"/>
          <w:sz w:val="21"/>
        </w:rPr>
        <w:t>Date:</w:t>
      </w:r>
      <w:r>
        <w:rPr>
          <w:rFonts w:ascii="Calibri" w:hAnsi="Calibri"/>
          <w:b w:val="0"/>
          <w:i w:val="0"/>
          <w:color w:val="1B2A32"/>
          <w:sz w:val="21"/>
        </w:rPr>
        <w:t xml:space="preserve"> __________</w:t>
      </w:r>
    </w:p>
    <w:p>
      <w:pPr>
        <w:spacing w:after="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Draft for adoption; settle with counsel. Not legal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Workplace &amp; HR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1EADB6-40C4-4B1C-9EF3-4E2B58FFB604}"/>
</file>

<file path=customXml/itemProps3.xml><?xml version="1.0" encoding="utf-8"?>
<ds:datastoreItem xmlns:ds="http://schemas.openxmlformats.org/officeDocument/2006/customXml" ds:itemID="{4B1B8619-3839-45F1-AEF6-83BE9163873F}"/>
</file>

<file path=customXml/itemProps4.xml><?xml version="1.0" encoding="utf-8"?>
<ds:datastoreItem xmlns:ds="http://schemas.openxmlformats.org/officeDocument/2006/customXml" ds:itemID="{C2F80DB1-E620-4573-9AA4-FBAAE5B6BC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