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Engineering Handoff — Workplace &amp; HR vertical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Technical Architecture &amp; Data Specification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System design, sealed POSH architecture, data model and API contract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Workplace &amp; HR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Purpose &amp; scope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This document specifies the architecture for the workplace &amp; HR vertical. It is delivered with </w:t>
      </w:r>
      <w:r>
        <w:rPr>
          <w:rFonts w:ascii="Calibri" w:hAnsi="Calibri"/>
          <w:b/>
          <w:i w:val="0"/>
          <w:color w:val="1B2A32"/>
          <w:sz w:val="21"/>
        </w:rPr>
        <w:t>`openapi_wp.yaml`</w:t>
      </w:r>
      <w:r>
        <w:rPr>
          <w:rFonts w:ascii="Calibri" w:hAnsi="Calibri"/>
          <w:b w:val="0"/>
          <w:i w:val="0"/>
          <w:color w:val="1B2A32"/>
          <w:sz w:val="21"/>
        </w:rPr>
        <w:t xml:space="preserve"> (22 endpoints, 5 of them on a sealed POSH surface) and </w:t>
      </w:r>
      <w:r>
        <w:rPr>
          <w:rFonts w:ascii="Calibri" w:hAnsi="Calibri"/>
          <w:b/>
          <w:i w:val="0"/>
          <w:color w:val="1B2A32"/>
          <w:sz w:val="21"/>
        </w:rPr>
        <w:t>`schema_wp.sql`</w:t>
      </w:r>
      <w:r>
        <w:rPr>
          <w:rFonts w:ascii="Calibri" w:hAnsi="Calibri"/>
          <w:b w:val="0"/>
          <w:i w:val="0"/>
          <w:color w:val="1B2A32"/>
          <w:sz w:val="21"/>
        </w:rPr>
        <w:t xml:space="preserve"> (23 tables across two schemas, 9 enumerated types, 15 guard constraints). The design principle that shapes everything else is that </w:t>
      </w:r>
      <w:r>
        <w:rPr>
          <w:rFonts w:ascii="Calibri" w:hAnsi="Calibri"/>
          <w:b/>
          <w:i w:val="0"/>
          <w:color w:val="1B2A32"/>
          <w:sz w:val="21"/>
        </w:rPr>
        <w:t>POSH data is not ordinary case data</w:t>
      </w:r>
      <w:r>
        <w:rPr>
          <w:rFonts w:ascii="Calibri" w:hAnsi="Calibri"/>
          <w:b w:val="0"/>
          <w:i w:val="0"/>
          <w:color w:val="1B2A32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Three rules enforced in code, not policy</w:t>
            </w:r>
          </w:p>
          <w:p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(1) Sealed POSH.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POSH complaints live in a separate database schema with a separate role and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no join path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to ordinary case data (POSH Act s.16).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(2) Section 10 limits.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Conciliation is rejected by a database constraint unless it was requested by the aggrieved woman and asserts no monetary basis.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(3) Statutory dues.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A settlement asserting waiver of gratuity, PF or ESI is refused by both the API (422) and a CHECK constraint.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Logical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1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Service</w:t>
            </w:r>
          </w:p>
        </w:tc>
        <w:tc>
          <w:tcPr>
            <w:tcW w:type="dxa" w:w="518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Responsibility</w:t>
            </w:r>
          </w:p>
        </w:tc>
        <w:tc>
          <w:tcPr>
            <w:tcW w:type="dxa" w:w="21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Schema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Identity &amp; KYC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Party identity, DPDP consent, roles and scopes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public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Case &amp; workflow</w:t>
            </w:r>
          </w:p>
        </w:tc>
        <w:tc>
          <w:tcPr>
            <w:tcW w:type="dxa" w:w="518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Case lifecycle, triage, SLAs</w:t>
            </w:r>
          </w:p>
        </w:tc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public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Employer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Employer profile, panel SLA, POSH subscription, compliance 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public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Panel &amp; appointment</w:t>
            </w:r>
          </w:p>
        </w:tc>
        <w:tc>
          <w:tcPr>
            <w:tcW w:type="dxa" w:w="518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Neutral roster, conflict checks, </w:t>
            </w:r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structural-conflict disclosure</w:t>
            </w:r>
          </w:p>
        </w:tc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public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Sessions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Scheduling, joint/caucus/shuttle, sealed caucus notes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public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Settlement &amp; F&amp;F</w:t>
            </w:r>
          </w:p>
        </w:tc>
        <w:tc>
          <w:tcPr>
            <w:tcW w:type="dxa" w:w="518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Gratuity and F&amp;F computation on the Code on Wages definition; MSA</w:t>
            </w:r>
          </w:p>
        </w:tc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public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Escrow &amp; payments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Instructions, milestone release conditioned on relieving and asset return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public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POSH service</w:t>
            </w:r>
          </w:p>
        </w:tc>
        <w:tc>
          <w:tcPr>
            <w:tcW w:type="dxa" w:w="5184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Complaint, IC constitution, s.10 conciliation, inquiry clock, annual report</w:t>
            </w:r>
          </w:p>
        </w:tc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posh (sealed)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AI service</w:t>
            </w:r>
          </w:p>
        </w:tc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Route/rights assistant with POSH-safety routing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public (redacted logs)</w:t>
            </w:r>
          </w:p>
        </w:tc>
      </w:tr>
      <w:tr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Audit &amp; reporting</w:t>
            </w:r>
          </w:p>
        </w:tc>
        <w:tc>
          <w:tcPr>
            <w:tcW w:type="dxa" w:w="518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Hash-chained audit across both schemas; MIS</w:t>
            </w:r>
          </w:p>
        </w:tc>
        <w:tc>
          <w:tcPr>
            <w:tcW w:type="dxa" w:w="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public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The sealed POSH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6259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p03_po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25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17"/>
        </w:rPr>
        <w:t>Figure — the statutory process the sealed surface must support.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POSH data is stored in </w:t>
      </w:r>
      <w:r>
        <w:rPr>
          <w:rFonts w:ascii="Calibri" w:hAnsi="Calibri"/>
          <w:b/>
          <w:i w:val="0"/>
          <w:color w:val="1B2A32"/>
          <w:sz w:val="21"/>
        </w:rPr>
        <w:t>schema `posh`</w:t>
      </w:r>
      <w:r>
        <w:rPr>
          <w:rFonts w:ascii="Calibri" w:hAnsi="Calibri"/>
          <w:b w:val="0"/>
          <w:i w:val="0"/>
          <w:color w:val="1B2A32"/>
          <w:sz w:val="21"/>
        </w:rPr>
        <w:t xml:space="preserve">, granted to a distinct database role. Ordinary application roles hold </w:t>
      </w:r>
      <w:r>
        <w:rPr>
          <w:rFonts w:ascii="Calibri" w:hAnsi="Calibri"/>
          <w:b/>
          <w:i w:val="0"/>
          <w:color w:val="1B2A32"/>
          <w:sz w:val="21"/>
        </w:rPr>
        <w:t>no privileges</w:t>
      </w:r>
      <w:r>
        <w:rPr>
          <w:rFonts w:ascii="Calibri" w:hAnsi="Calibri"/>
          <w:b w:val="0"/>
          <w:i w:val="0"/>
          <w:color w:val="1B2A32"/>
          <w:sz w:val="21"/>
        </w:rPr>
        <w:t xml:space="preserve"> on that schema.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`posh.complaint.employer_id` is deliberately </w:t>
      </w:r>
      <w:r>
        <w:rPr>
          <w:rFonts w:ascii="Calibri" w:hAnsi="Calibri"/>
          <w:b/>
          <w:i w:val="0"/>
          <w:color w:val="1B2A32"/>
          <w:sz w:val="21"/>
        </w:rPr>
        <w:t>not a foreign key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there is no query path from an ordinary case to a complainant's identity.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Identity, respondent and particulars are stored as </w:t>
      </w:r>
      <w:r>
        <w:rPr>
          <w:rFonts w:ascii="Calibri" w:hAnsi="Calibri"/>
          <w:b/>
          <w:i w:val="0"/>
          <w:color w:val="1B2A32"/>
          <w:sz w:val="21"/>
        </w:rPr>
        <w:t>ciphertext</w:t>
      </w:r>
      <w:r>
        <w:rPr>
          <w:rFonts w:ascii="Calibri" w:hAnsi="Calibri"/>
          <w:b w:val="0"/>
          <w:i w:val="0"/>
          <w:color w:val="1B2A32"/>
          <w:sz w:val="21"/>
        </w:rPr>
        <w:t xml:space="preserve"> (`BYTEA`), decrypted only in the POSH service.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`wp_case` carries an `is_posh` flag with a CHECK constraint preventing a POSH matter from ever entering an ordinary mediation state.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 API refuses to create a POSH matter as an ordinary case (</w:t>
      </w:r>
      <w:r>
        <w:rPr>
          <w:rFonts w:ascii="Calibri" w:hAnsi="Calibri"/>
          <w:b/>
          <w:i w:val="0"/>
          <w:color w:val="1B2A32"/>
          <w:sz w:val="21"/>
        </w:rPr>
        <w:t>422</w:t>
      </w:r>
      <w:r>
        <w:rPr>
          <w:rFonts w:ascii="Calibri" w:hAnsi="Calibri"/>
          <w:b w:val="0"/>
          <w:i w:val="0"/>
          <w:color w:val="1B2A32"/>
          <w:sz w:val="21"/>
        </w:rPr>
        <w:t>) and requires a `posh` scope for the sealed endpoints (</w:t>
      </w:r>
      <w:r>
        <w:rPr>
          <w:rFonts w:ascii="Calibri" w:hAnsi="Calibri"/>
          <w:b/>
          <w:i w:val="0"/>
          <w:color w:val="1B2A32"/>
          <w:sz w:val="21"/>
        </w:rPr>
        <w:t>403</w:t>
      </w:r>
      <w:r>
        <w:rPr>
          <w:rFonts w:ascii="Calibri" w:hAnsi="Calibri"/>
          <w:b w:val="0"/>
          <w:i w:val="0"/>
          <w:color w:val="1B2A32"/>
          <w:sz w:val="21"/>
        </w:rPr>
        <w:t xml:space="preserve"> otherwise).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Audit events record which schema was touched, so access to POSH material is separately reviewable.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Statutory rules as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02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Rule</w:t>
            </w:r>
          </w:p>
        </w:tc>
        <w:tc>
          <w:tcPr>
            <w:tcW w:type="dxa" w:w="302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Where enforced</w:t>
            </w:r>
          </w:p>
        </w:tc>
        <w:tc>
          <w:tcPr>
            <w:tcW w:type="dxa" w:w="345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Behaviour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IC must include an external member (s.4)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`posh.internal_committee` CHECK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Insert fails without `external_member_id`</w:t>
            </w:r>
          </w:p>
        </w:tc>
      </w:tr>
      <w:tr>
        <w:tc>
          <w:tcPr>
            <w:tcW w:type="dxa" w:w="302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At least half the members women (s.4)</w:t>
            </w:r>
          </w:p>
        </w:tc>
        <w:tc>
          <w:tcPr>
            <w:tcW w:type="dxa" w:w="302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`posh.internal_committee` CHECK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Insert fails if women &lt; half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s.10 only at the woman's request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`posh.conciliation` CHECK + API 422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Cannot record IC- or respondent-initiated conciliation</w:t>
            </w:r>
          </w:p>
        </w:tc>
      </w:tr>
      <w:tr>
        <w:tc>
          <w:tcPr>
            <w:tcW w:type="dxa" w:w="302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No monetary basis for s.10</w:t>
            </w:r>
          </w:p>
        </w:tc>
        <w:tc>
          <w:tcPr>
            <w:tcW w:type="dxa" w:w="302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`posh.conciliation` CHECK + API 422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`monetary_basis` must be false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Inquiry within 90 days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`posh.inquiry` CHECK + generated `due_on`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Conclusion beyond 90 days rejected; clock exposed via API</w:t>
            </w:r>
          </w:p>
        </w:tc>
      </w:tr>
      <w:tr>
        <w:tc>
          <w:tcPr>
            <w:tcW w:type="dxa" w:w="302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Report within 10 days; employer acts in 60</w:t>
            </w:r>
          </w:p>
        </w:tc>
        <w:tc>
          <w:tcPr>
            <w:tcW w:type="dxa" w:w="302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`posh.employer_action` generated column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Deadlines computed, not typed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Statutory dues never waived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`wp_settlement` CHECK + API 422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Settlement refused if waiver asserted</w:t>
            </w:r>
          </w:p>
        </w:tc>
      </w:tr>
      <w:tr>
        <w:tc>
          <w:tcPr>
            <w:tcW w:type="dxa" w:w="302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Structural conflict disclosed (Rule 7)</w:t>
            </w:r>
          </w:p>
        </w:tc>
        <w:tc>
          <w:tcPr>
            <w:tcW w:type="dxa" w:w="302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API 409 on appointment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Appointment refused unless disclosed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The Code on Wages in the data model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`employment_record` carries `monthly_wages` (basic + DA + retaining allowance) and `wages_pct_of_ctc`. The F&amp;F endpoint returns a </w:t>
      </w:r>
      <w:r>
        <w:rPr>
          <w:rFonts w:ascii="Calibri" w:hAnsi="Calibri"/>
          <w:b/>
          <w:i w:val="0"/>
          <w:color w:val="1B2A32"/>
          <w:sz w:val="21"/>
        </w:rPr>
        <w:t>`wageDefinitionWarning`</w:t>
      </w:r>
      <w:r>
        <w:rPr>
          <w:rFonts w:ascii="Calibri" w:hAnsi="Calibri"/>
          <w:b w:val="0"/>
          <w:i w:val="0"/>
          <w:color w:val="1B2A32"/>
          <w:sz w:val="21"/>
        </w:rPr>
        <w:t xml:space="preserve"> where that percentage is below 0.50, because the Code on Wages requires the excess to be added back for statutory computation. This is the single most common source of under-computed gratuity, and the platform surfaces it rather than silently reproducing the employer's arithmetic.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5.  Security, data protection and delivery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Encryption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TLS 1.2+; AES-256 at rest; field-level encryption for POSH and caucus material.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Access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RBAC plus a separate `posh` scope and database role; step-up authentication for sealed data.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Audit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append-only, hash-chained, recording the schema touched.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DPDP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consent capture and withdrawal, minimisation, masked identifiers, retention driven by `wp_retention_policy`.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Delivery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dev/staging/production; IaC; CI/CD with security and AI-evaluation gates; staged rollout to a pilot employer before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Workplace &amp; HR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D928B2-333D-47C0-A3F6-727B1C8DA56F}"/>
</file>

<file path=customXml/itemProps3.xml><?xml version="1.0" encoding="utf-8"?>
<ds:datastoreItem xmlns:ds="http://schemas.openxmlformats.org/officeDocument/2006/customXml" ds:itemID="{B546B50C-A9EA-47D4-9AD3-96B4A29042F8}"/>
</file>

<file path=customXml/itemProps4.xml><?xml version="1.0" encoding="utf-8"?>
<ds:datastoreItem xmlns:ds="http://schemas.openxmlformats.org/officeDocument/2006/customXml" ds:itemID="{C30230F3-FC68-4372-8939-9ADEBBC0A5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