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POSH Support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Workplace Neutral &amp; POSH External Member Curriculum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The Equator Certified Workplace Neutral (ECWN) and the POSH External Member endorsement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Workplace &amp; HR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Two certifications, deliberately separate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This programme awards two things. The </w:t>
      </w:r>
      <w:r>
        <w:rPr>
          <w:rFonts w:ascii="Calibri" w:hAnsi="Calibri"/>
          <w:b/>
          <w:i w:val="0"/>
          <w:color w:val="1B2A32"/>
          <w:sz w:val="21"/>
        </w:rPr>
        <w:t>ECWN</w:t>
      </w:r>
      <w:r>
        <w:rPr>
          <w:rFonts w:ascii="Calibri" w:hAnsi="Calibri"/>
          <w:b w:val="0"/>
          <w:i w:val="0"/>
          <w:color w:val="1B2A32"/>
          <w:sz w:val="21"/>
        </w:rPr>
        <w:t xml:space="preserve"> certifies a neutral to mediate employment disputes — wages, full-and-final, separation, grievances. The </w:t>
      </w:r>
      <w:r>
        <w:rPr>
          <w:rFonts w:ascii="Calibri" w:hAnsi="Calibri"/>
          <w:b/>
          <w:i w:val="0"/>
          <w:color w:val="1B2A32"/>
          <w:sz w:val="21"/>
        </w:rPr>
        <w:t>POSH External Member endorsement</w:t>
      </w:r>
      <w:r>
        <w:rPr>
          <w:rFonts w:ascii="Calibri" w:hAnsi="Calibri"/>
          <w:b w:val="0"/>
          <w:i w:val="0"/>
          <w:color w:val="1B2A32"/>
          <w:sz w:val="21"/>
        </w:rPr>
        <w:t xml:space="preserve"> qualifies a person to sit on an employer's Internal Committee under section 4 of the POSH Act. They are separate because the roles are different: a mediator facilitates a settlement, while an external member sits on a statutory inquiry body that </w:t>
      </w:r>
      <w:r>
        <w:rPr>
          <w:rFonts w:ascii="Calibri" w:hAnsi="Calibri"/>
          <w:b/>
          <w:i w:val="0"/>
          <w:color w:val="1B2A32"/>
          <w:sz w:val="21"/>
        </w:rPr>
        <w:t>decides</w:t>
      </w:r>
      <w:r>
        <w:rPr>
          <w:rFonts w:ascii="Calibri" w:hAnsi="Calibri"/>
          <w:b w:val="0"/>
          <w:i w:val="0"/>
          <w:color w:val="1B2A32"/>
          <w:sz w:val="21"/>
        </w:rPr>
        <w:t>. Conflating them is how POSH matters get mishandled.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A hard rule taught from day one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A sexual-harassment complaint is never mediated, never diverted, and never settled on a monetary basis. It belongs to the Internal Committee. Anyone who cannot hold that line does not pass this programme.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Structure &amp; hours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345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21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Hours</w:t>
            </w:r>
          </w:p>
        </w:tc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Mode</w:t>
            </w:r>
          </w:p>
        </w:tc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Foundation (M1–3)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20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Live / online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Labour Codes, POSH, and the boundary between them</w:t>
            </w:r>
          </w:p>
        </w:tc>
      </w:tr>
      <w:tr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Mediation track (M4–6)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24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Workshop + role-play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Employment settlement skill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Computation (M7)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8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Workshop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F&amp;F, gratuity and the Code on Wages</w:t>
            </w:r>
          </w:p>
        </w:tc>
      </w:tr>
      <w:tr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POSH endorsement track (M8–11)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28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Workshop + simulation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External-member competence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Assessment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8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Simulation + written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Certification decision(s)</w:t>
            </w:r>
          </w:p>
        </w:tc>
      </w:tr>
      <w:tr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Supervised practice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4 mediations / 2 IC sittings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Live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Grade / endorsement confirmation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88 hours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(60 for ECWN alone)</w:t>
            </w:r>
          </w:p>
        </w:tc>
        <w:tc>
          <w:tcPr>
            <w:tcW w:type="dxa" w:w="2304"/>
          </w:tcPr>
          <w:p>
            <w:r/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ECWN and/or POSH endorsement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Syllabus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Part 1 — Foundation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M1 · The Labour Codes.</w:t>
      </w:r>
      <w:r>
        <w:rPr>
          <w:rFonts w:ascii="Calibri" w:hAnsi="Calibri"/>
          <w:b w:val="0"/>
          <w:i w:val="0"/>
          <w:color w:val="1B2A32"/>
          <w:sz w:val="21"/>
        </w:rPr>
        <w:t xml:space="preserve"> All four Codes in force from 21 November 2025; the Code on Wages definition and the 50%-of-CTC rule; State-rule variation and how to check it.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M2 · Employment law in practice.</w:t>
      </w:r>
      <w:r>
        <w:rPr>
          <w:rFonts w:ascii="Calibri" w:hAnsi="Calibri"/>
          <w:b w:val="0"/>
          <w:i w:val="0"/>
          <w:color w:val="1B2A32"/>
          <w:sz w:val="21"/>
        </w:rPr>
        <w:t xml:space="preserve"> Termination and retrenchment under the IR Code; standing orders; gratuity, PF and ESI; s.27 of the Contract Act and post-employment restraints.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M3 · The POSH boundary.</w:t>
      </w:r>
      <w:r>
        <w:rPr>
          <w:rFonts w:ascii="Calibri" w:hAnsi="Calibri"/>
          <w:b w:val="0"/>
          <w:i w:val="0"/>
          <w:color w:val="1B2A32"/>
          <w:sz w:val="21"/>
        </w:rPr>
        <w:t xml:space="preserve"> What belongs to the Internal Committee; what may be mediated; the criminal overlay; Equator's Rule 7 structural-conflict protocol.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Part 2 — Mediation track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M4 · Employment mediation practice.</w:t>
      </w:r>
      <w:r>
        <w:rPr>
          <w:rFonts w:ascii="Calibri" w:hAnsi="Calibri"/>
          <w:b w:val="0"/>
          <w:i w:val="0"/>
          <w:color w:val="1B2A32"/>
          <w:sz w:val="21"/>
        </w:rPr>
        <w:t xml:space="preserve"> Convening, joint and shuttle sessions, working with HR and with an unrepresented employee.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M5 · Power imbalance.</w:t>
      </w:r>
      <w:r>
        <w:rPr>
          <w:rFonts w:ascii="Calibri" w:hAnsi="Calibri"/>
          <w:b w:val="0"/>
          <w:i w:val="0"/>
          <w:color w:val="1B2A32"/>
          <w:sz w:val="21"/>
        </w:rPr>
        <w:t xml:space="preserve"> Livelihood pressure; the relieving-letter hostage problem; ensuring voluntariness; when to terminate.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M6 · Structuring the exit.</w:t>
      </w:r>
      <w:r>
        <w:rPr>
          <w:rFonts w:ascii="Calibri" w:hAnsi="Calibri"/>
          <w:b w:val="0"/>
          <w:i w:val="0"/>
          <w:color w:val="1B2A32"/>
          <w:sz w:val="21"/>
        </w:rPr>
        <w:t xml:space="preserve"> Non-money terms that unlock deals — relieving and experience letters, references, non-disparagement, asset return, escrow milestones.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Part 3 — Computation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M7 · F&amp;F and gratuity.</w:t>
      </w:r>
      <w:r>
        <w:rPr>
          <w:rFonts w:ascii="Calibri" w:hAnsi="Calibri"/>
          <w:b w:val="0"/>
          <w:i w:val="0"/>
          <w:color w:val="1B2A32"/>
          <w:sz w:val="21"/>
        </w:rPr>
        <w:t xml:space="preserve"> Building the number; gratuity as (15 × wages × completed years) / 26; recomputing on the Code definition; notice pay; retrenchment compensation; </w:t>
      </w:r>
      <w:r>
        <w:rPr>
          <w:rFonts w:ascii="Calibri" w:hAnsi="Calibri"/>
          <w:b/>
          <w:i w:val="0"/>
          <w:color w:val="1B2A32"/>
          <w:sz w:val="21"/>
        </w:rPr>
        <w:t>statutory dues are paid, never waived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Part 4 — POSH external-member endorsement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M8 · The Act and the Committee.</w:t>
      </w:r>
      <w:r>
        <w:rPr>
          <w:rFonts w:ascii="Calibri" w:hAnsi="Calibri"/>
          <w:b w:val="0"/>
          <w:i w:val="0"/>
          <w:color w:val="1B2A32"/>
          <w:sz w:val="21"/>
        </w:rPr>
        <w:t xml:space="preserve"> Scope, definitions, the s.4 composition requirement, the external member's independent role.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M9 · Section 10 conciliation.</w:t>
      </w:r>
      <w:r>
        <w:rPr>
          <w:rFonts w:ascii="Calibri" w:hAnsi="Calibri"/>
          <w:b w:val="0"/>
          <w:i w:val="0"/>
          <w:color w:val="1B2A32"/>
          <w:sz w:val="21"/>
        </w:rPr>
        <w:t xml:space="preserve"> Only at the aggrieved woman's request; never IC-initiated or respondent-requested; </w:t>
      </w:r>
      <w:r>
        <w:rPr>
          <w:rFonts w:ascii="Calibri" w:hAnsi="Calibri"/>
          <w:b/>
          <w:i w:val="0"/>
          <w:color w:val="1B2A32"/>
          <w:sz w:val="21"/>
        </w:rPr>
        <w:t>no monetary basis</w:t>
      </w:r>
      <w:r>
        <w:rPr>
          <w:rFonts w:ascii="Calibri" w:hAnsi="Calibri"/>
          <w:b w:val="0"/>
          <w:i w:val="0"/>
          <w:color w:val="1B2A32"/>
          <w:sz w:val="21"/>
        </w:rPr>
        <w:t>; recording and forwarding terms; what happens on non-compliance.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M10 · Conducting an inquiry.</w:t>
      </w:r>
      <w:r>
        <w:rPr>
          <w:rFonts w:ascii="Calibri" w:hAnsi="Calibri"/>
          <w:b w:val="0"/>
          <w:i w:val="0"/>
          <w:color w:val="1B2A32"/>
          <w:sz w:val="21"/>
        </w:rPr>
        <w:t xml:space="preserve"> Natural justice; the 10-working-day reply; no legal representation of parties; evidence and witnesses; </w:t>
      </w:r>
      <w:r>
        <w:rPr>
          <w:rFonts w:ascii="Calibri" w:hAnsi="Calibri"/>
          <w:b/>
          <w:i w:val="0"/>
          <w:color w:val="1B2A32"/>
          <w:sz w:val="21"/>
        </w:rPr>
        <w:t>never questioning character, dress or sexual history</w:t>
      </w:r>
      <w:r>
        <w:rPr>
          <w:rFonts w:ascii="Calibri" w:hAnsi="Calibri"/>
          <w:b w:val="0"/>
          <w:i w:val="0"/>
          <w:color w:val="1B2A32"/>
          <w:sz w:val="21"/>
        </w:rPr>
        <w:t>; interim relief; the 90-day clock; report in 10 days; employer action in 60; appeal in 90.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M11 · Findings, compensation and confidentiality.</w:t>
      </w:r>
      <w:r>
        <w:rPr>
          <w:rFonts w:ascii="Calibri" w:hAnsi="Calibri"/>
          <w:b w:val="0"/>
          <w:i w:val="0"/>
          <w:color w:val="1B2A32"/>
          <w:sz w:val="21"/>
        </w:rPr>
        <w:t xml:space="preserve"> Reasoned findings; the statutory compensation factors; the narrow malicious-complaint provision and why an unproved complaint is not a false one; section 16 confidentiality and the penalty for breach; the annual report.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403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Component</w:t>
            </w:r>
          </w:p>
        </w:tc>
        <w:tc>
          <w:tcPr>
            <w:tcW w:type="dxa" w:w="187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Weight</w:t>
            </w:r>
          </w:p>
        </w:tc>
        <w:tc>
          <w:tcPr>
            <w:tcW w:type="dxa" w:w="388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Pass standard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Employment mediation simulation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25%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Impartiality; voluntariness; power imbalance managed</w:t>
            </w:r>
          </w:p>
        </w:tc>
      </w:tr>
      <w:tr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F&amp;F computation exercise</w:t>
            </w:r>
          </w:p>
        </w:tc>
        <w:tc>
          <w:tcPr>
            <w:tcW w:type="dxa" w:w="18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15%</w:t>
            </w:r>
          </w:p>
        </w:tc>
        <w:tc>
          <w:tcPr>
            <w:tcW w:type="dxa" w:w="388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Accurate; wage-definition applied; no waiver of statutory dues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POSH boundary exercise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20%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Must pass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— correctly refuses to mediate or monetise a POSH complaint</w:t>
            </w:r>
          </w:p>
        </w:tc>
      </w:tr>
      <w:tr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POSH inquiry simulation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(endorsement only)</w:t>
            </w:r>
          </w:p>
        </w:tc>
        <w:tc>
          <w:tcPr>
            <w:tcW w:type="dxa" w:w="18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25%</w:t>
            </w:r>
          </w:p>
        </w:tc>
        <w:tc>
          <w:tcPr>
            <w:tcW w:type="dxa" w:w="3888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Must pass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— natural justice, s.10 limits, no improper questioning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Written paper (Codes &amp; POSH)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15%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60%; no fail in the POSH section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Two non-negotiables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A candidate who mediates or monetises a POSH complaint in the boundary exercise fails outright. A candidate who questions a complainant about her character or personal life in the inquiry simulation fails outright. Neither is recoverable by performance elsewhere.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CPD &amp; recertification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403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</w:t>
            </w:r>
          </w:p>
        </w:tc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Annual minimum</w:t>
            </w:r>
          </w:p>
        </w:tc>
        <w:tc>
          <w:tcPr>
            <w:tcW w:type="dxa" w:w="316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Total CPD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20 hours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— of which POSH (endorsement holders)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8 hours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Mandatory; cannot be substituted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— of which Labour Code update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6 hours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Codes and State rules are still settling</w:t>
            </w:r>
          </w:p>
        </w:tc>
      </w:tr>
      <w:tr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Peer supervision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4 sessions</w:t>
            </w:r>
          </w:p>
        </w:tc>
        <w:tc>
          <w:tcPr>
            <w:tcW w:type="dxa" w:w="3168"/>
            <w:shd w:val="clear" w:fill="F3F7F9"/>
          </w:tcPr>
          <w:p>
            <w:r/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Recertification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Every 2 years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Endorsement revalidated separately</w:t>
            </w:r>
          </w:p>
        </w:tc>
      </w:tr>
    </w:tbl>
    <w:p>
      <w:pPr>
        <w:spacing w:after="40"/>
      </w:pPr>
    </w:p>
    <w:p>
      <w:pPr>
        <w:spacing w:after="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These curricula are drafts for adoption; align with the Mediation Council of India's requirements once notified, and have counsel review the legal modules. Not legal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Workplace &amp; HR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446088-CEBE-4D2C-94F1-28F8EE0C65CE}"/>
</file>

<file path=customXml/itemProps3.xml><?xml version="1.0" encoding="utf-8"?>
<ds:datastoreItem xmlns:ds="http://schemas.openxmlformats.org/officeDocument/2006/customXml" ds:itemID="{5921450E-DBEF-4E76-B8DF-FB4ABC9E83D7}"/>
</file>

<file path=customXml/itemProps4.xml><?xml version="1.0" encoding="utf-8"?>
<ds:datastoreItem xmlns:ds="http://schemas.openxmlformats.org/officeDocument/2006/customXml" ds:itemID="{FD1E46D3-0127-4777-BE14-25B2AFDBA8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