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ster-services-agreement"/>
    <w:p>
      <w:pPr>
        <w:pStyle w:val="Heading1"/>
      </w:pPr>
      <w:r>
        <w:t xml:space="preserve">MASTER SERVICES AGREEMENT</w:t>
      </w:r>
    </w:p>
    <w:p>
      <w:pPr>
        <w:pStyle w:val="FirstParagraph"/>
      </w:pPr>
      <w:r>
        <w:rPr>
          <w:bCs/>
          <w:b/>
        </w:rPr>
        <w:t xml:space="preserve">for the provision of the Finbyx Lending Technology Platform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332"/>
        <w:gridCol w:w="5306"/>
      </w:tblGrid>
      <w:tr>
        <w:trPr>
          <w:tblHeader w:val="true"/>
          <w:tblHeader w:val="true"/>
        </w:trPr>
        <w:tc>
          <w:tcPr>
            <w:tcW w:w="4332" w:type="dxa"/>
            <w:shd w:val="clear" w:color="auto" w:fill="1F3A5F"/>
          </w:tcPr>
          <w:p>
            <w:pPr>
              <w:pStyle w:val="Compact"/>
              <w:spacing w:after="40"/>
              <w:jc w:val="left"/>
            </w:pPr>
            <w:r>
              <w:rPr>
                <w:b/>
                <w:color w:val="FFFFFF"/>
                <w:sz w:val="18"/>
              </w:rPr>
              <w:t xml:space="preserve">Particular</w:t>
            </w:r>
          </w:p>
        </w:tc>
        <w:tc>
          <w:tcPr>
            <w:tcW w:w="5306" w:type="dxa"/>
            <w:shd w:val="clear" w:color="auto" w:fill="1F3A5F"/>
          </w:tcPr>
          <w:p>
            <w:pPr>
              <w:pStyle w:val="Compact"/>
              <w:spacing w:after="40"/>
              <w:jc w:val="left"/>
            </w:pPr>
            <w:r>
              <w:rPr>
                <w:b/>
                <w:color w:val="FFFFFF"/>
                <w:sz w:val="18"/>
              </w:rPr>
              <w:t xml:space="preserve">Detail</w:t>
            </w:r>
          </w:p>
        </w:tc>
      </w:tr>
      <w:tr>
        <w:tc>
          <w:tcPr>
            <w:tcW w:w="4332" w:type="dxa"/>
          </w:tcPr>
          <w:p>
            <w:pPr>
              <w:pStyle w:val="Compact"/>
              <w:spacing w:after="40"/>
              <w:jc w:val="left"/>
            </w:pPr>
            <w:r>
              <w:rPr>
                <w:sz w:val="18"/>
              </w:rPr>
              <w:t xml:space="preserve">Agreement reference</w:t>
            </w:r>
          </w:p>
        </w:tc>
        <w:tc>
          <w:tcPr>
            <w:tcW w:w="5306" w:type="dxa"/>
          </w:tcPr>
          <w:p>
            <w:pPr>
              <w:pStyle w:val="Compact"/>
              <w:spacing w:after="40"/>
              <w:jc w:val="left"/>
            </w:pPr>
            <w:r>
              <w:rPr>
                <w:sz w:val="18"/>
              </w:rPr>
              <w:t xml:space="preserve">FBX/MSA/[●]/[●]</w:t>
            </w:r>
          </w:p>
        </w:tc>
      </w:tr>
      <w:tr>
        <w:tc>
          <w:tcPr>
            <w:tcW w:w="4332" w:type="dxa"/>
          </w:tcPr>
          <w:p>
            <w:pPr>
              <w:pStyle w:val="Compact"/>
              <w:spacing w:after="40"/>
              <w:jc w:val="left"/>
            </w:pPr>
            <w:r>
              <w:rPr>
                <w:sz w:val="18"/>
              </w:rPr>
              <w:t xml:space="preserve">Date of execution</w:t>
            </w:r>
          </w:p>
        </w:tc>
        <w:tc>
          <w:tcPr>
            <w:tcW w:w="5306" w:type="dxa"/>
          </w:tcPr>
          <w:p>
            <w:pPr>
              <w:pStyle w:val="Compact"/>
              <w:spacing w:after="40"/>
              <w:jc w:val="left"/>
            </w:pPr>
            <w:r>
              <w:rPr>
                <w:sz w:val="18"/>
              </w:rPr>
              <w:t xml:space="preserve">[●] day of [●], 20[●]</w:t>
            </w:r>
          </w:p>
        </w:tc>
      </w:tr>
      <w:tr>
        <w:tc>
          <w:tcPr>
            <w:tcW w:w="4332" w:type="dxa"/>
          </w:tcPr>
          <w:p>
            <w:pPr>
              <w:pStyle w:val="Compact"/>
              <w:spacing w:after="40"/>
              <w:jc w:val="left"/>
            </w:pPr>
            <w:r>
              <w:rPr>
                <w:sz w:val="18"/>
              </w:rPr>
              <w:t xml:space="preserve">Place of execution</w:t>
            </w:r>
          </w:p>
        </w:tc>
        <w:tc>
          <w:tcPr>
            <w:tcW w:w="5306" w:type="dxa"/>
          </w:tcPr>
          <w:p>
            <w:pPr>
              <w:pStyle w:val="Compact"/>
              <w:spacing w:after="40"/>
              <w:jc w:val="left"/>
            </w:pPr>
            <w:r>
              <w:rPr>
                <w:sz w:val="18"/>
              </w:rPr>
              <w:t xml:space="preserve">[New Delhi / Noida / Jaipur / ●]</w:t>
            </w:r>
          </w:p>
        </w:tc>
      </w:tr>
      <w:tr>
        <w:tc>
          <w:tcPr>
            <w:tcW w:w="4332" w:type="dxa"/>
          </w:tcPr>
          <w:p>
            <w:pPr>
              <w:pStyle w:val="Compact"/>
              <w:spacing w:after="40"/>
              <w:jc w:val="left"/>
            </w:pPr>
            <w:r>
              <w:rPr>
                <w:sz w:val="18"/>
              </w:rPr>
              <w:t xml:space="preserve">Effective Date</w:t>
            </w:r>
          </w:p>
        </w:tc>
        <w:tc>
          <w:tcPr>
            <w:tcW w:w="5306" w:type="dxa"/>
          </w:tcPr>
          <w:p>
            <w:pPr>
              <w:pStyle w:val="Compact"/>
              <w:spacing w:after="40"/>
              <w:jc w:val="left"/>
            </w:pPr>
            <w:r>
              <w:rPr>
                <w:sz w:val="18"/>
              </w:rPr>
              <w:t xml:space="preserve">[Date of execution / ●]</w:t>
            </w:r>
          </w:p>
        </w:tc>
      </w:tr>
      <w:tr>
        <w:tc>
          <w:tcPr>
            <w:tcW w:w="4332" w:type="dxa"/>
          </w:tcPr>
          <w:p>
            <w:pPr>
              <w:pStyle w:val="Compact"/>
              <w:spacing w:after="40"/>
              <w:jc w:val="left"/>
            </w:pPr>
            <w:r>
              <w:rPr>
                <w:sz w:val="18"/>
              </w:rPr>
              <w:t xml:space="preserve">Version of model agreement</w:t>
            </w:r>
          </w:p>
        </w:tc>
        <w:tc>
          <w:tcPr>
            <w:tcW w:w="5306" w:type="dxa"/>
          </w:tcPr>
          <w:p>
            <w:pPr>
              <w:pStyle w:val="Compact"/>
              <w:spacing w:after="40"/>
              <w:jc w:val="left"/>
            </w:pPr>
            <w:r>
              <w:rPr>
                <w:sz w:val="18"/>
              </w:rPr>
              <w:t xml:space="preserve">Finbyx MSA model v1.0 (19 October 2026)</w:t>
            </w:r>
          </w:p>
        </w:tc>
      </w:tr>
    </w:tbl>
    <w:p>
      <w:pPr>
        <w:pStyle w:val="BodyText"/>
      </w:pPr>
      <w:r>
        <w:rPr>
          <w:iCs/>
          <w:i/>
        </w:rPr>
        <w:t xml:space="preserve">Drafting note:</w:t>
      </w:r>
      <w:r>
        <w:t xml:space="preserve"> </w:t>
      </w:r>
      <w:r>
        <w:t xml:space="preserve">This is a model agreement. Text in square brackets is to be completed or chosen per Company. Clauses marked</w:t>
      </w:r>
      <w:r>
        <w:t xml:space="preserve"> </w:t>
      </w:r>
      <w:r>
        <w:rPr>
          <w:bCs/>
          <w:b/>
        </w:rPr>
        <w:t xml:space="preserve">[Mandatory — RBI]</w:t>
      </w:r>
      <w:r>
        <w:t xml:space="preserve"> </w:t>
      </w:r>
      <w:r>
        <w:t xml:space="preserve">implement regulatory floors under the RBI Directions and other Applicable Law and are not negotiable; they may be strengthened but not diluted. Clauses marked</w:t>
      </w:r>
      <w:r>
        <w:t xml:space="preserve"> </w:t>
      </w:r>
      <w:r>
        <w:rPr>
          <w:bCs/>
          <w:b/>
        </w:rPr>
        <w:t xml:space="preserve">[Option]</w:t>
      </w:r>
      <w:r>
        <w:t xml:space="preserve"> </w:t>
      </w:r>
      <w:r>
        <w:t xml:space="preserve">are commercial choices. Drafting notes, source citations in drafting notes and the Drafting Notes and Sources annexure do not form part of the executed agreement and must be removed before execution; citations in parentheses within the operative text are retained.</w:t>
      </w:r>
    </w:p>
    <w:p>
      <w:pPr>
        <w:pStyle w:val="BodyText"/>
      </w:pPr>
      <w:r>
        <w:rPr>
          <w:bCs/>
          <w:b/>
        </w:rPr>
        <w:t xml:space="preserve">THIS MASTER SERVICES AGREEMENT</w:t>
      </w:r>
      <w:r>
        <w:t xml:space="preserve"> </w:t>
      </w:r>
      <w:r>
        <w:t xml:space="preserve">(the</w:t>
      </w:r>
      <w:r>
        <w:t xml:space="preserve"> </w:t>
      </w:r>
      <w:r>
        <w:t xml:space="preserve">“</w:t>
      </w:r>
      <w:r>
        <w:rPr>
          <w:bCs/>
          <w:b/>
        </w:rPr>
        <w:t xml:space="preserve">Agreement</w:t>
      </w:r>
      <w:r>
        <w:t xml:space="preserve">”</w:t>
      </w:r>
      <w:r>
        <w:t xml:space="preserve">) is made at [place] on this [●] day of [●], 20[●]</w:t>
      </w:r>
    </w:p>
    <w:p>
      <w:pPr>
        <w:pStyle w:val="BodyText"/>
      </w:pPr>
      <w:r>
        <w:rPr>
          <w:bCs/>
          <w:b/>
        </w:rPr>
        <w:t xml:space="preserve">BY AND BETWEEN</w:t>
      </w:r>
    </w:p>
    <w:p>
      <w:pPr>
        <w:pStyle w:val="BodyText"/>
      </w:pPr>
      <w:r>
        <w:rPr>
          <w:bCs/>
          <w:b/>
        </w:rPr>
        <w:t xml:space="preserve">[INFRABYX GROUP COMPANY NAME]</w:t>
      </w:r>
      <w:r>
        <w:t xml:space="preserve">, a company incorporated under the Companies Act, [2013 / 1956], having Corporate Identity Number [●] and its registered office at [●], acting through its authorised signatory [name, designation], duly authorised by a resolution of its board of directors dated [●] (hereinafter referred to as the</w:t>
      </w:r>
      <w:r>
        <w:t xml:space="preserve"> </w:t>
      </w:r>
      <w:r>
        <w:t xml:space="preserve">“</w:t>
      </w:r>
      <w:r>
        <w:rPr>
          <w:bCs/>
          <w:b/>
        </w:rPr>
        <w:t xml:space="preserve">Service Provider</w:t>
      </w:r>
      <w:r>
        <w:t xml:space="preserve">”</w:t>
      </w:r>
      <w:r>
        <w:t xml:space="preserve">, which expression shall, unless repugnant to the context or meaning thereof, be deemed to mean and include its successors and permitted assigns) of the</w:t>
      </w:r>
      <w:r>
        <w:t xml:space="preserve"> </w:t>
      </w:r>
      <w:r>
        <w:rPr>
          <w:bCs/>
          <w:b/>
        </w:rPr>
        <w:t xml:space="preserve">FIRST PART</w:t>
      </w:r>
      <w:r>
        <w:t xml:space="preserve">;</w:t>
      </w:r>
    </w:p>
    <w:p>
      <w:pPr>
        <w:pStyle w:val="BodyText"/>
      </w:pPr>
      <w:r>
        <w:rPr>
          <w:bCs/>
          <w:b/>
        </w:rPr>
        <w:t xml:space="preserve">AND</w:t>
      </w:r>
    </w:p>
    <w:p>
      <w:pPr>
        <w:pStyle w:val="BodyText"/>
      </w:pPr>
      <w:r>
        <w:rPr>
          <w:bCs/>
          <w:b/>
        </w:rPr>
        <w:t xml:space="preserve">[NBFC NAME]</w:t>
      </w:r>
      <w:r>
        <w:t xml:space="preserve">, a company incorporated under the Companies Act, [2013 / 1956], having Corporate Identity Number [●], registered with the Reserve Bank of India as a non-banking financial company under section 45-IA of the Reserve Bank of India Act, 1934 bearing Certificate of Registration No. [●] dated [●] [</w:t>
      </w:r>
      <w:r>
        <w:rPr>
          <w:iCs/>
          <w:i/>
        </w:rPr>
        <w:t xml:space="preserve">for an HFC:</w:t>
      </w:r>
      <w:r>
        <w:t xml:space="preserve"> </w:t>
      </w:r>
      <w:r>
        <w:t xml:space="preserve">registered under section 29A of the National Housing Bank Act, 1987 bearing Certificate of Registration No. [●]], classified as [NBFC-ICC / NBFC-MFI / NBFC-Factor / NBFC-IFC / HFC / ●] in the [Base / Middle / Upper] Layer, with total assets of [below ₹500 crore / ₹500 crore and above] as per its last audited balance sheet dated [●], having its registered office at [●], acting through its authorised signatory [name, designation], duly authorised by a resolution of its [board of directors / committee] dated [●] (hereinafter referred to as the</w:t>
      </w:r>
      <w:r>
        <w:t xml:space="preserve"> </w:t>
      </w:r>
      <w:r>
        <w:t xml:space="preserve">“</w:t>
      </w:r>
      <w:r>
        <w:rPr>
          <w:bCs/>
          <w:b/>
        </w:rPr>
        <w:t xml:space="preserve">Company</w:t>
      </w:r>
      <w:r>
        <w:t xml:space="preserve">”</w:t>
      </w:r>
      <w:r>
        <w:t xml:space="preserve">, which expression shall, unless repugnant to the context or meaning thereof, be deemed to mean and include its successors and permitted assigns) of the</w:t>
      </w:r>
      <w:r>
        <w:t xml:space="preserve"> </w:t>
      </w:r>
      <w:r>
        <w:rPr>
          <w:bCs/>
          <w:b/>
        </w:rPr>
        <w:t xml:space="preserve">SECOND PART</w:t>
      </w:r>
      <w:r>
        <w:t xml:space="preserve">.</w:t>
      </w:r>
    </w:p>
    <w:p>
      <w:pPr>
        <w:pStyle w:val="BodyText"/>
      </w:pPr>
      <w:r>
        <w:t xml:space="preserve">The Service Provider and the Company are hereinafter individually referred to as a</w:t>
      </w:r>
      <w:r>
        <w:t xml:space="preserve"> </w:t>
      </w:r>
      <w:r>
        <w:t xml:space="preserve">“</w:t>
      </w:r>
      <w:r>
        <w:rPr>
          <w:bCs/>
          <w:b/>
        </w:rPr>
        <w:t xml:space="preserve">Party</w:t>
      </w:r>
      <w:r>
        <w:t xml:space="preserve">”</w:t>
      </w:r>
      <w:r>
        <w:t xml:space="preserve"> </w:t>
      </w:r>
      <w:r>
        <w:t xml:space="preserve">and collectively as the</w:t>
      </w:r>
      <w:r>
        <w:t xml:space="preserve"> </w:t>
      </w:r>
      <w:r>
        <w:t xml:space="preserve">“</w:t>
      </w:r>
      <w:r>
        <w:rPr>
          <w:bCs/>
          <w:b/>
        </w:rPr>
        <w:t xml:space="preserve">Parties</w:t>
      </w:r>
      <w:r>
        <w:t xml:space="preserve">”</w:t>
      </w:r>
      <w:r>
        <w:t xml:space="preserve">.</w:t>
      </w:r>
    </w:p>
    <w:bookmarkEnd w:id="20"/>
    <w:bookmarkStart w:id="21" w:name="recitals"/>
    <w:p>
      <w:pPr>
        <w:pStyle w:val="Heading1"/>
      </w:pPr>
      <w:r>
        <w:t xml:space="preserve">RECITALS</w:t>
      </w:r>
    </w:p>
    <w:p>
      <w:pPr>
        <w:pStyle w:val="FirstParagraph"/>
      </w:pPr>
      <w:r>
        <w:rPr>
          <w:bCs/>
          <w:b/>
        </w:rPr>
        <w:t xml:space="preserve">WHEREAS:</w:t>
      </w:r>
    </w:p>
    <w:p>
      <w:pPr>
        <w:pStyle w:val="BodyText"/>
      </w:pPr>
      <w:r>
        <w:t xml:space="preserve">A. The Service Provider owns, develops and operates</w:t>
      </w:r>
      <w:r>
        <w:t xml:space="preserve"> </w:t>
      </w:r>
      <w:r>
        <w:t xml:space="preserve">“</w:t>
      </w:r>
      <w:r>
        <w:t xml:space="preserve">Finbyx</w:t>
      </w:r>
      <w:r>
        <w:t xml:space="preserve">”</w:t>
      </w:r>
      <w:r>
        <w:t xml:space="preserve">, a cloud-hosted lending technology platform comprising loan origination, loan management and servicing, accounting, collections and recovery, regulatory reporting and compliance software, together with optional attachable modules including the Recovery Suite and the ecosystem integration hub (M21-V2), offered to regulated lenders on a subscription basis.</w:t>
      </w:r>
    </w:p>
    <w:p>
      <w:pPr>
        <w:pStyle w:val="BodyText"/>
      </w:pPr>
      <w:r>
        <w:t xml:space="preserve">B. The Company is a non-banking financial company registered with, and regulated by, the Reserve Bank of India (</w:t>
      </w:r>
      <w:r>
        <w:t xml:space="preserve">“</w:t>
      </w:r>
      <w:r>
        <w:rPr>
          <w:bCs/>
          <w:b/>
        </w:rPr>
        <w:t xml:space="preserve">RBI</w:t>
      </w:r>
      <w:r>
        <w:t xml:space="preserve">”</w:t>
      </w:r>
      <w:r>
        <w:t xml:space="preserve">) and is in the business of [describe lending business]. The Company wishes to use the Finbyx platform as the technology system for its lending operations.</w:t>
      </w:r>
    </w:p>
    <w:p>
      <w:pPr>
        <w:pStyle w:val="BodyText"/>
      </w:pPr>
      <w:r>
        <w:t xml:space="preserve">C. The Company has, before entering into this Agreement, (i) assessed the materiality of the arrangement contemplated by this Agreement under its Board-approved outsourcing policy and the Reserve Bank of India (Non-Banking Financial Companies – Managing Risks in Outsourcing) Directions, 2025; (ii) carried out due diligence on the Service Provider; and (iii) obtained the approvals required under that policy, as recorded in the Order Form.</w:t>
      </w:r>
    </w:p>
    <w:p>
      <w:pPr>
        <w:pStyle w:val="BodyText"/>
      </w:pPr>
      <w:r>
        <w:t xml:space="preserve">D. The Service Provider is a provider of information technology services only. It does not lend, does not take any credit, KYC or other regulated decision, does not hold or route the funds of the Company or its borrowers, and does not act as agent of the Company in dealing with borrowers.</w:t>
      </w:r>
    </w:p>
    <w:p>
      <w:pPr>
        <w:pStyle w:val="BodyText"/>
      </w:pPr>
      <w:r>
        <w:t xml:space="preserve">E. The Parties wish to record the terms on which the Service Provider shall provide, and the Company shall subscribe to, the Services, including the terms required by the RBI Directions and other Applicable Law for outsourcing of information technology services by a regulated entity.</w:t>
      </w:r>
    </w:p>
    <w:p>
      <w:pPr>
        <w:pStyle w:val="BodyText"/>
      </w:pPr>
      <w:r>
        <w:rPr>
          <w:bCs/>
          <w:b/>
        </w:rPr>
        <w:t xml:space="preserve">NOW, THEREFORE, IN CONSIDERATION OF</w:t>
      </w:r>
      <w:r>
        <w:t xml:space="preserve"> </w:t>
      </w:r>
      <w:r>
        <w:t xml:space="preserve">the mutual covenants set out below and other good and valuable consideration, the receipt and sufficiency of which are acknowledged, the Parties agree as follows:</w:t>
      </w:r>
    </w:p>
    <w:bookmarkEnd w:id="21"/>
    <w:bookmarkStart w:id="22" w:name="definitions-and-interpretation"/>
    <w:p>
      <w:pPr>
        <w:pStyle w:val="Heading1"/>
      </w:pPr>
      <w:r>
        <w:t xml:space="preserve">1. DEFINITIONS AND INTERPRETATION</w:t>
      </w:r>
    </w:p>
    <w:p>
      <w:pPr>
        <w:pStyle w:val="FirstParagraph"/>
      </w:pPr>
      <w:r>
        <w:rPr>
          <w:bCs/>
          <w:b/>
        </w:rPr>
        <w:t xml:space="preserve">1.1 Definitions.</w:t>
      </w:r>
      <w:r>
        <w:t xml:space="preserve"> </w:t>
      </w:r>
      <w:r>
        <w:t xml:space="preserve">In this Agreement, unless the context otherwise requires, the following capitalised terms have the meanings given below:</w:t>
      </w:r>
    </w:p>
    <w:p>
      <w:pPr>
        <w:pStyle w:val="BodyText"/>
      </w:pPr>
      <w:r>
        <w:t xml:space="preserve">“</w:t>
      </w:r>
      <w:r>
        <w:rPr>
          <w:bCs/>
          <w:b/>
        </w:rPr>
        <w:t xml:space="preserve">Acceptance</w:t>
      </w:r>
      <w:r>
        <w:t xml:space="preserve">”</w:t>
      </w:r>
      <w:r>
        <w:t xml:space="preserve"> </w:t>
      </w:r>
      <w:r>
        <w:t xml:space="preserve">means the written confirmation by the Company under Clause 5.4 that a Deliverable, Module or go-live milestone meets the Acceptance Criteria, and</w:t>
      </w:r>
      <w:r>
        <w:t xml:space="preserve"> </w:t>
      </w:r>
      <w:r>
        <w:t xml:space="preserve">“</w:t>
      </w:r>
      <w:r>
        <w:rPr>
          <w:bCs/>
          <w:b/>
        </w:rPr>
        <w:t xml:space="preserve">Accepted</w:t>
      </w:r>
      <w:r>
        <w:t xml:space="preserve">”</w:t>
      </w:r>
      <w:r>
        <w:t xml:space="preserve"> </w:t>
      </w:r>
      <w:r>
        <w:t xml:space="preserve">shall be construed accordingly.</w:t>
      </w:r>
    </w:p>
    <w:p>
      <w:pPr>
        <w:pStyle w:val="BodyText"/>
      </w:pPr>
      <w:r>
        <w:t xml:space="preserve">“</w:t>
      </w:r>
      <w:r>
        <w:rPr>
          <w:bCs/>
          <w:b/>
        </w:rPr>
        <w:t xml:space="preserve">Acceptance Criteria</w:t>
      </w:r>
      <w:r>
        <w:t xml:space="preserve">”</w:t>
      </w:r>
      <w:r>
        <w:t xml:space="preserve"> </w:t>
      </w:r>
      <w:r>
        <w:t xml:space="preserve">means the criteria for Acceptance set out in the Implementation Plan or the relevant Order Form.</w:t>
      </w:r>
    </w:p>
    <w:p>
      <w:pPr>
        <w:pStyle w:val="BodyText"/>
      </w:pPr>
      <w:r>
        <w:t xml:space="preserve">“</w:t>
      </w:r>
      <w:r>
        <w:rPr>
          <w:bCs/>
          <w:b/>
        </w:rPr>
        <w:t xml:space="preserve">Affiliate</w:t>
      </w:r>
      <w:r>
        <w:t xml:space="preserve">”</w:t>
      </w:r>
      <w:r>
        <w:t xml:space="preserve"> </w:t>
      </w:r>
      <w:r>
        <w:t xml:space="preserve">means, in relation to a person, any entity that controls, is controlled by, or is under common control with that person, where</w:t>
      </w:r>
      <w:r>
        <w:t xml:space="preserve"> </w:t>
      </w:r>
      <w:r>
        <w:t xml:space="preserve">“</w:t>
      </w:r>
      <w:r>
        <w:t xml:space="preserve">control</w:t>
      </w:r>
      <w:r>
        <w:t xml:space="preserve">”</w:t>
      </w:r>
      <w:r>
        <w:t xml:space="preserve"> </w:t>
      </w:r>
      <w:r>
        <w:t xml:space="preserve">has the meaning given in section 2(27) of the Companies Act, 2013.</w:t>
      </w:r>
    </w:p>
    <w:p>
      <w:pPr>
        <w:pStyle w:val="BodyText"/>
      </w:pPr>
      <w:r>
        <w:t xml:space="preserve">“</w:t>
      </w:r>
      <w:r>
        <w:rPr>
          <w:bCs/>
          <w:b/>
        </w:rPr>
        <w:t xml:space="preserve">Applicable Law</w:t>
      </w:r>
      <w:r>
        <w:t xml:space="preserve">”</w:t>
      </w:r>
      <w:r>
        <w:t xml:space="preserve"> </w:t>
      </w:r>
      <w:r>
        <w:t xml:space="preserve">means all laws, statutes, ordinances, rules, regulations, directions, master directions, circulars, notifications, guidelines, orders, judgments and decrees of any Governmental Authority or Regulator, in each case as in force in India from time to time and binding on, or applicable to, a Party or the Services, including the RBI Directions, the Reserve Bank of India Act, 1934, the National Housing Bank Act, 1987 (where the Company is an HFC), the Information Technology Act, 2000 and the rules and directions made under it (including the CERT-In Directions), the DPDP Act and the DPDP Rules, the Prevention of Money-laundering Act, 2002 and the rules made under it, the Aadhaar (Targeted Delivery of Financial and Other Subsidies, Benefits and Services) Act, 2016 and the regulations and circulars of UIDAI, the Credit Information Companies (Regulation) Act, 2005, the Companies Act, 2013, the Indian Contract Act, 1872, the Arbitration and Conciliation Act, 1996, the Central Goods and Services Tax Act, 2017 and applicable stamp laws.</w:t>
      </w:r>
    </w:p>
    <w:p>
      <w:pPr>
        <w:pStyle w:val="BodyText"/>
      </w:pPr>
      <w:r>
        <w:t xml:space="preserve">“</w:t>
      </w:r>
      <w:r>
        <w:rPr>
          <w:bCs/>
          <w:b/>
        </w:rPr>
        <w:t xml:space="preserve">Approved Sub-contractor</w:t>
      </w:r>
      <w:r>
        <w:t xml:space="preserve">”</w:t>
      </w:r>
      <w:r>
        <w:t xml:space="preserve"> </w:t>
      </w:r>
      <w:r>
        <w:t xml:space="preserve">means a Sub-contractor or Sub-processor listed in Schedule 10 or later approved by the Company in writing under Article 13.</w:t>
      </w:r>
    </w:p>
    <w:p>
      <w:pPr>
        <w:pStyle w:val="BodyText"/>
      </w:pPr>
      <w:r>
        <w:t xml:space="preserve">“</w:t>
      </w:r>
      <w:r>
        <w:rPr>
          <w:bCs/>
          <w:b/>
        </w:rPr>
        <w:t xml:space="preserve">Authorised Users</w:t>
      </w:r>
      <w:r>
        <w:t xml:space="preserve">”</w:t>
      </w:r>
      <w:r>
        <w:t xml:space="preserve"> </w:t>
      </w:r>
      <w:r>
        <w:t xml:space="preserve">means the employees, officers and contractors of the Company (and of its auditors and other persons designated by the Company under Clause 4.2) who are authorised by the Company to access the Platform, each identified by unique credentials.</w:t>
      </w:r>
    </w:p>
    <w:p>
      <w:pPr>
        <w:pStyle w:val="BodyText"/>
      </w:pPr>
      <w:r>
        <w:t xml:space="preserve">“</w:t>
      </w:r>
      <w:r>
        <w:rPr>
          <w:bCs/>
          <w:b/>
        </w:rPr>
        <w:t xml:space="preserve">Borrower Data</w:t>
      </w:r>
      <w:r>
        <w:t xml:space="preserve">”</w:t>
      </w:r>
      <w:r>
        <w:t xml:space="preserve"> </w:t>
      </w:r>
      <w:r>
        <w:t xml:space="preserve">means that part of the Customer Data relating to any borrower, co-borrower, guarantor, applicant or other obligor of the Company, including information relating to the credit facility, its collateral, repayment, classification, recovery and any dispute.</w:t>
      </w:r>
    </w:p>
    <w:p>
      <w:pPr>
        <w:pStyle w:val="BodyText"/>
      </w:pPr>
      <w:r>
        <w:t xml:space="preserve">“</w:t>
      </w:r>
      <w:r>
        <w:rPr>
          <w:bCs/>
          <w:b/>
        </w:rPr>
        <w:t xml:space="preserve">Business Day</w:t>
      </w:r>
      <w:r>
        <w:t xml:space="preserve">”</w:t>
      </w:r>
      <w:r>
        <w:t xml:space="preserve"> </w:t>
      </w:r>
      <w:r>
        <w:t xml:space="preserve">means a day (other than a Saturday, Sunday or public holiday under the Negotiable Instruments Act, 1881) on which scheduled commercial banks are open for business in [New Delhi].</w:t>
      </w:r>
    </w:p>
    <w:p>
      <w:pPr>
        <w:pStyle w:val="BodyText"/>
      </w:pPr>
      <w:r>
        <w:t xml:space="preserve">“</w:t>
      </w:r>
      <w:r>
        <w:rPr>
          <w:bCs/>
          <w:b/>
        </w:rPr>
        <w:t xml:space="preserve">CERT-In</w:t>
      </w:r>
      <w:r>
        <w:t xml:space="preserve">”</w:t>
      </w:r>
      <w:r>
        <w:t xml:space="preserve"> </w:t>
      </w:r>
      <w:r>
        <w:t xml:space="preserve">means the Indian Computer Emergency Response Team constituted under section 70B of the IT Act.</w:t>
      </w:r>
    </w:p>
    <w:p>
      <w:pPr>
        <w:pStyle w:val="BodyText"/>
      </w:pPr>
      <w:r>
        <w:t xml:space="preserve">“</w:t>
      </w:r>
      <w:r>
        <w:rPr>
          <w:bCs/>
          <w:b/>
        </w:rPr>
        <w:t xml:space="preserve">CERT-In Directions</w:t>
      </w:r>
      <w:r>
        <w:t xml:space="preserve">”</w:t>
      </w:r>
      <w:r>
        <w:t xml:space="preserve"> </w:t>
      </w:r>
      <w:r>
        <w:t xml:space="preserve">means the directions issued by CERT-In under section 70B(6) of the IT Act on 28 April 2022 (No. 20(3)/2022-CERT-In) relating to information security practices, procedure, prevention, response and reporting of cyber incidents, together with any FAQs, amendments or further directions issued by CERT-In from time to time.</w:t>
      </w:r>
    </w:p>
    <w:p>
      <w:pPr>
        <w:pStyle w:val="BodyText"/>
      </w:pPr>
      <w:r>
        <w:t xml:space="preserve">“</w:t>
      </w:r>
      <w:r>
        <w:rPr>
          <w:bCs/>
          <w:b/>
        </w:rPr>
        <w:t xml:space="preserve">Change</w:t>
      </w:r>
      <w:r>
        <w:t xml:space="preserve">”</w:t>
      </w:r>
      <w:r>
        <w:t xml:space="preserve"> </w:t>
      </w:r>
      <w:r>
        <w:t xml:space="preserve">means any change to the Services, the Platform configuration supplied by the Service Provider, the Order Form or this Agreement, processed under Article 15 and Schedule 11.</w:t>
      </w:r>
    </w:p>
    <w:p>
      <w:pPr>
        <w:pStyle w:val="BodyText"/>
      </w:pPr>
      <w:r>
        <w:t xml:space="preserve">“</w:t>
      </w:r>
      <w:r>
        <w:rPr>
          <w:bCs/>
          <w:b/>
        </w:rPr>
        <w:t xml:space="preserve">Company Data</w:t>
      </w:r>
      <w:r>
        <w:t xml:space="preserve">”</w:t>
      </w:r>
      <w:r>
        <w:t xml:space="preserve"> </w:t>
      </w:r>
      <w:r>
        <w:t xml:space="preserve">means all data and information, in any form, (a) supplied to the Service Provider by or on behalf of the Company or its Authorised Users, (b) generated, derived, computed or stored by or in the Platform in the course of the Services for the Company (including ledgers, loan records, schedules, classifications, provisioning, returns, reports, workflow records, configuration data, rule versions, audit trails and logs relating to the Company’s Tenant Environment), or (c) relating to the Company’s customers, borrowers, co-borrowers, guarantors, applicants, employees, agents and counterparties, and includes Customer Data, Borrower Data and Personal Data processed for the Company. Company Data excludes Service Telemetry.</w:t>
      </w:r>
    </w:p>
    <w:p>
      <w:pPr>
        <w:pStyle w:val="BodyText"/>
      </w:pPr>
      <w:r>
        <w:t xml:space="preserve">“</w:t>
      </w:r>
      <w:r>
        <w:rPr>
          <w:bCs/>
          <w:b/>
        </w:rPr>
        <w:t xml:space="preserve">Company Policies</w:t>
      </w:r>
      <w:r>
        <w:t xml:space="preserve">”</w:t>
      </w:r>
      <w:r>
        <w:t xml:space="preserve"> </w:t>
      </w:r>
      <w:r>
        <w:t xml:space="preserve">means the Company’s information security, cybersecurity, acceptable-use, outsourcing, IT outsourcing, data-retention, business continuity and other policies notified in writing to the Service Provider from time to time and applicable to the Services.</w:t>
      </w:r>
    </w:p>
    <w:p>
      <w:pPr>
        <w:pStyle w:val="BodyText"/>
      </w:pPr>
      <w:r>
        <w:t xml:space="preserve">“</w:t>
      </w:r>
      <w:r>
        <w:rPr>
          <w:bCs/>
          <w:b/>
        </w:rPr>
        <w:t xml:space="preserve">Confidential Information</w:t>
      </w:r>
      <w:r>
        <w:t xml:space="preserve">”</w:t>
      </w:r>
      <w:r>
        <w:t xml:space="preserve"> </w:t>
      </w:r>
      <w:r>
        <w:t xml:space="preserve">has the meaning given in Clause 18.1.</w:t>
      </w:r>
    </w:p>
    <w:p>
      <w:pPr>
        <w:pStyle w:val="BodyText"/>
      </w:pPr>
      <w:r>
        <w:t xml:space="preserve">“</w:t>
      </w:r>
      <w:r>
        <w:rPr>
          <w:bCs/>
          <w:b/>
        </w:rPr>
        <w:t xml:space="preserve">Critical Application</w:t>
      </w:r>
      <w:r>
        <w:t xml:space="preserve">”</w:t>
      </w:r>
      <w:r>
        <w:t xml:space="preserve"> </w:t>
      </w:r>
      <w:r>
        <w:t xml:space="preserve">means each Module designated as a critical application or critical information system of the Company in the Order Form or Schedule 2, which shall, unless the Company otherwise designates, include the loan origination, loan management, accounting and general ledger, payments and reconciliation, and regulatory reporting Modules.</w:t>
      </w:r>
    </w:p>
    <w:p>
      <w:pPr>
        <w:pStyle w:val="BodyText"/>
      </w:pPr>
      <w:r>
        <w:t xml:space="preserve">“</w:t>
      </w:r>
      <w:r>
        <w:rPr>
          <w:bCs/>
          <w:b/>
        </w:rPr>
        <w:t xml:space="preserve">Critical Service</w:t>
      </w:r>
      <w:r>
        <w:t xml:space="preserve">”</w:t>
      </w:r>
      <w:r>
        <w:t xml:space="preserve"> </w:t>
      </w:r>
      <w:r>
        <w:t xml:space="preserve">means any part of the Services which, if disrupted or compromised, would have the potential to significantly impact the Company’s business operations or its customers, as designated by the Company in the Order Form or Schedule 2 having regard to its materiality assessment (OUT paras 14 and 58(2)).</w:t>
      </w:r>
    </w:p>
    <w:p>
      <w:pPr>
        <w:pStyle w:val="BodyText"/>
      </w:pPr>
      <w:r>
        <w:t xml:space="preserve">“</w:t>
      </w:r>
      <w:r>
        <w:rPr>
          <w:bCs/>
          <w:b/>
        </w:rPr>
        <w:t xml:space="preserve">Customer Data</w:t>
      </w:r>
      <w:r>
        <w:t xml:space="preserve">”</w:t>
      </w:r>
      <w:r>
        <w:t xml:space="preserve"> </w:t>
      </w:r>
      <w:r>
        <w:t xml:space="preserve">means all data relating to the Company’s actual or prospective customers (including borrowers, co-borrowers, guarantors and applicants), including account data, transaction data, repayment data, KYC records and correspondence.</w:t>
      </w:r>
    </w:p>
    <w:p>
      <w:pPr>
        <w:pStyle w:val="BodyText"/>
      </w:pPr>
      <w:r>
        <w:t xml:space="preserve">“</w:t>
      </w:r>
      <w:r>
        <w:rPr>
          <w:bCs/>
          <w:b/>
        </w:rPr>
        <w:t xml:space="preserve">Cyber Incident</w:t>
      </w:r>
      <w:r>
        <w:t xml:space="preserve">”</w:t>
      </w:r>
      <w:r>
        <w:t xml:space="preserve"> </w:t>
      </w:r>
      <w:r>
        <w:t xml:space="preserve">means a cyber event that adversely affects the cybersecurity of an information asset, whether resulting from malicious activity or not, and includes cybersecurity incidents as well as IT incidents (CYB para 4(7)), and any</w:t>
      </w:r>
      <w:r>
        <w:t xml:space="preserve"> </w:t>
      </w:r>
      <w:r>
        <w:t xml:space="preserve">“</w:t>
      </w:r>
      <w:r>
        <w:t xml:space="preserve">cyber security incident</w:t>
      </w:r>
      <w:r>
        <w:t xml:space="preserve">”</w:t>
      </w:r>
      <w:r>
        <w:t xml:space="preserve"> </w:t>
      </w:r>
      <w:r>
        <w:t xml:space="preserve">within the meaning of the IT Act and the CERT-In Directions, in each case affecting the Platform, the Services, the Service Provider’s systems used to provide the Services, or any Company Data.</w:t>
      </w:r>
    </w:p>
    <w:p>
      <w:pPr>
        <w:pStyle w:val="BodyText"/>
      </w:pPr>
      <w:r>
        <w:t xml:space="preserve">“</w:t>
      </w:r>
      <w:r>
        <w:rPr>
          <w:bCs/>
          <w:b/>
        </w:rPr>
        <w:t xml:space="preserve">Data Fiduciary</w:t>
      </w:r>
      <w:r>
        <w:t xml:space="preserve">”</w:t>
      </w:r>
      <w:r>
        <w:t xml:space="preserve">,</w:t>
      </w:r>
      <w:r>
        <w:t xml:space="preserve"> </w:t>
      </w:r>
      <w:r>
        <w:t xml:space="preserve">“</w:t>
      </w:r>
      <w:r>
        <w:rPr>
          <w:bCs/>
          <w:b/>
        </w:rPr>
        <w:t xml:space="preserve">Data Principal</w:t>
      </w:r>
      <w:r>
        <w:t xml:space="preserve">”</w:t>
      </w:r>
      <w:r>
        <w:t xml:space="preserve">,</w:t>
      </w:r>
      <w:r>
        <w:t xml:space="preserve"> </w:t>
      </w:r>
      <w:r>
        <w:t xml:space="preserve">“</w:t>
      </w:r>
      <w:r>
        <w:rPr>
          <w:bCs/>
          <w:b/>
        </w:rPr>
        <w:t xml:space="preserve">Data Processor</w:t>
      </w:r>
      <w:r>
        <w:t xml:space="preserve">”</w:t>
      </w:r>
      <w:r>
        <w:t xml:space="preserve">,</w:t>
      </w:r>
      <w:r>
        <w:t xml:space="preserve"> </w:t>
      </w:r>
      <w:r>
        <w:t xml:space="preserve">“</w:t>
      </w:r>
      <w:r>
        <w:rPr>
          <w:bCs/>
          <w:b/>
        </w:rPr>
        <w:t xml:space="preserve">personal data breach</w:t>
      </w:r>
      <w:r>
        <w:t xml:space="preserve">”</w:t>
      </w:r>
      <w:r>
        <w:t xml:space="preserve">,</w:t>
      </w:r>
      <w:r>
        <w:t xml:space="preserve"> </w:t>
      </w:r>
      <w:r>
        <w:t xml:space="preserve">“</w:t>
      </w:r>
      <w:r>
        <w:rPr>
          <w:bCs/>
          <w:b/>
        </w:rPr>
        <w:t xml:space="preserve">processing</w:t>
      </w:r>
      <w:r>
        <w:t xml:space="preserve">”</w:t>
      </w:r>
      <w:r>
        <w:t xml:space="preserve"> </w:t>
      </w:r>
      <w:r>
        <w:t xml:space="preserve">and</w:t>
      </w:r>
      <w:r>
        <w:t xml:space="preserve"> </w:t>
      </w:r>
      <w:r>
        <w:t xml:space="preserve">“</w:t>
      </w:r>
      <w:r>
        <w:rPr>
          <w:bCs/>
          <w:b/>
        </w:rPr>
        <w:t xml:space="preserve">Significant Data Fiduciary</w:t>
      </w:r>
      <w:r>
        <w:t xml:space="preserve">”</w:t>
      </w:r>
      <w:r>
        <w:t xml:space="preserve"> </w:t>
      </w:r>
      <w:r>
        <w:t xml:space="preserve">have the meanings given in sections 2(i), 2(j), 2(k), 2(u), 2(x) and 2(z) respectively of the DPDP Act, and</w:t>
      </w:r>
      <w:r>
        <w:t xml:space="preserve"> </w:t>
      </w:r>
      <w:r>
        <w:t xml:space="preserve">“</w:t>
      </w:r>
      <w:r>
        <w:rPr>
          <w:bCs/>
          <w:b/>
        </w:rPr>
        <w:t xml:space="preserve">Data Protection Board</w:t>
      </w:r>
      <w:r>
        <w:t xml:space="preserve">”</w:t>
      </w:r>
      <w:r>
        <w:t xml:space="preserve"> </w:t>
      </w:r>
      <w:r>
        <w:t xml:space="preserve">means the Data Protection Board of India established under section 18 of the DPDP Act (referred to in section 2(c) of the DPDP Act as the</w:t>
      </w:r>
      <w:r>
        <w:t xml:space="preserve"> </w:t>
      </w:r>
      <w:r>
        <w:t xml:space="preserve">“</w:t>
      </w:r>
      <w:r>
        <w:t xml:space="preserve">Board</w:t>
      </w:r>
      <w:r>
        <w:t xml:space="preserve">”</w:t>
      </w:r>
      <w:r>
        <w:t xml:space="preserve">). In this Agreement,</w:t>
      </w:r>
      <w:r>
        <w:t xml:space="preserve"> </w:t>
      </w:r>
      <w:r>
        <w:t xml:space="preserve">“</w:t>
      </w:r>
      <w:r>
        <w:t xml:space="preserve">Board</w:t>
      </w:r>
      <w:r>
        <w:t xml:space="preserve">”</w:t>
      </w:r>
      <w:r>
        <w:t xml:space="preserve"> </w:t>
      </w:r>
      <w:r>
        <w:t xml:space="preserve">means the board of directors of the Company unless the context otherwise requires.</w:t>
      </w:r>
    </w:p>
    <w:p>
      <w:pPr>
        <w:pStyle w:val="BodyText"/>
      </w:pPr>
      <w:r>
        <w:t xml:space="preserve">“</w:t>
      </w:r>
      <w:r>
        <w:rPr>
          <w:bCs/>
          <w:b/>
        </w:rPr>
        <w:t xml:space="preserve">Deliverables</w:t>
      </w:r>
      <w:r>
        <w:t xml:space="preserve">”</w:t>
      </w:r>
      <w:r>
        <w:t xml:space="preserve"> </w:t>
      </w:r>
      <w:r>
        <w:t xml:space="preserve">means all documents, configurations, reports, migration outputs, interfaces and other items supplied by the Service Provider under an Order Form or the Implementation Plan.</w:t>
      </w:r>
    </w:p>
    <w:p>
      <w:pPr>
        <w:pStyle w:val="BodyText"/>
      </w:pPr>
      <w:r>
        <w:t xml:space="preserve">“</w:t>
      </w:r>
      <w:r>
        <w:rPr>
          <w:bCs/>
          <w:b/>
        </w:rPr>
        <w:t xml:space="preserve">Detection</w:t>
      </w:r>
      <w:r>
        <w:t xml:space="preserve">”</w:t>
      </w:r>
      <w:r>
        <w:t xml:space="preserve"> </w:t>
      </w:r>
      <w:r>
        <w:t xml:space="preserve">means the earliest point at which the Service Provider, any of its personnel or any Sub-contractor becomes aware, or would have become aware had its monitoring controls under Schedule 5 operated as required, of an Incident or of facts reasonably indicating that an Incident may have occurred; and</w:t>
      </w:r>
      <w:r>
        <w:t xml:space="preserve"> </w:t>
      </w:r>
      <w:r>
        <w:t xml:space="preserve">“</w:t>
      </w:r>
      <w:r>
        <w:rPr>
          <w:bCs/>
          <w:b/>
        </w:rPr>
        <w:t xml:space="preserve">Detected</w:t>
      </w:r>
      <w:r>
        <w:t xml:space="preserve">”</w:t>
      </w:r>
      <w:r>
        <w:t xml:space="preserve"> </w:t>
      </w:r>
      <w:r>
        <w:t xml:space="preserve">shall be construed accordingly.</w:t>
      </w:r>
    </w:p>
    <w:p>
      <w:pPr>
        <w:pStyle w:val="BodyText"/>
      </w:pPr>
      <w:r>
        <w:t xml:space="preserve">“</w:t>
      </w:r>
      <w:r>
        <w:rPr>
          <w:bCs/>
          <w:b/>
        </w:rPr>
        <w:t xml:space="preserve">DPDP Act</w:t>
      </w:r>
      <w:r>
        <w:t xml:space="preserve">”</w:t>
      </w:r>
      <w:r>
        <w:t xml:space="preserve"> </w:t>
      </w:r>
      <w:r>
        <w:t xml:space="preserve">means the Digital Personal Data Protection Act, 2023.</w:t>
      </w:r>
    </w:p>
    <w:p>
      <w:pPr>
        <w:pStyle w:val="BodyText"/>
      </w:pPr>
      <w:r>
        <w:t xml:space="preserve">“</w:t>
      </w:r>
      <w:r>
        <w:rPr>
          <w:bCs/>
          <w:b/>
        </w:rPr>
        <w:t xml:space="preserve">DPDP Rules</w:t>
      </w:r>
      <w:r>
        <w:t xml:space="preserve">”</w:t>
      </w:r>
      <w:r>
        <w:t xml:space="preserve"> </w:t>
      </w:r>
      <w:r>
        <w:t xml:space="preserve">means the Digital Personal Data Protection Rules, 2025 notified by the Ministry of Electronics and Information Technology on 13 November 2025, as in force from time to time in accordance with their phased commencement.</w:t>
      </w:r>
    </w:p>
    <w:p>
      <w:pPr>
        <w:pStyle w:val="BodyText"/>
      </w:pPr>
      <w:r>
        <w:t xml:space="preserve">“</w:t>
      </w:r>
      <w:r>
        <w:rPr>
          <w:bCs/>
          <w:b/>
        </w:rPr>
        <w:t xml:space="preserve">Effective Date</w:t>
      </w:r>
      <w:r>
        <w:t xml:space="preserve">”</w:t>
      </w:r>
      <w:r>
        <w:t xml:space="preserve"> </w:t>
      </w:r>
      <w:r>
        <w:t xml:space="preserve">means the date specified as the Effective Date in the table of particulars at the head of this Agreement or, if no date is so specified, the date of execution of this Agreement.</w:t>
      </w:r>
    </w:p>
    <w:p>
      <w:pPr>
        <w:pStyle w:val="BodyText"/>
      </w:pPr>
      <w:r>
        <w:t xml:space="preserve">“</w:t>
      </w:r>
      <w:r>
        <w:rPr>
          <w:bCs/>
          <w:b/>
        </w:rPr>
        <w:t xml:space="preserve">Escrow Agent</w:t>
      </w:r>
      <w:r>
        <w:t xml:space="preserve">”</w:t>
      </w:r>
      <w:r>
        <w:t xml:space="preserve"> </w:t>
      </w:r>
      <w:r>
        <w:t xml:space="preserve">means the independent escrow agent appointed under Article 26.</w:t>
      </w:r>
    </w:p>
    <w:p>
      <w:pPr>
        <w:pStyle w:val="BodyText"/>
      </w:pPr>
      <w:r>
        <w:t xml:space="preserve">“</w:t>
      </w:r>
      <w:r>
        <w:rPr>
          <w:bCs/>
          <w:b/>
        </w:rPr>
        <w:t xml:space="preserve">Exit Period</w:t>
      </w:r>
      <w:r>
        <w:t xml:space="preserve">”</w:t>
      </w:r>
      <w:r>
        <w:t xml:space="preserve"> </w:t>
      </w:r>
      <w:r>
        <w:t xml:space="preserve">means the period commencing on the earlier of (a) service of a notice of termination or non-renewal, and (b) the occurrence of an event entitling the Company to invoke exit assistance under Article 25, and ending on the date on which the Company confirms in writing that the transition of the Services and of all Company Data to the Company or a Successor Provider is complete, which period shall not be shorter than the Minimum Exit Period.</w:t>
      </w:r>
    </w:p>
    <w:p>
      <w:pPr>
        <w:pStyle w:val="BodyText"/>
      </w:pPr>
      <w:r>
        <w:t xml:space="preserve">“</w:t>
      </w:r>
      <w:r>
        <w:rPr>
          <w:bCs/>
          <w:b/>
        </w:rPr>
        <w:t xml:space="preserve">Exit Plan</w:t>
      </w:r>
      <w:r>
        <w:t xml:space="preserve">”</w:t>
      </w:r>
      <w:r>
        <w:t xml:space="preserve"> </w:t>
      </w:r>
      <w:r>
        <w:t xml:space="preserve">means the exit management and transition plan in Schedule 9, as updated under Clause 25.1.</w:t>
      </w:r>
    </w:p>
    <w:p>
      <w:pPr>
        <w:pStyle w:val="BodyText"/>
      </w:pPr>
      <w:r>
        <w:t xml:space="preserve">“</w:t>
      </w:r>
      <w:r>
        <w:rPr>
          <w:bCs/>
          <w:b/>
        </w:rPr>
        <w:t xml:space="preserve">Fees</w:t>
      </w:r>
      <w:r>
        <w:t xml:space="preserve">”</w:t>
      </w:r>
      <w:r>
        <w:t xml:space="preserve"> </w:t>
      </w:r>
      <w:r>
        <w:t xml:space="preserve">means the subscription, implementation, usage, professional services and other fees specified in the Order Form.</w:t>
      </w:r>
    </w:p>
    <w:p>
      <w:pPr>
        <w:pStyle w:val="BodyText"/>
      </w:pPr>
      <w:r>
        <w:t xml:space="preserve">“</w:t>
      </w:r>
      <w:r>
        <w:rPr>
          <w:bCs/>
          <w:b/>
        </w:rPr>
        <w:t xml:space="preserve">Governmental Authority</w:t>
      </w:r>
      <w:r>
        <w:t xml:space="preserve">”</w:t>
      </w:r>
      <w:r>
        <w:t xml:space="preserve"> </w:t>
      </w:r>
      <w:r>
        <w:t xml:space="preserve">means any government, ministry, department, statutory or regulatory body, court, tribunal or other authority in India having jurisdiction over a Party or the Services.</w:t>
      </w:r>
    </w:p>
    <w:p>
      <w:pPr>
        <w:pStyle w:val="BodyText"/>
      </w:pPr>
      <w:r>
        <w:t xml:space="preserve">“</w:t>
      </w:r>
      <w:r>
        <w:rPr>
          <w:bCs/>
          <w:b/>
        </w:rPr>
        <w:t xml:space="preserve">HFC</w:t>
      </w:r>
      <w:r>
        <w:t xml:space="preserve">”</w:t>
      </w:r>
      <w:r>
        <w:t xml:space="preserve"> </w:t>
      </w:r>
      <w:r>
        <w:t xml:space="preserve">means a housing finance company registered under section 29A of the National Housing Bank Act, 1987.</w:t>
      </w:r>
    </w:p>
    <w:p>
      <w:pPr>
        <w:pStyle w:val="BodyText"/>
      </w:pPr>
      <w:r>
        <w:t xml:space="preserve">“</w:t>
      </w:r>
      <w:r>
        <w:rPr>
          <w:bCs/>
          <w:b/>
        </w:rPr>
        <w:t xml:space="preserve">Implementation Plan</w:t>
      </w:r>
      <w:r>
        <w:t xml:space="preserve">”</w:t>
      </w:r>
      <w:r>
        <w:t xml:space="preserve"> </w:t>
      </w:r>
      <w:r>
        <w:t xml:space="preserve">means the implementation, migration and go-live plan agreed under Clause 5.1.</w:t>
      </w:r>
    </w:p>
    <w:p>
      <w:pPr>
        <w:pStyle w:val="BodyText"/>
      </w:pPr>
      <w:r>
        <w:t xml:space="preserve">“</w:t>
      </w:r>
      <w:r>
        <w:rPr>
          <w:bCs/>
          <w:b/>
        </w:rPr>
        <w:t xml:space="preserve">Incident</w:t>
      </w:r>
      <w:r>
        <w:t xml:space="preserve">”</w:t>
      </w:r>
      <w:r>
        <w:t xml:space="preserve"> </w:t>
      </w:r>
      <w:r>
        <w:t xml:space="preserve">means any Cyber Incident, Security Breach, personal data breach, Material Adverse Event, Service outage or degradation beyond the thresholds in Schedule 3, or any event which compromises or threatens the confidentiality, integrity or availability of the Platform, the Services or any Company Data.</w:t>
      </w:r>
    </w:p>
    <w:p>
      <w:pPr>
        <w:pStyle w:val="BodyText"/>
      </w:pPr>
      <w:r>
        <w:t xml:space="preserve">“</w:t>
      </w:r>
      <w:r>
        <w:rPr>
          <w:bCs/>
          <w:b/>
        </w:rPr>
        <w:t xml:space="preserve">Integration Hub</w:t>
      </w:r>
      <w:r>
        <w:t xml:space="preserve">”</w:t>
      </w:r>
      <w:r>
        <w:t xml:space="preserve"> </w:t>
      </w:r>
      <w:r>
        <w:t xml:space="preserve">means the Platform’s integration hub and public APIs (Module M21) and the ecosystem integration hub through which the Platform exchanges data with the Company’s third-party providers and with other products of the Infrabyx group in accordance with the Infrabyx Ecosystem Integration Specification, including connectors, event subscriptions, schemas and the connector certification process described in Schedule 2.</w:t>
      </w:r>
    </w:p>
    <w:p>
      <w:pPr>
        <w:pStyle w:val="BodyText"/>
      </w:pPr>
      <w:r>
        <w:t xml:space="preserve">“</w:t>
      </w:r>
      <w:r>
        <w:rPr>
          <w:bCs/>
          <w:b/>
        </w:rPr>
        <w:t xml:space="preserve">Intellectual Property Rights</w:t>
      </w:r>
      <w:r>
        <w:t xml:space="preserve">”</w:t>
      </w:r>
      <w:r>
        <w:t xml:space="preserve"> </w:t>
      </w:r>
      <w:r>
        <w:t xml:space="preserve">means patents, copyright, rights in software and databases, trade marks, trade names, designs, know-how, trade secrets and all other intellectual property rights, whether registered or not, anywhere in the world.</w:t>
      </w:r>
    </w:p>
    <w:p>
      <w:pPr>
        <w:pStyle w:val="BodyText"/>
      </w:pPr>
      <w:r>
        <w:t xml:space="preserve">“</w:t>
      </w:r>
      <w:r>
        <w:rPr>
          <w:bCs/>
          <w:b/>
        </w:rPr>
        <w:t xml:space="preserve">IT Act</w:t>
      </w:r>
      <w:r>
        <w:t xml:space="preserve">”</w:t>
      </w:r>
      <w:r>
        <w:t xml:space="preserve"> </w:t>
      </w:r>
      <w:r>
        <w:t xml:space="preserve">means the Information Technology Act, 2000.</w:t>
      </w:r>
    </w:p>
    <w:p>
      <w:pPr>
        <w:pStyle w:val="BodyText"/>
      </w:pPr>
      <w:r>
        <w:t xml:space="preserve">“</w:t>
      </w:r>
      <w:r>
        <w:rPr>
          <w:bCs/>
          <w:b/>
        </w:rPr>
        <w:t xml:space="preserve">Material Adverse Event</w:t>
      </w:r>
      <w:r>
        <w:t xml:space="preserve">”</w:t>
      </w:r>
      <w:r>
        <w:t xml:space="preserve"> </w:t>
      </w:r>
      <w:r>
        <w:t xml:space="preserve">means any of the events listed in Part A of Schedule 7, which shall include at least data breaches, denial of service, service unavailability, ransomware or malware infection, unauthorised access to or exfiltration of Company Data, compromise of credentials or cryptographic keys, loss of integrity of ledger or loan data, failure of backup or disaster recovery, insolvency or regulatory action affecting the Service Provider or a Sub-contractor, and any other event relevant to the Services which the Company requires to be reported to it to enable it to take prompt risk-mitigation measures and comply with statutory and regulatory requirements (OUT para 74(iii)).</w:t>
      </w:r>
    </w:p>
    <w:p>
      <w:pPr>
        <w:pStyle w:val="BodyText"/>
      </w:pPr>
      <w:r>
        <w:t xml:space="preserve">“</w:t>
      </w:r>
      <w:r>
        <w:rPr>
          <w:bCs/>
          <w:b/>
        </w:rPr>
        <w:t xml:space="preserve">Material Outsourcing</w:t>
      </w:r>
      <w:r>
        <w:t xml:space="preserve">”</w:t>
      </w:r>
      <w:r>
        <w:t xml:space="preserve"> </w:t>
      </w:r>
      <w:r>
        <w:t xml:space="preserve">means an outsourcing arrangement which, if disrupted, has the potential to significantly impact the business operations, reputation, profitability or customer service of the Company (OUT para 14), and, for IT services, an arrangement which, if disrupted or compromised, has the potential to significantly impact the Company’s business operations, or which may have a material impact on the Company’s customers in the event of any unauthorised access, loss or theft of customer information (OUT para 58(2)), in each case as determined by the Company.</w:t>
      </w:r>
    </w:p>
    <w:p>
      <w:pPr>
        <w:pStyle w:val="BodyText"/>
      </w:pPr>
      <w:r>
        <w:t xml:space="preserve">“</w:t>
      </w:r>
      <w:r>
        <w:rPr>
          <w:bCs/>
          <w:b/>
        </w:rPr>
        <w:t xml:space="preserve">Minimum Exit Period</w:t>
      </w:r>
      <w:r>
        <w:t xml:space="preserve">”</w:t>
      </w:r>
      <w:r>
        <w:t xml:space="preserve"> </w:t>
      </w:r>
      <w:r>
        <w:t xml:space="preserve">means [twelve (12)] months, or such longer period as the Company may require to comply with Applicable Law or a direction of a Regulator, or such shorter period as the Company may specify in writing.</w:t>
      </w:r>
    </w:p>
    <w:p>
      <w:pPr>
        <w:pStyle w:val="BodyText"/>
      </w:pPr>
      <w:r>
        <w:t xml:space="preserve">“</w:t>
      </w:r>
      <w:r>
        <w:rPr>
          <w:bCs/>
          <w:b/>
        </w:rPr>
        <w:t xml:space="preserve">Module</w:t>
      </w:r>
      <w:r>
        <w:t xml:space="preserve">”</w:t>
      </w:r>
      <w:r>
        <w:t xml:space="preserve"> </w:t>
      </w:r>
      <w:r>
        <w:t xml:space="preserve">means each functional component of the Platform described in Schedule 2, including Modules M1 to M23 (of which M11, M20, M22 and M23 and the M2-P and M21-V2 extensions are Optional) and the Recovery Suite modules R1 to R16, and</w:t>
      </w:r>
      <w:r>
        <w:t xml:space="preserve"> </w:t>
      </w:r>
      <w:r>
        <w:t xml:space="preserve">“</w:t>
      </w:r>
      <w:r>
        <w:rPr>
          <w:bCs/>
          <w:b/>
        </w:rPr>
        <w:t xml:space="preserve">Core Module</w:t>
      </w:r>
      <w:r>
        <w:t xml:space="preserve">”</w:t>
      </w:r>
      <w:r>
        <w:t xml:space="preserve"> </w:t>
      </w:r>
      <w:r>
        <w:t xml:space="preserve">means a Module designated as core in Schedule 2.</w:t>
      </w:r>
    </w:p>
    <w:p>
      <w:pPr>
        <w:pStyle w:val="BodyText"/>
      </w:pPr>
      <w:r>
        <w:t xml:space="preserve">“</w:t>
      </w:r>
      <w:r>
        <w:rPr>
          <w:bCs/>
          <w:b/>
        </w:rPr>
        <w:t xml:space="preserve">Optional Module</w:t>
      </w:r>
      <w:r>
        <w:t xml:space="preserve">”</w:t>
      </w:r>
      <w:r>
        <w:t xml:space="preserve"> </w:t>
      </w:r>
      <w:r>
        <w:t xml:space="preserve">means a Module, module bundle or licence SKU which is not part of the core subscription and which the Company may attach or detach under Clauses 4.5 to 4.7, including the Recovery Suite, the ecosystem integration hub (M21-V2) and its connectors, co-lending, direct assignment and securitisation (M11), the borrower self-service portal (M23), the field application (M22) and the governed AI layer (M20).</w:t>
      </w:r>
    </w:p>
    <w:p>
      <w:pPr>
        <w:pStyle w:val="BodyText"/>
      </w:pPr>
      <w:r>
        <w:t xml:space="preserve">“</w:t>
      </w:r>
      <w:r>
        <w:rPr>
          <w:bCs/>
          <w:b/>
        </w:rPr>
        <w:t xml:space="preserve">Order Form</w:t>
      </w:r>
      <w:r>
        <w:t xml:space="preserve">”</w:t>
      </w:r>
      <w:r>
        <w:t xml:space="preserve"> </w:t>
      </w:r>
      <w:r>
        <w:t xml:space="preserve">means an order form in the format of Schedule 1, executed by both Parties, specifying the Modules, Optional Modules, deployment model, Critical Applications, Critical Services, service levels, Fees and other commercial terms.</w:t>
      </w:r>
    </w:p>
    <w:p>
      <w:pPr>
        <w:pStyle w:val="BodyText"/>
      </w:pPr>
      <w:r>
        <w:t xml:space="preserve">“</w:t>
      </w:r>
      <w:r>
        <w:rPr>
          <w:bCs/>
          <w:b/>
        </w:rPr>
        <w:t xml:space="preserve">Personal Data</w:t>
      </w:r>
      <w:r>
        <w:t xml:space="preserve">”</w:t>
      </w:r>
      <w:r>
        <w:t xml:space="preserve"> </w:t>
      </w:r>
      <w:r>
        <w:t xml:space="preserve">means personal data within the meaning of section 2(t) of the DPDP Act, and includes</w:t>
      </w:r>
      <w:r>
        <w:t xml:space="preserve"> </w:t>
      </w:r>
      <w:r>
        <w:t xml:space="preserve">“</w:t>
      </w:r>
      <w:r>
        <w:t xml:space="preserve">sensitive personal data or information</w:t>
      </w:r>
      <w:r>
        <w:t xml:space="preserve">”</w:t>
      </w:r>
      <w:r>
        <w:t xml:space="preserve"> </w:t>
      </w:r>
      <w:r>
        <w:t xml:space="preserve">under the Information Technology (Reasonable Security Practices and Procedures and Sensitive Personal Data or Information) Rules, 2011 for so long as those rules apply, which is processed by or on behalf of the Service Provider in connection with this Agreement.</w:t>
      </w:r>
    </w:p>
    <w:p>
      <w:pPr>
        <w:pStyle w:val="BodyText"/>
      </w:pPr>
      <w:r>
        <w:t xml:space="preserve">“</w:t>
      </w:r>
      <w:r>
        <w:rPr>
          <w:bCs/>
          <w:b/>
        </w:rPr>
        <w:t xml:space="preserve">Platform</w:t>
      </w:r>
      <w:r>
        <w:t xml:space="preserve">”</w:t>
      </w:r>
      <w:r>
        <w:t xml:space="preserve"> </w:t>
      </w:r>
      <w:r>
        <w:t xml:space="preserve">means the Finbyx lending technology platform, including all Modules subscribed to by the Company, the hosting environment, application programming interfaces, mobile and web interfaces, documentation and all updates, upgrades and Releases made available under this Agreement.</w:t>
      </w:r>
    </w:p>
    <w:p>
      <w:pPr>
        <w:pStyle w:val="BodyText"/>
      </w:pPr>
      <w:r>
        <w:t xml:space="preserve">“</w:t>
      </w:r>
      <w:r>
        <w:rPr>
          <w:bCs/>
          <w:b/>
        </w:rPr>
        <w:t xml:space="preserve">RBI Directions</w:t>
      </w:r>
      <w:r>
        <w:t xml:space="preserve">”</w:t>
      </w:r>
      <w:r>
        <w:t xml:space="preserve"> </w:t>
      </w:r>
      <w:r>
        <w:t xml:space="preserve">means all directions, master directions, circulars, guidance notes and other instructions issued by RBI (and, where the Company is an HFC, by RBI or the National Housing Bank) that apply to the Company or to the Services, as amended, supplemented or replaced from time to time, including the instruments listed in Clause 1.4.</w:t>
      </w:r>
    </w:p>
    <w:p>
      <w:pPr>
        <w:pStyle w:val="BodyText"/>
      </w:pPr>
      <w:r>
        <w:t xml:space="preserve">“</w:t>
      </w:r>
      <w:r>
        <w:rPr>
          <w:bCs/>
          <w:b/>
        </w:rPr>
        <w:t xml:space="preserve">Recovery Suite</w:t>
      </w:r>
      <w:r>
        <w:t xml:space="preserve">”</w:t>
      </w:r>
      <w:r>
        <w:t xml:space="preserve"> </w:t>
      </w:r>
      <w:r>
        <w:t xml:space="preserve">means the collections, recovery and legal Optional Modules R1 to R16 described in Schedule 2, licensed through the SKUs</w:t>
      </w:r>
      <w:r>
        <w:t xml:space="preserve"> </w:t>
      </w:r>
      <w:r>
        <w:t xml:space="preserve">“</w:t>
      </w:r>
      <w:r>
        <w:t xml:space="preserve">Recovery Core</w:t>
      </w:r>
      <w:r>
        <w:t xml:space="preserve">”</w:t>
      </w:r>
      <w:r>
        <w:t xml:space="preserve">,</w:t>
      </w:r>
      <w:r>
        <w:t xml:space="preserve"> </w:t>
      </w:r>
      <w:r>
        <w:t xml:space="preserve">“</w:t>
      </w:r>
      <w:r>
        <w:t xml:space="preserve">Settlement and ADR</w:t>
      </w:r>
      <w:r>
        <w:t xml:space="preserve">”</w:t>
      </w:r>
      <w:r>
        <w:t xml:space="preserve">,</w:t>
      </w:r>
      <w:r>
        <w:t xml:space="preserve"> </w:t>
      </w:r>
      <w:r>
        <w:t xml:space="preserve">“</w:t>
      </w:r>
      <w:r>
        <w:t xml:space="preserve">Secured Enforcement</w:t>
      </w:r>
      <w:r>
        <w:t xml:space="preserve">”</w:t>
      </w:r>
      <w:r>
        <w:t xml:space="preserve">,</w:t>
      </w:r>
      <w:r>
        <w:t xml:space="preserve"> </w:t>
      </w:r>
      <w:r>
        <w:t xml:space="preserve">“</w:t>
      </w:r>
      <w:r>
        <w:t xml:space="preserve">Shared-Exposure Recovery</w:t>
      </w:r>
      <w:r>
        <w:t xml:space="preserve">”</w:t>
      </w:r>
      <w:r>
        <w:t xml:space="preserve"> </w:t>
      </w:r>
      <w:r>
        <w:t xml:space="preserve">and</w:t>
      </w:r>
      <w:r>
        <w:t xml:space="preserve"> </w:t>
      </w:r>
      <w:r>
        <w:t xml:space="preserve">“</w:t>
      </w:r>
      <w:r>
        <w:t xml:space="preserve">Product Playbooks</w:t>
      </w:r>
      <w:r>
        <w:t xml:space="preserve">”</w:t>
      </w:r>
      <w:r>
        <w:t xml:space="preserve">.</w:t>
      </w:r>
    </w:p>
    <w:p>
      <w:pPr>
        <w:pStyle w:val="BodyText"/>
      </w:pPr>
      <w:r>
        <w:t xml:space="preserve">“</w:t>
      </w:r>
      <w:r>
        <w:rPr>
          <w:bCs/>
          <w:b/>
        </w:rPr>
        <w:t xml:space="preserve">Regulator</w:t>
      </w:r>
      <w:r>
        <w:t xml:space="preserve">”</w:t>
      </w:r>
      <w:r>
        <w:t xml:space="preserve"> </w:t>
      </w:r>
      <w:r>
        <w:t xml:space="preserve">means RBI; where the Company is an HFC, also the National Housing Bank; and any other Governmental Authority having regulatory, supervisory or enforcement jurisdiction over the Company or the Services, including the Financial Intelligence Unit – India (</w:t>
      </w:r>
      <w:r>
        <w:t xml:space="preserve">“</w:t>
      </w:r>
      <w:r>
        <w:rPr>
          <w:bCs/>
          <w:b/>
        </w:rPr>
        <w:t xml:space="preserve">FIU-IND</w:t>
      </w:r>
      <w:r>
        <w:t xml:space="preserve">”</w:t>
      </w:r>
      <w:r>
        <w:t xml:space="preserve">), CERT-In, the Data Protection Board, the Unique Identification Authority of India, credit information companies acting under the Credit Information Companies (Regulation) Act, 2005 and, where the Company’s securities are listed, the Securities and Exchange Board of India.</w:t>
      </w:r>
    </w:p>
    <w:p>
      <w:pPr>
        <w:pStyle w:val="BodyText"/>
      </w:pPr>
      <w:r>
        <w:t xml:space="preserve">“</w:t>
      </w:r>
      <w:r>
        <w:rPr>
          <w:bCs/>
          <w:b/>
        </w:rPr>
        <w:t xml:space="preserve">Release</w:t>
      </w:r>
      <w:r>
        <w:t xml:space="preserve">”</w:t>
      </w:r>
      <w:r>
        <w:t xml:space="preserve"> </w:t>
      </w:r>
      <w:r>
        <w:t xml:space="preserve">means any new version, update, upgrade, patch, fix, regulatory update or enhancement of the Platform.</w:t>
      </w:r>
    </w:p>
    <w:p>
      <w:pPr>
        <w:pStyle w:val="BodyText"/>
      </w:pPr>
      <w:r>
        <w:t xml:space="preserve">“</w:t>
      </w:r>
      <w:r>
        <w:rPr>
          <w:bCs/>
          <w:b/>
        </w:rPr>
        <w:t xml:space="preserve">Security Breach</w:t>
      </w:r>
      <w:r>
        <w:t xml:space="preserve">”</w:t>
      </w:r>
      <w:r>
        <w:t xml:space="preserve"> </w:t>
      </w:r>
      <w:r>
        <w:t xml:space="preserve">means any actual or reasonably suspected (a) unauthorised access to, or acquisition, disclosure, alteration, loss, destruction or use of, Company Data; (b) breach of security leading to leakage of confidential customer-related information (OUT paras 28 and 69(iii)); or (c) compromise of any security control of the Platform.</w:t>
      </w:r>
    </w:p>
    <w:p>
      <w:pPr>
        <w:pStyle w:val="BodyText"/>
      </w:pPr>
      <w:r>
        <w:t xml:space="preserve">“</w:t>
      </w:r>
      <w:r>
        <w:rPr>
          <w:bCs/>
          <w:b/>
        </w:rPr>
        <w:t xml:space="preserve">Service Credits</w:t>
      </w:r>
      <w:r>
        <w:t xml:space="preserve">”</w:t>
      </w:r>
      <w:r>
        <w:t xml:space="preserve"> </w:t>
      </w:r>
      <w:r>
        <w:t xml:space="preserve">means the credits payable by the Service Provider for failure to meet the service levels, calculated in accordance with Schedule 3.</w:t>
      </w:r>
    </w:p>
    <w:p>
      <w:pPr>
        <w:pStyle w:val="BodyText"/>
      </w:pPr>
      <w:r>
        <w:t xml:space="preserve">“</w:t>
      </w:r>
      <w:r>
        <w:rPr>
          <w:bCs/>
          <w:b/>
        </w:rPr>
        <w:t xml:space="preserve">Service Telemetry</w:t>
      </w:r>
      <w:r>
        <w:t xml:space="preserve">”</w:t>
      </w:r>
      <w:r>
        <w:t xml:space="preserve"> </w:t>
      </w:r>
      <w:r>
        <w:t xml:space="preserve">means technical and operational metadata about the performance, availability, capacity and security of the Platform which does not contain, and from which it is not reasonably possible to derive, any Company Data, Customer Data or Personal Data.</w:t>
      </w:r>
    </w:p>
    <w:p>
      <w:pPr>
        <w:pStyle w:val="BodyText"/>
      </w:pPr>
      <w:r>
        <w:t xml:space="preserve">“</w:t>
      </w:r>
      <w:r>
        <w:rPr>
          <w:bCs/>
          <w:b/>
        </w:rPr>
        <w:t xml:space="preserve">Services</w:t>
      </w:r>
      <w:r>
        <w:t xml:space="preserve">”</w:t>
      </w:r>
      <w:r>
        <w:t xml:space="preserve"> </w:t>
      </w:r>
      <w:r>
        <w:t xml:space="preserve">means the provision of the Platform on a subscription basis and all related implementation, migration, hosting, support, maintenance, security, business continuity, exit and other services provided by the Service Provider under this Agreement and each Order Form.</w:t>
      </w:r>
    </w:p>
    <w:p>
      <w:pPr>
        <w:pStyle w:val="BodyText"/>
      </w:pPr>
      <w:r>
        <w:t xml:space="preserve">“</w:t>
      </w:r>
      <w:r>
        <w:rPr>
          <w:bCs/>
          <w:b/>
        </w:rPr>
        <w:t xml:space="preserve">Sub-contractor</w:t>
      </w:r>
      <w:r>
        <w:t xml:space="preserve">”</w:t>
      </w:r>
      <w:r>
        <w:t xml:space="preserve"> </w:t>
      </w:r>
      <w:r>
        <w:t xml:space="preserve">means any person (including an Affiliate of the Service Provider) engaged by the Service Provider to perform any part of the Services, or that provides material or significant IT services to the Service Provider for the purposes of the Services (OUT para 58(4)), including cloud service providers, data-centre operators, managed security service providers and providers of software components without which the Services cannot be delivered.</w:t>
      </w:r>
    </w:p>
    <w:p>
      <w:pPr>
        <w:pStyle w:val="BodyText"/>
      </w:pPr>
      <w:r>
        <w:t xml:space="preserve">“</w:t>
      </w:r>
      <w:r>
        <w:rPr>
          <w:bCs/>
          <w:b/>
        </w:rPr>
        <w:t xml:space="preserve">Sub-processor</w:t>
      </w:r>
      <w:r>
        <w:t xml:space="preserve">”</w:t>
      </w:r>
      <w:r>
        <w:t xml:space="preserve"> </w:t>
      </w:r>
      <w:r>
        <w:t xml:space="preserve">means any Sub-contractor or other person engaged by the Service Provider that processes, stores or has access to Company Data.</w:t>
      </w:r>
    </w:p>
    <w:p>
      <w:pPr>
        <w:pStyle w:val="BodyText"/>
      </w:pPr>
      <w:r>
        <w:t xml:space="preserve">“</w:t>
      </w:r>
      <w:r>
        <w:rPr>
          <w:bCs/>
          <w:b/>
        </w:rPr>
        <w:t xml:space="preserve">Successor Provider</w:t>
      </w:r>
      <w:r>
        <w:t xml:space="preserve">”</w:t>
      </w:r>
      <w:r>
        <w:t xml:space="preserve"> </w:t>
      </w:r>
      <w:r>
        <w:t xml:space="preserve">means any person appointed by the Company to provide services in replacement of all or part of the Services, or the Company itself where it brings the Services in-house.</w:t>
      </w:r>
    </w:p>
    <w:p>
      <w:pPr>
        <w:pStyle w:val="BodyText"/>
      </w:pPr>
      <w:r>
        <w:t xml:space="preserve">“</w:t>
      </w:r>
      <w:r>
        <w:rPr>
          <w:bCs/>
          <w:b/>
        </w:rPr>
        <w:t xml:space="preserve">Supervisory Authority</w:t>
      </w:r>
      <w:r>
        <w:t xml:space="preserve">”</w:t>
      </w:r>
      <w:r>
        <w:t xml:space="preserve"> </w:t>
      </w:r>
      <w:r>
        <w:t xml:space="preserve">means RBI (and, where the Company is an HFC, the National Housing Bank), any officer, employee or other person authorised by RBI or the National Housing Bank, and any other Regulator or Governmental Authority empowered by Applicable Law to inspect, audit or call for information from the Company or its service providers.</w:t>
      </w:r>
    </w:p>
    <w:p>
      <w:pPr>
        <w:pStyle w:val="BodyText"/>
      </w:pPr>
      <w:r>
        <w:t xml:space="preserve">“</w:t>
      </w:r>
      <w:r>
        <w:rPr>
          <w:bCs/>
          <w:b/>
        </w:rPr>
        <w:t xml:space="preserve">Tenant Environment</w:t>
      </w:r>
      <w:r>
        <w:t xml:space="preserve">”</w:t>
      </w:r>
      <w:r>
        <w:t xml:space="preserve"> </w:t>
      </w:r>
      <w:r>
        <w:t xml:space="preserve">means the logically (or, under a dedicated deployment, physically) segregated instance of the Platform, its databases, storage, keys, logs and backups provisioned for the Company.</w:t>
      </w:r>
    </w:p>
    <w:p>
      <w:pPr>
        <w:pStyle w:val="BodyText"/>
      </w:pPr>
      <w:r>
        <w:t xml:space="preserve">“</w:t>
      </w:r>
      <w:r>
        <w:rPr>
          <w:bCs/>
          <w:b/>
        </w:rPr>
        <w:t xml:space="preserve">Term</w:t>
      </w:r>
      <w:r>
        <w:t xml:space="preserve">”</w:t>
      </w:r>
      <w:r>
        <w:t xml:space="preserve"> </w:t>
      </w:r>
      <w:r>
        <w:t xml:space="preserve">has the meaning given in Clause 24.1.</w:t>
      </w:r>
    </w:p>
    <w:p>
      <w:pPr>
        <w:pStyle w:val="BodyText"/>
      </w:pPr>
      <w:r>
        <w:rPr>
          <w:bCs/>
          <w:b/>
        </w:rPr>
        <w:t xml:space="preserve">1.2 Interpretation.</w:t>
      </w:r>
      <w:r>
        <w:t xml:space="preserve"> </w:t>
      </w:r>
      <w:r>
        <w:t xml:space="preserve">In this Agreement, unless the context otherwise requires:</w:t>
      </w:r>
    </w:p>
    <w:p>
      <w:pPr>
        <w:numPr>
          <w:ilvl w:val="0"/>
          <w:numId w:val="1001"/>
        </w:numPr>
      </w:pPr>
      <w:r>
        <w:t xml:space="preserve">headings are for convenience only and do not affect interpretation;</w:t>
      </w:r>
    </w:p>
    <w:p>
      <w:pPr>
        <w:numPr>
          <w:ilvl w:val="0"/>
          <w:numId w:val="1001"/>
        </w:numPr>
      </w:pPr>
      <w:r>
        <w:t xml:space="preserve">the singular includes the plural and vice versa, and any gender includes all genders;</w:t>
      </w:r>
    </w:p>
    <w:p>
      <w:pPr>
        <w:numPr>
          <w:ilvl w:val="0"/>
          <w:numId w:val="1001"/>
        </w:numPr>
      </w:pPr>
      <w:r>
        <w:t xml:space="preserve">references to Articles, Clauses, Recitals and Schedules are to articles, clauses and recitals of, and schedules to, this Agreement; the Schedules and Annexures form part of this Agreement;</w:t>
      </w:r>
    </w:p>
    <w:p>
      <w:pPr>
        <w:numPr>
          <w:ilvl w:val="0"/>
          <w:numId w:val="1001"/>
        </w:numPr>
      </w:pPr>
      <w:r>
        <w:t xml:space="preserve">references to any statute, rule, regulation or RBI Direction include that instrument as amended, consolidated, re-enacted or replaced from time to time, and any subordinate legislation, direction or circular issued under it;</w:t>
      </w:r>
    </w:p>
    <w:p>
      <w:pPr>
        <w:numPr>
          <w:ilvl w:val="0"/>
          <w:numId w:val="1001"/>
        </w:numPr>
      </w:pPr>
      <w:r>
        <w:t xml:space="preserve">the words</w:t>
      </w:r>
      <w:r>
        <w:t xml:space="preserve"> </w:t>
      </w:r>
      <w:r>
        <w:t xml:space="preserve">“</w:t>
      </w:r>
      <w:r>
        <w:t xml:space="preserve">include</w:t>
      </w:r>
      <w:r>
        <w:t xml:space="preserve">”</w:t>
      </w:r>
      <w:r>
        <w:t xml:space="preserve">,</w:t>
      </w:r>
      <w:r>
        <w:t xml:space="preserve"> </w:t>
      </w:r>
      <w:r>
        <w:t xml:space="preserve">“</w:t>
      </w:r>
      <w:r>
        <w:t xml:space="preserve">including</w:t>
      </w:r>
      <w:r>
        <w:t xml:space="preserve">”</w:t>
      </w:r>
      <w:r>
        <w:t xml:space="preserve"> </w:t>
      </w:r>
      <w:r>
        <w:t xml:space="preserve">and</w:t>
      </w:r>
      <w:r>
        <w:t xml:space="preserve"> </w:t>
      </w:r>
      <w:r>
        <w:t xml:space="preserve">“</w:t>
      </w:r>
      <w:r>
        <w:t xml:space="preserve">in particular</w:t>
      </w:r>
      <w:r>
        <w:t xml:space="preserve">”</w:t>
      </w:r>
      <w:r>
        <w:t xml:space="preserve"> </w:t>
      </w:r>
      <w:r>
        <w:t xml:space="preserve">are illustrative and do not limit the generality of the preceding words;</w:t>
      </w:r>
    </w:p>
    <w:p>
      <w:pPr>
        <w:numPr>
          <w:ilvl w:val="0"/>
          <w:numId w:val="1001"/>
        </w:numPr>
      </w:pPr>
      <w:r>
        <w:t xml:space="preserve">a reference to</w:t>
      </w:r>
      <w:r>
        <w:t xml:space="preserve"> </w:t>
      </w:r>
      <w:r>
        <w:t xml:space="preserve">“</w:t>
      </w:r>
      <w:r>
        <w:t xml:space="preserve">writing</w:t>
      </w:r>
      <w:r>
        <w:t xml:space="preserve">”</w:t>
      </w:r>
      <w:r>
        <w:t xml:space="preserve"> </w:t>
      </w:r>
      <w:r>
        <w:t xml:space="preserve">includes email and electronic records within the meaning of the IT Act, but not instant messaging;</w:t>
      </w:r>
    </w:p>
    <w:p>
      <w:pPr>
        <w:numPr>
          <w:ilvl w:val="0"/>
          <w:numId w:val="1001"/>
        </w:numPr>
      </w:pPr>
      <w:r>
        <w:t xml:space="preserve">a reference to a</w:t>
      </w:r>
      <w:r>
        <w:t xml:space="preserve"> </w:t>
      </w:r>
      <w:r>
        <w:t xml:space="preserve">“</w:t>
      </w:r>
      <w:r>
        <w:t xml:space="preserve">person</w:t>
      </w:r>
      <w:r>
        <w:t xml:space="preserve">”</w:t>
      </w:r>
      <w:r>
        <w:t xml:space="preserve"> </w:t>
      </w:r>
      <w:r>
        <w:t xml:space="preserve">includes an individual, company, firm, trust, association, Governmental Authority or other entity;</w:t>
      </w:r>
    </w:p>
    <w:p>
      <w:pPr>
        <w:numPr>
          <w:ilvl w:val="0"/>
          <w:numId w:val="1001"/>
        </w:numPr>
      </w:pPr>
      <w:r>
        <w:t xml:space="preserve">no rule of construction shall apply to the disadvantage of a Party on the ground that the Party prepared this Agreement;</w:t>
      </w:r>
    </w:p>
    <w:p>
      <w:pPr>
        <w:numPr>
          <w:ilvl w:val="0"/>
          <w:numId w:val="1001"/>
        </w:numPr>
      </w:pPr>
      <w:r>
        <w:t xml:space="preserve">any obligation of the Service Provider to</w:t>
      </w:r>
      <w:r>
        <w:t xml:space="preserve"> </w:t>
      </w:r>
      <w:r>
        <w:t xml:space="preserve">“</w:t>
      </w:r>
      <w:r>
        <w:t xml:space="preserve">ensure</w:t>
      </w:r>
      <w:r>
        <w:t xml:space="preserve">”</w:t>
      </w:r>
      <w:r>
        <w:t xml:space="preserve"> </w:t>
      </w:r>
      <w:r>
        <w:t xml:space="preserve">or</w:t>
      </w:r>
      <w:r>
        <w:t xml:space="preserve"> </w:t>
      </w:r>
      <w:r>
        <w:t xml:space="preserve">“</w:t>
      </w:r>
      <w:r>
        <w:t xml:space="preserve">procure</w:t>
      </w:r>
      <w:r>
        <w:t xml:space="preserve">”</w:t>
      </w:r>
      <w:r>
        <w:t xml:space="preserve"> </w:t>
      </w:r>
      <w:r>
        <w:t xml:space="preserve">an outcome includes an obligation to procure that its Sub-contractors and personnel comply;</w:t>
      </w:r>
    </w:p>
    <w:p>
      <w:pPr>
        <w:numPr>
          <w:ilvl w:val="0"/>
          <w:numId w:val="1001"/>
        </w:numPr>
      </w:pPr>
      <w:r>
        <w:t xml:space="preserve">references in parentheses to paragraphs of RBI Directions or provisions of other Applicable Law identify the source of an obligation and do not limit its scope; where the cited instrument is amended or replaced, the reference shall be read as a reference to the corresponding provision of the amended or replacing instrument; and</w:t>
      </w:r>
    </w:p>
    <w:p>
      <w:pPr>
        <w:numPr>
          <w:ilvl w:val="0"/>
          <w:numId w:val="1001"/>
        </w:numPr>
      </w:pPr>
      <w:r>
        <w:t xml:space="preserve">time periods expressed in hours run continuously, including on days that are not Business Days.</w:t>
      </w:r>
    </w:p>
    <w:p>
      <w:pPr>
        <w:pStyle w:val="FirstParagraph"/>
      </w:pPr>
      <w:r>
        <w:rPr>
          <w:bCs/>
          <w:b/>
        </w:rPr>
        <w:t xml:space="preserve">1.3 Order of precedence.</w:t>
      </w:r>
      <w:r>
        <w:t xml:space="preserve"> </w:t>
      </w:r>
      <w:r>
        <w:t xml:space="preserve">In the event of any conflict or inconsistency, the following order of precedence shall apply (in descending order):</w:t>
      </w:r>
    </w:p>
    <w:p>
      <w:pPr>
        <w:numPr>
          <w:ilvl w:val="0"/>
          <w:numId w:val="1002"/>
        </w:numPr>
      </w:pPr>
      <w:r>
        <w:t xml:space="preserve">Applicable Law, including the RBI Directions and any direction, order or requirement of a Regulator or Supervisory Authority;</w:t>
      </w:r>
    </w:p>
    <w:p>
      <w:pPr>
        <w:numPr>
          <w:ilvl w:val="0"/>
          <w:numId w:val="1002"/>
        </w:numPr>
      </w:pPr>
      <w:r>
        <w:t xml:space="preserve">the Clauses marked</w:t>
      </w:r>
      <w:r>
        <w:t xml:space="preserve"> </w:t>
      </w:r>
      <w:r>
        <w:rPr>
          <w:bCs/>
          <w:b/>
        </w:rPr>
        <w:t xml:space="preserve">[Mandatory — RBI]</w:t>
      </w:r>
      <w:r>
        <w:t xml:space="preserve"> </w:t>
      </w:r>
      <w:r>
        <w:t xml:space="preserve">in this Agreement and the corresponding provisions of the Schedules;</w:t>
      </w:r>
    </w:p>
    <w:p>
      <w:pPr>
        <w:numPr>
          <w:ilvl w:val="0"/>
          <w:numId w:val="1002"/>
        </w:numPr>
      </w:pPr>
      <w:r>
        <w:t xml:space="preserve">Schedule 4 (Data Processing Agreement), to the extent it concerns Personal Data;</w:t>
      </w:r>
    </w:p>
    <w:p>
      <w:pPr>
        <w:numPr>
          <w:ilvl w:val="0"/>
          <w:numId w:val="1002"/>
        </w:numPr>
      </w:pPr>
      <w:r>
        <w:t xml:space="preserve">the other Clauses of this Agreement;</w:t>
      </w:r>
    </w:p>
    <w:p>
      <w:pPr>
        <w:numPr>
          <w:ilvl w:val="0"/>
          <w:numId w:val="1002"/>
        </w:numPr>
      </w:pPr>
      <w:r>
        <w:t xml:space="preserve">the other Schedules;</w:t>
      </w:r>
    </w:p>
    <w:p>
      <w:pPr>
        <w:numPr>
          <w:ilvl w:val="0"/>
          <w:numId w:val="1002"/>
        </w:numPr>
      </w:pPr>
      <w:r>
        <w:t xml:space="preserve">the Order Form, save that an Order Form may vary a commercial term of this Agreement where it expressly identifies the Clause it varies and the variation does not dilute any provision referred to in sub-clause (b) or (c); and</w:t>
      </w:r>
    </w:p>
    <w:p>
      <w:pPr>
        <w:numPr>
          <w:ilvl w:val="0"/>
          <w:numId w:val="1002"/>
        </w:numPr>
      </w:pPr>
      <w:r>
        <w:t xml:space="preserve">any documentation, policies or terms published by the Service Provider, none of which shall bind the Company unless incorporated by an executed Order Form or Change.</w:t>
      </w:r>
    </w:p>
    <w:p>
      <w:pPr>
        <w:pStyle w:val="FirstParagraph"/>
      </w:pPr>
      <w:r>
        <w:t xml:space="preserve">No term of any Order Form, purchase order, click-through, online terms of service or invoice shall dilute any right of the Company, a Supervisory Authority or a Regulator under this Agreement or Applicable Law.</w:t>
      </w:r>
    </w:p>
    <w:p>
      <w:pPr>
        <w:pStyle w:val="BodyText"/>
      </w:pPr>
      <w:r>
        <w:rPr>
          <w:bCs/>
          <w:b/>
        </w:rPr>
        <w:t xml:space="preserve">1.4 RBI Directions and abbreviations.</w:t>
      </w:r>
      <w:r>
        <w:t xml:space="preserve"> </w:t>
      </w:r>
      <w:r>
        <w:t xml:space="preserve">In this Agreement, the following abbreviations refer to the following RBI Directions, each as amended from time to time: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72"/>
        <w:gridCol w:w="4721"/>
        <w:gridCol w:w="3545"/>
      </w:tblGrid>
      <w:tr>
        <w:trPr>
          <w:tblHeader w:val="true"/>
          <w:tblHeader w:val="true"/>
        </w:trPr>
        <w:tc>
          <w:tcPr>
            <w:tcW w:w="1372" w:type="dxa"/>
            <w:shd w:val="clear" w:color="auto" w:fill="1F3A5F"/>
          </w:tcPr>
          <w:p>
            <w:pPr>
              <w:pStyle w:val="Compact"/>
              <w:spacing w:after="40"/>
              <w:jc w:val="left"/>
            </w:pPr>
            <w:r>
              <w:rPr>
                <w:b/>
                <w:color w:val="FFFFFF"/>
                <w:sz w:val="18"/>
              </w:rPr>
              <w:t xml:space="preserve">Abbreviation</w:t>
            </w:r>
          </w:p>
        </w:tc>
        <w:tc>
          <w:tcPr>
            <w:tcW w:w="4721" w:type="dxa"/>
            <w:shd w:val="clear" w:color="auto" w:fill="1F3A5F"/>
          </w:tcPr>
          <w:p>
            <w:pPr>
              <w:pStyle w:val="Compact"/>
              <w:spacing w:after="40"/>
              <w:jc w:val="left"/>
            </w:pPr>
            <w:r>
              <w:rPr>
                <w:b/>
                <w:color w:val="FFFFFF"/>
                <w:sz w:val="18"/>
              </w:rPr>
              <w:t xml:space="preserve">Instrument</w:t>
            </w:r>
          </w:p>
        </w:tc>
        <w:tc>
          <w:tcPr>
            <w:tcW w:w="3545" w:type="dxa"/>
            <w:shd w:val="clear" w:color="auto" w:fill="1F3A5F"/>
          </w:tcPr>
          <w:p>
            <w:pPr>
              <w:pStyle w:val="Compact"/>
              <w:spacing w:after="40"/>
              <w:jc w:val="left"/>
            </w:pPr>
            <w:r>
              <w:rPr>
                <w:b/>
                <w:color w:val="FFFFFF"/>
                <w:sz w:val="18"/>
              </w:rPr>
              <w:t xml:space="preserve">RBI reference</w:t>
            </w:r>
          </w:p>
        </w:tc>
      </w:tr>
      <w:tr>
        <w:tc>
          <w:tcPr>
            <w:tcW w:w="1372" w:type="dxa"/>
          </w:tcPr>
          <w:p>
            <w:pPr>
              <w:pStyle w:val="Compact"/>
              <w:spacing w:after="40"/>
              <w:jc w:val="left"/>
            </w:pPr>
            <w:r>
              <w:rPr>
                <w:sz w:val="18"/>
              </w:rPr>
              <w:t xml:space="preserve">OUT</w:t>
            </w:r>
          </w:p>
        </w:tc>
        <w:tc>
          <w:tcPr>
            <w:tcW w:w="4721" w:type="dxa"/>
          </w:tcPr>
          <w:p>
            <w:pPr>
              <w:pStyle w:val="Compact"/>
              <w:spacing w:after="40"/>
              <w:jc w:val="left"/>
            </w:pPr>
            <w:r>
              <w:rPr>
                <w:sz w:val="18"/>
              </w:rPr>
              <w:t xml:space="preserve">Reserve Bank of India (Non-Banking Financial Companies – Managing Risks in Outsourcing) Directions, 2025</w:t>
            </w:r>
          </w:p>
        </w:tc>
        <w:tc>
          <w:tcPr>
            <w:tcW w:w="3545" w:type="dxa"/>
          </w:tcPr>
          <w:p>
            <w:pPr>
              <w:pStyle w:val="Compact"/>
              <w:spacing w:after="40"/>
              <w:jc w:val="left"/>
            </w:pPr>
            <w:r>
              <w:rPr>
                <w:sz w:val="18"/>
              </w:rPr>
              <w:t xml:space="preserve">RBI/DOR/2025-26/363; DOR.ORG.REC.No.282/21-04-158/2025-26 dated 28 November 2025</w:t>
            </w:r>
          </w:p>
        </w:tc>
      </w:tr>
      <w:tr>
        <w:tc>
          <w:tcPr>
            <w:tcW w:w="1372" w:type="dxa"/>
          </w:tcPr>
          <w:p>
            <w:pPr>
              <w:pStyle w:val="Compact"/>
              <w:spacing w:after="40"/>
              <w:jc w:val="left"/>
            </w:pPr>
            <w:r>
              <w:rPr>
                <w:sz w:val="18"/>
              </w:rPr>
              <w:t xml:space="preserve">CYB</w:t>
            </w:r>
          </w:p>
        </w:tc>
        <w:tc>
          <w:tcPr>
            <w:tcW w:w="4721" w:type="dxa"/>
          </w:tcPr>
          <w:p>
            <w:pPr>
              <w:pStyle w:val="Compact"/>
              <w:spacing w:after="40"/>
              <w:jc w:val="left"/>
            </w:pPr>
            <w:r>
              <w:rPr>
                <w:sz w:val="18"/>
              </w:rPr>
              <w:t xml:space="preserve">Reserve Bank of India (Non-Banking Financial Companies – Cybersecurity, Technology: Risk, Resilience and Assurance Framework) Directions, 2026</w:t>
            </w:r>
          </w:p>
        </w:tc>
        <w:tc>
          <w:tcPr>
            <w:tcW w:w="3545" w:type="dxa"/>
          </w:tcPr>
          <w:p>
            <w:pPr>
              <w:pStyle w:val="Compact"/>
              <w:spacing w:after="40"/>
              <w:jc w:val="left"/>
            </w:pPr>
            <w:r>
              <w:rPr>
                <w:sz w:val="18"/>
              </w:rPr>
              <w:t xml:space="preserve">RBI/DoS/2026-27/461; DoS.CO.CSITEG.55/31.01.015/2026-27 dated 31 July 2026</w:t>
            </w:r>
          </w:p>
        </w:tc>
      </w:tr>
      <w:tr>
        <w:tc>
          <w:tcPr>
            <w:tcW w:w="1372" w:type="dxa"/>
          </w:tcPr>
          <w:p>
            <w:pPr>
              <w:pStyle w:val="Compact"/>
              <w:spacing w:after="40"/>
              <w:jc w:val="left"/>
            </w:pPr>
            <w:r>
              <w:rPr>
                <w:sz w:val="18"/>
              </w:rPr>
              <w:t xml:space="preserve">CF</w:t>
            </w:r>
          </w:p>
        </w:tc>
        <w:tc>
          <w:tcPr>
            <w:tcW w:w="4721" w:type="dxa"/>
          </w:tcPr>
          <w:p>
            <w:pPr>
              <w:pStyle w:val="Compact"/>
              <w:spacing w:after="40"/>
              <w:jc w:val="left"/>
            </w:pPr>
            <w:r>
              <w:rPr>
                <w:sz w:val="18"/>
              </w:rPr>
              <w:t xml:space="preserve">Reserve Bank of India (Non-Banking Financial Companies – Credit Facilities) Directions, 2025</w:t>
            </w:r>
          </w:p>
        </w:tc>
        <w:tc>
          <w:tcPr>
            <w:tcW w:w="3545" w:type="dxa"/>
          </w:tcPr>
          <w:p>
            <w:pPr>
              <w:pStyle w:val="Compact"/>
              <w:spacing w:after="40"/>
              <w:jc w:val="left"/>
            </w:pPr>
            <w:r>
              <w:rPr>
                <w:sz w:val="18"/>
              </w:rPr>
              <w:t xml:space="preserve">RBI/DOR/2025-26/347; DOR.CRE.REC.No.266/07-01-008/2025-26 dated 28 November 2025</w:t>
            </w:r>
          </w:p>
        </w:tc>
      </w:tr>
      <w:tr>
        <w:tc>
          <w:tcPr>
            <w:tcW w:w="1372" w:type="dxa"/>
          </w:tcPr>
          <w:p>
            <w:pPr>
              <w:pStyle w:val="Compact"/>
              <w:spacing w:after="40"/>
              <w:jc w:val="left"/>
            </w:pPr>
            <w:r>
              <w:rPr>
                <w:sz w:val="18"/>
              </w:rPr>
              <w:t xml:space="preserve">KYC</w:t>
            </w:r>
          </w:p>
        </w:tc>
        <w:tc>
          <w:tcPr>
            <w:tcW w:w="4721" w:type="dxa"/>
          </w:tcPr>
          <w:p>
            <w:pPr>
              <w:pStyle w:val="Compact"/>
              <w:spacing w:after="40"/>
              <w:jc w:val="left"/>
            </w:pPr>
            <w:r>
              <w:rPr>
                <w:sz w:val="18"/>
              </w:rPr>
              <w:t xml:space="preserve">Reserve Bank of India (Non-Banking Financial Companies – Know Your Customer) Directions, 2025</w:t>
            </w:r>
          </w:p>
        </w:tc>
        <w:tc>
          <w:tcPr>
            <w:tcW w:w="3545" w:type="dxa"/>
          </w:tcPr>
          <w:p>
            <w:pPr>
              <w:pStyle w:val="Compact"/>
              <w:spacing w:after="40"/>
              <w:jc w:val="left"/>
            </w:pPr>
            <w:r>
              <w:rPr>
                <w:sz w:val="18"/>
              </w:rPr>
              <w:t xml:space="preserve">RBI/DOR/2025-26/361; DOR.AML.REC.No.280/14.01.003/2025-26 dated 28 November 2025</w:t>
            </w:r>
          </w:p>
        </w:tc>
      </w:tr>
      <w:tr>
        <w:tc>
          <w:tcPr>
            <w:tcW w:w="1372" w:type="dxa"/>
          </w:tcPr>
          <w:p>
            <w:pPr>
              <w:pStyle w:val="Compact"/>
              <w:spacing w:after="40"/>
              <w:jc w:val="left"/>
            </w:pPr>
            <w:r>
              <w:rPr>
                <w:sz w:val="18"/>
              </w:rPr>
              <w:t xml:space="preserve">RBC</w:t>
            </w:r>
          </w:p>
        </w:tc>
        <w:tc>
          <w:tcPr>
            <w:tcW w:w="4721" w:type="dxa"/>
          </w:tcPr>
          <w:p>
            <w:pPr>
              <w:pStyle w:val="Compact"/>
              <w:spacing w:after="40"/>
              <w:jc w:val="left"/>
            </w:pPr>
            <w:r>
              <w:rPr>
                <w:sz w:val="18"/>
              </w:rPr>
              <w:t xml:space="preserve">Reserve Bank of India (Non-Banking Financial Companies – Responsible Business Conduct) Directions, 2025</w:t>
            </w:r>
          </w:p>
        </w:tc>
        <w:tc>
          <w:tcPr>
            <w:tcW w:w="3545" w:type="dxa"/>
          </w:tcPr>
          <w:p>
            <w:pPr>
              <w:pStyle w:val="Compact"/>
              <w:spacing w:after="40"/>
              <w:jc w:val="left"/>
            </w:pPr>
            <w:r>
              <w:rPr>
                <w:sz w:val="18"/>
              </w:rPr>
              <w:t xml:space="preserve">RBI/DOR/2025-26/362; DOR.MCS.REC.No.281/01-01-039/2025-26 dated 28 November 2025</w:t>
            </w:r>
          </w:p>
        </w:tc>
      </w:tr>
      <w:tr>
        <w:tc>
          <w:tcPr>
            <w:tcW w:w="1372" w:type="dxa"/>
          </w:tcPr>
          <w:p>
            <w:pPr>
              <w:pStyle w:val="Compact"/>
              <w:spacing w:after="40"/>
              <w:jc w:val="left"/>
            </w:pPr>
            <w:r>
              <w:rPr>
                <w:sz w:val="18"/>
              </w:rPr>
              <w:t xml:space="preserve">CIR</w:t>
            </w:r>
          </w:p>
        </w:tc>
        <w:tc>
          <w:tcPr>
            <w:tcW w:w="4721" w:type="dxa"/>
          </w:tcPr>
          <w:p>
            <w:pPr>
              <w:pStyle w:val="Compact"/>
              <w:spacing w:after="40"/>
              <w:jc w:val="left"/>
            </w:pPr>
            <w:r>
              <w:rPr>
                <w:sz w:val="18"/>
              </w:rPr>
              <w:t xml:space="preserve">Reserve Bank of India (Non-Banking Financial Companies – Credit Information Reporting) Directions, 2025</w:t>
            </w:r>
          </w:p>
        </w:tc>
        <w:tc>
          <w:tcPr>
            <w:tcW w:w="3545" w:type="dxa"/>
          </w:tcPr>
          <w:p>
            <w:pPr>
              <w:pStyle w:val="Compact"/>
              <w:spacing w:after="40"/>
              <w:jc w:val="left"/>
            </w:pPr>
            <w:r>
              <w:rPr>
                <w:sz w:val="18"/>
              </w:rPr>
              <w:t xml:space="preserve">RBI/DOR/2025-26/349; DOR.FIN.REC.No.268/20.16.056/2025-26 dated 28 November 2025</w:t>
            </w:r>
          </w:p>
        </w:tc>
      </w:tr>
      <w:tr>
        <w:tc>
          <w:tcPr>
            <w:tcW w:w="1372" w:type="dxa"/>
          </w:tcPr>
          <w:p>
            <w:pPr>
              <w:pStyle w:val="Compact"/>
              <w:spacing w:after="40"/>
              <w:jc w:val="left"/>
            </w:pPr>
            <w:r>
              <w:rPr>
                <w:sz w:val="18"/>
              </w:rPr>
              <w:t xml:space="preserve">FRM</w:t>
            </w:r>
          </w:p>
        </w:tc>
        <w:tc>
          <w:tcPr>
            <w:tcW w:w="4721" w:type="dxa"/>
          </w:tcPr>
          <w:p>
            <w:pPr>
              <w:pStyle w:val="Compact"/>
              <w:spacing w:after="40"/>
              <w:jc w:val="left"/>
            </w:pPr>
            <w:r>
              <w:rPr>
                <w:sz w:val="18"/>
              </w:rPr>
              <w:t xml:space="preserve">Reserve Bank of India (Non-Banking Financial Companies – Fraud Risk Management) Directions, 2026</w:t>
            </w:r>
          </w:p>
        </w:tc>
        <w:tc>
          <w:tcPr>
            <w:tcW w:w="3545" w:type="dxa"/>
          </w:tcPr>
          <w:p>
            <w:pPr>
              <w:pStyle w:val="Compact"/>
              <w:spacing w:after="40"/>
              <w:jc w:val="left"/>
            </w:pPr>
            <w:r>
              <w:rPr>
                <w:sz w:val="18"/>
              </w:rPr>
              <w:t xml:space="preserve">RBI/DoS/2026-27/463; DoS.CO.FMG.57/23.04.001/2026-27 dated 31 July 2026</w:t>
            </w:r>
          </w:p>
        </w:tc>
      </w:tr>
      <w:tr>
        <w:tc>
          <w:tcPr>
            <w:tcW w:w="1372" w:type="dxa"/>
          </w:tcPr>
          <w:p>
            <w:pPr>
              <w:pStyle w:val="Compact"/>
              <w:spacing w:after="40"/>
              <w:jc w:val="left"/>
            </w:pPr>
            <w:r>
              <w:rPr>
                <w:sz w:val="18"/>
              </w:rPr>
              <w:t xml:space="preserve">CMP</w:t>
            </w:r>
          </w:p>
        </w:tc>
        <w:tc>
          <w:tcPr>
            <w:tcW w:w="4721" w:type="dxa"/>
          </w:tcPr>
          <w:p>
            <w:pPr>
              <w:pStyle w:val="Compact"/>
              <w:spacing w:after="40"/>
              <w:jc w:val="left"/>
            </w:pPr>
            <w:r>
              <w:rPr>
                <w:sz w:val="18"/>
              </w:rPr>
              <w:t xml:space="preserve">Reserve Bank of India (Non-Banking Financial Companies – Compliance Function) Directions, 2026</w:t>
            </w:r>
          </w:p>
        </w:tc>
        <w:tc>
          <w:tcPr>
            <w:tcW w:w="3545" w:type="dxa"/>
          </w:tcPr>
          <w:p>
            <w:pPr>
              <w:pStyle w:val="Compact"/>
              <w:spacing w:after="40"/>
              <w:jc w:val="left"/>
            </w:pPr>
            <w:r>
              <w:rPr>
                <w:sz w:val="18"/>
              </w:rPr>
              <w:t xml:space="preserve">RBI/DoS/2026-27/460; DoS.CO.PPG.54/11.01.005/2026-27 dated 31 July 2026</w:t>
            </w:r>
          </w:p>
        </w:tc>
      </w:tr>
      <w:tr>
        <w:tc>
          <w:tcPr>
            <w:tcW w:w="1372" w:type="dxa"/>
          </w:tcPr>
          <w:p>
            <w:pPr>
              <w:pStyle w:val="Compact"/>
              <w:spacing w:after="40"/>
              <w:jc w:val="left"/>
            </w:pPr>
            <w:r>
              <w:rPr>
                <w:sz w:val="18"/>
              </w:rPr>
              <w:t xml:space="preserve">IAF</w:t>
            </w:r>
          </w:p>
        </w:tc>
        <w:tc>
          <w:tcPr>
            <w:tcW w:w="4721" w:type="dxa"/>
          </w:tcPr>
          <w:p>
            <w:pPr>
              <w:pStyle w:val="Compact"/>
              <w:spacing w:after="40"/>
              <w:jc w:val="left"/>
            </w:pPr>
            <w:r>
              <w:rPr>
                <w:sz w:val="18"/>
              </w:rPr>
              <w:t xml:space="preserve">Reserve Bank of India (Non-Banking Financial Companies – Internal Audit Function) Directions, 2026</w:t>
            </w:r>
          </w:p>
        </w:tc>
        <w:tc>
          <w:tcPr>
            <w:tcW w:w="3545" w:type="dxa"/>
          </w:tcPr>
          <w:p>
            <w:pPr>
              <w:pStyle w:val="Compact"/>
              <w:spacing w:after="40"/>
              <w:jc w:val="left"/>
            </w:pPr>
            <w:r>
              <w:rPr>
                <w:sz w:val="18"/>
              </w:rPr>
              <w:t xml:space="preserve">RBI/DoS/2026-27/464; DoS.CO.PPG.58/11.01.005/2026-27 dated 31 July 2026</w:t>
            </w:r>
          </w:p>
        </w:tc>
      </w:tr>
      <w:tr>
        <w:tc>
          <w:tcPr>
            <w:tcW w:w="1372" w:type="dxa"/>
          </w:tcPr>
          <w:p>
            <w:pPr>
              <w:pStyle w:val="Compact"/>
              <w:spacing w:after="40"/>
              <w:jc w:val="left"/>
            </w:pPr>
            <w:r>
              <w:rPr>
                <w:sz w:val="18"/>
              </w:rPr>
              <w:t xml:space="preserve">SA</w:t>
            </w:r>
          </w:p>
        </w:tc>
        <w:tc>
          <w:tcPr>
            <w:tcW w:w="4721" w:type="dxa"/>
          </w:tcPr>
          <w:p>
            <w:pPr>
              <w:pStyle w:val="Compact"/>
              <w:spacing w:after="40"/>
              <w:jc w:val="left"/>
            </w:pPr>
            <w:r>
              <w:rPr>
                <w:sz w:val="18"/>
              </w:rPr>
              <w:t xml:space="preserve">Reserve Bank of India (Non-Banking Financial Companies – Statutory Audit) Directions, 2026</w:t>
            </w:r>
          </w:p>
        </w:tc>
        <w:tc>
          <w:tcPr>
            <w:tcW w:w="3545" w:type="dxa"/>
          </w:tcPr>
          <w:p>
            <w:pPr>
              <w:pStyle w:val="Compact"/>
              <w:spacing w:after="40"/>
              <w:jc w:val="left"/>
            </w:pPr>
            <w:r>
              <w:rPr>
                <w:sz w:val="18"/>
              </w:rPr>
              <w:t xml:space="preserve">RBI/DoS/2026-27/465; DoS.CO.ARG.59/08.91.001/2026-27 dated 31 July 2026</w:t>
            </w:r>
          </w:p>
        </w:tc>
      </w:tr>
      <w:tr>
        <w:tc>
          <w:tcPr>
            <w:tcW w:w="1372" w:type="dxa"/>
          </w:tcPr>
          <w:p>
            <w:pPr>
              <w:pStyle w:val="Compact"/>
              <w:spacing w:after="40"/>
              <w:jc w:val="left"/>
            </w:pPr>
            <w:r>
              <w:rPr>
                <w:sz w:val="18"/>
              </w:rPr>
              <w:t xml:space="preserve">ORM</w:t>
            </w:r>
          </w:p>
        </w:tc>
        <w:tc>
          <w:tcPr>
            <w:tcW w:w="4721" w:type="dxa"/>
          </w:tcPr>
          <w:p>
            <w:pPr>
              <w:pStyle w:val="Compact"/>
              <w:spacing w:after="40"/>
              <w:jc w:val="left"/>
            </w:pPr>
            <w:r>
              <w:rPr>
                <w:sz w:val="18"/>
              </w:rPr>
              <w:t xml:space="preserve">Guidance Note on Operational Risk Management and Operational Resilience, 2025 (guidance, not a Direction)</w:t>
            </w:r>
          </w:p>
        </w:tc>
        <w:tc>
          <w:tcPr>
            <w:tcW w:w="3545" w:type="dxa"/>
          </w:tcPr>
          <w:p>
            <w:pPr>
              <w:pStyle w:val="Compact"/>
              <w:spacing w:after="40"/>
              <w:jc w:val="left"/>
            </w:pPr>
            <w:r>
              <w:rPr>
                <w:sz w:val="18"/>
              </w:rPr>
              <w:t xml:space="preserve">DOR.ORG.REC.301/14.10.001/2025-26 dated 28 November 2025</w:t>
            </w:r>
          </w:p>
        </w:tc>
      </w:tr>
    </w:tbl>
    <w:p>
      <w:pPr>
        <w:pStyle w:val="BodyText"/>
      </w:pPr>
      <w:r>
        <w:rPr>
          <w:bCs/>
          <w:b/>
        </w:rPr>
        <w:t xml:space="preserve">1.5 Layer-based applicability and Uniform Standard [Mandatory — RBI].</w:t>
      </w:r>
    </w:p>
    <w:p>
      <w:pPr>
        <w:numPr>
          <w:ilvl w:val="0"/>
          <w:numId w:val="1003"/>
        </w:numPr>
        <w:pStyle w:val="Compact"/>
      </w:pPr>
      <w:r>
        <w:t xml:space="preserve">The Parties acknowledge that the regulatory requirements applicable to the arrangement depend on the Company’s category and layer under the scale-based regulatory framework, as summarised below: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92"/>
        <w:gridCol w:w="2227"/>
        <w:gridCol w:w="1538"/>
        <w:gridCol w:w="4281"/>
      </w:tblGrid>
      <w:tr>
        <w:trPr>
          <w:tblHeader w:val="true"/>
          <w:tblHeader w:val="true"/>
        </w:trPr>
        <w:tc>
          <w:tcPr>
            <w:tcW w:w="1592" w:type="dxa"/>
            <w:shd w:val="clear" w:color="auto" w:fill="1F3A5F"/>
          </w:tcPr>
          <w:p>
            <w:pPr>
              <w:pStyle w:val="Compact"/>
              <w:spacing w:after="40"/>
              <w:jc w:val="left"/>
            </w:pPr>
            <w:r>
              <w:rPr>
                <w:b/>
                <w:color w:val="FFFFFF"/>
                <w:sz w:val="18"/>
              </w:rPr>
              <w:t xml:space="preserve">Company layer</w:t>
            </w:r>
          </w:p>
        </w:tc>
        <w:tc>
          <w:tcPr>
            <w:tcW w:w="2227" w:type="dxa"/>
            <w:shd w:val="clear" w:color="auto" w:fill="1F3A5F"/>
          </w:tcPr>
          <w:p>
            <w:pPr>
              <w:pStyle w:val="Compact"/>
              <w:spacing w:after="40"/>
              <w:jc w:val="left"/>
            </w:pPr>
            <w:r>
              <w:rPr>
                <w:b/>
                <w:color w:val="FFFFFF"/>
                <w:sz w:val="18"/>
              </w:rPr>
              <w:t xml:space="preserve">OUT</w:t>
            </w:r>
          </w:p>
        </w:tc>
        <w:tc>
          <w:tcPr>
            <w:tcW w:w="1538" w:type="dxa"/>
            <w:shd w:val="clear" w:color="auto" w:fill="1F3A5F"/>
          </w:tcPr>
          <w:p>
            <w:pPr>
              <w:pStyle w:val="Compact"/>
              <w:spacing w:after="40"/>
              <w:jc w:val="left"/>
            </w:pPr>
            <w:r>
              <w:rPr>
                <w:b/>
                <w:color w:val="FFFFFF"/>
                <w:sz w:val="18"/>
              </w:rPr>
              <w:t xml:space="preserve">CYB</w:t>
            </w:r>
          </w:p>
        </w:tc>
        <w:tc>
          <w:tcPr>
            <w:tcW w:w="4281" w:type="dxa"/>
            <w:shd w:val="clear" w:color="auto" w:fill="1F3A5F"/>
          </w:tcPr>
          <w:p>
            <w:pPr>
              <w:pStyle w:val="Compact"/>
              <w:spacing w:after="40"/>
              <w:jc w:val="left"/>
            </w:pPr>
            <w:r>
              <w:rPr>
                <w:b/>
                <w:color w:val="FFFFFF"/>
                <w:sz w:val="18"/>
              </w:rPr>
              <w:t xml:space="preserve">Key consequences for this Agreement</w:t>
            </w:r>
          </w:p>
        </w:tc>
      </w:tr>
      <w:tr>
        <w:tc>
          <w:tcPr>
            <w:tcW w:w="1592" w:type="dxa"/>
          </w:tcPr>
          <w:p>
            <w:pPr>
              <w:pStyle w:val="Compact"/>
              <w:spacing w:after="40"/>
              <w:jc w:val="left"/>
            </w:pPr>
            <w:r>
              <w:rPr>
                <w:sz w:val="18"/>
              </w:rPr>
              <w:t xml:space="preserve">Base Layer, total assets below ₹500 crore</w:t>
            </w:r>
          </w:p>
        </w:tc>
        <w:tc>
          <w:tcPr>
            <w:tcW w:w="2227" w:type="dxa"/>
          </w:tcPr>
          <w:p>
            <w:pPr>
              <w:pStyle w:val="Compact"/>
              <w:spacing w:after="40"/>
              <w:jc w:val="left"/>
            </w:pPr>
            <w:r>
              <w:rPr>
                <w:sz w:val="18"/>
              </w:rPr>
              <w:t xml:space="preserve">All provisions except Chapter IV and the IT-specific parts of Chapter II (OUT para 3(2))</w:t>
            </w:r>
          </w:p>
        </w:tc>
        <w:tc>
          <w:tcPr>
            <w:tcW w:w="1538" w:type="dxa"/>
          </w:tcPr>
          <w:p>
            <w:pPr>
              <w:pStyle w:val="Compact"/>
              <w:spacing w:after="40"/>
              <w:jc w:val="left"/>
            </w:pPr>
            <w:r>
              <w:rPr>
                <w:sz w:val="18"/>
              </w:rPr>
              <w:t xml:space="preserve">Chapters II and III (CYB paras 3(2), 6–9)</w:t>
            </w:r>
          </w:p>
        </w:tc>
        <w:tc>
          <w:tcPr>
            <w:tcW w:w="4281" w:type="dxa"/>
          </w:tcPr>
          <w:p>
            <w:pPr>
              <w:pStyle w:val="Compact"/>
              <w:spacing w:after="40"/>
              <w:jc w:val="left"/>
            </w:pPr>
            <w:r>
              <w:rPr>
                <w:sz w:val="18"/>
              </w:rPr>
              <w:t xml:space="preserve">Contractual terms in Articles 9 to 14 and 25 apply as a matter of contract and good practice</w:t>
            </w:r>
          </w:p>
        </w:tc>
      </w:tr>
      <w:tr>
        <w:tc>
          <w:tcPr>
            <w:tcW w:w="1592" w:type="dxa"/>
          </w:tcPr>
          <w:p>
            <w:pPr>
              <w:pStyle w:val="Compact"/>
              <w:spacing w:after="40"/>
              <w:jc w:val="left"/>
            </w:pPr>
            <w:r>
              <w:rPr>
                <w:sz w:val="18"/>
              </w:rPr>
              <w:t xml:space="preserve">Base Layer, total assets ₹500 crore and above</w:t>
            </w:r>
          </w:p>
        </w:tc>
        <w:tc>
          <w:tcPr>
            <w:tcW w:w="2227" w:type="dxa"/>
          </w:tcPr>
          <w:p>
            <w:pPr>
              <w:pStyle w:val="Compact"/>
              <w:spacing w:after="40"/>
              <w:jc w:val="left"/>
            </w:pPr>
            <w:r>
              <w:rPr>
                <w:sz w:val="18"/>
              </w:rPr>
              <w:t xml:space="preserve">As above (OUT para 3(2))</w:t>
            </w:r>
          </w:p>
        </w:tc>
        <w:tc>
          <w:tcPr>
            <w:tcW w:w="1538" w:type="dxa"/>
          </w:tcPr>
          <w:p>
            <w:pPr>
              <w:pStyle w:val="Compact"/>
              <w:spacing w:after="40"/>
              <w:jc w:val="left"/>
            </w:pPr>
            <w:r>
              <w:rPr>
                <w:sz w:val="18"/>
              </w:rPr>
              <w:t xml:space="preserve">Chapters II and IV (CYB paras 3(3), 10–64)</w:t>
            </w:r>
          </w:p>
        </w:tc>
        <w:tc>
          <w:tcPr>
            <w:tcW w:w="4281" w:type="dxa"/>
          </w:tcPr>
          <w:p>
            <w:pPr>
              <w:pStyle w:val="Compact"/>
              <w:spacing w:after="40"/>
              <w:jc w:val="left"/>
            </w:pPr>
            <w:r>
              <w:rPr>
                <w:sz w:val="18"/>
              </w:rPr>
              <w:t xml:space="preserve">Contract terms under CYB para 62; 6-hour incident reporting (CYB para 28); BCP assurance (CYB paras 59 and 64); audit-mode and read-only access (CYB paras 46 and 57)</w:t>
            </w:r>
          </w:p>
        </w:tc>
      </w:tr>
      <w:tr>
        <w:tc>
          <w:tcPr>
            <w:tcW w:w="1592" w:type="dxa"/>
          </w:tcPr>
          <w:p>
            <w:pPr>
              <w:pStyle w:val="Compact"/>
              <w:spacing w:after="40"/>
              <w:jc w:val="left"/>
            </w:pPr>
            <w:r>
              <w:rPr>
                <w:sz w:val="18"/>
              </w:rPr>
              <w:t xml:space="preserve">Middle Layer and Upper Layer (and Top Layer)</w:t>
            </w:r>
          </w:p>
        </w:tc>
        <w:tc>
          <w:tcPr>
            <w:tcW w:w="2227" w:type="dxa"/>
          </w:tcPr>
          <w:p>
            <w:pPr>
              <w:pStyle w:val="Compact"/>
              <w:spacing w:after="40"/>
              <w:jc w:val="left"/>
            </w:pPr>
            <w:r>
              <w:rPr>
                <w:sz w:val="18"/>
              </w:rPr>
              <w:t xml:space="preserve">All provisions including Chapter IV (OUT para 3(2))</w:t>
            </w:r>
          </w:p>
        </w:tc>
        <w:tc>
          <w:tcPr>
            <w:tcW w:w="1538" w:type="dxa"/>
          </w:tcPr>
          <w:p>
            <w:pPr>
              <w:pStyle w:val="Compact"/>
              <w:spacing w:after="40"/>
              <w:jc w:val="left"/>
            </w:pPr>
            <w:r>
              <w:rPr>
                <w:sz w:val="18"/>
              </w:rPr>
              <w:t xml:space="preserve">Chapters II and V (CYB paras 3(4), 65–154)</w:t>
            </w:r>
          </w:p>
        </w:tc>
        <w:tc>
          <w:tcPr>
            <w:tcW w:w="4281" w:type="dxa"/>
          </w:tcPr>
          <w:p>
            <w:pPr>
              <w:pStyle w:val="Compact"/>
              <w:spacing w:after="40"/>
              <w:jc w:val="left"/>
            </w:pPr>
            <w:r>
              <w:rPr>
                <w:sz w:val="18"/>
              </w:rPr>
              <w:t xml:space="preserve">OUT Chapter IV (paras 58–99) applies in full where the arrangement is material outsourcing of IT services (OUT para 5(1)), which a hosted deployment holding borrower data ordinarily is; VA/PT cadence, source-code escrow, vulnerability certificate, DR drills and 6-hour reporting (CYB paras 105, 106, 121–126, 129–131 and 141)</w:t>
            </w:r>
          </w:p>
        </w:tc>
      </w:tr>
    </w:tbl>
    <w:p>
      <w:pPr>
        <w:numPr>
          <w:ilvl w:val="0"/>
          <w:numId w:val="1004"/>
        </w:numPr>
      </w:pPr>
      <w:r>
        <w:t xml:space="preserve">Irrespective of the Company’s layer, the Service Provider shall provide the Services to the standard required for a Company in the Middle Layer under OUT Chapter IV and CYB Chapter V (the</w:t>
      </w:r>
      <w:r>
        <w:t xml:space="preserve"> </w:t>
      </w:r>
      <w:r>
        <w:t xml:space="preserve">“</w:t>
      </w:r>
      <w:r>
        <w:rPr>
          <w:bCs/>
          <w:b/>
        </w:rPr>
        <w:t xml:space="preserve">Uniform Standard</w:t>
      </w:r>
      <w:r>
        <w:t xml:space="preserve">”</w:t>
      </w:r>
      <w:r>
        <w:t xml:space="preserve">), save where the Order Form expressly records an</w:t>
      </w:r>
      <w:r>
        <w:t xml:space="preserve"> </w:t>
      </w:r>
      <w:r>
        <w:rPr>
          <w:bCs/>
          <w:b/>
        </w:rPr>
        <w:t xml:space="preserve">[Option]</w:t>
      </w:r>
      <w:r>
        <w:t xml:space="preserve"> </w:t>
      </w:r>
      <w:r>
        <w:t xml:space="preserve">that applies only to a higher layer. A change in the Company’s layer or asset size shall not require any Change to bring the Services into compliance, and the Company shall notify the Service Provider of any such change within [thirty (30)] days.</w:t>
      </w:r>
    </w:p>
    <w:p>
      <w:pPr>
        <w:numPr>
          <w:ilvl w:val="0"/>
          <w:numId w:val="1004"/>
        </w:numPr>
      </w:pPr>
      <w:r>
        <w:t xml:space="preserve">Where the Company is an HFC, references to RBI include the National Housing Bank to the extent that cyber incidents and other matters are to be reported to or supervised by the National Housing Bank (CYB para 141, Note), and references to the RBI Directions include the directions applicable to HFCs.</w:t>
      </w:r>
    </w:p>
    <w:p>
      <w:pPr>
        <w:pStyle w:val="FirstParagraph"/>
      </w:pPr>
      <w:r>
        <w:rPr>
          <w:iCs/>
          <w:i/>
        </w:rPr>
        <w:t xml:space="preserve">Drafting note:</w:t>
      </w:r>
      <w:r>
        <w:t xml:space="preserve"> </w:t>
      </w:r>
      <w:r>
        <w:t xml:space="preserve">For a bank or other non-NBFC regulated entity, the bank-specific outsourcing and IT Directions apply instead of OUT and CYB, and their paragraph numbers and certain requirements differ [VERIFY: corresponding Commercial Banks Directions]. Re-map the citations before use. Where the Company receives only a licensed deployment in its own cloud account and the Service Provider neither operates the system nor accesses Company Data, the Company may assess the arrangement as falling within the licence/subscription exclusion in OUT para 5(2)(v); that assessment is the Company’s (OUT para 62(iii)). The model nevertheless applies the Uniform Standard.</w:t>
      </w:r>
    </w:p>
    <w:p>
      <w:pPr>
        <w:pStyle w:val="BodyText"/>
      </w:pPr>
      <w:r>
        <w:rPr>
          <w:bCs/>
          <w:b/>
        </w:rPr>
        <w:t xml:space="preserve">1.6 Regulatory floor.</w:t>
      </w:r>
      <w:r>
        <w:t xml:space="preserve"> </w:t>
      </w:r>
      <w:r>
        <w:t xml:space="preserve">The Clauses marked</w:t>
      </w:r>
      <w:r>
        <w:t xml:space="preserve"> </w:t>
      </w:r>
      <w:r>
        <w:rPr>
          <w:bCs/>
          <w:b/>
        </w:rPr>
        <w:t xml:space="preserve">[Mandatory — RBI]</w:t>
      </w:r>
      <w:r>
        <w:t xml:space="preserve"> </w:t>
      </w:r>
      <w:r>
        <w:t xml:space="preserve">record requirements of Applicable Law. No waiver, Order Form, Change, course of dealing or limitation of liability shall operate to exclude or restrict them, and each Party shall, on request, execute such amendment as a Regulator or Supervisory Authority may require to give effect to them. Schedule 14 (Regulatory Compliance Matrix) maps each such requirement to the provision that implements it; the matrix is an aid to interpretation and an omission from it shall not limit any obligation.</w:t>
      </w:r>
    </w:p>
    <w:bookmarkEnd w:id="22"/>
    <w:bookmarkStart w:id="23" w:name="appointment-scope-and-order-forms"/>
    <w:p>
      <w:pPr>
        <w:pStyle w:val="Heading1"/>
      </w:pPr>
      <w:r>
        <w:t xml:space="preserve">2. APPOINTMENT, SCOPE AND ORDER FORMS</w:t>
      </w:r>
    </w:p>
    <w:p>
      <w:pPr>
        <w:pStyle w:val="FirstParagraph"/>
      </w:pPr>
      <w:r>
        <w:rPr>
          <w:bCs/>
          <w:b/>
        </w:rPr>
        <w:t xml:space="preserve">2.1 Appointment.</w:t>
      </w:r>
      <w:r>
        <w:t xml:space="preserve"> </w:t>
      </w:r>
      <w:r>
        <w:t xml:space="preserve">The Company appoints the Service Provider, on a non-exclusive basis, to provide the Services in accordance with this Agreement and each Order Form, and the Service Provider accepts that appointment. Nothing in this Agreement obliges the Company to procure any minimum volume of services except as expressly stated in an Order Form.</w:t>
      </w:r>
    </w:p>
    <w:p>
      <w:pPr>
        <w:pStyle w:val="BodyText"/>
      </w:pPr>
      <w:r>
        <w:rPr>
          <w:bCs/>
          <w:b/>
        </w:rPr>
        <w:t xml:space="preserve">2.2 Scope.</w:t>
      </w:r>
      <w:r>
        <w:t xml:space="preserve"> </w:t>
      </w:r>
      <w:r>
        <w:t xml:space="preserve">The Services comprise:</w:t>
      </w:r>
    </w:p>
    <w:p>
      <w:pPr>
        <w:numPr>
          <w:ilvl w:val="0"/>
          <w:numId w:val="1005"/>
        </w:numPr>
      </w:pPr>
      <w:r>
        <w:t xml:space="preserve">the provision of the Platform and the Modules specified in the Order Form on a software-as-a-service basis, hosted in India in the Tenant Environment;</w:t>
      </w:r>
    </w:p>
    <w:p>
      <w:pPr>
        <w:numPr>
          <w:ilvl w:val="0"/>
          <w:numId w:val="1005"/>
        </w:numPr>
      </w:pPr>
      <w:r>
        <w:t xml:space="preserve">implementation, configuration support, data migration, integration and training under Article 5;</w:t>
      </w:r>
    </w:p>
    <w:p>
      <w:pPr>
        <w:numPr>
          <w:ilvl w:val="0"/>
          <w:numId w:val="1005"/>
        </w:numPr>
      </w:pPr>
      <w:r>
        <w:t xml:space="preserve">support, maintenance, Releases and regulatory updates under Articles 6 and 15;</w:t>
      </w:r>
    </w:p>
    <w:p>
      <w:pPr>
        <w:numPr>
          <w:ilvl w:val="0"/>
          <w:numId w:val="1005"/>
        </w:numPr>
      </w:pPr>
      <w:r>
        <w:t xml:space="preserve">information security, incident management, business continuity and disaster recovery under Articles 11, 12 and 14;</w:t>
      </w:r>
    </w:p>
    <w:p>
      <w:pPr>
        <w:numPr>
          <w:ilvl w:val="0"/>
          <w:numId w:val="1005"/>
        </w:numPr>
      </w:pPr>
      <w:r>
        <w:t xml:space="preserve">regulatory, audit and supervisory co-operation under Article 9;</w:t>
      </w:r>
    </w:p>
    <w:p>
      <w:pPr>
        <w:numPr>
          <w:ilvl w:val="0"/>
          <w:numId w:val="1005"/>
        </w:numPr>
      </w:pPr>
      <w:r>
        <w:t xml:space="preserve">exit management and transition assistance under Article 25; and</w:t>
      </w:r>
    </w:p>
    <w:p>
      <w:pPr>
        <w:numPr>
          <w:ilvl w:val="0"/>
          <w:numId w:val="1005"/>
        </w:numPr>
      </w:pPr>
      <w:r>
        <w:t xml:space="preserve">any additional services agreed in an Order Form or Change.</w:t>
      </w:r>
    </w:p>
    <w:p>
      <w:pPr>
        <w:pStyle w:val="FirstParagraph"/>
      </w:pPr>
      <w:r>
        <w:rPr>
          <w:bCs/>
          <w:b/>
        </w:rPr>
        <w:t xml:space="preserve">2.3 Order Forms.</w:t>
      </w:r>
      <w:r>
        <w:t xml:space="preserve"> </w:t>
      </w:r>
      <w:r>
        <w:t xml:space="preserve">Each Order Form, once executed by both Parties, incorporates the terms of this Agreement and forms a separate contract for the Services described in it. The Company shall not be bound by an Order Form until executed by its authorised signatory in accordance with its delegation of authority. Where the Company’s Affiliate that is itself a regulated entity wishes to use the Services, that Affiliate shall enter into a separate agreement on these terms; no regulated entity shall receive the Services under another entity’s agreement.</w:t>
      </w:r>
    </w:p>
    <w:p>
      <w:pPr>
        <w:pStyle w:val="BodyText"/>
      </w:pPr>
      <w:r>
        <w:rPr>
          <w:bCs/>
          <w:b/>
        </w:rPr>
        <w:t xml:space="preserve">2.4 Products of the Infrabyx group excluded.</w:t>
      </w:r>
      <w:r>
        <w:t xml:space="preserve"> </w:t>
      </w:r>
      <w:r>
        <w:t xml:space="preserve">The Services do not include the services of Udofin (lending service provider and digital lending app operator), Equator Resolution (online dispute resolution), LawDocsComply or any other product of the Infrabyx group, each of which, if engaged by the Company, shall be governed by a separate agreement. The Integration Hub may exchange data with such products only on the Company’s written instruction and subject to Article 10 and Article 13.</w:t>
      </w:r>
    </w:p>
    <w:p>
      <w:pPr>
        <w:pStyle w:val="BodyText"/>
      </w:pPr>
      <w:r>
        <w:rPr>
          <w:bCs/>
          <w:b/>
        </w:rPr>
        <w:t xml:space="preserve">2.5 Legal relationship [Mandatory — RBI].</w:t>
      </w:r>
      <w:r>
        <w:t xml:space="preserve"> </w:t>
      </w:r>
      <w:r>
        <w:t xml:space="preserve">The relationship between the Parties is on a principal-to-principal basis. The Service Provider is an independent contractor and is not the agent of the Company for any purpose; its processing of Personal Data on the Company’s behalf as Data Processor under Article 10 does not make it an agent of the Company (OUT paras 33 and 73).</w:t>
      </w:r>
    </w:p>
    <w:p>
      <w:pPr>
        <w:pStyle w:val="BodyText"/>
      </w:pPr>
      <w:r>
        <w:rPr>
          <w:bCs/>
          <w:b/>
        </w:rPr>
        <w:t xml:space="preserve">2.6 Conditions precedent.</w:t>
      </w:r>
      <w:r>
        <w:t xml:space="preserve"> </w:t>
      </w:r>
      <w:r>
        <w:t xml:space="preserve">The Service Provider shall not commence processing of production Company Data under any Order Form until:</w:t>
      </w:r>
    </w:p>
    <w:p>
      <w:pPr>
        <w:numPr>
          <w:ilvl w:val="0"/>
          <w:numId w:val="1006"/>
        </w:numPr>
      </w:pPr>
      <w:r>
        <w:t xml:space="preserve">the Company has recorded in the Order Form that it has completed its materiality and risk assessment and due diligence and obtained the approvals required under its Board-approved outsourcing policy (OUT paras 11, 13, 21, 29–31, 60, 63 and 71–72; CYB paras 60 and 63);</w:t>
      </w:r>
    </w:p>
    <w:p>
      <w:pPr>
        <w:numPr>
          <w:ilvl w:val="0"/>
          <w:numId w:val="1006"/>
        </w:numPr>
      </w:pPr>
      <w:r>
        <w:t xml:space="preserve">the Service Provider has delivered the declarations and undertakings in Schedule 15, including the ownership and control declaration under Clause 3.6;</w:t>
      </w:r>
    </w:p>
    <w:p>
      <w:pPr>
        <w:numPr>
          <w:ilvl w:val="0"/>
          <w:numId w:val="1006"/>
        </w:numPr>
      </w:pPr>
      <w:r>
        <w:t xml:space="preserve">the Service Provider has delivered the vendor assurance pack described in Clause 8.5; and</w:t>
      </w:r>
    </w:p>
    <w:p>
      <w:pPr>
        <w:numPr>
          <w:ilvl w:val="0"/>
          <w:numId w:val="1006"/>
        </w:numPr>
      </w:pPr>
      <w:r>
        <w:t xml:space="preserve">the pre-go-live security testing and certificate under Clause 5.5 have been completed.</w:t>
      </w:r>
    </w:p>
    <w:bookmarkEnd w:id="23"/>
    <w:bookmarkStart w:id="24" w:name="X4845e1c02f791472584573162e6ed222803cc89"/>
    <w:p>
      <w:pPr>
        <w:pStyle w:val="Heading1"/>
      </w:pPr>
      <w:r>
        <w:t xml:space="preserve">3. NATURE OF SERVICES AND REGULATORY POSITION [Mandatory — RBI]</w:t>
      </w:r>
    </w:p>
    <w:p>
      <w:pPr>
        <w:pStyle w:val="FirstParagraph"/>
      </w:pPr>
      <w:r>
        <w:rPr>
          <w:bCs/>
          <w:b/>
        </w:rPr>
        <w:t xml:space="preserve">3.1 Technology services only.</w:t>
      </w:r>
      <w:r>
        <w:t xml:space="preserve"> </w:t>
      </w:r>
      <w:r>
        <w:t xml:space="preserve">The Service Provider provides technology services only. The Platform is a tool configured and operated by the Company. The Service Provider does not, and shall not:</w:t>
      </w:r>
    </w:p>
    <w:p>
      <w:pPr>
        <w:numPr>
          <w:ilvl w:val="0"/>
          <w:numId w:val="1007"/>
        </w:numPr>
      </w:pPr>
      <w:r>
        <w:t xml:space="preserve">lend, offer credit, or hold itself out as a lender or as offering any credit product;</w:t>
      </w:r>
    </w:p>
    <w:p>
      <w:pPr>
        <w:numPr>
          <w:ilvl w:val="0"/>
          <w:numId w:val="1007"/>
        </w:numPr>
      </w:pPr>
      <w:r>
        <w:t xml:space="preserve">take, approve, reject or communicate any credit decision, sanction, pricing decision, KYC decision or other regulated decision of the Company;</w:t>
      </w:r>
    </w:p>
    <w:p>
      <w:pPr>
        <w:numPr>
          <w:ilvl w:val="0"/>
          <w:numId w:val="1007"/>
        </w:numPr>
      </w:pPr>
      <w:r>
        <w:t xml:space="preserve">receive, hold, pool, route or disburse funds of the Company or of any borrower, or operate any account, escrow or wallet through which such funds pass; all disbursements and repayments shall flow directly between the Company’s bank accounts (or accounts of regulated payment system participants engaged by the Company) and the borrower;</w:t>
      </w:r>
    </w:p>
    <w:p>
      <w:pPr>
        <w:numPr>
          <w:ilvl w:val="0"/>
          <w:numId w:val="1007"/>
        </w:numPr>
      </w:pPr>
      <w:r>
        <w:t xml:space="preserve">become a member of, or submit credit information in its own name to, any credit information company; the Company remains the credit institution responsible for membership and reporting (CIR para 6; CF para 17);</w:t>
      </w:r>
    </w:p>
    <w:p>
      <w:pPr>
        <w:numPr>
          <w:ilvl w:val="0"/>
          <w:numId w:val="1007"/>
        </w:numPr>
      </w:pPr>
      <w:r>
        <w:t xml:space="preserve">act as a lending service provider, direct selling agent, direct marketing agent, recovery agent or business correspondent of the Company, or carry out any digital lending function on the Company’s behalf within the meaning of CF para 4(1)(xix); or</w:t>
      </w:r>
    </w:p>
    <w:p>
      <w:pPr>
        <w:numPr>
          <w:ilvl w:val="0"/>
          <w:numId w:val="1007"/>
        </w:numPr>
      </w:pPr>
      <w:r>
        <w:t xml:space="preserve">deal with the Company’s customers in its own name.</w:t>
      </w:r>
    </w:p>
    <w:p>
      <w:pPr>
        <w:pStyle w:val="FirstParagraph"/>
      </w:pPr>
      <w:r>
        <w:rPr>
          <w:iCs/>
          <w:i/>
        </w:rPr>
        <w:t xml:space="preserve">Drafting note:</w:t>
      </w:r>
      <w:r>
        <w:t xml:space="preserve"> </w:t>
      </w:r>
      <w:r>
        <w:t xml:space="preserve">If the Company deploys the borrower self-service portal (M23) or a white-labelled app under its own brand, that interface is the Company’s digital lending app and must be reported by the Company on CIMS (CF para 18). If the Company engages Udofin as its lending service provider, a separate LSP agreement under CF paras 6–30 applies.</w:t>
      </w:r>
    </w:p>
    <w:p>
      <w:pPr>
        <w:pStyle w:val="BodyText"/>
      </w:pPr>
      <w:r>
        <w:rPr>
          <w:bCs/>
          <w:b/>
        </w:rPr>
        <w:t xml:space="preserve">3.2 Retention of responsibility.</w:t>
      </w:r>
      <w:r>
        <w:t xml:space="preserve"> </w:t>
      </w:r>
      <w:r>
        <w:t xml:space="preserve">The Company retains full ownership of, and responsibility and accountability for, its business, its decisions and its compliance with Applicable Law. The outsourcing of any activity to the Service Provider does not diminish the obligations of the Company, its Board or its senior management, who have the ultimate responsibility for the outsourced activity, and the Company shall retain ultimate control of the outsourced activity (OUT paras 9 and 17; CYB para 63). The Company remains responsible for the confidentiality of customer information available with the Service Provider (OUT paras 17 and 68).</w:t>
      </w:r>
    </w:p>
    <w:p>
      <w:pPr>
        <w:pStyle w:val="BodyText"/>
      </w:pPr>
      <w:r>
        <w:rPr>
          <w:bCs/>
          <w:b/>
        </w:rPr>
        <w:t xml:space="preserve">3.3 Functions not outsourced.</w:t>
      </w:r>
      <w:r>
        <w:t xml:space="preserve"> </w:t>
      </w:r>
      <w:r>
        <w:t xml:space="preserve">The Parties record that the Company does not outsource, and the Service Provider shall not perform:</w:t>
      </w:r>
    </w:p>
    <w:p>
      <w:pPr>
        <w:numPr>
          <w:ilvl w:val="0"/>
          <w:numId w:val="1008"/>
        </w:numPr>
      </w:pPr>
      <w:r>
        <w:t xml:space="preserve">the Company’s core management functions, including internal audit, strategic and compliance functions, and decision-making functions. In the words of OUT para 15:</w:t>
      </w:r>
      <w:r>
        <w:t xml:space="preserve"> </w:t>
      </w:r>
      <w:r>
        <w:t xml:space="preserve">“</w:t>
      </w:r>
      <w:r>
        <w:t xml:space="preserve">An NBFC which chooses to outsource financial services shall however not outsource core management functions including Internal Audit, strategic and compliance functions, and decision-making functions such as determining compliance with KYC norms for opening deposit accounts, giving sanction for loans (including retail loans) and management of investment portfolio.</w:t>
      </w:r>
      <w:r>
        <w:t xml:space="preserve">”</w:t>
      </w:r>
      <w:r>
        <w:t xml:space="preserve">;</w:t>
      </w:r>
    </w:p>
    <w:p>
      <w:pPr>
        <w:numPr>
          <w:ilvl w:val="0"/>
          <w:numId w:val="1008"/>
        </w:numPr>
      </w:pPr>
      <w:r>
        <w:t xml:space="preserve">the decision-making function of determining compliance with KYC norms (KYC para 13), including any decision on customer due diligence, risk categorisation, acceptance or rejection of a customer, or sanctions and PEP screening outcomes;</w:t>
      </w:r>
    </w:p>
    <w:p>
      <w:pPr>
        <w:numPr>
          <w:ilvl w:val="0"/>
          <w:numId w:val="1008"/>
        </w:numPr>
      </w:pPr>
      <w:r>
        <w:t xml:space="preserve">the internal audit function, which shall not be outsourced (IAF para 39);</w:t>
      </w:r>
    </w:p>
    <w:p>
      <w:pPr>
        <w:numPr>
          <w:ilvl w:val="0"/>
          <w:numId w:val="1008"/>
        </w:numPr>
      </w:pPr>
      <w:r>
        <w:t xml:space="preserve">the filing of currency transaction reports, suspicious transaction reports or other reports with FIU-IND, which remain the responsibility of the Company (OUT para 19); and</w:t>
      </w:r>
    </w:p>
    <w:p>
      <w:pPr>
        <w:numPr>
          <w:ilvl w:val="0"/>
          <w:numId w:val="1008"/>
        </w:numPr>
      </w:pPr>
      <w:r>
        <w:t xml:space="preserve">the Company’s compliance function, the functions of its Chief Compliance Officer, and the approval of new products and processes (CMP paras 15(2) and 31).</w:t>
      </w:r>
    </w:p>
    <w:p>
      <w:pPr>
        <w:pStyle w:val="FirstParagraph"/>
      </w:pPr>
      <w:r>
        <w:rPr>
          <w:bCs/>
          <w:b/>
        </w:rPr>
        <w:t xml:space="preserve">3.4 Design controls supporting retained decisions.</w:t>
      </w:r>
      <w:r>
        <w:t xml:space="preserve"> </w:t>
      </w:r>
      <w:r>
        <w:t xml:space="preserve">To give effect to Clauses 3.2 and 3.3, the Service Provider shall ensure that:</w:t>
      </w:r>
    </w:p>
    <w:p>
      <w:pPr>
        <w:numPr>
          <w:ilvl w:val="0"/>
          <w:numId w:val="1009"/>
        </w:numPr>
      </w:pPr>
      <w:r>
        <w:t xml:space="preserve">every business rule, credit policy parameter, scorecard, workflow and threshold that produces a decision or recommendation in the Platform is configured, versioned and approved by the Company through maker-checker controls, and each automated outcome is attributed in the audit trail to the Company-approved rule version and to the Company’s delegated authority;</w:t>
      </w:r>
    </w:p>
    <w:p>
      <w:pPr>
        <w:numPr>
          <w:ilvl w:val="0"/>
          <w:numId w:val="1009"/>
        </w:numPr>
      </w:pPr>
      <w:r>
        <w:t xml:space="preserve">no role assigned to personnel of the Service Provider or of any Sub-contractor carries permission to sanction a loan, approve a KYC outcome, approve a settlement, waiver or write-off, release a disbursement, or approve a regulatory return;</w:t>
      </w:r>
    </w:p>
    <w:p>
      <w:pPr>
        <w:numPr>
          <w:ilvl w:val="0"/>
          <w:numId w:val="1009"/>
        </w:numPr>
      </w:pPr>
      <w:r>
        <w:t xml:space="preserve">outputs generated by the governed AI layer (where attached) are advisory only, are labelled as such, and are never executed as a decision without the action of an Authorised User; and</w:t>
      </w:r>
    </w:p>
    <w:p>
      <w:pPr>
        <w:numPr>
          <w:ilvl w:val="0"/>
          <w:numId w:val="1009"/>
        </w:numPr>
      </w:pPr>
      <w:r>
        <w:t xml:space="preserve">delegated authority for changes to key business parameters, such as interest rates, is enforced in the Platform as configured by the Company (CYB para 21(3)).</w:t>
      </w:r>
    </w:p>
    <w:p>
      <w:pPr>
        <w:pStyle w:val="FirstParagraph"/>
      </w:pPr>
      <w:r>
        <w:rPr>
          <w:bCs/>
          <w:b/>
        </w:rPr>
        <w:t xml:space="preserve">3.5 Company’s materiality assessment and outsourcing policy.</w:t>
      </w:r>
      <w:r>
        <w:t xml:space="preserve"> </w:t>
      </w:r>
      <w:r>
        <w:t xml:space="preserve">The Company confirms that it has a Board-approved outsourcing policy and, where it is in the Middle Layer or above, a Board-approved IT outsourcing policy (OUT paras 10, 20 and 62), and that it has evaluated the materiality and risks of this arrangement in accordance with that policy (OUT paras 11–14, 21, 58(2) and 60; CYB paras 60–63). The Company shall record in the Order Form (i) whether it treats the arrangement as Material Outsourcing, and (ii) the Critical Applications and Critical Services. The Service Provider shall provide all information reasonably required by the Company for that assessment and for its periodic reviews (OUT paras 38 and 80). The Service Provider acknowledges that the Company’s assessment does not reduce any obligation of the Service Provider under the Uniform Standard.</w:t>
      </w:r>
    </w:p>
    <w:p>
      <w:pPr>
        <w:pStyle w:val="BodyText"/>
      </w:pPr>
      <w:r>
        <w:rPr>
          <w:bCs/>
          <w:b/>
        </w:rPr>
        <w:t xml:space="preserve">3.6 Ownership and control declaration.</w:t>
      </w:r>
      <w:r>
        <w:t xml:space="preserve"> </w:t>
      </w:r>
      <w:r>
        <w:t xml:space="preserve">The Service Provider declares, and shall confirm annually and on any change in its shareholding or control within [seven (7)] days, that:</w:t>
      </w:r>
    </w:p>
    <w:p>
      <w:pPr>
        <w:pStyle w:val="BodyText"/>
      </w:pPr>
      <w:r>
        <w:rPr>
          <w:bCs/>
          <w:b/>
        </w:rPr>
        <w:t xml:space="preserve">[Option A — unrelated Service Provider]</w:t>
      </w:r>
      <w:r>
        <w:t xml:space="preserve"> </w:t>
      </w:r>
      <w:r>
        <w:t xml:space="preserve">the Service Provider is not owned or controlled by any director, key managerial personnel or approver of this outsourcing arrangement of the Company, or by any of their relatives, where</w:t>
      </w:r>
      <w:r>
        <w:t xml:space="preserve"> </w:t>
      </w:r>
      <w:r>
        <w:t xml:space="preserve">“</w:t>
      </w:r>
      <w:r>
        <w:t xml:space="preserve">control</w:t>
      </w:r>
      <w:r>
        <w:t xml:space="preserve">”</w:t>
      </w:r>
      <w:r>
        <w:t xml:space="preserve">,</w:t>
      </w:r>
      <w:r>
        <w:t xml:space="preserve"> </w:t>
      </w:r>
      <w:r>
        <w:t xml:space="preserve">“</w:t>
      </w:r>
      <w:r>
        <w:t xml:space="preserve">director</w:t>
      </w:r>
      <w:r>
        <w:t xml:space="preserve">”</w:t>
      </w:r>
      <w:r>
        <w:t xml:space="preserve">,</w:t>
      </w:r>
      <w:r>
        <w:t xml:space="preserve"> </w:t>
      </w:r>
      <w:r>
        <w:t xml:space="preserve">“</w:t>
      </w:r>
      <w:r>
        <w:t xml:space="preserve">key managerial personnel</w:t>
      </w:r>
      <w:r>
        <w:t xml:space="preserve">”</w:t>
      </w:r>
      <w:r>
        <w:t xml:space="preserve"> </w:t>
      </w:r>
      <w:r>
        <w:t xml:space="preserve">and</w:t>
      </w:r>
      <w:r>
        <w:t xml:space="preserve"> </w:t>
      </w:r>
      <w:r>
        <w:t xml:space="preserve">“</w:t>
      </w:r>
      <w:r>
        <w:t xml:space="preserve">relative</w:t>
      </w:r>
      <w:r>
        <w:t xml:space="preserve">”</w:t>
      </w:r>
      <w:r>
        <w:t xml:space="preserve"> </w:t>
      </w:r>
      <w:r>
        <w:t xml:space="preserve">have the meanings given in the Companies Act, 2013 and the rules made under it (OUT paras 18(vi) and 59); or, where such ownership or control exists, the Company’s Board or a committee of the Board has approved an exception with appropriate disclosure, oversight and monitoring, as recorded in the Order Form (OUT para 59, proviso; OUT para 13(iv));</w:t>
      </w:r>
    </w:p>
    <w:p>
      <w:pPr>
        <w:pStyle w:val="BodyText"/>
      </w:pPr>
      <w:r>
        <w:rPr>
          <w:bCs/>
          <w:b/>
        </w:rPr>
        <w:t xml:space="preserve">[Option B — Service Provider in the same group as the Company]</w:t>
      </w:r>
      <w:r>
        <w:t xml:space="preserve"> </w:t>
      </w:r>
      <w:r>
        <w:t xml:space="preserve">the Service Provider is a member of the Company’s group; the arrangement is backed by the Company’s Board-approved policy on group outsourcing and by this Agreement as the service level agreement; the Service Provider was selected on objective reasons similar to those applied to a third party; the arrangement is at arm’s length; the risk management practices applied are identical to those for an unrelated party; and the Service Provider shall comply with directions given by RBI in relation to the activities of the Company (OUT paras 45–51 and 90–92).</w:t>
      </w:r>
    </w:p>
    <w:p>
      <w:pPr>
        <w:pStyle w:val="BodyText"/>
      </w:pPr>
      <w:r>
        <w:rPr>
          <w:bCs/>
          <w:b/>
        </w:rPr>
        <w:t xml:space="preserve">3.7 No implication of regulatory approval.</w:t>
      </w:r>
      <w:r>
        <w:t xml:space="preserve"> </w:t>
      </w:r>
      <w:r>
        <w:t xml:space="preserve">Nothing in this Agreement, and no marketing statement of the Service Provider, shall state or imply that RBI or any Regulator has approved, endorsed or certified the Platform, the Service Provider or this arrangement. The Parties acknowledge that the Company does not require prior approval of RBI to outsource, and that the arrangement is subject to on-site and off-site monitoring, inspection and scrutiny by RBI (OUT para 16).</w:t>
      </w:r>
    </w:p>
    <w:p>
      <w:pPr>
        <w:pStyle w:val="BodyText"/>
      </w:pPr>
      <w:r>
        <w:rPr>
          <w:bCs/>
          <w:b/>
        </w:rPr>
        <w:t xml:space="preserve">3.8 Platform outputs prepared for the Company’s review.</w:t>
      </w:r>
      <w:r>
        <w:t xml:space="preserve"> </w:t>
      </w:r>
      <w:r>
        <w:t xml:space="preserve">All regulatory returns, data for the Centralised Information Management System (CIMS) of RBI, credit information files, CTR and STR drafts, asset classification and provisioning computations, interest, penal charges, annual percentage rate and key facts statement computations, financial statements, disclosures, registers and other outputs generated by the Platform are prepared for the Company’s review, approval and, where applicable, filing by the Company through its own credentials. The Company shall be responsible for reviewing such outputs before reliance or submission. The Service Provider shall be responsible for the Platform performing those computations in accordance with the specifications in Schedule 2 and the Company’s approved configuration, and for promptly correcting any defect, without prejudice to Article 21 and Article 22. The Platform shall support system-driven generation of regulatory and supervisory returns, with seamless integration between MIS and supervisory reporting (CYB para 46).</w:t>
      </w:r>
    </w:p>
    <w:p>
      <w:pPr>
        <w:pStyle w:val="BodyText"/>
      </w:pPr>
      <w:r>
        <w:rPr>
          <w:bCs/>
          <w:b/>
        </w:rPr>
        <w:t xml:space="preserve">3.9 Customer-facing disclosure.</w:t>
      </w:r>
      <w:r>
        <w:t xml:space="preserve"> </w:t>
      </w:r>
      <w:r>
        <w:t xml:space="preserve">The Company shall disclose in its product literature that services of service providers may be used, and the role of the Service Provider in broad terms, where customers are required to deal with the Service Provider (OUT para 55). The Service Provider shall not communicate with the Company’s customers except through channels configured and content approved by the Company.</w:t>
      </w:r>
    </w:p>
    <w:p>
      <w:pPr>
        <w:pStyle w:val="BodyText"/>
      </w:pPr>
      <w:r>
        <w:rPr>
          <w:bCs/>
          <w:b/>
        </w:rPr>
        <w:t xml:space="preserve">3.10 Compliance with RBI directions.</w:t>
      </w:r>
      <w:r>
        <w:t xml:space="preserve"> </w:t>
      </w:r>
      <w:r>
        <w:t xml:space="preserve">The Service Provider shall comply with all directions issued by RBI in relation to the Services and the activities of the Company, as communicated by RBI or by the Company, as if such directions were set out in this Agreement (OUT paras 47(v) and 74(xiv)).</w:t>
      </w:r>
    </w:p>
    <w:bookmarkEnd w:id="24"/>
    <w:bookmarkStart w:id="25" w:name="subscription-licence-and-modules"/>
    <w:p>
      <w:pPr>
        <w:pStyle w:val="Heading1"/>
      </w:pPr>
      <w:r>
        <w:t xml:space="preserve">4. SUBSCRIPTION, LICENCE AND MODULES</w:t>
      </w:r>
    </w:p>
    <w:p>
      <w:pPr>
        <w:pStyle w:val="FirstParagraph"/>
      </w:pPr>
      <w:r>
        <w:rPr>
          <w:bCs/>
          <w:b/>
        </w:rPr>
        <w:t xml:space="preserve">4.1 Subscription right.</w:t>
      </w:r>
      <w:r>
        <w:t xml:space="preserve"> </w:t>
      </w:r>
      <w:r>
        <w:t xml:space="preserve">Subject to this Agreement and payment of the undisputed Fees, the Service Provider grants to the Company, for the Term and the Exit Period, a non-exclusive, non-transferable (except under Clause 33.3), royalty-free (other than the Fees) right for the Company and its Authorised Users to access and use the Platform and the subscribed Modules in India for the Company’s business, including for the purposes of complying with Applicable Law, responding to Supervisory Authorities and producing records for audit, litigation and dispute resolution.</w:t>
      </w:r>
    </w:p>
    <w:p>
      <w:pPr>
        <w:pStyle w:val="BodyText"/>
      </w:pPr>
      <w:r>
        <w:rPr>
          <w:bCs/>
          <w:b/>
        </w:rPr>
        <w:t xml:space="preserve">4.2 Authorised Users.</w:t>
      </w:r>
      <w:r>
        <w:t xml:space="preserve"> </w:t>
      </w:r>
      <w:r>
        <w:t xml:space="preserve">The Company may designate as Authorised Users its employees and contractors, its internal, concurrent, statutory and information systems auditors, its legal advisers, and any person nominated by a Supervisory Authority. The Company shall be responsible for provisioning, reviewing and revoking access of its Authorised Users through the Platform’s identity and access management controls. User-count or entity-count limits in the Order Form shall not apply to access by auditors or Supervisory Authorities.</w:t>
      </w:r>
    </w:p>
    <w:p>
      <w:pPr>
        <w:pStyle w:val="BodyText"/>
      </w:pPr>
      <w:r>
        <w:rPr>
          <w:bCs/>
          <w:b/>
        </w:rPr>
        <w:t xml:space="preserve">4.3 Restrictions.</w:t>
      </w:r>
      <w:r>
        <w:t xml:space="preserve"> </w:t>
      </w:r>
      <w:r>
        <w:t xml:space="preserve">The Company shall not (and shall not permit any person to): (a) copy, modify or create derivative works of the Platform, except configuration through the Platform’s tools; (b) reverse engineer or decompile the Platform, except to the extent permitted by Applicable Law; (c) sub-license or provide the Platform to third parties as a service bureau, other than to its Authorised Users; or (d) knowingly introduce malicious code into the Platform. Nothing in this Clause restricts the Company’s rights under Articles 9, 25 and 26.</w:t>
      </w:r>
    </w:p>
    <w:p>
      <w:pPr>
        <w:pStyle w:val="BodyText"/>
      </w:pPr>
      <w:r>
        <w:rPr>
          <w:bCs/>
          <w:b/>
        </w:rPr>
        <w:t xml:space="preserve">4.4 Modules and Optional Modules.</w:t>
      </w:r>
      <w:r>
        <w:t xml:space="preserve"> </w:t>
      </w:r>
      <w:r>
        <w:t xml:space="preserve">The Modules, their functional scope, dependencies, regulatory references and licence SKUs are described in Schedule 2. The Order Form shall specify the Core Modules and Optional Modules subscribed to, the deployment model (multi-tenant or dedicated</w:t>
      </w:r>
      <w:r>
        <w:t xml:space="preserve"> </w:t>
      </w:r>
      <w:r>
        <w:rPr>
          <w:bCs/>
          <w:b/>
        </w:rPr>
        <w:t xml:space="preserve">[Option]</w:t>
      </w:r>
      <w:r>
        <w:t xml:space="preserve">), and the Critical Applications.</w:t>
      </w:r>
    </w:p>
    <w:p>
      <w:pPr>
        <w:pStyle w:val="BodyText"/>
      </w:pPr>
      <w:r>
        <w:rPr>
          <w:bCs/>
          <w:b/>
        </w:rPr>
        <w:t xml:space="preserve">4.5 Attach of an Optional Module.</w:t>
      </w:r>
      <w:r>
        <w:t xml:space="preserve"> </w:t>
      </w:r>
      <w:r>
        <w:t xml:space="preserve">The Company may attach an Optional Module by an Order Form or a written request through the Platform’s entitlement process, subject to the following:</w:t>
      </w:r>
    </w:p>
    <w:p>
      <w:pPr>
        <w:numPr>
          <w:ilvl w:val="0"/>
          <w:numId w:val="1010"/>
        </w:numPr>
      </w:pPr>
      <w:r>
        <w:t xml:space="preserve">the Service Provider shall activate the entitlement within [five (5)] Business Days of a valid request;</w:t>
      </w:r>
    </w:p>
    <w:p>
      <w:pPr>
        <w:numPr>
          <w:ilvl w:val="0"/>
          <w:numId w:val="1010"/>
        </w:numPr>
      </w:pPr>
      <w:r>
        <w:t xml:space="preserve">the Optional Module shall become available for production use only after (i) the prerequisite Modules and configuration listed in Schedule 2 are live; (ii) the Company has configured the Optional Module through maker-checker; (iii) the certification tests in Schedule 2 have been run in the sandbox against the Company’s configuration and passed; and (iv) the Company’s Chief Compliance Officer or nominated officer has signed off, recording that the Company’s new-product or process approval requirements have been met (CMP paras 15(2) and 31);</w:t>
      </w:r>
    </w:p>
    <w:p>
      <w:pPr>
        <w:numPr>
          <w:ilvl w:val="0"/>
          <w:numId w:val="1010"/>
        </w:numPr>
      </w:pPr>
      <w:r>
        <w:t xml:space="preserve">any Optional Module that processes new categories of Personal Data or involves a new Sub-processor shall be subject to Article 13 and to an update of the data inventory under Clause 10.7 before activation; and</w:t>
      </w:r>
    </w:p>
    <w:p>
      <w:pPr>
        <w:numPr>
          <w:ilvl w:val="0"/>
          <w:numId w:val="1010"/>
        </w:numPr>
      </w:pPr>
      <w:r>
        <w:t xml:space="preserve">the Company’s materiality assessment under Clause 3.5 shall be updated by the Company where the attach changes the Critical Services.</w:t>
      </w:r>
    </w:p>
    <w:p>
      <w:pPr>
        <w:pStyle w:val="FirstParagraph"/>
      </w:pPr>
      <w:r>
        <w:rPr>
          <w:bCs/>
          <w:b/>
        </w:rPr>
        <w:t xml:space="preserve">4.6 Detach of an Optional Module.</w:t>
      </w:r>
      <w:r>
        <w:t xml:space="preserve"> </w:t>
      </w:r>
      <w:r>
        <w:t xml:space="preserve">The Company may detach an Optional Module on [thirty (30)] days’ written notice (or such shorter period as the Order Form specifies). On detach:</w:t>
      </w:r>
    </w:p>
    <w:p>
      <w:pPr>
        <w:numPr>
          <w:ilvl w:val="0"/>
          <w:numId w:val="1011"/>
        </w:numPr>
      </w:pPr>
      <w:r>
        <w:t xml:space="preserve">the Optional Module shall move to read-only mode: all writes, dispatches and workflow timers shall stop, but data, records, registers and reports shall remain readable by Authorised Users and exportable for not less than the retention periods in Schedule 4, and scheduled reports required for statutory purposes shall continue in read-only form;</w:t>
      </w:r>
    </w:p>
    <w:p>
      <w:pPr>
        <w:numPr>
          <w:ilvl w:val="0"/>
          <w:numId w:val="1011"/>
        </w:numPr>
      </w:pPr>
      <w:r>
        <w:t xml:space="preserve">before read-only mode takes effect, the Platform shall list every running statutory or contractual deadline managed by the Optional Module (including limitation periods and notice windows), and detach shall proceed only after the Company has acknowledged the list and assigned an owner for each item;</w:t>
      </w:r>
    </w:p>
    <w:p>
      <w:pPr>
        <w:numPr>
          <w:ilvl w:val="0"/>
          <w:numId w:val="1011"/>
        </w:numPr>
      </w:pPr>
      <w:r>
        <w:t xml:space="preserve">no record within a retention class in Schedule 4 shall be deleted by reason of detach;</w:t>
      </w:r>
    </w:p>
    <w:p>
      <w:pPr>
        <w:numPr>
          <w:ilvl w:val="0"/>
          <w:numId w:val="1011"/>
        </w:numPr>
      </w:pPr>
      <w:r>
        <w:t xml:space="preserve">the Service Provider shall, at the Company’s request and at no additional charge, deliver an export bundle of the Optional Module’s data in the formats specified in Schedule 9, with a signed SHA-256 manifest; and</w:t>
      </w:r>
    </w:p>
    <w:p>
      <w:pPr>
        <w:numPr>
          <w:ilvl w:val="0"/>
          <w:numId w:val="1011"/>
        </w:numPr>
      </w:pPr>
      <w:r>
        <w:t xml:space="preserve">Fees for the detached Optional Module shall cease from the end of the then-current billing period, save for any read-only retention fee specified in the Order Form.</w:t>
      </w:r>
    </w:p>
    <w:p>
      <w:pPr>
        <w:pStyle w:val="FirstParagraph"/>
      </w:pPr>
      <w:r>
        <w:rPr>
          <w:bCs/>
          <w:b/>
        </w:rPr>
        <w:t xml:space="preserve">4.7 Re-attach.</w:t>
      </w:r>
      <w:r>
        <w:t xml:space="preserve"> </w:t>
      </w:r>
      <w:r>
        <w:t xml:space="preserve">On re-attach, the Service Provider shall restore the same records, replay events received during the detached period from the Platform’s outbox and partner feeds, re-run the deadline and limitation engines, and flag any deadline that expired while the Optional Module was detached.</w:t>
      </w:r>
    </w:p>
    <w:p>
      <w:pPr>
        <w:pStyle w:val="BodyText"/>
      </w:pPr>
      <w:r>
        <w:rPr>
          <w:bCs/>
          <w:b/>
        </w:rPr>
        <w:t xml:space="preserve">4.8 Guard-rails.</w:t>
      </w:r>
      <w:r>
        <w:t xml:space="preserve"> </w:t>
      </w:r>
      <w:r>
        <w:t xml:space="preserve">The Platform contains regulatory guard-rails described in Schedule 2 that a Company configuration cannot override, including those relating to recovery conduct, settlement approval authority, retention of regulated records and arbitrator appointment. The Service Provider shall not remove or weaken a guard-rail except by a Release that implements a change in Applicable Law, notified to the Company as a Regulatory Update under Clause 15.2. The Company may tighten, but not relax, any guard-rail. The existence of guard-rails does not transfer to the Service Provider any responsibility for the Company’s compliance.</w:t>
      </w:r>
    </w:p>
    <w:p>
      <w:pPr>
        <w:pStyle w:val="BodyText"/>
      </w:pPr>
      <w:r>
        <w:rPr>
          <w:bCs/>
          <w:b/>
        </w:rPr>
        <w:t xml:space="preserve">4.9 Configuration.</w:t>
      </w:r>
      <w:r>
        <w:t xml:space="preserve"> </w:t>
      </w:r>
      <w:r>
        <w:t xml:space="preserve">The Company is responsible for its configuration choices (products, rules, thresholds, templates, roles and workflows). The Service Provider shall supply default configurations and templates reflecting the RBI Directions as described in Schedule 2, shall keep them current under Clause 15.2, and shall flag any Company configuration that the Platform’s validation rules identify as inconsistent with Applicable Law.</w:t>
      </w:r>
    </w:p>
    <w:p>
      <w:pPr>
        <w:pStyle w:val="BodyText"/>
      </w:pPr>
      <w:r>
        <w:rPr>
          <w:bCs/>
          <w:b/>
        </w:rPr>
        <w:t xml:space="preserve">4.10 Releases.</w:t>
      </w:r>
      <w:r>
        <w:t xml:space="preserve"> </w:t>
      </w:r>
      <w:r>
        <w:t xml:space="preserve">The Service Provider shall provide all Releases of the subscribed Modules at no additional charge. No Release shall materially reduce the functionality, security or regulatory capability of a subscribed Module. Releases shall be deployed in accordance with the change and release procedure in Schedule 11, with prior notice, release notes, sandbox availability and the right of the Company to defer non-security Releases for up to [thirty (30)] days.</w:t>
      </w:r>
    </w:p>
    <w:p>
      <w:pPr>
        <w:pStyle w:val="BodyText"/>
      </w:pPr>
      <w:r>
        <w:rPr>
          <w:bCs/>
          <w:b/>
        </w:rPr>
        <w:t xml:space="preserve">4.11 Dedicated deployment [Option].</w:t>
      </w:r>
      <w:r>
        <w:t xml:space="preserve"> </w:t>
      </w:r>
      <w:r>
        <w:t xml:space="preserve">Where the Order Form so specifies, the Platform shall be deployed in a dedicated environment [in the Service Provider’s cloud account / in the Company’s own cloud account], with the additional terms set out in the Order Form. In either case the Service Provider’s obligations under Articles 9 to 14 and 25 apply, save to the extent the Order Form records that the Company itself operates a control.</w:t>
      </w:r>
    </w:p>
    <w:p>
      <w:pPr>
        <w:pStyle w:val="BodyText"/>
      </w:pPr>
      <w:r>
        <w:rPr>
          <w:bCs/>
          <w:b/>
        </w:rPr>
        <w:t xml:space="preserve">4.12 Governed AI features [Option].</w:t>
      </w:r>
      <w:r>
        <w:t xml:space="preserve"> </w:t>
      </w:r>
      <w:r>
        <w:t xml:space="preserve">Where the governed AI layer (M20) is attached: (a) it shall be used only for the purposes, and on the data categories, approved by the Company; (b) all models and inference shall run in India, either within the Tenant Environment or through an Approved Sub-contractor bound to India-only processing, zero retention of prompts and outputs, and no training on Company Data; (c) documents marked privileged shall be excluded; (d) every AI output shall be logged with model, version, prompt template and reviewer; and (e) Clause 3.4(c) applies.</w:t>
      </w:r>
    </w:p>
    <w:bookmarkEnd w:id="25"/>
    <w:bookmarkStart w:id="26" w:name="X690fc8b0dd0f484a1d1fec88a28b58f8c466266"/>
    <w:p>
      <w:pPr>
        <w:pStyle w:val="Heading1"/>
      </w:pPr>
      <w:r>
        <w:t xml:space="preserve">5. IMPLEMENTATION, DATA MIGRATION AND ACCEPTANCE</w:t>
      </w:r>
    </w:p>
    <w:p>
      <w:pPr>
        <w:pStyle w:val="FirstParagraph"/>
      </w:pPr>
      <w:r>
        <w:rPr>
          <w:bCs/>
          <w:b/>
        </w:rPr>
        <w:t xml:space="preserve">5.1 Implementation Plan.</w:t>
      </w:r>
      <w:r>
        <w:t xml:space="preserve"> </w:t>
      </w:r>
      <w:r>
        <w:t xml:space="preserve">Within [fifteen (15)] Business Days of execution of the first Order Form, the Service Provider shall deliver a draft Implementation Plan setting out milestones, responsibilities, environments, data migration approach, integration scope, test strategy, Acceptance Criteria, cut-over and rollback plans, and resourcing. The Implementation Plan shall take effect when approved in writing by the Company. The Company shall establish a project steering committee with the Service Provider’s participation to oversee progress, deliverables and milestones (CYB para 40).</w:t>
      </w:r>
    </w:p>
    <w:p>
      <w:pPr>
        <w:pStyle w:val="BodyText"/>
      </w:pPr>
      <w:r>
        <w:rPr>
          <w:bCs/>
          <w:b/>
        </w:rPr>
        <w:t xml:space="preserve">5.2 Data migration.</w:t>
      </w:r>
      <w:r>
        <w:t xml:space="preserve"> </w:t>
      </w:r>
      <w:r>
        <w:t xml:space="preserve">The Service Provider shall carry out data migration in accordance with the Company’s data migration policy and the Implementation Plan, ensuring data integrity, completeness and consistency, maintaining audit trails of all migration activities, and obtaining sign-offs from the Company’s business users and application owners at each stage (CYB para 99). Migration shall include reconciliation of balances, outstanding principal, interest, charges, asset classification, provisioning and customer counts between the legacy system and the Platform, with reconciliation reports signed off by the Company. No legacy data shall be altered in migration except under documented and approved transformation rules.</w:t>
      </w:r>
    </w:p>
    <w:p>
      <w:pPr>
        <w:pStyle w:val="BodyText"/>
      </w:pPr>
      <w:r>
        <w:rPr>
          <w:bCs/>
          <w:b/>
        </w:rPr>
        <w:t xml:space="preserve">5.3 Testing.</w:t>
      </w:r>
      <w:r>
        <w:t xml:space="preserve"> </w:t>
      </w:r>
      <w:r>
        <w:t xml:space="preserve">The Service Provider shall carry out system, integration, regression, performance and security testing before making any Module available for user acceptance testing. The Company shall conduct user acceptance testing in a sandbox that mirrors the production configuration. The Service Provider shall remediate all defects classified as critical or high before go-live.</w:t>
      </w:r>
    </w:p>
    <w:p>
      <w:pPr>
        <w:pStyle w:val="BodyText"/>
      </w:pPr>
      <w:r>
        <w:rPr>
          <w:bCs/>
          <w:b/>
        </w:rPr>
        <w:t xml:space="preserve">5.4 Acceptance.</w:t>
      </w:r>
      <w:r>
        <w:t xml:space="preserve"> </w:t>
      </w:r>
      <w:r>
        <w:t xml:space="preserve">The Company shall notify Acceptance or a reasoned rejection within [ten (10)] Business Days of the Service Provider’s notice that a milestone is ready for Acceptance. On rejection, the Service Provider shall remedy the identified failures and re-submit, and the process shall repeat. If a milestone fails Acceptance [three (3)] times, the Company may (a) accept it subject to a reduction in Fees, (b) require further remediation at the Service Provider’s cost, or (c) terminate the affected Order Form and recover the Fees paid for the affected Deliverables. Use of a Module in production for business purposes for [thirty (30)] days without rejection shall be deemed Acceptance, save for defects not reasonably discoverable in that period.</w:t>
      </w:r>
    </w:p>
    <w:p>
      <w:pPr>
        <w:pStyle w:val="BodyText"/>
      </w:pPr>
      <w:r>
        <w:rPr>
          <w:bCs/>
          <w:b/>
        </w:rPr>
        <w:t xml:space="preserve">5.5 Pre-go-live security [Mandatory — RBI].</w:t>
      </w:r>
      <w:r>
        <w:t xml:space="preserve"> </w:t>
      </w:r>
      <w:r>
        <w:t xml:space="preserve">Before go-live of any Critical Application or any internet-facing component, and after any major change, the Service Provider shall:</w:t>
      </w:r>
    </w:p>
    <w:p>
      <w:pPr>
        <w:numPr>
          <w:ilvl w:val="0"/>
          <w:numId w:val="1012"/>
        </w:numPr>
      </w:pPr>
      <w:r>
        <w:t xml:space="preserve">have vulnerability assessment and penetration testing performed by appropriately trained and independent information security experts or auditors (CYB para 122) who shall also, as a contractual requirement of this Agreement, be empanelled by CERT-In, on the production environment or, where that is unavoidable, on a test environment whose version and configuration resemble production, with any deviation documented and approved (CYB paras 121, 122 and 124);</w:t>
      </w:r>
    </w:p>
    <w:p>
      <w:pPr>
        <w:numPr>
          <w:ilvl w:val="0"/>
          <w:numId w:val="1012"/>
        </w:numPr>
      </w:pPr>
      <w:r>
        <w:t xml:space="preserve">remediate all critical and high findings and have them re-tested before go-live (CYB para 125); and</w:t>
      </w:r>
    </w:p>
    <w:p>
      <w:pPr>
        <w:numPr>
          <w:ilvl w:val="0"/>
          <w:numId w:val="1012"/>
        </w:numPr>
      </w:pPr>
      <w:r>
        <w:t xml:space="preserve">deliver to the Company a certificate in the form in Schedule 15 stating that the application is free of known vulnerabilities, malware and covert channels in the code (CYB para 106).</w:t>
      </w:r>
    </w:p>
    <w:p>
      <w:pPr>
        <w:pStyle w:val="FirstParagraph"/>
      </w:pPr>
      <w:r>
        <w:rPr>
          <w:bCs/>
          <w:b/>
        </w:rPr>
        <w:t xml:space="preserve">5.6 Parallel run [Option].</w:t>
      </w:r>
      <w:r>
        <w:t xml:space="preserve"> </w:t>
      </w:r>
      <w:r>
        <w:t xml:space="preserve">Where the Order Form so specifies, the Platform shall be run in parallel with the Company’s legacy system for [one (1)] full accounting cycle, with daily reconciliation reports.</w:t>
      </w:r>
    </w:p>
    <w:p>
      <w:pPr>
        <w:pStyle w:val="BodyText"/>
      </w:pPr>
      <w:r>
        <w:rPr>
          <w:bCs/>
          <w:b/>
        </w:rPr>
        <w:t xml:space="preserve">5.7 Delay.</w:t>
      </w:r>
      <w:r>
        <w:t xml:space="preserve"> </w:t>
      </w:r>
      <w:r>
        <w:t xml:space="preserve">If the Service Provider fails to achieve a milestone by its due date for reasons attributable to it, it shall pay liquidated damages at [●]% of the implementation Fees for the affected milestone per week of delay, subject to a cap of [●]%, which the Parties agree is a genuine pre-estimate of loss (Indian Contract Act, 1872, section 74), without prejudice to the Company’s right to terminate under Clause 24.3 for prolonged delay (a delay for which liquidated damages have reached the cap being a material breach for that purpose).</w:t>
      </w:r>
    </w:p>
    <w:bookmarkEnd w:id="26"/>
    <w:bookmarkStart w:id="27" w:name="service-levels-and-support"/>
    <w:p>
      <w:pPr>
        <w:pStyle w:val="Heading1"/>
      </w:pPr>
      <w:r>
        <w:t xml:space="preserve">6. SERVICE LEVELS AND SUPPORT</w:t>
      </w:r>
    </w:p>
    <w:p>
      <w:pPr>
        <w:pStyle w:val="FirstParagraph"/>
      </w:pPr>
      <w:r>
        <w:rPr>
          <w:bCs/>
          <w:b/>
        </w:rPr>
        <w:t xml:space="preserve">6.1 Service levels [Mandatory — RBI].</w:t>
      </w:r>
      <w:r>
        <w:t xml:space="preserve"> </w:t>
      </w:r>
      <w:r>
        <w:t xml:space="preserve">The Service Provider shall meet the service levels in Schedule 3, which formalise performance criteria to measure the quality and quantity of the Services, including availability, response and resolution times, batch completion, recovery time and recovery point objectives, data export turnaround and incident notification times (OUT paras 34(i) and 74(v)).</w:t>
      </w:r>
    </w:p>
    <w:p>
      <w:pPr>
        <w:pStyle w:val="BodyText"/>
      </w:pPr>
      <w:r>
        <w:rPr>
          <w:bCs/>
          <w:b/>
        </w:rPr>
        <w:t xml:space="preserve">6.2 Monitoring [Mandatory — RBI].</w:t>
      </w:r>
      <w:r>
        <w:t xml:space="preserve"> </w:t>
      </w:r>
      <w:r>
        <w:t xml:space="preserve">The Service Provider shall provide the Company with real-time access to a service dashboard showing performance, uptime of systems and resources, service availability, adherence to service levels, open incidents and incident response metrics, and key risk indicators agreed in Schedule 12, so that the Company can continuously monitor and assess the Service Provider and take any necessary corrective measure immediately (OUT paras 34(iii), 64(3) and 75; CYB para 62(1)(i)).</w:t>
      </w:r>
    </w:p>
    <w:p>
      <w:pPr>
        <w:pStyle w:val="BodyText"/>
      </w:pPr>
      <w:r>
        <w:rPr>
          <w:bCs/>
          <w:b/>
        </w:rPr>
        <w:t xml:space="preserve">6.3 Support and maintenance [Mandatory — RBI].</w:t>
      </w:r>
      <w:r>
        <w:t xml:space="preserve"> </w:t>
      </w:r>
      <w:r>
        <w:t xml:space="preserve">The Service Provider shall provide maintenance and support of the Platform, including bug fixes, security patches and Releases, through the support model in Schedule 3, for the Term and the Exit Period (CYB para 104). Support shall be available for Severity 1 and Severity 2 Incidents (as classified in Schedule 3) 24 hours a day, 7 days a week.</w:t>
      </w:r>
    </w:p>
    <w:p>
      <w:pPr>
        <w:pStyle w:val="BodyText"/>
      </w:pPr>
      <w:r>
        <w:rPr>
          <w:bCs/>
          <w:b/>
        </w:rPr>
        <w:t xml:space="preserve">6.4 Service Credits.</w:t>
      </w:r>
      <w:r>
        <w:t xml:space="preserve"> </w:t>
      </w:r>
      <w:r>
        <w:t xml:space="preserve">If the Service Provider fails to meet a service level, it shall pay the Service Credits in Schedule 3. Service Credits are a price adjustment reflecting the reduced value of the Services and are not an exclusive remedy; to the extent any Service Credit is held to be compensation for breach, the Parties agree that it is a genuine pre-estimate of the loss in value of the Services and reasonable compensation within section 74 of the Indian Contract Act, 1872, and not a penalty; they shall be without prejudice to the Company’s other rights, including to claim damages (with Service Credits paid being deducted from any damages awarded for the same failure) and to terminate.</w:t>
      </w:r>
    </w:p>
    <w:p>
      <w:pPr>
        <w:pStyle w:val="BodyText"/>
      </w:pPr>
      <w:r>
        <w:rPr>
          <w:bCs/>
          <w:b/>
        </w:rPr>
        <w:t xml:space="preserve">6.5 Persistent failure.</w:t>
      </w:r>
      <w:r>
        <w:t xml:space="preserve"> </w:t>
      </w:r>
      <w:r>
        <w:t xml:space="preserve">A</w:t>
      </w:r>
      <w:r>
        <w:t xml:space="preserve"> </w:t>
      </w:r>
      <w:r>
        <w:t xml:space="preserve">“</w:t>
      </w:r>
      <w:r>
        <w:rPr>
          <w:bCs/>
          <w:b/>
        </w:rPr>
        <w:t xml:space="preserve">Persistent Service Failure</w:t>
      </w:r>
      <w:r>
        <w:t xml:space="preserve">”</w:t>
      </w:r>
      <w:r>
        <w:t xml:space="preserve"> </w:t>
      </w:r>
      <w:r>
        <w:t xml:space="preserve">occurs if (a) availability of a Critical Application falls below the minimum threshold in Schedule 3 in [two (2)] consecutive months or in any [three (3)] months in a rolling period of twelve months, (b) the Service Provider fails to meet the same critical service level in [three (3)] months in any rolling period of six months, or (c) any additional event selected as a deemed Persistent Service Failure in Schedule 3, Part I.2 occurs. A Persistent Service Failure is a material breach for the purposes of Clause 24.3.</w:t>
      </w:r>
    </w:p>
    <w:p>
      <w:pPr>
        <w:pStyle w:val="BodyText"/>
      </w:pPr>
      <w:r>
        <w:rPr>
          <w:bCs/>
          <w:b/>
        </w:rPr>
        <w:t xml:space="preserve">6.6 Maintenance windows.</w:t>
      </w:r>
      <w:r>
        <w:t xml:space="preserve"> </w:t>
      </w:r>
      <w:r>
        <w:t xml:space="preserve">Planned maintenance shall be carried out only in the windows in Schedule 3, with not less than [five (5)] Business Days’ notice, and shall not coincide with month-end, quarter-end or year-end close, regulatory return deadlines notified by the Company, or the Company’s beginning-of-day and end-of-day processes.</w:t>
      </w:r>
    </w:p>
    <w:p>
      <w:pPr>
        <w:pStyle w:val="BodyText"/>
      </w:pPr>
      <w:r>
        <w:rPr>
          <w:bCs/>
          <w:b/>
        </w:rPr>
        <w:t xml:space="preserve">6.7 Capacity.</w:t>
      </w:r>
      <w:r>
        <w:t xml:space="preserve"> </w:t>
      </w:r>
      <w:r>
        <w:t xml:space="preserve">The Service Provider shall plan and provision capacity so that the Platform supports the Company’s business functions and availability of all service delivery channels, shall review capacity at least annually against past peak usage, current requirements and the Company’s projected volumes, and shall share the review with the Company (CYB paras 107 and 108).</w:t>
      </w:r>
    </w:p>
    <w:p>
      <w:pPr>
        <w:pStyle w:val="BodyText"/>
      </w:pPr>
      <w:r>
        <w:rPr>
          <w:bCs/>
          <w:b/>
        </w:rPr>
        <w:t xml:space="preserve">6.8 End of support.</w:t>
      </w:r>
      <w:r>
        <w:t xml:space="preserve"> </w:t>
      </w:r>
      <w:r>
        <w:t xml:space="preserve">The Service Provider shall not use outdated or unsupported hardware or software in providing the Services, shall track end-of-support dates of all components, and shall maintain and share with the Company a technology refresh plan to replace components before end of support (CYB paras 92 and 93).</w:t>
      </w:r>
    </w:p>
    <w:bookmarkEnd w:id="27"/>
    <w:bookmarkStart w:id="28" w:name="obligations-of-the-company-nbfc"/>
    <w:p>
      <w:pPr>
        <w:pStyle w:val="Heading1"/>
      </w:pPr>
      <w:r>
        <w:t xml:space="preserve">7. OBLIGATIONS OF THE COMPANY (NBFC)</w:t>
      </w:r>
    </w:p>
    <w:p>
      <w:pPr>
        <w:pStyle w:val="FirstParagraph"/>
      </w:pPr>
      <w:r>
        <w:rPr>
          <w:bCs/>
          <w:b/>
        </w:rPr>
        <w:t xml:space="preserve">7.1 Regulated decisions and filings.</w:t>
      </w:r>
      <w:r>
        <w:t xml:space="preserve"> </w:t>
      </w:r>
      <w:r>
        <w:t xml:space="preserve">The Company shall take all credit, KYC, pricing, settlement, write-off, classification and other regulated decisions through its own Authorised Users and delegated authorities, and shall itself file all regulatory returns, reports and disclosures and make all reports to RBI, the National Housing Bank (where applicable), FIU-IND, credit information companies, CERT-In and the Data Protection Board that Applicable Law requires of it.</w:t>
      </w:r>
    </w:p>
    <w:p>
      <w:pPr>
        <w:pStyle w:val="BodyText"/>
      </w:pPr>
      <w:r>
        <w:rPr>
          <w:bCs/>
          <w:b/>
        </w:rPr>
        <w:t xml:space="preserve">7.2 Configuration and approvals.</w:t>
      </w:r>
      <w:r>
        <w:t xml:space="preserve"> </w:t>
      </w:r>
      <w:r>
        <w:t xml:space="preserve">The Company shall approve, through maker-checker, all configuration of products, rules, thresholds, templates, roles and workflows, and shall maintain records of such approvals in the Platform.</w:t>
      </w:r>
    </w:p>
    <w:p>
      <w:pPr>
        <w:pStyle w:val="BodyText"/>
      </w:pPr>
      <w:r>
        <w:rPr>
          <w:bCs/>
          <w:b/>
        </w:rPr>
        <w:t xml:space="preserve">7.3 Access management.</w:t>
      </w:r>
      <w:r>
        <w:t xml:space="preserve"> </w:t>
      </w:r>
      <w:r>
        <w:t xml:space="preserve">The Company shall manage its Authorised Users, review their access at least [quarterly], promptly revoke access of persons who leave or change roles, enforce multi-factor authentication for privileged users and critical activities, and keep its credentials secure.</w:t>
      </w:r>
    </w:p>
    <w:p>
      <w:pPr>
        <w:pStyle w:val="BodyText"/>
      </w:pPr>
      <w:r>
        <w:rPr>
          <w:bCs/>
          <w:b/>
        </w:rPr>
        <w:t xml:space="preserve">7.4 Lawful basis and notices.</w:t>
      </w:r>
      <w:r>
        <w:t xml:space="preserve"> </w:t>
      </w:r>
      <w:r>
        <w:t xml:space="preserve">As Data Fiduciary, the Company shall determine the purposes and means of processing of Personal Data, give notices and obtain consents (or rely on another lawful ground) as required by the DPDP Act and the DPDP Rules, and ensure that collection of data through any digital lending app is need-based and with prior and explicit consent of the borrower having audit trail (CF para 13(1)). The Platform’s consent, notice and preference features shall be configured by the Company.</w:t>
      </w:r>
    </w:p>
    <w:p>
      <w:pPr>
        <w:pStyle w:val="BodyText"/>
      </w:pPr>
      <w:r>
        <w:rPr>
          <w:bCs/>
          <w:b/>
        </w:rPr>
        <w:t xml:space="preserve">7.5 Policies.</w:t>
      </w:r>
      <w:r>
        <w:t xml:space="preserve"> </w:t>
      </w:r>
      <w:r>
        <w:t xml:space="preserve">The Company shall maintain its Board-approved policies required by the RBI Directions (including on outsourcing, IT outsourcing, information security, cybersecurity, business continuity and data retention) and notify the Service Provider of any requirement of those policies applicable to the Services.</w:t>
      </w:r>
    </w:p>
    <w:p>
      <w:pPr>
        <w:pStyle w:val="BodyText"/>
      </w:pPr>
      <w:r>
        <w:rPr>
          <w:bCs/>
          <w:b/>
        </w:rPr>
        <w:t xml:space="preserve">7.6 Customers and grievances.</w:t>
      </w:r>
      <w:r>
        <w:t xml:space="preserve"> </w:t>
      </w:r>
      <w:r>
        <w:t xml:space="preserve">The Company shall be responsible for its relationship with its customers and for redressal of grievances, including those relating to the Services, under Article 28.</w:t>
      </w:r>
    </w:p>
    <w:p>
      <w:pPr>
        <w:pStyle w:val="BodyText"/>
      </w:pPr>
      <w:r>
        <w:rPr>
          <w:bCs/>
          <w:b/>
        </w:rPr>
        <w:t xml:space="preserve">7.7 Third-party providers of the Company.</w:t>
      </w:r>
      <w:r>
        <w:t xml:space="preserve"> </w:t>
      </w:r>
      <w:r>
        <w:t xml:space="preserve">Credit information companies, account aggregators, payment system operators, sponsor banks, KYC and verification providers, eSign and eStamp providers, communication providers and other third parties engaged directly by the Company (</w:t>
      </w:r>
      <w:r>
        <w:t xml:space="preserve">“</w:t>
      </w:r>
      <w:r>
        <w:rPr>
          <w:bCs/>
          <w:b/>
        </w:rPr>
        <w:t xml:space="preserve">Company Third-Party Providers</w:t>
      </w:r>
      <w:r>
        <w:t xml:space="preserve">”</w:t>
      </w:r>
      <w:r>
        <w:t xml:space="preserve">) are engaged under the Company’s own contracts. The Service Provider shall integrate with them through the Integration Hub as specified in Schedule 2, but they are not Sub-contractors of the Service Provider. The Service Provider shall remain responsible for the security of the integration and of Company Data while in the Platform.</w:t>
      </w:r>
    </w:p>
    <w:p>
      <w:pPr>
        <w:pStyle w:val="BodyText"/>
      </w:pPr>
      <w:r>
        <w:rPr>
          <w:bCs/>
          <w:b/>
        </w:rPr>
        <w:t xml:space="preserve">7.8 Co-operation.</w:t>
      </w:r>
      <w:r>
        <w:t xml:space="preserve"> </w:t>
      </w:r>
      <w:r>
        <w:t xml:space="preserve">The Company shall provide timely information, decisions, access to its personnel and legacy systems, and test data reasonably required by the Service Provider to perform the Services, as set out in the Implementation Plan.</w:t>
      </w:r>
    </w:p>
    <w:p>
      <w:pPr>
        <w:pStyle w:val="BodyText"/>
      </w:pPr>
      <w:r>
        <w:rPr>
          <w:bCs/>
          <w:b/>
        </w:rPr>
        <w:t xml:space="preserve">7.9 Payment.</w:t>
      </w:r>
      <w:r>
        <w:t xml:space="preserve"> </w:t>
      </w:r>
      <w:r>
        <w:t xml:space="preserve">The Company shall pay undisputed Fees in accordance with Article 16.</w:t>
      </w:r>
    </w:p>
    <w:bookmarkEnd w:id="28"/>
    <w:bookmarkStart w:id="29" w:name="X68d704d60acd849013a4589ef4f5447b6820b5a"/>
    <w:p>
      <w:pPr>
        <w:pStyle w:val="Heading1"/>
      </w:pPr>
      <w:r>
        <w:t xml:space="preserve">8. OBLIGATIONS AND UNDERTAKINGS OF THE SERVICE PROVIDER</w:t>
      </w:r>
    </w:p>
    <w:p>
      <w:pPr>
        <w:pStyle w:val="FirstParagraph"/>
      </w:pPr>
      <w:r>
        <w:rPr>
          <w:bCs/>
          <w:b/>
        </w:rPr>
        <w:t xml:space="preserve">8.1 Standard of care [Mandatory — RBI].</w:t>
      </w:r>
      <w:r>
        <w:t xml:space="preserve"> </w:t>
      </w:r>
      <w:r>
        <w:t xml:space="preserve">The Service Provider shall perform the Services with the same high standard of care as would be employed by the Company if the activities were conducted within the Company and not outsourced (OUT para 18(v)), and in accordance with good industry practice for regulated financial-services technology in India.</w:t>
      </w:r>
    </w:p>
    <w:p>
      <w:pPr>
        <w:pStyle w:val="BodyText"/>
      </w:pPr>
      <w:r>
        <w:rPr>
          <w:bCs/>
          <w:b/>
        </w:rPr>
        <w:t xml:space="preserve">8.2 Compliance with law [Mandatory — RBI].</w:t>
      </w:r>
      <w:r>
        <w:t xml:space="preserve"> </w:t>
      </w:r>
      <w:r>
        <w:t xml:space="preserve">The Service Provider shall comply with all Applicable Law applicable to it and to the Services, including the IT Act and the rules and directions made under it, the CERT-In Directions, the DPDP Act and the DPDP Rules, and other applicable legal requirements and standards to protect customer data (OUT para 74(iv)). The Service Provider shall comply with the technology standards and requirements on cybersecurity stipulated by RBI and other relevant agencies for digital lending, to the extent they apply to the Services (CF para 16).</w:t>
      </w:r>
    </w:p>
    <w:p>
      <w:pPr>
        <w:pStyle w:val="BodyText"/>
      </w:pPr>
      <w:r>
        <w:rPr>
          <w:bCs/>
          <w:b/>
        </w:rPr>
        <w:t xml:space="preserve">8.3 No impediment to supervision or control [Mandatory — RBI].</w:t>
      </w:r>
      <w:r>
        <w:t xml:space="preserve"> </w:t>
      </w:r>
      <w:r>
        <w:t xml:space="preserve">The Service Provider shall not do or omit anything that would (a) impede RBI in carrying out its supervisory functions and objectives; (b) diminish the ability of the Company to fulfil its obligations to RBI or any Supervisory Authority; (c) impede or interfere with the ability of the Company to effectively oversee and manage its activities; or (d) result in the compromise or weakening of the Company’s internal control, business conduct or reputation (OUT paras 18(ii)–(iv)). The Company shall retain an appropriate level of control over the arrangement and the right to intervene with appropriate measures to meet legal and regulatory obligations and to continue its business operations (OUT paras 33 and 43).</w:t>
      </w:r>
    </w:p>
    <w:p>
      <w:pPr>
        <w:pStyle w:val="BodyText"/>
      </w:pPr>
      <w:r>
        <w:rPr>
          <w:bCs/>
          <w:b/>
        </w:rPr>
        <w:t xml:space="preserve">8.4 Information for due diligence and periodic review [Mandatory — RBI].</w:t>
      </w:r>
      <w:r>
        <w:t xml:space="preserve"> </w:t>
      </w:r>
      <w:r>
        <w:t xml:space="preserve">The Service Provider shall provide, at onboarding and at least annually (and promptly on request of the Company or a Supervisory Authority), the information reasonably required by the Company to review the Service Provider’s financial and operational condition and its ability to continue to meet its obligations, including on any deterioration or breach in performance standards, confidentiality, security, operational resilience or business continuity preparedness (OUT paras 29–32, 38, 71 and 80).</w:t>
      </w:r>
    </w:p>
    <w:p>
      <w:pPr>
        <w:pStyle w:val="BodyText"/>
      </w:pPr>
      <w:r>
        <w:rPr>
          <w:bCs/>
          <w:b/>
        </w:rPr>
        <w:t xml:space="preserve">8.5 Vendor assurance pack.</w:t>
      </w:r>
      <w:r>
        <w:t xml:space="preserve"> </w:t>
      </w:r>
      <w:r>
        <w:t xml:space="preserve">Without limiting Clause 8.4, the Service Provider shall deliver within [thirty (30)] days of each anniversary of the Effective Date a vendor assurance pack containing at least: (a) audited financial statements and a statement of material litigation, regulatory actions and complaints; (b) evidence of background screening of personnel and due diligence on Sub-contractors; (c) its information security certifications and reports (including ISO/IEC 27001 certification and a SOC 2 Type II report, or equivalent) and their scope; (d) its business continuity and disaster recovery test results; (e) its risk and control self-assessment; (f) the current list of Sub-contractors and Sub-processors and supply-chain dependencies; (g) a software bill of materials for the Platform; (h) end-of-support dates and the technology refresh plan; (i) an inventory and confidentiality-integrity-availability classification of information assets used to provide the Services (CYB paras 21(1) and 91); (j) a confirmation of the ownership and control declaration in Clause 3.6; (k) evidence of insurance under Article 23; and (l) evidence that its operational resilience is at least equivalent to that expected of the Company for the Critical Services (ORM para 73).</w:t>
      </w:r>
    </w:p>
    <w:p>
      <w:pPr>
        <w:pStyle w:val="BodyText"/>
      </w:pPr>
      <w:r>
        <w:rPr>
          <w:bCs/>
          <w:b/>
        </w:rPr>
        <w:t xml:space="preserve">8.6 Notification of changes.</w:t>
      </w:r>
      <w:r>
        <w:t xml:space="preserve"> </w:t>
      </w:r>
      <w:r>
        <w:t xml:space="preserve">The Service Provider shall notify the Company in writing within [seven (7)] days (and, in the case of sub-clauses (a) and (e), within [two (2)] Business Days) of: (a) any change of control, or any change in ownership of more than [ten per cent (10%)] of its shares; (b) any material litigation, regulatory investigation, penalty or adverse order affecting it or a Sub-contractor; (c) any material adverse change in its financial condition; (d) any conflict of interest relevant to the Services (OUT para 71(ii)); (e) any insolvency event or proposed scheme of arrangement, merger or demerger affecting it; and (f) any loss or suspension of a certification referred to in Clause 8.5. Where an event in this Clause is also a Material Adverse Event, the shorter timeline in Clause 12.2(d) and Schedule 7 applies.</w:t>
      </w:r>
    </w:p>
    <w:p>
      <w:pPr>
        <w:pStyle w:val="BodyText"/>
      </w:pPr>
      <w:r>
        <w:rPr>
          <w:bCs/>
          <w:b/>
        </w:rPr>
        <w:t xml:space="preserve">8.7 Code integrity certificate [Mandatory — RBI].</w:t>
      </w:r>
      <w:r>
        <w:t xml:space="preserve"> </w:t>
      </w:r>
      <w:r>
        <w:t xml:space="preserve">The Service Provider shall deliver a certificate (in the form in Schedule 15) that the application is free of known vulnerabilities, malware and any covert channels in the code at onboarding and whenever material changes to the code, including upgrades, occur (CYB para 106). For this purpose,</w:t>
      </w:r>
      <w:r>
        <w:t xml:space="preserve"> </w:t>
      </w:r>
      <w:r>
        <w:t xml:space="preserve">“</w:t>
      </w:r>
      <w:r>
        <w:t xml:space="preserve">material change</w:t>
      </w:r>
      <w:r>
        <w:t xml:space="preserve">”</w:t>
      </w:r>
      <w:r>
        <w:t xml:space="preserve"> </w:t>
      </w:r>
      <w:r>
        <w:t xml:space="preserve">means a significant modification to the software code that could impact the application’s functionality, security or performance, excluding routine maintenance activities such as minor bug fixes, performance optimisations and updates that do not alter the application’s core functions, security posture or compliance status; a risk assessment shall be conducted to determine whether a change is material (CYB para 106).</w:t>
      </w:r>
    </w:p>
    <w:p>
      <w:pPr>
        <w:pStyle w:val="BodyText"/>
      </w:pPr>
      <w:r>
        <w:rPr>
          <w:bCs/>
          <w:b/>
        </w:rPr>
        <w:t xml:space="preserve">8.8 Co-operation in insolvency or resolution of the Company [Mandatory — RBI].</w:t>
      </w:r>
      <w:r>
        <w:t xml:space="preserve"> </w:t>
      </w:r>
      <w:r>
        <w:t xml:space="preserve">The Service Provider shall co-operate with the relevant authorities, including RBI, any administrator, resolution professional, liquidator or other person appointed in respect of the Company, in case of insolvency or resolution of the Company, and shall continue to provide the Services and access to Company Data to such persons on the terms of this Agreement (OUT para 74(xvi)). The Service Provider shall not suspend or terminate the Services by reason only of the commencement of any insolvency or resolution process in respect of the Company, save as permitted by Applicable Law.</w:t>
      </w:r>
    </w:p>
    <w:p>
      <w:pPr>
        <w:pStyle w:val="BodyText"/>
      </w:pPr>
      <w:r>
        <w:rPr>
          <w:bCs/>
          <w:b/>
        </w:rPr>
        <w:t xml:space="preserve">8.9 Essential personnel [Mandatory — RBI].</w:t>
      </w:r>
      <w:r>
        <w:t xml:space="preserve"> </w:t>
      </w:r>
      <w:r>
        <w:t xml:space="preserve">The Service Provider shall designate as essential personnel the skilled resources who provide core services, with back-up arrangements, so that a limited number of staff necessary to operate critical functions can work on-site during exigencies, including pandemic situations, and shall maintain the list in Schedule 12 (OUT para 74(xvii)).</w:t>
      </w:r>
    </w:p>
    <w:p>
      <w:pPr>
        <w:pStyle w:val="BodyText"/>
      </w:pPr>
      <w:r>
        <w:rPr>
          <w:bCs/>
          <w:b/>
        </w:rPr>
        <w:t xml:space="preserve">8.10 Back-to-back arrangements [Mandatory — RBI].</w:t>
      </w:r>
      <w:r>
        <w:t xml:space="preserve"> </w:t>
      </w:r>
      <w:r>
        <w:t xml:space="preserve">The Service Provider shall maintain suitable back-to-back arrangements with original equipment manufacturers, cloud service providers and other suppliers of components used in the Services, sufficient to enable it to meet its obligations under this Agreement, including service levels, support, security patching, audit and inspection rights and exit (OUT para 74(xviii)).</w:t>
      </w:r>
    </w:p>
    <w:p>
      <w:pPr>
        <w:pStyle w:val="BodyText"/>
      </w:pPr>
      <w:r>
        <w:rPr>
          <w:bCs/>
          <w:b/>
        </w:rPr>
        <w:t xml:space="preserve">8.11 Fraud accountability.</w:t>
      </w:r>
      <w:r>
        <w:t xml:space="preserve"> </w:t>
      </w:r>
      <w:r>
        <w:t xml:space="preserve">The Service Provider acknowledges that the Company places reliance on the Platform in pre-sanction appraisal and post-sanction monitoring. Where wilful negligence or malpractice by the Service Provider or its personnel is found to be a causative factor for a fraud, the Service Provider shall be accountable to the Company in accordance with Article 21 (FRM para 31), shall co-operate in any examination of the fraud, and shall be entitled, in accordance with the Company’s fraud risk management policy, to a show-cause notice, not less than twenty-one (21) days to respond to it, and a reasoned order before any finding is made against it (FRM paras 6(1), 6(2) and 6(4)).</w:t>
      </w:r>
    </w:p>
    <w:p>
      <w:pPr>
        <w:pStyle w:val="BodyText"/>
      </w:pPr>
      <w:r>
        <w:rPr>
          <w:bCs/>
          <w:b/>
        </w:rPr>
        <w:t xml:space="preserve">8.12 Conduct.</w:t>
      </w:r>
      <w:r>
        <w:t xml:space="preserve"> </w:t>
      </w:r>
      <w:r>
        <w:t xml:space="preserve">The Service Provider shall comply with the Prevention of Corruption Act, 1988 and other anti-bribery laws, shall not engage in any conflict of interest without disclosure, and shall co-operate with the Company in meeting its obligations under the Prevention of Money-laundering Act, 2002, including by preserving and producing records held in the Platform.</w:t>
      </w:r>
    </w:p>
    <w:p>
      <w:pPr>
        <w:pStyle w:val="BodyText"/>
      </w:pPr>
      <w:r>
        <w:rPr>
          <w:bCs/>
          <w:b/>
        </w:rPr>
        <w:t xml:space="preserve">8.13 Compliance with Company Policies.</w:t>
      </w:r>
      <w:r>
        <w:t xml:space="preserve"> </w:t>
      </w:r>
      <w:r>
        <w:t xml:space="preserve">The Service Provider shall, and shall ensure that its personnel and Sub-contractors shall, comply with the Company Policies on information security and acceptable use as applicable to them (CYB para 97), provided that any Company Policy which materially increases the Service Provider’s costs shall be processed as a Change.</w:t>
      </w:r>
    </w:p>
    <w:p>
      <w:pPr>
        <w:pStyle w:val="BodyText"/>
      </w:pPr>
      <w:r>
        <w:rPr>
          <w:bCs/>
          <w:b/>
        </w:rPr>
        <w:t xml:space="preserve">8.14 Disclosure of data held.</w:t>
      </w:r>
      <w:r>
        <w:t xml:space="preserve"> </w:t>
      </w:r>
      <w:r>
        <w:t xml:space="preserve">The Service Provider shall, on request and in any event annually, provide the Company with details of Company Data captured, processed and stored by it and its Sub-processors, by category, location and retention period (OUT para 74(vii)).</w:t>
      </w:r>
    </w:p>
    <w:bookmarkEnd w:id="29"/>
    <w:bookmarkStart w:id="30" w:name="X5c5d6f8b656d10b3a8f59118c060fde7c971147"/>
    <w:p>
      <w:pPr>
        <w:pStyle w:val="Heading1"/>
      </w:pPr>
      <w:r>
        <w:t xml:space="preserve">9. REGULATORY COMPLIANCE, SUPERVISORY ACCESS AND AUDIT [Mandatory — RBI]</w:t>
      </w:r>
    </w:p>
    <w:p>
      <w:pPr>
        <w:pStyle w:val="FirstParagraph"/>
      </w:pPr>
      <w:r>
        <w:rPr>
          <w:bCs/>
          <w:b/>
        </w:rPr>
        <w:t xml:space="preserve">9.1 Access to books, records and information [Mandatory — RBI].</w:t>
      </w:r>
      <w:r>
        <w:t xml:space="preserve"> </w:t>
      </w:r>
      <w:r>
        <w:t xml:space="preserve">The Service Provider shall give the Company, its internal and external auditors and agents appointed by it, access to all data, books, records, information, logs, alerts and business premises relevant to the Services that are available with the Service Provider or any Sub-contractor (OUT paras 34(ii) and 74(ii); CYB para 62(2)(i)). Requisite audit trails and logs for administrative activities shall be retained by the Service Provider and made accessible to the Company on approved requests (CYB para 62(2)(i)).</w:t>
      </w:r>
    </w:p>
    <w:p>
      <w:pPr>
        <w:pStyle w:val="BodyText"/>
      </w:pPr>
      <w:r>
        <w:rPr>
          <w:bCs/>
          <w:b/>
        </w:rPr>
        <w:t xml:space="preserve">9.2 Audit rights of the Company [Mandatory — RBI].</w:t>
      </w:r>
      <w:r>
        <w:t xml:space="preserve"> </w:t>
      </w:r>
      <w:r>
        <w:t xml:space="preserve">The Company shall have the right to conduct audits of the Service Provider and of each Sub-contractor in relation to the Services, whether by its internal auditors, its external auditors or external specialists appointed to act on its behalf (OUT paras 34(vii), 74(i) and 76; CYB para 62(2)(ii)). Audits may assess, among other things, the performance of the Service Provider, the adequacy of its risk management practices and its compliance with laws and regulations (OUT para 78), and the matters listed in OUT para 97(xvii). The procedure for audits, including notice, scope, evidence and remediation, is set out in Schedule 6. The Company shall give not less than [ten (10)] Business Days’ notice of a routine audit; no notice (or such notice as is practicable) shall be required for an audit following an Incident, a Persistent Service Failure, a request of a Supervisory Authority or a reasonable suspicion of fraud or material breach.</w:t>
      </w:r>
    </w:p>
    <w:p>
      <w:pPr>
        <w:pStyle w:val="BodyText"/>
      </w:pPr>
      <w:r>
        <w:rPr>
          <w:bCs/>
          <w:b/>
        </w:rPr>
        <w:t xml:space="preserve">9.3 Copies of audit reports [Mandatory — RBI].</w:t>
      </w:r>
      <w:r>
        <w:t xml:space="preserve"> </w:t>
      </w:r>
      <w:r>
        <w:t xml:space="preserve">The Service Provider shall provide to the Company copies of any audit or review reports and findings made on the Service Provider (including by its own auditors, certification bodies, regulators and customers’ pooled audits, to the extent they relate to the Services and their disclosure is not prohibited by law) in conjunction with the services performed for the Company (OUT para 34(vii); CYB para 62(2)(ii)).</w:t>
      </w:r>
    </w:p>
    <w:p>
      <w:pPr>
        <w:pStyle w:val="BodyText"/>
      </w:pPr>
      <w:r>
        <w:rPr>
          <w:bCs/>
          <w:b/>
        </w:rPr>
        <w:t xml:space="preserve">9.4 Access by RBI to Company Data [Mandatory — RBI].</w:t>
      </w:r>
      <w:r>
        <w:t xml:space="preserve"> </w:t>
      </w:r>
      <w:r>
        <w:t xml:space="preserve">RBI and persons authorised by it shall have the right to access the Company’s documents, records of transactions and other necessary information given to, stored or processed by the Service Provider, in paper and electronic formats, within a reasonable time (OUT para 34(viii); CYB para 62(2)(iii)). The Service Provider shall comply with any such request within the time specified by the Supervisory Authority or, if none, within [two (2)] Business Days of the request, and shall simultaneously inform the Company unless prohibited by the Supervisory Authority.</w:t>
      </w:r>
    </w:p>
    <w:p>
      <w:pPr>
        <w:pStyle w:val="BodyText"/>
      </w:pPr>
      <w:r>
        <w:rPr>
          <w:bCs/>
          <w:b/>
        </w:rPr>
        <w:t xml:space="preserve">9.5 Inspection by RBI of the Service Provider and its Sub-contractors [Mandatory — RBI].</w:t>
      </w:r>
      <w:r>
        <w:t xml:space="preserve"> </w:t>
      </w:r>
      <w:r>
        <w:t xml:space="preserve">RBI or person(s) authorised by it shall have the right to cause an inspection to be made of the Service Provider and its books and accounts by one or more of its officers, employees or other authorised persons (OUT para 34(ix)), and to perform inspection of the Service Provider and any of its Sub-contractors and access the Company’s IT infrastructure, applications, data, documents and other necessary information given to, stored or processed by the Service Provider and its Sub-contractors, in relation and as applicable to the scope of the Services (OUT para 74(xii)). The Service Provider shall grant unrestricted and effective access to data related to the Services and to the relevant business premises of the Service Provider and its Sub-contractors, subject to appropriate security protocols, for the purpose of effective oversight by the Company, its auditors, RBI and other relevant competent authorities as authorised under law (OUT para 81).</w:t>
      </w:r>
    </w:p>
    <w:p>
      <w:pPr>
        <w:pStyle w:val="BodyText"/>
      </w:pPr>
      <w:r>
        <w:rPr>
          <w:bCs/>
          <w:b/>
        </w:rPr>
        <w:t xml:space="preserve">9.6 Other Supervisory Authorities.</w:t>
      </w:r>
      <w:r>
        <w:t xml:space="preserve"> </w:t>
      </w:r>
      <w:r>
        <w:t xml:space="preserve">Clauses 9.4 and 9.5 apply equally to the National Housing Bank (where the Company is an HFC) and to any other Supervisory Authority empowered by Applicable Law to call for information from, or inspect, the Company or its service providers, including FIU-IND, CERT-In and the Data Protection Board.</w:t>
      </w:r>
    </w:p>
    <w:p>
      <w:pPr>
        <w:pStyle w:val="BodyText"/>
      </w:pPr>
      <w:r>
        <w:rPr>
          <w:bCs/>
          <w:b/>
        </w:rPr>
        <w:t xml:space="preserve">9.7 Read-only supervisory and audit-mode access [Mandatory — RBI].</w:t>
      </w:r>
      <w:r>
        <w:t xml:space="preserve"> </w:t>
      </w:r>
      <w:r>
        <w:t xml:space="preserve">The Platform shall provide (a) a</w:t>
      </w:r>
      <w:r>
        <w:t xml:space="preserve"> </w:t>
      </w:r>
      <w:r>
        <w:t xml:space="preserve">“</w:t>
      </w:r>
      <w:r>
        <w:t xml:space="preserve">supervisor</w:t>
      </w:r>
      <w:r>
        <w:t xml:space="preserve">”</w:t>
      </w:r>
      <w:r>
        <w:t xml:space="preserve"> </w:t>
      </w:r>
      <w:r>
        <w:t xml:space="preserve">role giving read-only access to RBI supervisors to the Company’s MIS (CYB para 46), and (b) an</w:t>
      </w:r>
      <w:r>
        <w:t xml:space="preserve"> </w:t>
      </w:r>
      <w:r>
        <w:t xml:space="preserve">“</w:t>
      </w:r>
      <w:r>
        <w:t xml:space="preserve">audit-mode</w:t>
      </w:r>
      <w:r>
        <w:t xml:space="preserve">”</w:t>
      </w:r>
      <w:r>
        <w:t xml:space="preserve"> </w:t>
      </w:r>
      <w:r>
        <w:t xml:space="preserve">role giving read-only access to auditors and inspecting and regulatory authorities (CYB para 57), in each case provisioned at the Company’s request within [one (1)] Business Day, logged and not counted against user limits.</w:t>
      </w:r>
    </w:p>
    <w:p>
      <w:pPr>
        <w:pStyle w:val="BodyText"/>
      </w:pPr>
      <w:r>
        <w:rPr>
          <w:bCs/>
          <w:b/>
        </w:rPr>
        <w:t xml:space="preserve">9.8 Information within timelines.</w:t>
      </w:r>
      <w:r>
        <w:t xml:space="preserve"> </w:t>
      </w:r>
      <w:r>
        <w:t xml:space="preserve">The Service Provider shall provide any information, report, log, certificate or confirmation reasonably requested by the Company for regulatory, audit, supervisory or legal purposes within [five (5)] Business Days, or within such shorter time as a Supervisory Authority has specified to the Company (in which case the Service Provider shall use all reasonable efforts to meet the Company’s deadline and shall in any event provide it within [twenty-four (24)] hours of request for information relating to an Incident).</w:t>
      </w:r>
    </w:p>
    <w:p>
      <w:pPr>
        <w:pStyle w:val="BodyText"/>
      </w:pPr>
      <w:r>
        <w:rPr>
          <w:bCs/>
          <w:b/>
        </w:rPr>
        <w:t xml:space="preserve">9.9 Pooled audits and certifications.</w:t>
      </w:r>
      <w:r>
        <w:t xml:space="preserve"> </w:t>
      </w:r>
      <w:r>
        <w:t xml:space="preserve">The Service Provider shall facilitate pooled (shared) audits by the Company together with other regulated entities that use the Platform, or by an independent third-party auditor jointly engaged by them (OUT para 77). The Company may, depending on its risk assessment, rely on globally recognised third-party certifications made available by the Service Provider in lieu of conducting independent audits, without this absolving the Company of its responsibility (OUT para 79). The Service Provider shall ensure that the scope of such certifications and audits covers, as applicable, roles and responsibilities in cloud governance, access and network controls, configurations, monitoring, data encryption, log review, change management, incident response and resilience preparedness and testing (OUT para 97(xvii)). Pooled audits and certifications shall not restrict the rights of the Company or any Supervisory Authority under Clauses 9.1 to 9.6.</w:t>
      </w:r>
    </w:p>
    <w:p>
      <w:pPr>
        <w:pStyle w:val="BodyText"/>
      </w:pPr>
      <w:r>
        <w:rPr>
          <w:bCs/>
          <w:b/>
        </w:rPr>
        <w:t xml:space="preserve">9.10 Internal audit, statutory audit and IS audit.</w:t>
      </w:r>
      <w:r>
        <w:t xml:space="preserve"> </w:t>
      </w:r>
      <w:r>
        <w:t xml:space="preserve">The Service Provider shall support the Company’s internal audit function (whose head and functionaries have access to all records necessary for their responsibilities (IAF para 40)), its statutory and central auditors, its concurrent auditors and its information systems auditors, including by providing system-generated reports, audit trails, computer-assisted audit technique extracts and walkthroughs, so that the Company can meet the periodicity of its IS audit, preferably before the statutory audit (CYB paras 55–58 and 149–154).</w:t>
      </w:r>
    </w:p>
    <w:p>
      <w:pPr>
        <w:pStyle w:val="BodyText"/>
      </w:pPr>
      <w:r>
        <w:rPr>
          <w:bCs/>
          <w:b/>
        </w:rPr>
        <w:t xml:space="preserve">9.11 Remediation.</w:t>
      </w:r>
      <w:r>
        <w:t xml:space="preserve"> </w:t>
      </w:r>
      <w:r>
        <w:t xml:space="preserve">The Service Provider shall, within [thirty (30)] days of receipt of an audit or inspection report (or such shorter time as a Supervisory Authority requires), agree with the Company a remediation plan for any finding attributable to the Services, and shall implement it within the agreed timelines. Remediation status shall be reported to the governance committees under Article 27.</w:t>
      </w:r>
    </w:p>
    <w:p>
      <w:pPr>
        <w:pStyle w:val="BodyText"/>
      </w:pPr>
      <w:r>
        <w:rPr>
          <w:bCs/>
          <w:b/>
        </w:rPr>
        <w:t xml:space="preserve">9.12 Costs.</w:t>
      </w:r>
      <w:r>
        <w:t xml:space="preserve"> </w:t>
      </w:r>
      <w:r>
        <w:t xml:space="preserve">Each Party shall bear its own costs of audits and inspections, save that the Service Provider shall bear the reasonable costs of the Company’s audit if it reveals a material breach of this Agreement by the Service Provider. No fee shall be charged for access by a Supervisory Authority.</w:t>
      </w:r>
    </w:p>
    <w:p>
      <w:pPr>
        <w:pStyle w:val="BodyText"/>
      </w:pPr>
      <w:r>
        <w:rPr>
          <w:bCs/>
          <w:b/>
        </w:rPr>
        <w:t xml:space="preserve">9.13 No contractual or jurisdictional bar.</w:t>
      </w:r>
      <w:r>
        <w:t xml:space="preserve"> </w:t>
      </w:r>
      <w:r>
        <w:t xml:space="preserve">No confidentiality obligation owed by the Service Provider to any third party, no term of any contract with a Sub-contractor and no law of any jurisdiction outside India shall be relied upon by the Service Provider to deny or delay access, audit or inspection under this Article. The Service Provider shall not process or store Company Data in any manner that would allow a foreign regulatory authority or foreign court to obtain access to it on the ground that the processing is undertaken outside India (OUT paras 53(vi) and 53(vii)).</w:t>
      </w:r>
    </w:p>
    <w:p>
      <w:pPr>
        <w:pStyle w:val="BodyText"/>
      </w:pPr>
      <w:r>
        <w:rPr>
          <w:bCs/>
          <w:b/>
        </w:rPr>
        <w:t xml:space="preserve">9.14 Insolvency of the Service Provider.</w:t>
      </w:r>
      <w:r>
        <w:t xml:space="preserve"> </w:t>
      </w:r>
      <w:r>
        <w:t xml:space="preserve">The Service Provider shall ensure that the availability of records to the Company and RBI will not be affected even in the case of liquidation of the Service Provider (OUT para 53(iii)), including through Articles 25 and 26.</w:t>
      </w:r>
    </w:p>
    <w:bookmarkEnd w:id="30"/>
    <w:bookmarkStart w:id="31" w:name="Xfcbc8ff963a828278bdcf9890f320ac21d98370"/>
    <w:p>
      <w:pPr>
        <w:pStyle w:val="Heading1"/>
      </w:pPr>
      <w:r>
        <w:t xml:space="preserve">10. DATA OWNERSHIP, LOCALISATION AND PROTECTION</w:t>
      </w:r>
    </w:p>
    <w:p>
      <w:pPr>
        <w:pStyle w:val="FirstParagraph"/>
      </w:pPr>
      <w:r>
        <w:rPr>
          <w:bCs/>
          <w:b/>
        </w:rPr>
        <w:t xml:space="preserve">10.1 Ownership.</w:t>
      </w:r>
      <w:r>
        <w:t xml:space="preserve"> </w:t>
      </w:r>
      <w:r>
        <w:t xml:space="preserve">As between the Parties, all Company Data is and shall remain the exclusive property of the Company. The Service Provider acquires no right, title or interest in Company Data other than a limited, revocable right to process it during the Term and the Exit Period solely to provide the Services in accordance with the Company’s documented instructions. The Service Provider shall not assert any lien, retention right or set-off over Company Data, including for unpaid Fees.</w:t>
      </w:r>
    </w:p>
    <w:p>
      <w:pPr>
        <w:pStyle w:val="BodyText"/>
      </w:pPr>
      <w:r>
        <w:rPr>
          <w:bCs/>
          <w:b/>
        </w:rPr>
        <w:t xml:space="preserve">10.2 Roles under the DPDP Act.</w:t>
      </w:r>
      <w:r>
        <w:t xml:space="preserve"> </w:t>
      </w:r>
      <w:r>
        <w:t xml:space="preserve">For Personal Data processed under this Agreement, the Company is the Data Fiduciary and the Service Provider is a Data Processor engaged under a valid contract (DPDP Act, sections 2(i), 2(k) and 8(2)). The Company is responsible for compliance with the DPDP Act in respect of processing undertaken on its behalf by the Service Provider (DPDP Act, section 8(1)), and the Service Provider shall comply with Schedule 4 (Data Processing Agreement), which forms part of this Article. Responsibility for data privacy and security of customer personal information on an ongoing basis remains with the Company as between the Company and its customers (CF para 14(1); OUT para 68), without prejudice to the Service Provider’s obligations and liability to the Company under this Agreement.</w:t>
      </w:r>
    </w:p>
    <w:p>
      <w:pPr>
        <w:pStyle w:val="BodyText"/>
      </w:pPr>
      <w:r>
        <w:rPr>
          <w:bCs/>
          <w:b/>
        </w:rPr>
        <w:t xml:space="preserve">10.3 Processing on instructions.</w:t>
      </w:r>
      <w:r>
        <w:t xml:space="preserve"> </w:t>
      </w:r>
      <w:r>
        <w:t xml:space="preserve">The Service Provider shall process Company Data only (a) on the documented instructions of the Company, which include this Agreement, the Order Form and the Company’s configuration of the Platform; and (b) to the extent required by Applicable Law, in which case it shall inform the Company before processing unless prohibited by law. The Service Provider shall promptly inform the Company if, in its opinion, an instruction infringes Applicable Law.</w:t>
      </w:r>
    </w:p>
    <w:p>
      <w:pPr>
        <w:pStyle w:val="BodyText"/>
      </w:pPr>
      <w:r>
        <w:rPr>
          <w:bCs/>
          <w:b/>
        </w:rPr>
        <w:t xml:space="preserve">10.4 Data localisation [Mandatory — RBI].</w:t>
      </w:r>
      <w:r>
        <w:t xml:space="preserve"> </w:t>
      </w:r>
      <w:r>
        <w:t xml:space="preserve">The Service Provider shall store and process all Company Data, including backups, disaster recovery copies, logs, audit trails, analytics stores and AI inference data, only on servers and infrastructure located within India (OUT paras 53(viii) and 74(vi); CF para 14(4)). No Company Data shall be transferred, accessed or processed outside India, including by remote access, support personnel or Sub-processors, without the prior written consent of the Company given after confirming compliance with Applicable Law. If any Company Data is processed outside India in breach of this Clause or with consent, it shall be deleted from servers outside India and brought back to India within twenty-four (24) hours of processing (CF para 14(4)), without prejudice to the Company’s other rights. ICT system logs required by the CERT-In Directions shall be maintained within Indian jurisdiction.</w:t>
      </w:r>
    </w:p>
    <w:p>
      <w:pPr>
        <w:pStyle w:val="BodyText"/>
      </w:pPr>
      <w:r>
        <w:rPr>
          <w:bCs/>
          <w:b/>
        </w:rPr>
        <w:t xml:space="preserve">10.5 Segregation in a multi-tenant environment [Mandatory — RBI].</w:t>
      </w:r>
      <w:r>
        <w:t xml:space="preserve"> </w:t>
      </w:r>
      <w:r>
        <w:t xml:space="preserve">The Service Provider shall ensure that Company Data and the Company’s documents, records and assets are isolated and clearly identifiable, and are not commingled or combined with those of any other customer of the Service Provider (OUT paras 26, 27 and 42). In a multi-tenant environment, the Service Provider shall maintain clear separation and isolation of the Company’s data and its customer-specific data so that only personnel authorised by the Company are able to access data that belongs to the Company (OUT para 70), and the architecture shall be protected against data integrity and confidentiality risks and against co-mingling of data (OUT para 97(vii)(c)). Segregation shall be implemented through tenant-level isolation of databases or schemas, row-level security, tenant-specific encryption keys and access policies, and shall be independently tested at least annually as part of the penetration testing under Clause 11.6.</w:t>
      </w:r>
    </w:p>
    <w:p>
      <w:pPr>
        <w:pStyle w:val="BodyText"/>
      </w:pPr>
      <w:r>
        <w:rPr>
          <w:bCs/>
          <w:b/>
        </w:rPr>
        <w:t xml:space="preserve">10.6 Need-to-know access [Mandatory — RBI].</w:t>
      </w:r>
      <w:r>
        <w:t xml:space="preserve"> </w:t>
      </w:r>
      <w:r>
        <w:t xml:space="preserve">Access to Company Data by the Service Provider, its personnel and Sub-contractors shall be on a need-to-know basis, limited to those areas where the information is required to perform the Services, with appropriate controls to prevent security breaches or data misuse (OUT paras 24 and 69(i)). Production access by the Service Provider’s personnel shall be through time-bound, ticket-referenced, approved</w:t>
      </w:r>
      <w:r>
        <w:t xml:space="preserve"> </w:t>
      </w:r>
      <w:r>
        <w:t xml:space="preserve">“</w:t>
      </w:r>
      <w:r>
        <w:t xml:space="preserve">break-glass</w:t>
      </w:r>
      <w:r>
        <w:t xml:space="preserve">”</w:t>
      </w:r>
      <w:r>
        <w:t xml:space="preserve"> </w:t>
      </w:r>
      <w:r>
        <w:t xml:space="preserve">access, recorded in tamper-evident logs visible to the Company.</w:t>
      </w:r>
    </w:p>
    <w:p>
      <w:pPr>
        <w:pStyle w:val="BodyText"/>
      </w:pPr>
      <w:r>
        <w:rPr>
          <w:bCs/>
          <w:b/>
        </w:rPr>
        <w:t xml:space="preserve">10.7 Data inventory and permitted sharing [Mandatory — RBI].</w:t>
      </w:r>
      <w:r>
        <w:t xml:space="preserve"> </w:t>
      </w:r>
      <w:r>
        <w:t xml:space="preserve">Schedule 4 sets out (a) the categories of Company Data captured, processed and stored, the purposes, locations and retention periods (OUT para 74(vii)), and (b) the types of data and information that the Service Provider is permitted to share with the Company’s customers or any other party, and the circumstances in which it may do so (OUT para 74(viii)). The Service Provider shall not share any Company Data with any person except as so permitted, as instructed by the Company in writing, or as required by Applicable Law or a Supervisory Authority. Explicit consent of the borrower shall be taken by the Company before sharing personal information with any third party, except where such sharing is required by statutory or regulatory requirement (CF para 13(4)); the Service Provider shall not share Personal Data with any third party on the basis of a consent unless the Platform records that consent.</w:t>
      </w:r>
    </w:p>
    <w:p>
      <w:pPr>
        <w:pStyle w:val="BodyText"/>
      </w:pPr>
      <w:r>
        <w:rPr>
          <w:bCs/>
          <w:b/>
        </w:rPr>
        <w:t xml:space="preserve">10.8 No use for own purposes; no AI training.</w:t>
      </w:r>
      <w:r>
        <w:t xml:space="preserve"> </w:t>
      </w:r>
      <w:r>
        <w:t xml:space="preserve">The Service Provider shall not, without the prior written consent of the Company (which may be withheld in its absolute discretion and, where given, shall specify the purpose, data categories and safeguards): (a) use any Company Data for its own purposes or for any purpose other than providing the Services; (b) use Company Data to train, fine-tune, evaluate or benchmark any artificial intelligence or machine learning model, or allow any Sub-processor to do so; (c) sell, license, monetise or commercially exploit Company Data, including in aggregated or anonymised form; or (d) combine Company Data with data from any other source except as required to provide the Services. The Service Provider may use Service Telemetry to operate, secure and improve the Platform.</w:t>
      </w:r>
    </w:p>
    <w:p>
      <w:pPr>
        <w:pStyle w:val="BodyText"/>
      </w:pPr>
      <w:r>
        <w:rPr>
          <w:bCs/>
          <w:b/>
        </w:rPr>
        <w:t xml:space="preserve">10.9 Preservation and retention [Mandatory — RBI].</w:t>
      </w:r>
      <w:r>
        <w:t xml:space="preserve"> </w:t>
      </w:r>
      <w:r>
        <w:t xml:space="preserve">The Service Provider shall preserve documents and data in accordance with the legal and regulatory obligations of the Company, including the retention periods in Schedule 4, and shall take suitable steps to ensure that the Company’s interests are protected in this regard even after termination of the Services (OUT para 34(xii)). The retention schedule shall reconcile retention required by the RBI Directions (including KYC records for at least five years after the business relationship ends and transaction records for at least five years from the date of transaction (KYC paras 47(2) and 47(1) respectively), and as required under the Prevention of Money-laundering Act, 2002 and the rules made under it), limitation periods for legal claims, legal holds, the CERT-In Directions and the DPDP Rules (including retention of personal data, associated traffic data and processing logs for a minimum of one year from the date of processing under rule 8(3), including where processing is by the Service Provider), and erasure obligations under section 8(7) of the DPDP Act, applying the longer period where Applicable Law requires retention. The Service Provider shall not delete any record within a retention class or under legal hold except on the Company’s documented instruction.</w:t>
      </w:r>
    </w:p>
    <w:p>
      <w:pPr>
        <w:pStyle w:val="BodyText"/>
      </w:pPr>
      <w:r>
        <w:rPr>
          <w:bCs/>
          <w:b/>
        </w:rPr>
        <w:t xml:space="preserve">10.10 Return and destruction with certificates [Mandatory — RBI].</w:t>
      </w:r>
      <w:r>
        <w:t xml:space="preserve"> </w:t>
      </w:r>
      <w:r>
        <w:t xml:space="preserve">At any time on the Company’s request, and on expiry or termination subject to Article 25, the Service Provider shall:</w:t>
      </w:r>
    </w:p>
    <w:p>
      <w:pPr>
        <w:numPr>
          <w:ilvl w:val="0"/>
          <w:numId w:val="1013"/>
        </w:numPr>
      </w:pPr>
      <w:r>
        <w:t xml:space="preserve">return all Company Data to the Company, complete and in the formats and through the methods specified in Schedule 9, with integrity hashes and reconciliation reports, so that the Company can continue its business operations (OUT paras 42 and 97(xvi)(a) and (d));</w:t>
      </w:r>
    </w:p>
    <w:p>
      <w:pPr>
        <w:numPr>
          <w:ilvl w:val="0"/>
          <w:numId w:val="1013"/>
        </w:numPr>
      </w:pPr>
      <w:r>
        <w:t xml:space="preserve">after the Company has confirmed in writing that it has received and validated the returned data, securely and permanently erase or destroy, or render unusable, all Company Data held by it and its Sub-processors, including in backups (on expiry of the backup cycle specified in Schedule 4), using methods conforming to [NIST SP 800-88 / ●] (OUT paras 42, 87 and 97(xvi)(d)); and</w:t>
      </w:r>
    </w:p>
    <w:p>
      <w:pPr>
        <w:numPr>
          <w:ilvl w:val="0"/>
          <w:numId w:val="1013"/>
        </w:numPr>
      </w:pPr>
      <w:r>
        <w:t xml:space="preserve">deliver to the Company (i) a certificate of return, (ii) a certificate of destruction signed by a director of the Service Provider identifying the data, systems, media, methods and dates, and (iii) independent assurance of the purge from an auditor acceptable to the Company (OUT para 97(xvi)(d)).</w:t>
      </w:r>
    </w:p>
    <w:p>
      <w:pPr>
        <w:pStyle w:val="FirstParagraph"/>
      </w:pPr>
      <w:r>
        <w:t xml:space="preserve">The Service Provider may retain Company Data only to the extent Applicable Law requires it to do so, in which case it shall notify the Company of the data, the legal requirement and the retention period, and Articles 10, 11 and 18 shall continue to apply.</w:t>
      </w:r>
    </w:p>
    <w:p>
      <w:pPr>
        <w:pStyle w:val="BodyText"/>
      </w:pPr>
      <w:r>
        <w:rPr>
          <w:bCs/>
          <w:b/>
        </w:rPr>
        <w:t xml:space="preserve">10.11 Data Principal rights and DPDP assistance.</w:t>
      </w:r>
      <w:r>
        <w:t xml:space="preserve"> </w:t>
      </w:r>
      <w:r>
        <w:t xml:space="preserve">The Service Provider shall, through the Platform’s features and otherwise, assist the Company in responding to requests of Data Principals to exercise their rights (including access, correction, completion, updating, erasure and grievance redressal), in giving effect to withdrawal of consent, in conducting any data protection impact assessment and audit (where the Company is a Significant Data Fiduciary), and in otherwise complying with the DPDP Act and the DPDP Rules, within the timelines in Schedule 4. The Service Provider shall promptly forward to the Company any request or complaint it receives directly from a Data Principal and shall not respond to it except on the Company’s instruction.</w:t>
      </w:r>
    </w:p>
    <w:p>
      <w:pPr>
        <w:pStyle w:val="BodyText"/>
      </w:pPr>
      <w:r>
        <w:rPr>
          <w:bCs/>
          <w:b/>
        </w:rPr>
        <w:t xml:space="preserve">10.12 Biometric and Aadhaar data [Mandatory — RBI].</w:t>
      </w:r>
      <w:r>
        <w:t xml:space="preserve"> </w:t>
      </w:r>
      <w:r>
        <w:t xml:space="preserve">The Platform shall not store or collect biometric data except as allowed under extant statutory guidelines and the Company’s instructions (CF para 14(3)). Aadhaar numbers, demographic information and e-KYC data shall be processed only in the manner permitted by the Aadhaar (Targeted Delivery of Financial and Other Subsidies, Benefits and Services) Act, 2016 and the regulations and circulars of UIDAI, including storage of Aadhaar numbers only in an Aadhaar Data Vault (where applicable), masking and redaction, and only where the Company is permitted to perform authentication (KYC para 23). Where the Platform is used for video-based customer identification (V-CIP), the V-CIP connection and interaction shall originate from the Company’s own secured network domain, all V-CIP data and recordings shall be transferred immediately on completion of each session to servers owned or leased exclusively by the Company (including a cloud account held by the Company), and neither the Service Provider nor any Sub-contractor shall retain any V-CIP data (KYC para 27(1)(i)); recordings shall be stored in India with date and time stamps (KYC para 27(3)(i)).</w:t>
      </w:r>
    </w:p>
    <w:p>
      <w:pPr>
        <w:pStyle w:val="BodyText"/>
      </w:pPr>
      <w:r>
        <w:rPr>
          <w:bCs/>
          <w:b/>
        </w:rPr>
        <w:t xml:space="preserve">10.13 Requests from authorities.</w:t>
      </w:r>
      <w:r>
        <w:t xml:space="preserve"> </w:t>
      </w:r>
      <w:r>
        <w:t xml:space="preserve">If the Service Provider receives a request or order from any Governmental Authority for disclosure of Company Data, it shall (unless prohibited by law) promptly notify the Company, disclose only what is legally required, and co-operate with the Company in seeking any protective order. Clause 9.4 applies to requests of Supervisory Authorities.</w:t>
      </w:r>
    </w:p>
    <w:p>
      <w:pPr>
        <w:pStyle w:val="BodyText"/>
      </w:pPr>
      <w:r>
        <w:rPr>
          <w:bCs/>
          <w:b/>
        </w:rPr>
        <w:t xml:space="preserve">10.14 Security safeguards.</w:t>
      </w:r>
      <w:r>
        <w:t xml:space="preserve"> </w:t>
      </w:r>
      <w:r>
        <w:t xml:space="preserve">The Service Provider shall implement reasonable security safeguards to prevent personal data breaches, including the measures specified in Article 11, Schedule 4 and Schedule 5, so that the Company can comply with section 8(5) of the DPDP Act and rule 6 of the DPDP Rules (including retention of logs and personal data required for detection, investigation and remediation of a personal data breach for at least one year) (DPDP Rules, rule 6(1)(e); this Agreement and Schedule 4 are the contractual provision for security safeguards required by rule 6(1)(f)), and the reasonable security practices required under section 43A of the IT Act for so long as that section is in force.</w:t>
      </w:r>
    </w:p>
    <w:p>
      <w:pPr>
        <w:pStyle w:val="BodyText"/>
      </w:pPr>
      <w:r>
        <w:rPr>
          <w:iCs/>
          <w:i/>
        </w:rPr>
        <w:t xml:space="preserve">Drafting note:</w:t>
      </w:r>
      <w:r>
        <w:t xml:space="preserve"> </w:t>
      </w:r>
      <w:r>
        <w:t xml:space="preserve">DPDP Rules commencement is phased: rules 1, 2 and 17–21 from 13 November 2025; rule 4 (consent managers) from 13 November 2026; rules 3, 5–16, 22 and 23 from 13 May 2027. Schedule 4 should apply the rules as a contractual standard from the Effective Date. Section 43A of the IT Act is omitted by section 44(2) of the DPDP Act with effect from 13 May 2027, the date on which section 44(2) commences with the core provisions (sections 3 to 17 other than section 6(9), section 27 other than section 27(1)(d), and sections 28 to 34, 36 and 37) under the commencement notification of 13 November 2025 (G.S.R. 843(E)). [VERIFY: MeitY’s January–February 2026 consultation proposed compressing the 18-month period to 12 months (core duties from 13 November 2026); confirm before execution whether any amendment has been notified.]</w:t>
      </w:r>
    </w:p>
    <w:bookmarkEnd w:id="31"/>
    <w:bookmarkStart w:id="32" w:name="X4778aa9484dc30751a7bcde55ed7bf0a317def9"/>
    <w:p>
      <w:pPr>
        <w:pStyle w:val="Heading1"/>
      </w:pPr>
      <w:r>
        <w:t xml:space="preserve">11. INFORMATION SECURITY AND CYBER RESILIENCE [Mandatory — RBI]</w:t>
      </w:r>
    </w:p>
    <w:p>
      <w:pPr>
        <w:pStyle w:val="FirstParagraph"/>
      </w:pPr>
      <w:r>
        <w:rPr>
          <w:bCs/>
          <w:b/>
        </w:rPr>
        <w:t xml:space="preserve">11.1 Security programme.</w:t>
      </w:r>
      <w:r>
        <w:t xml:space="preserve"> </w:t>
      </w:r>
      <w:r>
        <w:t xml:space="preserve">The Service Provider shall establish, implement, maintain and continually improve an information security management system covering the Services, consistent with ISO/IEC 27001 and the requirements in Schedule 5, and shall maintain adequate systems and procedures to ensure protection of data and applications outsourced (CYB para 62(1)(ii)). It shall maintain an information security policy framework commensurate with its exposure to vulnerabilities and threats, maintain its cybersecurity capability in response to changes in vulnerabilities, threats, information assets and its business environment, set the nature and frequency of testing of controls commensurate with the materiality of the Services and the threat environment, and have mechanisms to assess Sub-contractors with regard to the confidentiality, integrity and availability of data shared with them (OUT para 97(x)).</w:t>
      </w:r>
    </w:p>
    <w:p>
      <w:pPr>
        <w:pStyle w:val="BodyText"/>
      </w:pPr>
      <w:r>
        <w:rPr>
          <w:bCs/>
          <w:b/>
        </w:rPr>
        <w:t xml:space="preserve">11.2 Controls at least equivalent to on-premises.</w:t>
      </w:r>
      <w:r>
        <w:t xml:space="preserve"> </w:t>
      </w:r>
      <w:r>
        <w:t xml:space="preserve">The Service Provider shall ensure that security controls in the Platform achieve a similar or higher degree of control objectives than those achieved by an on-premises application, including secure connectivity through appropriate network security resources and configurations, secure configurations, monitoring of cloud assets used for the Company, and procedures to authorise changes to cloud applications and related resources (OUT para 97(ix)), and shall implement controls by reference to cloud security best practices according to the shared responsibility model documented in Schedule 5 (OUT para 97(iv)).</w:t>
      </w:r>
    </w:p>
    <w:p>
      <w:pPr>
        <w:pStyle w:val="BodyText"/>
      </w:pPr>
      <w:r>
        <w:rPr>
          <w:bCs/>
          <w:b/>
        </w:rPr>
        <w:t xml:space="preserve">11.3 Identity and access management.</w:t>
      </w:r>
      <w:r>
        <w:t xml:space="preserve"> </w:t>
      </w:r>
      <w:r>
        <w:t xml:space="preserve">The Platform shall provide role-based access control for user access and privileged access, segregation of duties and a role-conflict matrix for all user and privileged roles, access provisioning on need-to-know and least-privilege principles, and multi-factor authentication for access to the Platform (OUT para 97(viii)), including for privileged users of critical information systems and for critical activities (CYB para 115) and for remote access by the Service Provider’s personnel (CYB para 116). Personnel with elevated access entitlements shall be closely supervised, with all their system activities logged and periodically reviewed (CYB para 114). The Platform shall support maker-checker for authorisation of transactions and key changes (CYB para 21(6)).</w:t>
      </w:r>
    </w:p>
    <w:p>
      <w:pPr>
        <w:pStyle w:val="BodyText"/>
      </w:pPr>
      <w:r>
        <w:rPr>
          <w:bCs/>
          <w:b/>
        </w:rPr>
        <w:t xml:space="preserve">11.4 Encryption and key management.</w:t>
      </w:r>
      <w:r>
        <w:t xml:space="preserve"> </w:t>
      </w:r>
      <w:r>
        <w:t xml:space="preserve">Company Data shall be encrypted in transit and at rest using strong, internationally accepted and non-deprecated algorithms, key lengths, cipher suites and protocols (CYB para 118). Where the Company is in the Middle Layer or above, or where the Order Form so specifies, the Service Provider shall provide secure container-based data management in which the encryption keys and hardware security modules used for Company Data are under the control of the Company (OUT para 97(vii)(b)), through</w:t>
      </w:r>
      <w:r>
        <w:t xml:space="preserve"> </w:t>
      </w:r>
      <w:r>
        <w:rPr>
          <w:bCs/>
          <w:b/>
        </w:rPr>
        <w:t xml:space="preserve">[Option A: customer-managed keys in a dedicated key management service or HSM partition controlled by the Company / Option B: hold-your-own-key with keys held in the Company’s HSM]</w:t>
      </w:r>
      <w:r>
        <w:t xml:space="preserve">. The Service Provider shall not have access to the Company’s key material in clear, and key rotation, revocation and destruction shall be at the Company’s direction. The Platform shall support digital signature certificates and public key infrastructure for authentication, integrity and non-repudiation (CYB paras 21(9) and 31).</w:t>
      </w:r>
    </w:p>
    <w:p>
      <w:pPr>
        <w:pStyle w:val="BodyText"/>
      </w:pPr>
      <w:r>
        <w:rPr>
          <w:bCs/>
          <w:b/>
        </w:rPr>
        <w:t xml:space="preserve">11.5 Logs and audit trails.</w:t>
      </w:r>
      <w:r>
        <w:t xml:space="preserve"> </w:t>
      </w:r>
      <w:r>
        <w:t xml:space="preserve">The Service Provider shall:</w:t>
      </w:r>
    </w:p>
    <w:p>
      <w:pPr>
        <w:numPr>
          <w:ilvl w:val="0"/>
          <w:numId w:val="1014"/>
        </w:numPr>
      </w:pPr>
      <w:r>
        <w:t xml:space="preserve">ensure that every component of the Platform that can access or affect critical or sensitive information has audit logging capabilities and provides audit trails that satisfy the Company’s business, regulatory and legal requirements, are sufficiently detailed to facilitate audits, serve as forensic evidence and assist in dispute resolution including for non-repudiation, and record any unauthorised user activity (CYB paras 21(8), 109 and 110);</w:t>
      </w:r>
    </w:p>
    <w:p>
      <w:pPr>
        <w:numPr>
          <w:ilvl w:val="0"/>
          <w:numId w:val="1014"/>
        </w:numPr>
      </w:pPr>
      <w:r>
        <w:t xml:space="preserve">regularly monitor audit trails and system logs to detect, understand or recover from any unauthorised activity or attack (CYB para 111);</w:t>
      </w:r>
    </w:p>
    <w:p>
      <w:pPr>
        <w:numPr>
          <w:ilvl w:val="0"/>
          <w:numId w:val="1014"/>
        </w:numPr>
      </w:pPr>
      <w:r>
        <w:t xml:space="preserve">retain audit trails and logs (i) for administrative activities, accessible to the Company on approved requests (CYB para 62(2)(i)); (ii) ICT system logs for a rolling period of at least one hundred and eighty (180) days within Indian jurisdiction, as required by the CERT-In Directions; (iii) logs relating to processing of Personal Data for at least one (1) year (DPDP Rules, rule 6); and (iv) application audit trails for the Company’s transactions for the full retention period applicable to the underlying record under Schedule 4, and in any case not less than [eight (8)] years [Option];</w:t>
      </w:r>
    </w:p>
    <w:p>
      <w:pPr>
        <w:numPr>
          <w:ilvl w:val="0"/>
          <w:numId w:val="1014"/>
        </w:numPr>
      </w:pPr>
      <w:r>
        <w:t xml:space="preserve">integrate logs and events relevant to the Company into the Company’s security operations centre, wherever applicable, through a near-real-time feed in the format specified in Schedule 5, and retain relevant logs for incident reporting and handling (OUT para 97(xi)); and</w:t>
      </w:r>
    </w:p>
    <w:p>
      <w:pPr>
        <w:numPr>
          <w:ilvl w:val="0"/>
          <w:numId w:val="1014"/>
        </w:numPr>
      </w:pPr>
      <w:r>
        <w:t xml:space="preserve">protect logs against tampering through hash-chaining or write-once storage, and synchronise all system clocks with the Network Time Protocol servers of the National Informatics Centre or the National Physical Laboratory, or servers traceable to them, as required by the CERT-In Directions.</w:t>
      </w:r>
    </w:p>
    <w:p>
      <w:pPr>
        <w:pStyle w:val="FirstParagraph"/>
      </w:pPr>
      <w:r>
        <w:rPr>
          <w:bCs/>
          <w:b/>
        </w:rPr>
        <w:t xml:space="preserve">11.6 Vulnerability assessment and penetration testing.</w:t>
      </w:r>
      <w:r>
        <w:t xml:space="preserve"> </w:t>
      </w:r>
      <w:r>
        <w:t xml:space="preserve">The Service Provider shall:</w:t>
      </w:r>
    </w:p>
    <w:p>
      <w:pPr>
        <w:numPr>
          <w:ilvl w:val="0"/>
          <w:numId w:val="1015"/>
        </w:numPr>
      </w:pPr>
      <w:r>
        <w:t xml:space="preserve">conduct vulnerability assessment at least once in every six (6) months and penetration testing at least once in every twelve (12) months for the Critical Applications and all components in the de-militarised zone having customer interface, and also pre-implementation, post-implementation and after changes (CYB para 121), irrespective of the Company’s layer under the Uniform Standard;</w:t>
      </w:r>
    </w:p>
    <w:p>
      <w:pPr>
        <w:numPr>
          <w:ilvl w:val="0"/>
          <w:numId w:val="1015"/>
        </w:numPr>
      </w:pPr>
      <w:r>
        <w:t xml:space="preserve">use appropriately trained and independent information security experts or auditors (CYB para 122) who are, as a contractual requirement of this Agreement, empanelled by CERT-In, perform post-implementation tests on the production environment subject to CYB para 124, and follow a documented approach covering scope, coverage and a vulnerability scoring mechanism such as the Common Vulnerability Scoring System, including for systems hosted in a cloud environment (CYB para 126);</w:t>
      </w:r>
    </w:p>
    <w:p>
      <w:pPr>
        <w:numPr>
          <w:ilvl w:val="0"/>
          <w:numId w:val="1015"/>
        </w:numPr>
      </w:pPr>
      <w:r>
        <w:t xml:space="preserve">fix identified vulnerabilities in a time-bound manner, within the remediation timelines in Schedule 5 (critical: [seven (7)] days; high: [fifteen (15)] days; medium: [forty-five (45)] days; low: [ninety (90)] days), and ensure that compliance is sustained to avoid recurrence of known vulnerabilities such as those in the Common Vulnerabilities and Exposures database (CYB para 125);</w:t>
      </w:r>
    </w:p>
    <w:p>
      <w:pPr>
        <w:numPr>
          <w:ilvl w:val="0"/>
          <w:numId w:val="1015"/>
        </w:numPr>
      </w:pPr>
      <w:r>
        <w:t xml:space="preserve">share with the Company the executive summary, the detailed findings relating to the Company’s Tenant Environment and shared components, and the remediation status, within [ten (10)] Business Days of each report; and</w:t>
      </w:r>
    </w:p>
    <w:p>
      <w:pPr>
        <w:numPr>
          <w:ilvl w:val="0"/>
          <w:numId w:val="1015"/>
        </w:numPr>
      </w:pPr>
      <w:r>
        <w:t xml:space="preserve">permit the Company, on reasonable notice and subject to rules of engagement in Schedule 5, to conduct its own vulnerability assessment and penetration testing of its Tenant Environment.</w:t>
      </w:r>
    </w:p>
    <w:p>
      <w:pPr>
        <w:pStyle w:val="FirstParagraph"/>
      </w:pPr>
      <w:r>
        <w:rPr>
          <w:bCs/>
          <w:b/>
        </w:rPr>
        <w:t xml:space="preserve">11.7 Vulnerability, change and patch management.</w:t>
      </w:r>
      <w:r>
        <w:t xml:space="preserve"> </w:t>
      </w:r>
      <w:r>
        <w:t xml:space="preserve">The Service Provider shall maintain a vulnerability management process to identify, manage and eliminate vulnerabilities (CYB para 23), and documented change and patch management procedures under which the business impact of implementing or not implementing a patch is assessed, patches and changes are applied in a secure and timely manner with necessary approvals, changes are justified and documented, and failed changes can be rolled back (CYB para 112). It shall maintain continuous and regular updates of security-related software, including upgrades, fixes, patches and service packs (OUT para 97(xii)), and shall have a structured approach to managing threats and vulnerabilities supported by industry-specific threat intelligence (OUT para 97(xiii)).</w:t>
      </w:r>
    </w:p>
    <w:p>
      <w:pPr>
        <w:pStyle w:val="BodyText"/>
      </w:pPr>
      <w:r>
        <w:rPr>
          <w:bCs/>
          <w:b/>
        </w:rPr>
        <w:t xml:space="preserve">11.8 Secure development.</w:t>
      </w:r>
      <w:r>
        <w:t xml:space="preserve"> </w:t>
      </w:r>
      <w:r>
        <w:t xml:space="preserve">The Service Provider shall follow a secure software development lifecycle consistent with [OWASP ASVS Level 2 / ●], including threat modelling, secure code review, static and dynamic application security testing, software composition analysis and secrets scanning, and shall remediate identified deficiencies during design, development and testing (CYB para 39). Clause 8.7 (code integrity certificate) applies.</w:t>
      </w:r>
    </w:p>
    <w:p>
      <w:pPr>
        <w:pStyle w:val="BodyText"/>
      </w:pPr>
      <w:r>
        <w:rPr>
          <w:bCs/>
          <w:b/>
        </w:rPr>
        <w:t xml:space="preserve">11.9 Personnel security.</w:t>
      </w:r>
      <w:r>
        <w:t xml:space="preserve"> </w:t>
      </w:r>
      <w:r>
        <w:t xml:space="preserve">Personnel of the Service Provider and its Sub-contractors with privileged access to the Platform or to Company Data shall be subject to rigorous background checks and screening before access is granted and periodically thereafter (CYB para 21(4)), shall sign confidentiality undertakings under Clause 18.5, and shall receive information security training at least annually.</w:t>
      </w:r>
    </w:p>
    <w:p>
      <w:pPr>
        <w:pStyle w:val="BodyText"/>
      </w:pPr>
      <w:r>
        <w:rPr>
          <w:bCs/>
          <w:b/>
        </w:rPr>
        <w:t xml:space="preserve">11.10 Hosting, data centres and cloud service providers.</w:t>
      </w:r>
      <w:r>
        <w:t xml:space="preserve"> </w:t>
      </w:r>
      <w:r>
        <w:t xml:space="preserve">The Service Provider shall host the Platform only with cloud service providers or data-centre operators listed in Schedule 10 that (a) are selected on a comprehensive risk assessment; (b) are subject to jurisdictions that uphold the enforceability of agreements and the rights available under them, including those relating to data storage, data protection and confidentiality (OUT para 97(vi)); (c) host the Company’s primary and disaster recovery sites in India in geographically separated locations so that both are not affected by a similar threat (CYB para 102); and (d) maintain physical and environmental controls and e-surveillance for those sites (CYB paras 101 and 103). The technology architecture shall be built in adherence to globally recognised architecture principles and standards and shall provide a standard set of tools and processes to manage containers, images and releases, and be resilient and enable smooth recovery in case of failure of any component with minimal impact on data and information security (OUT para 97(vii)(a) and (d)).</w:t>
      </w:r>
    </w:p>
    <w:p>
      <w:pPr>
        <w:pStyle w:val="BodyText"/>
      </w:pPr>
      <w:r>
        <w:rPr>
          <w:bCs/>
          <w:b/>
        </w:rPr>
        <w:t xml:space="preserve">11.11 Straight-through processing.</w:t>
      </w:r>
      <w:r>
        <w:t xml:space="preserve"> </w:t>
      </w:r>
      <w:r>
        <w:t xml:space="preserve">For Critical Applications, the Platform shall ensure that there is no manual intervention or manual modification in data while it is being transferred from one process or application to another, and that data transfer mechanisms are tested, securely automated and integrated through straight-through processing with appropriate authentication and audit trails (CYB paras 119 and 120).</w:t>
      </w:r>
    </w:p>
    <w:p>
      <w:pPr>
        <w:pStyle w:val="BodyText"/>
      </w:pPr>
      <w:r>
        <w:rPr>
          <w:bCs/>
          <w:b/>
        </w:rPr>
        <w:t xml:space="preserve">11.12 Mobile and digital channels.</w:t>
      </w:r>
      <w:r>
        <w:t xml:space="preserve"> </w:t>
      </w:r>
      <w:r>
        <w:t xml:space="preserve">Any mobile or web channel of the Platform used by the Company’s customers shall ensure confidentiality, integrity, authenticity and end-to-end encryption (CYB para 33), and any digital lending app interface shall not access mobile phone resources such as file and media, contact list, call logs or telephony functions, and may take one-time access to camera, microphone, location or other facility only for onboarding or KYC with the explicit consent of the borrower (CF para 13(1)).</w:t>
      </w:r>
    </w:p>
    <w:p>
      <w:pPr>
        <w:pStyle w:val="BodyText"/>
      </w:pPr>
      <w:r>
        <w:rPr>
          <w:bCs/>
          <w:b/>
        </w:rPr>
        <w:t xml:space="preserve">11.13 Cyber resilience testing and drills.</w:t>
      </w:r>
      <w:r>
        <w:t xml:space="preserve"> </w:t>
      </w:r>
      <w:r>
        <w:t xml:space="preserve">The Service Provider shall participate, at least annually and on the Company’s reasonable request, in the Company’s cyber resilience testing, cyber crisis management drills and crisis communication drills (CYB paras 25, 59(5) and 146).</w:t>
      </w:r>
    </w:p>
    <w:p>
      <w:pPr>
        <w:pStyle w:val="BodyText"/>
      </w:pPr>
      <w:r>
        <w:rPr>
          <w:bCs/>
          <w:b/>
        </w:rPr>
        <w:t xml:space="preserve">11.14 Security reporting.</w:t>
      </w:r>
      <w:r>
        <w:t xml:space="preserve"> </w:t>
      </w:r>
      <w:r>
        <w:t xml:space="preserve">The Service Provider shall deliver to the Company a quarterly security report covering the matters listed in Schedule 5 and Schedule 12, including vulnerability and patch status, access reviews, privileged access usage, incidents, threat intelligence relevant to the Company and the status of audit findings.</w:t>
      </w:r>
    </w:p>
    <w:bookmarkEnd w:id="32"/>
    <w:bookmarkStart w:id="33" w:name="X2f39637a8fa1745d553f3df33caf44993ad5581"/>
    <w:p>
      <w:pPr>
        <w:pStyle w:val="Heading1"/>
      </w:pPr>
      <w:r>
        <w:t xml:space="preserve">12. INCIDENT MANAGEMENT AND REPORTING [Mandatory — RBI]</w:t>
      </w:r>
    </w:p>
    <w:p>
      <w:pPr>
        <w:pStyle w:val="FirstParagraph"/>
      </w:pPr>
      <w:r>
        <w:rPr>
          <w:bCs/>
          <w:b/>
        </w:rPr>
        <w:t xml:space="preserve">12.1 Incident response capability.</w:t>
      </w:r>
      <w:r>
        <w:t xml:space="preserve"> </w:t>
      </w:r>
      <w:r>
        <w:t xml:space="preserve">The Service Provider shall maintain a documented incident response and recovery procedure consistent with Schedule 7, including classification and assessment of incidents, a communication plan, measures to contain exposures and achieve timely recovery, and identification of key roles of staff and outsourced staff handling incidents (CYB paras 139 and 142). The Service Provider’s incident response process shall be integrated with the Company’s incident response process (OUT para 95(iv), where applicable).</w:t>
      </w:r>
    </w:p>
    <w:p>
      <w:pPr>
        <w:pStyle w:val="BodyText"/>
      </w:pPr>
      <w:r>
        <w:rPr>
          <w:bCs/>
          <w:b/>
        </w:rPr>
        <w:t xml:space="preserve">12.2 Notification to the Company [Mandatory — RBI].</w:t>
      </w:r>
      <w:r>
        <w:t xml:space="preserve"> </w:t>
      </w:r>
      <w:r>
        <w:t xml:space="preserve">The Service Provider shall report every Cyber Incident, Security Breach, personal data breach and Material Adverse Event to the Company without undue delay, so that the Company is able to report the incident to RBI (or, for an HFC, to the National Housing Bank) within six (6) hours of Detection by the Service Provider (OUT para 61; CYB paras 28 and 141). Without limiting the foregoing, the Service Provider shall:</w:t>
      </w:r>
    </w:p>
    <w:p>
      <w:pPr>
        <w:numPr>
          <w:ilvl w:val="0"/>
          <w:numId w:val="1016"/>
        </w:numPr>
      </w:pPr>
      <w:r>
        <w:t xml:space="preserve">give an initial notification by telephone to the Company’s designated incident contacts and by email to the incident mailbox specified in Schedule 7</w:t>
      </w:r>
      <w:r>
        <w:t xml:space="preserve"> </w:t>
      </w:r>
      <w:r>
        <w:rPr>
          <w:bCs/>
          <w:b/>
        </w:rPr>
        <w:t xml:space="preserve">within [two (2)] hours of Detection</w:t>
      </w:r>
      <w:r>
        <w:t xml:space="preserve">, even if the information available is incomplete;</w:t>
      </w:r>
    </w:p>
    <w:p>
      <w:pPr>
        <w:numPr>
          <w:ilvl w:val="0"/>
          <w:numId w:val="1016"/>
        </w:numPr>
      </w:pPr>
      <w:r>
        <w:t xml:space="preserve">provide the information required for the Company’s regulatory report (in the format required for the RBI DAKSH portal, CERT-In and the Data Protection Board, as set out in Schedule 7) within [four (4)] hours of Detection;</w:t>
      </w:r>
    </w:p>
    <w:p>
      <w:pPr>
        <w:numPr>
          <w:ilvl w:val="0"/>
          <w:numId w:val="1016"/>
        </w:numPr>
      </w:pPr>
      <w:r>
        <w:t xml:space="preserve">provide updates at least every [four (4)] hours (or as the Company reasonably requires) until containment, and daily thereafter until closure; and</w:t>
      </w:r>
    </w:p>
    <w:p>
      <w:pPr>
        <w:numPr>
          <w:ilvl w:val="0"/>
          <w:numId w:val="1016"/>
        </w:numPr>
      </w:pPr>
      <w:r>
        <w:t xml:space="preserve">report Material Adverse Events that are not Cyber Incidents (such as insolvency or regulatory action affecting the Service Provider or a Sub-contractor) within [twenty-four (24)] hours of becoming aware of them.</w:t>
      </w:r>
    </w:p>
    <w:p>
      <w:pPr>
        <w:pStyle w:val="FirstParagraph"/>
      </w:pPr>
      <w:r>
        <w:t xml:space="preserve">The six-hour period for the Company’s report to RBI runs from Detection by the Service Provider. The Service Provider acknowledges that any delay on its part may expose the Company to regulatory action and shall be a material breach.</w:t>
      </w:r>
    </w:p>
    <w:p>
      <w:pPr>
        <w:pStyle w:val="BodyText"/>
      </w:pPr>
      <w:r>
        <w:rPr>
          <w:iCs/>
          <w:i/>
        </w:rPr>
        <w:t xml:space="preserve">Drafting note:</w:t>
      </w:r>
      <w:r>
        <w:t xml:space="preserve"> </w:t>
      </w:r>
      <w:r>
        <w:t xml:space="preserve">OUT para 61 applies to Middle Layer and above. CYB para 28 (Base Layer ≥ ₹500 crore) and CYB para 141 (Middle Layer and above) require reporting within six hours of detection. CYB Chapter III does not prescribe RBI reporting for Base Layer companies below ₹500 crore, but the Uniform Standard applies the same timelines. A two-hour target leaves the Company four hours to assess and file; the Company may shorten it.</w:t>
      </w:r>
    </w:p>
    <w:p>
      <w:pPr>
        <w:pStyle w:val="BodyText"/>
      </w:pPr>
      <w:r>
        <w:rPr>
          <w:bCs/>
          <w:b/>
        </w:rPr>
        <w:t xml:space="preserve">12.3 Content of notifications.</w:t>
      </w:r>
      <w:r>
        <w:t xml:space="preserve"> </w:t>
      </w:r>
      <w:r>
        <w:t xml:space="preserve">Each notification shall include, to the extent known: the time of Detection; the nature and classification of the incident; affected systems, Modules, Tenant Environments and Sub-contractors; the categories and approximate number of Data Principals and records affected; whether Company Data has been accessed, exfiltrated, altered or destroyed; the likely consequences; containment and mitigation measures taken or proposed; indicators of compromise; and contact details of the Service Provider’s incident lead.</w:t>
      </w:r>
    </w:p>
    <w:p>
      <w:pPr>
        <w:pStyle w:val="BodyText"/>
      </w:pPr>
      <w:r>
        <w:rPr>
          <w:bCs/>
          <w:b/>
        </w:rPr>
        <w:t xml:space="preserve">12.4 Reporting by the Service Provider to CERT-In.</w:t>
      </w:r>
      <w:r>
        <w:t xml:space="preserve"> </w:t>
      </w:r>
      <w:r>
        <w:t xml:space="preserve">The Service Provider shall itself report to CERT-In, within six (6) hours of noticing such incidents or being brought to notice about them, all cyber incidents of the types specified in the CERT-In Directions affecting its systems, as required of it as a service provider, data centre operator or body corporate under the CERT-In Directions. The Service Provider shall: (a) not delay its own statutory report pending the Company’s review; (b) provide the Company with a copy of its report to CERT-In simultaneously with filing; (c) co-ordinate with the Company so that information reported by both Parties is consistent, recognising that the Company shall also notify CERT-In regarding cyber incidents (CYB para 141); and (d) designate a point of contact for CERT-In and inform the Company of that person’s details.</w:t>
      </w:r>
    </w:p>
    <w:p>
      <w:pPr>
        <w:pStyle w:val="BodyText"/>
      </w:pPr>
      <w:r>
        <w:rPr>
          <w:bCs/>
          <w:b/>
        </w:rPr>
        <w:t xml:space="preserve">12.5 Personal data breach.</w:t>
      </w:r>
      <w:r>
        <w:t xml:space="preserve"> </w:t>
      </w:r>
      <w:r>
        <w:t xml:space="preserve">On a personal data breach affecting Company Data, the Service Provider shall provide all information and assistance required for the Company to intimate the Data Protection Board and each affected Data Principal without delay and to submit the detailed report to the Data Protection Board within seventy-two (72) hours of becoming aware of the breach (or such longer period as the Data Protection Board may allow) (DPDP Act, section 8(6); DPDP Rules, rule 7). The Service Provider shall not notify Data Principals, the Data Protection Board or any other Regulator of a personal data breach on behalf of the Company except on the Company’s written instruction or where Applicable Law requires the Service Provider itself to do so.</w:t>
      </w:r>
    </w:p>
    <w:p>
      <w:pPr>
        <w:pStyle w:val="BodyText"/>
      </w:pPr>
      <w:r>
        <w:rPr>
          <w:bCs/>
          <w:b/>
        </w:rPr>
        <w:t xml:space="preserve">12.6 Breach of security and leakage of customer information.</w:t>
      </w:r>
      <w:r>
        <w:t xml:space="preserve"> </w:t>
      </w:r>
      <w:r>
        <w:t xml:space="preserve">The Parties acknowledge that the Company shall immediately notify RBI in the event of breach of security and leakage of confidential customer-related information, and shall be liable to its customers for any damage (OUT paras 28 and 69(iii)). The Service Provider shall disclose every Security Breach to the Company (OUT para 25) and shall support the Company in such notification and in remediation for affected customers.</w:t>
      </w:r>
    </w:p>
    <w:p>
      <w:pPr>
        <w:pStyle w:val="BodyText"/>
      </w:pPr>
      <w:r>
        <w:rPr>
          <w:bCs/>
          <w:b/>
        </w:rPr>
        <w:t xml:space="preserve">12.7 Containment, investigation and root-cause analysis.</w:t>
      </w:r>
      <w:r>
        <w:t xml:space="preserve"> </w:t>
      </w:r>
      <w:r>
        <w:t xml:space="preserve">The Service Provider shall promptly take all steps necessary to contain, mitigate and remediate each Incident; preserve all relevant evidence, logs and forensic images with chain of custody; carry out (or permit the Company or its appointed forensic investigator to carry out) forensic analysis; and analyse the Incident for severity, impact and root cause and take corrective and preventive measures (CYB para 140). The Company and, where applicable, any Supervisory Authority shall have access to the investigation and its evidence.</w:t>
      </w:r>
    </w:p>
    <w:p>
      <w:pPr>
        <w:pStyle w:val="BodyText"/>
      </w:pPr>
      <w:r>
        <w:rPr>
          <w:bCs/>
          <w:b/>
        </w:rPr>
        <w:t xml:space="preserve">12.8 Communications.</w:t>
      </w:r>
      <w:r>
        <w:t xml:space="preserve"> </w:t>
      </w:r>
      <w:r>
        <w:t xml:space="preserve">The Service Provider shall not make any public statement or communication to the Company’s customers, the media or third parties concerning an Incident affecting the Company without the Company’s prior written approval, save as required by Applicable Law (in which case it shall, where lawful, consult the Company beforehand).</w:t>
      </w:r>
    </w:p>
    <w:p>
      <w:pPr>
        <w:pStyle w:val="BodyText"/>
      </w:pPr>
      <w:r>
        <w:rPr>
          <w:bCs/>
          <w:b/>
        </w:rPr>
        <w:t xml:space="preserve">12.9 Post-incident report.</w:t>
      </w:r>
      <w:r>
        <w:t xml:space="preserve"> </w:t>
      </w:r>
      <w:r>
        <w:t xml:space="preserve">Within [seven (7)] days of containment of a severity 1 or severity 2 Incident (as classified in Schedule 7), the Service Provider shall deliver a written root-cause analysis and post-incident report including lessons learnt, corrective and preventive actions and timelines, for use by the Company in improving its incident response and recovery capabilities and in its operational risk processes (CYB para 145; ORM para 99).</w:t>
      </w:r>
    </w:p>
    <w:p>
      <w:pPr>
        <w:pStyle w:val="BodyText"/>
      </w:pPr>
      <w:r>
        <w:rPr>
          <w:bCs/>
          <w:b/>
        </w:rPr>
        <w:t xml:space="preserve">12.10 Costs of incidents.</w:t>
      </w:r>
      <w:r>
        <w:t xml:space="preserve"> </w:t>
      </w:r>
      <w:r>
        <w:t xml:space="preserve">Where an Incident is caused by a breach of this Agreement by the Service Provider or any Sub-contractor, the Service Provider shall bear the reasonable costs of investigation, containment, remediation, notification to Data Principals and customers, credit monitoring or similar remedial services offered to affected customers on the Company’s reasonable decision, and forensic audit, subject to Article 22.</w:t>
      </w:r>
    </w:p>
    <w:bookmarkEnd w:id="33"/>
    <w:bookmarkStart w:id="34" w:name="X9d54539f875866936fb38e102ff35dffb0542d8"/>
    <w:p>
      <w:pPr>
        <w:pStyle w:val="Heading1"/>
      </w:pPr>
      <w:r>
        <w:t xml:space="preserve">13. SUB-CONTRACTING AND THIRD-PARTY COMPONENTS [Mandatory — RBI]</w:t>
      </w:r>
    </w:p>
    <w:p>
      <w:pPr>
        <w:pStyle w:val="FirstParagraph"/>
      </w:pPr>
      <w:r>
        <w:rPr>
          <w:bCs/>
          <w:b/>
        </w:rPr>
        <w:t xml:space="preserve">13.1 Prior written consent.</w:t>
      </w:r>
      <w:r>
        <w:t xml:space="preserve"> </w:t>
      </w:r>
      <w:r>
        <w:t xml:space="preserve">The Service Provider shall not sub-contract all or any part of the Services, or engage any Sub-processor, without the prior written consent of the Company (OUT para 34(iv)). The Sub-contractors and Sub-processors approved at the Effective Date, their functions, locations, data accessed and materiality, are listed in Schedule 10.</w:t>
      </w:r>
    </w:p>
    <w:p>
      <w:pPr>
        <w:pStyle w:val="BodyText"/>
      </w:pPr>
      <w:r>
        <w:rPr>
          <w:bCs/>
          <w:b/>
        </w:rPr>
        <w:t xml:space="preserve">13.2 Process for new or changed Sub-contractors.</w:t>
      </w:r>
      <w:r>
        <w:t xml:space="preserve"> </w:t>
      </w:r>
      <w:r>
        <w:t xml:space="preserve">The Service Provider shall give the Company at least [sixty (60)] days’ written notice of any proposed new Sub-contractor or Sub-processor, or of any change in the location, function or data access of an existing one, together with the information specified in Schedule 10 and the results of its due diligence. The Company may approve, approve with conditions or refuse the proposal, acting reasonably having regard to its regulatory obligations and risk assessment. If the Company refuses, the Service Provider shall not proceed; if the Service Provider cannot continue the Services without the change, the Company may terminate the affected Order Form by written notice without liability for any early-termination charge, and Clauses 24.7 and 25.5 shall apply as if the Order Form had been terminated under Clause 24.4. In an emergency affecting security or continuity, the Service Provider may engage a replacement Sub-contractor on an interim basis with the Company’s written consent by email, which the Company shall not unreasonably delay.</w:t>
      </w:r>
    </w:p>
    <w:p>
      <w:pPr>
        <w:pStyle w:val="BodyText"/>
      </w:pPr>
      <w:r>
        <w:rPr>
          <w:bCs/>
          <w:b/>
        </w:rPr>
        <w:t xml:space="preserve">13.3 Flow-down.</w:t>
      </w:r>
      <w:r>
        <w:t xml:space="preserve"> </w:t>
      </w:r>
      <w:r>
        <w:t xml:space="preserve">The Service Provider shall ensure that each Sub-contractor is bound by a written agreement containing terms no less protective of the Company and its customers than those in this Agreement, including service and performance standards (OUT paras 34(i) and 74(i)); audit rights of the Company (OUT paras 34(vii) and 74(i)); access and inspection rights of RBI and persons authorised by it (OUT para 74(xii)); confidentiality and non-disclosure; data localisation; incident notification timelines that enable the Service Provider to meet Article 12; business continuity; co-operation in exit; obligation to comply with RBI directions in relation to the Services; and return and destruction of data. The Service Provider shall provide copies of the relevant provisions to the Company on request.</w:t>
      </w:r>
    </w:p>
    <w:p>
      <w:pPr>
        <w:pStyle w:val="BodyText"/>
      </w:pPr>
      <w:r>
        <w:rPr>
          <w:bCs/>
          <w:b/>
        </w:rPr>
        <w:t xml:space="preserve">13.4 Liability for Sub-contractors.</w:t>
      </w:r>
      <w:r>
        <w:t xml:space="preserve"> </w:t>
      </w:r>
      <w:r>
        <w:t xml:space="preserve">The Service Provider shall remain fully responsible and contractually liable for the performance and risk management practices of its Sub-contractors and their sub-contractors (OUT para 74(xiii); ORM para 76) as if they were its own acts and omissions. Approval of a Sub-contractor by the Company shall not relieve the Service Provider of any obligation.</w:t>
      </w:r>
    </w:p>
    <w:p>
      <w:pPr>
        <w:pStyle w:val="BodyText"/>
      </w:pPr>
      <w:r>
        <w:rPr>
          <w:bCs/>
          <w:b/>
        </w:rPr>
        <w:t xml:space="preserve">13.5 Supply-chain information.</w:t>
      </w:r>
      <w:r>
        <w:t xml:space="preserve"> </w:t>
      </w:r>
      <w:r>
        <w:t xml:space="preserve">The Company shall have the right to seek, and the Service Provider shall provide within [ten (10)] Business Days, information about the third parties in the supply chain engaged by the Service Provider (OUT para 74(xi)), including key entities in the supply chain, to enable the Company to maintain its inventory of outsourced IT services and to map its dependency on third parties (OUT para 82; OUT para 64(2)), and to assess concentration risk (OUT para 67).</w:t>
      </w:r>
    </w:p>
    <w:p>
      <w:pPr>
        <w:pStyle w:val="BodyText"/>
      </w:pPr>
      <w:r>
        <w:rPr>
          <w:bCs/>
          <w:b/>
        </w:rPr>
        <w:t xml:space="preserve">13.6 Assessment of Sub-contractors.</w:t>
      </w:r>
      <w:r>
        <w:t xml:space="preserve"> </w:t>
      </w:r>
      <w:r>
        <w:t xml:space="preserve">The Service Provider shall assess each Sub-contractor before engagement and at least annually with regard to the confidentiality, integrity and availability of the data shared with it (OUT para 97(x)(d)), its security controls, financial soundness and business continuity, and shall share the results with the Company on request.</w:t>
      </w:r>
    </w:p>
    <w:p>
      <w:pPr>
        <w:pStyle w:val="BodyText"/>
      </w:pPr>
      <w:r>
        <w:rPr>
          <w:bCs/>
          <w:b/>
        </w:rPr>
        <w:t xml:space="preserve">13.7 Third-party and open-source components.</w:t>
      </w:r>
      <w:r>
        <w:t xml:space="preserve"> </w:t>
      </w:r>
      <w:r>
        <w:t xml:space="preserve">The Service Provider shall maintain and provide to the Company a software bill of materials for the Platform, shall use only third-party and open-source components whose licences permit their use in the Services without imposing obligations on the Company or Company Data, shall monitor such components for vulnerabilities, and shall remain responsible for their performance and security.</w:t>
      </w:r>
    </w:p>
    <w:p>
      <w:pPr>
        <w:pStyle w:val="BodyText"/>
      </w:pPr>
      <w:r>
        <w:rPr>
          <w:bCs/>
          <w:b/>
        </w:rPr>
        <w:t xml:space="preserve">13.8 Integration with Infrabyx group products.</w:t>
      </w:r>
      <w:r>
        <w:t xml:space="preserve"> </w:t>
      </w:r>
      <w:r>
        <w:t xml:space="preserve">Where the Company instructs the Service Provider to exchange Company Data with another product of the Infrabyx group through the Integration Hub, that product shall act under its own agreement with the Company and shall not be a Sub-processor of the Service Provider; the Service Provider shall exchange only the data fields specified in the Company’s instruction and shall apply the security and logging requirements of Schedule 5 to the integration.</w:t>
      </w:r>
    </w:p>
    <w:bookmarkEnd w:id="34"/>
    <w:bookmarkStart w:id="35" w:name="X2738b24ff8a0a2c2d2c8711a30219b01f67c1a7"/>
    <w:p>
      <w:pPr>
        <w:pStyle w:val="Heading1"/>
      </w:pPr>
      <w:r>
        <w:t xml:space="preserve">14. BUSINESS CONTINUITY AND DISASTER RECOVERY [Mandatory — RBI]</w:t>
      </w:r>
    </w:p>
    <w:p>
      <w:pPr>
        <w:pStyle w:val="FirstParagraph"/>
      </w:pPr>
      <w:r>
        <w:rPr>
          <w:bCs/>
          <w:b/>
        </w:rPr>
        <w:t xml:space="preserve">14.1 BCP framework.</w:t>
      </w:r>
      <w:r>
        <w:t xml:space="preserve"> </w:t>
      </w:r>
      <w:r>
        <w:t xml:space="preserve">The Service Provider shall develop, establish, document, maintain and test a robust business continuity and disaster recovery framework for the Services consistent with ISO 22301 and Schedule 8 (OUT paras 34(vi), 40 and 83; CYB para 127), commensurate with the nature and scope of the Services, which shall provide for continued operation of critical functions in the event of a disaster affecting the Services or failure of a cloud service provider, with minimal disruption and without compromising data integrity and security (OUT para 97(xiv)). The Service Provider shall provide the Company with proactive assurance of its readiness and preparedness for business continuity on an ongoing basis (CYB para 64).</w:t>
      </w:r>
    </w:p>
    <w:p>
      <w:pPr>
        <w:pStyle w:val="BodyText"/>
      </w:pPr>
      <w:r>
        <w:rPr>
          <w:bCs/>
          <w:b/>
        </w:rPr>
        <w:t xml:space="preserve">14.2 Recovery objectives.</w:t>
      </w:r>
      <w:r>
        <w:t xml:space="preserve"> </w:t>
      </w:r>
      <w:r>
        <w:t xml:space="preserve">The Service Provider shall meet the recovery time objective and recovery point objective for each Critical Application specified in Schedule 8, which for Critical Applications shall not exceed an RTO of [two (2)] hours and an RPO of [fifteen (15)] minutes (near-zero RPO for ledger and payment data) (CYB paras 134 and 135). Where RPO is not zero, the Service Provider shall maintain a documented methodology for reconciliation of data while resuming operations from the alternate site (CYB para 136).</w:t>
      </w:r>
    </w:p>
    <w:p>
      <w:pPr>
        <w:pStyle w:val="BodyText"/>
      </w:pPr>
      <w:r>
        <w:rPr>
          <w:bCs/>
          <w:b/>
        </w:rPr>
        <w:t xml:space="preserve">14.3 Disaster recovery site.</w:t>
      </w:r>
      <w:r>
        <w:t xml:space="preserve"> </w:t>
      </w:r>
      <w:r>
        <w:t xml:space="preserve">The disaster recovery site shall be in India, geographically separated from the primary site (CYB para 102), with configurations and deployed security patches identical to the primary site (CYB para 137).</w:t>
      </w:r>
    </w:p>
    <w:p>
      <w:pPr>
        <w:pStyle w:val="BodyText"/>
      </w:pPr>
      <w:r>
        <w:rPr>
          <w:bCs/>
          <w:b/>
        </w:rPr>
        <w:t xml:space="preserve">14.4 Testing.</w:t>
      </w:r>
      <w:r>
        <w:t xml:space="preserve"> </w:t>
      </w:r>
      <w:r>
        <w:t xml:space="preserve">To meet the contingency plan testing requirements to be included in the agreement (OUT para 74(x)), the Service Provider shall:</w:t>
      </w:r>
    </w:p>
    <w:p>
      <w:pPr>
        <w:numPr>
          <w:ilvl w:val="0"/>
          <w:numId w:val="1017"/>
        </w:numPr>
      </w:pPr>
      <w:r>
        <w:t xml:space="preserve">conduct disaster recovery drills for the Critical Applications at least once every six (6) months (CYB para 129), each involving switching over to the disaster recovery site and using it as the primary site for a sufficiently long period covering at least one full working day of usual business operations, including beginning-of-day to end-of-day operations (CYB para 131), and resolve and re-test any major issues before the next cycle (CYB para 130);</w:t>
      </w:r>
    </w:p>
    <w:p>
      <w:pPr>
        <w:numPr>
          <w:ilvl w:val="0"/>
          <w:numId w:val="1017"/>
        </w:numPr>
      </w:pPr>
      <w:r>
        <w:t xml:space="preserve">test the BCP under different scenarios for possible types of contingencies, including worst-case scenarios, at least annually and whenever significant changes occur (CYB paras 59(4) and 132);</w:t>
      </w:r>
    </w:p>
    <w:p>
      <w:pPr>
        <w:numPr>
          <w:ilvl w:val="0"/>
          <w:numId w:val="1017"/>
        </w:numPr>
      </w:pPr>
      <w:r>
        <w:t xml:space="preserve">back up Company Data and periodically restore backups to check their usability, preserving their integrity and securing them against unauthorised access (CYB para 133);</w:t>
      </w:r>
    </w:p>
    <w:p>
      <w:pPr>
        <w:numPr>
          <w:ilvl w:val="0"/>
          <w:numId w:val="1017"/>
        </w:numPr>
      </w:pPr>
      <w:r>
        <w:t xml:space="preserve">conduct drills at the cloud service provider level including necessary stakeholders (OUT para 97(xv)); and</w:t>
      </w:r>
    </w:p>
    <w:p>
      <w:pPr>
        <w:numPr>
          <w:ilvl w:val="0"/>
          <w:numId w:val="1017"/>
        </w:numPr>
      </w:pPr>
      <w:r>
        <w:t xml:space="preserve">participate in joint testing and recovery exercises with the Company and in collaborative and co-ordinated resilience testing that meets the Company’s RTO for critical interconnected systems (OUT para 40; CYB para 138; ORM para 79), at least annually.</w:t>
      </w:r>
    </w:p>
    <w:p>
      <w:pPr>
        <w:pStyle w:val="FirstParagraph"/>
      </w:pPr>
      <w:r>
        <w:rPr>
          <w:bCs/>
          <w:b/>
        </w:rPr>
        <w:t xml:space="preserve">14.5 Test reports.</w:t>
      </w:r>
      <w:r>
        <w:t xml:space="preserve"> </w:t>
      </w:r>
      <w:r>
        <w:t xml:space="preserve">The Service Provider shall give the Company [ten (10)] Business Days’ notice of each drill and deliver a written report of results, gaps and remediation within [ten (10)] Business Days after it, for presentation to the Company’s senior management and Board (CYB para 59(4); ORM para 82).</w:t>
      </w:r>
    </w:p>
    <w:p>
      <w:pPr>
        <w:pStyle w:val="BodyText"/>
      </w:pPr>
      <w:r>
        <w:rPr>
          <w:bCs/>
          <w:b/>
        </w:rPr>
        <w:t xml:space="preserve">14.6 Invocation.</w:t>
      </w:r>
      <w:r>
        <w:t xml:space="preserve"> </w:t>
      </w:r>
      <w:r>
        <w:t xml:space="preserve">The Service Provider shall invoke its disaster recovery plan in the circumstances specified in Schedule 8, and in any event if a Critical Application is unavailable for longer than [one (1)] hour without a credible restoration estimate within the RTO. The Company may require invocation where it reasonably believes the conditions are met.</w:t>
      </w:r>
    </w:p>
    <w:p>
      <w:pPr>
        <w:pStyle w:val="BodyText"/>
      </w:pPr>
      <w:r>
        <w:rPr>
          <w:bCs/>
          <w:b/>
        </w:rPr>
        <w:t xml:space="preserve">14.7 Contingency planning by the Company.</w:t>
      </w:r>
      <w:r>
        <w:t xml:space="preserve"> </w:t>
      </w:r>
      <w:r>
        <w:t xml:space="preserve">The Service Provider shall provide the information reasonably required by the Company to establish a viable contingency plan, including the availability of alternative service providers or the possibility of bringing the Services in-house in an emergency, and the costs, time and resources involved (OUT para 41).</w:t>
      </w:r>
    </w:p>
    <w:p>
      <w:pPr>
        <w:pStyle w:val="BodyText"/>
      </w:pPr>
      <w:r>
        <w:rPr>
          <w:bCs/>
          <w:b/>
        </w:rPr>
        <w:t xml:space="preserve">14.8 Operational resilience metrics.</w:t>
      </w:r>
      <w:r>
        <w:t xml:space="preserve"> </w:t>
      </w:r>
      <w:r>
        <w:t xml:space="preserve">The Service Provider shall report RTO, RPO, data-loss and service-level metrics for each Critical Service supported by the Platform, for use in the Company’s impact tolerances and operational resilience framework (CYB para 147; ORM para 33).</w:t>
      </w:r>
    </w:p>
    <w:bookmarkEnd w:id="35"/>
    <w:bookmarkStart w:id="36" w:name="change-management-and-regulatory-change"/>
    <w:p>
      <w:pPr>
        <w:pStyle w:val="Heading1"/>
      </w:pPr>
      <w:r>
        <w:t xml:space="preserve">15. CHANGE MANAGEMENT AND REGULATORY CHANGE</w:t>
      </w:r>
    </w:p>
    <w:p>
      <w:pPr>
        <w:pStyle w:val="FirstParagraph"/>
      </w:pPr>
      <w:r>
        <w:rPr>
          <w:bCs/>
          <w:b/>
        </w:rPr>
        <w:t xml:space="preserve">15.1 Change control.</w:t>
      </w:r>
      <w:r>
        <w:t xml:space="preserve"> </w:t>
      </w:r>
      <w:r>
        <w:t xml:space="preserve">Any Change shall be requested, assessed, approved and implemented in accordance with the change control procedure in Schedule 11, which shall provide for prioritising and responding to change proposals, cost-benefit analysis, assessment of risks and implementation, monitoring and reporting (CYB para 41). No Change shall be binding unless recorded in a change note signed by authorised representatives of both Parties, save for Regulatory Updates under Clause 15.2 and emergency security changes under Clause 15.5.</w:t>
      </w:r>
    </w:p>
    <w:p>
      <w:pPr>
        <w:pStyle w:val="BodyText"/>
      </w:pPr>
      <w:r>
        <w:rPr>
          <w:bCs/>
          <w:b/>
        </w:rPr>
        <w:t xml:space="preserve">15.2 Regulatory Updates.</w:t>
      </w:r>
      <w:r>
        <w:t xml:space="preserve"> </w:t>
      </w:r>
      <w:r>
        <w:t xml:space="preserve">The Service Provider shall monitor changes in the RBI Directions and other Applicable Law relevant to the functionality of the Platform, and shall make available Releases implementing such changes (</w:t>
      </w:r>
      <w:r>
        <w:t xml:space="preserve">“</w:t>
      </w:r>
      <w:r>
        <w:rPr>
          <w:bCs/>
          <w:b/>
        </w:rPr>
        <w:t xml:space="preserve">Regulatory Updates</w:t>
      </w:r>
      <w:r>
        <w:t xml:space="preserve">”</w:t>
      </w:r>
      <w:r>
        <w:t xml:space="preserve">) so that they are available for the Company’s testing not later than [thirty (30)] days before the date on which the change takes effect, or, where the change takes effect in less than [sixty (60)] days from its publication, as soon as reasonably practicable and in any event before it takes effect, with an interim workaround where necessary. Regulatory Updates of general application to the Service Provider’s customers (including changes to returns, formats, computations, disclosures, retention and controls prescribed by Regulators) shall be included in the subscription Fees. Changes specific to the Company’s products or policies shall be charged at the rates in the Order Form.</w:t>
      </w:r>
    </w:p>
    <w:p>
      <w:pPr>
        <w:pStyle w:val="BodyText"/>
      </w:pPr>
      <w:r>
        <w:rPr>
          <w:bCs/>
          <w:b/>
        </w:rPr>
        <w:t xml:space="preserve">15.3 Regulatory change affecting this Agreement [Mandatory — RBI].</w:t>
      </w:r>
      <w:r>
        <w:t xml:space="preserve"> </w:t>
      </w:r>
      <w:r>
        <w:t xml:space="preserve">If any change in Applicable Law, or any direction, observation or requirement of a Regulator or Supervisory Authority, requires a change to the terms of this Agreement or to the manner in which the Services are provided, the Parties shall promptly (and in any event within [thirty (30)] days or such shorter period as the Regulator requires) agree and execute the amendments required. Pending such amendment, the Service Provider shall comply with the requirement as communicated by the Company. Mandatory terms required by any amendment to the RBI Directions shall be deemed incorporated into this Agreement from the date they take effect. Any cost impact shall be dealt with under Clause 15.2 and shall not delay compliance.</w:t>
      </w:r>
    </w:p>
    <w:p>
      <w:pPr>
        <w:pStyle w:val="BodyText"/>
      </w:pPr>
      <w:r>
        <w:rPr>
          <w:bCs/>
          <w:b/>
        </w:rPr>
        <w:t xml:space="preserve">15.4 Material changes and documentation.</w:t>
      </w:r>
      <w:r>
        <w:t xml:space="preserve"> </w:t>
      </w:r>
      <w:r>
        <w:t xml:space="preserve">Each Release that constitutes a material change under Clause 8.7 shall be accompanied by release notes, an impact assessment on regulatory functionality, updated documentation and the certificate under Clause 8.7.</w:t>
      </w:r>
    </w:p>
    <w:p>
      <w:pPr>
        <w:pStyle w:val="BodyText"/>
      </w:pPr>
      <w:r>
        <w:rPr>
          <w:bCs/>
          <w:b/>
        </w:rPr>
        <w:t xml:space="preserve">15.5 Emergency changes.</w:t>
      </w:r>
      <w:r>
        <w:t xml:space="preserve"> </w:t>
      </w:r>
      <w:r>
        <w:t xml:space="preserve">The Service Provider may implement emergency changes necessary to address a critical security vulnerability or to restore service, without prior approval, provided it notifies the Company within [two (2)] hours and records the change for retrospective approval in accordance with Schedule 11 (CYB para 112(2) and (4)).</w:t>
      </w:r>
    </w:p>
    <w:p>
      <w:pPr>
        <w:pStyle w:val="BodyText"/>
      </w:pPr>
      <w:r>
        <w:rPr>
          <w:bCs/>
          <w:b/>
        </w:rPr>
        <w:t xml:space="preserve">15.6 Company’s product approval.</w:t>
      </w:r>
      <w:r>
        <w:t xml:space="preserve"> </w:t>
      </w:r>
      <w:r>
        <w:t xml:space="preserve">The Company remains responsible for the approval of new products, processes and Optional Modules through its compliance function and new-product committee (CMP paras 15(2) and 31) and for the approval of any new IT application introduced as a business product (CYB para 88).</w:t>
      </w:r>
    </w:p>
    <w:bookmarkEnd w:id="36"/>
    <w:bookmarkStart w:id="37" w:name="fees-invoicing-and-taxes"/>
    <w:p>
      <w:pPr>
        <w:pStyle w:val="Heading1"/>
      </w:pPr>
      <w:r>
        <w:t xml:space="preserve">16. FEES, INVOICING AND TAXES</w:t>
      </w:r>
    </w:p>
    <w:p>
      <w:pPr>
        <w:pStyle w:val="FirstParagraph"/>
      </w:pPr>
      <w:r>
        <w:rPr>
          <w:bCs/>
          <w:b/>
        </w:rPr>
        <w:t xml:space="preserve">16.1 Fees.</w:t>
      </w:r>
      <w:r>
        <w:t xml:space="preserve"> </w:t>
      </w:r>
      <w:r>
        <w:t xml:space="preserve">In consideration of the Services, the Company shall pay the Fees in the Order Form. Except as stated in the Order Form, the Fees include all costs of the Service Provider in providing the Services, including hosting, security, business continuity, Releases, Regulatory Updates of general application, support and the regulatory co-operation required by Article 9.</w:t>
      </w:r>
    </w:p>
    <w:p>
      <w:pPr>
        <w:pStyle w:val="BodyText"/>
      </w:pPr>
      <w:r>
        <w:rPr>
          <w:bCs/>
          <w:b/>
        </w:rPr>
        <w:t xml:space="preserve">16.2 Invoicing.</w:t>
      </w:r>
      <w:r>
        <w:t xml:space="preserve"> </w:t>
      </w:r>
      <w:r>
        <w:t xml:space="preserve">The Service Provider shall invoice the Fees [monthly / quarterly] in [advance / arrears] as specified in the Order Form. Each invoice shall be a valid tax invoice under the Central Goods and Services Tax Act, 2017 and the rules made under it, and shall be supported by usage data where Fees are usage-based.</w:t>
      </w:r>
    </w:p>
    <w:p>
      <w:pPr>
        <w:pStyle w:val="BodyText"/>
      </w:pPr>
      <w:r>
        <w:rPr>
          <w:bCs/>
          <w:b/>
        </w:rPr>
        <w:t xml:space="preserve">16.3 Payment.</w:t>
      </w:r>
      <w:r>
        <w:t xml:space="preserve"> </w:t>
      </w:r>
      <w:r>
        <w:t xml:space="preserve">The Company shall pay each undisputed invoice within [thirty (30)] days of receipt, by electronic transfer to the account of the Service Provider specified in the Order Form.</w:t>
      </w:r>
    </w:p>
    <w:p>
      <w:pPr>
        <w:pStyle w:val="BodyText"/>
      </w:pPr>
      <w:r>
        <w:rPr>
          <w:bCs/>
          <w:b/>
        </w:rPr>
        <w:t xml:space="preserve">16.4 Disputed amounts.</w:t>
      </w:r>
      <w:r>
        <w:t xml:space="preserve"> </w:t>
      </w:r>
      <w:r>
        <w:t xml:space="preserve">The Company may withhold any amount disputed in good faith by notice before the due date stating the reasons. The Parties shall resolve the dispute under Article 30. The Service Provider shall not suspend, degrade or restrict the Services or access to Company Data on account of any disputed amount.</w:t>
      </w:r>
    </w:p>
    <w:p>
      <w:pPr>
        <w:pStyle w:val="BodyText"/>
      </w:pPr>
      <w:r>
        <w:rPr>
          <w:bCs/>
          <w:b/>
        </w:rPr>
        <w:t xml:space="preserve">16.5 Taxes.</w:t>
      </w:r>
      <w:r>
        <w:t xml:space="preserve"> </w:t>
      </w:r>
      <w:r>
        <w:t xml:space="preserve">The Fees are exclusive of goods and services tax, which shall be payable by the Company in addition at the applicable rate against a valid tax invoice. Each Party shall bear its own income taxes. The Company may deduct tax at source as required by the Income-tax Act, 2025 (or the Income-tax Act, 1961, for any period to which it applies) [VERIFY: applicable section and rate for software-as-a-service fees] and shall provide the certificate of deduction within the prescribed time. The Service Provider shall ensure that its returns are filed so that the Company is able to avail input tax credit; where input tax credit is denied by reason of the Service Provider’s default, the Service Provider shall indemnify the Company for the tax, interest and penalty.</w:t>
      </w:r>
    </w:p>
    <w:p>
      <w:pPr>
        <w:pStyle w:val="BodyText"/>
      </w:pPr>
      <w:r>
        <w:rPr>
          <w:bCs/>
          <w:b/>
        </w:rPr>
        <w:t xml:space="preserve">16.6 Fee revision.</w:t>
      </w:r>
      <w:r>
        <w:t xml:space="preserve"> </w:t>
      </w:r>
      <w:r>
        <w:t xml:space="preserve">The Fees shall be fixed for the initial [thirty-six (36)] months of the Term. Thereafter the Service Provider may revise the Fees once in any twelve months on [ninety (90)] days’ notice, by not more than the lower of [●]% and the percentage change in the Consumer Price Index (Industrial Workers) over the preceding twelve months.</w:t>
      </w:r>
    </w:p>
    <w:p>
      <w:pPr>
        <w:pStyle w:val="BodyText"/>
      </w:pPr>
      <w:r>
        <w:rPr>
          <w:bCs/>
          <w:b/>
        </w:rPr>
        <w:t xml:space="preserve">16.7 Late payment.</w:t>
      </w:r>
      <w:r>
        <w:t xml:space="preserve"> </w:t>
      </w:r>
      <w:r>
        <w:t xml:space="preserve">Undisputed amounts not paid by the due date shall bear simple interest at [●]% per annum from the due date until payment or, where the Service Provider is a micro or small enterprise and the interest payable under section 16 of the Micro, Small and Medium Enterprises Development Act, 2006 is higher, interest at the rate payable under that section.</w:t>
      </w:r>
    </w:p>
    <w:p>
      <w:pPr>
        <w:pStyle w:val="BodyText"/>
      </w:pPr>
      <w:r>
        <w:rPr>
          <w:bCs/>
          <w:b/>
        </w:rPr>
        <w:t xml:space="preserve">16.8 Set-off.</w:t>
      </w:r>
      <w:r>
        <w:t xml:space="preserve"> </w:t>
      </w:r>
      <w:r>
        <w:t xml:space="preserve">The Company may set off Service Credits, liquidated damages and amounts due to it under this Agreement against Fees payable.</w:t>
      </w:r>
    </w:p>
    <w:p>
      <w:pPr>
        <w:pStyle w:val="BodyText"/>
      </w:pPr>
      <w:r>
        <w:rPr>
          <w:bCs/>
          <w:b/>
        </w:rPr>
        <w:t xml:space="preserve">16.9 Reconciliation.</w:t>
      </w:r>
      <w:r>
        <w:t xml:space="preserve"> </w:t>
      </w:r>
      <w:r>
        <w:t xml:space="preserve">The Service Provider shall provide, within [fifteen (15)] days of the end of each quarter, a statement of account reconciling invoices, payments, Service Credits and disputed amounts, so that the Company can carry out timely reconciliation and its Audit Committee can review the ageing of entries pending reconciliation with outsourced vendors (OUT paras 12(2)(ii) and 39).</w:t>
      </w:r>
    </w:p>
    <w:bookmarkEnd w:id="37"/>
    <w:bookmarkStart w:id="38" w:name="intellectual-property"/>
    <w:p>
      <w:pPr>
        <w:pStyle w:val="Heading1"/>
      </w:pPr>
      <w:r>
        <w:t xml:space="preserve">17. INTELLECTUAL PROPERTY</w:t>
      </w:r>
    </w:p>
    <w:p>
      <w:pPr>
        <w:pStyle w:val="FirstParagraph"/>
      </w:pPr>
      <w:r>
        <w:rPr>
          <w:bCs/>
          <w:b/>
        </w:rPr>
        <w:t xml:space="preserve">17.1 Service Provider IP.</w:t>
      </w:r>
      <w:r>
        <w:t xml:space="preserve"> </w:t>
      </w:r>
      <w:r>
        <w:t xml:space="preserve">The Service Provider and its licensors retain all Intellectual Property Rights in the Platform, its source code, documentation, default configurations, templates, rule libraries, know-how and all improvements to them (</w:t>
      </w:r>
      <w:r>
        <w:t xml:space="preserve">“</w:t>
      </w:r>
      <w:r>
        <w:rPr>
          <w:bCs/>
          <w:b/>
        </w:rPr>
        <w:t xml:space="preserve">Service Provider IP</w:t>
      </w:r>
      <w:r>
        <w:t xml:space="preserve">”</w:t>
      </w:r>
      <w:r>
        <w:t xml:space="preserve">). Except as expressly granted in this Agreement, no right in the Service Provider IP passes to the Company.</w:t>
      </w:r>
    </w:p>
    <w:p>
      <w:pPr>
        <w:pStyle w:val="BodyText"/>
      </w:pPr>
      <w:r>
        <w:rPr>
          <w:bCs/>
          <w:b/>
        </w:rPr>
        <w:t xml:space="preserve">17.2 Company IP and Company Data.</w:t>
      </w:r>
      <w:r>
        <w:t xml:space="preserve"> </w:t>
      </w:r>
      <w:r>
        <w:t xml:space="preserve">The Company retains all Intellectual Property Rights in Company Data, its trade marks, its policies, product terms, Company-specific configurations, rule versions, scorecards, workflows and templates created by or for the Company (collectively,</w:t>
      </w:r>
      <w:r>
        <w:t xml:space="preserve"> </w:t>
      </w:r>
      <w:r>
        <w:t xml:space="preserve">“</w:t>
      </w:r>
      <w:r>
        <w:rPr>
          <w:bCs/>
          <w:b/>
        </w:rPr>
        <w:t xml:space="preserve">Company Materials</w:t>
      </w:r>
      <w:r>
        <w:t xml:space="preserve">”</w:t>
      </w:r>
      <w:r>
        <w:t xml:space="preserve">). The Service Provider shall not use Company Materials except to provide the Services.</w:t>
      </w:r>
    </w:p>
    <w:p>
      <w:pPr>
        <w:pStyle w:val="BodyText"/>
      </w:pPr>
      <w:r>
        <w:rPr>
          <w:bCs/>
          <w:b/>
        </w:rPr>
        <w:t xml:space="preserve">17.3 Deliverables.</w:t>
      </w:r>
      <w:r>
        <w:t xml:space="preserve"> </w:t>
      </w:r>
      <w:r>
        <w:t xml:space="preserve">Intellectual Property Rights in Deliverables created specifically for the Company and identified as such in the Order Form shall vest in the Company on creation and the Service Provider hereby assigns them to the Company absolutely, for the full term of those rights and throughout the world (so that the presumptions of a five-year term and Indian territory in section 19(5) and (6) of the Copyright Act, 1957 do not apply), provided that generic tools and improvements to the Platform shall remain Service Provider IP and are licensed to the Company under Clause 4.1. The Service Provider shall procure waivers of moral rights from its personnel to the extent permitted by law.</w:t>
      </w:r>
    </w:p>
    <w:p>
      <w:pPr>
        <w:pStyle w:val="BodyText"/>
      </w:pPr>
      <w:r>
        <w:rPr>
          <w:bCs/>
          <w:b/>
        </w:rPr>
        <w:t xml:space="preserve">17.4 Licence to use Company trade marks.</w:t>
      </w:r>
      <w:r>
        <w:t xml:space="preserve"> </w:t>
      </w:r>
      <w:r>
        <w:t xml:space="preserve">The Company grants the Service Provider a limited, revocable licence to display the Company’s name and marks within the Platform interfaces used by the Company and its customers, solely as configured by the Company. The Service Provider shall not use the Company’s name or marks in any publicity or customer list without the Company’s prior written consent.</w:t>
      </w:r>
    </w:p>
    <w:p>
      <w:pPr>
        <w:pStyle w:val="BodyText"/>
      </w:pPr>
      <w:r>
        <w:rPr>
          <w:bCs/>
          <w:b/>
        </w:rPr>
        <w:t xml:space="preserve">17.5 Feedback.</w:t>
      </w:r>
      <w:r>
        <w:t xml:space="preserve"> </w:t>
      </w:r>
      <w:r>
        <w:t xml:space="preserve">The Service Provider may use suggestions made by the Company for improving the Platform, provided they contain no Company Data or Confidential Information of the Company.</w:t>
      </w:r>
    </w:p>
    <w:p>
      <w:pPr>
        <w:pStyle w:val="BodyText"/>
      </w:pPr>
      <w:r>
        <w:rPr>
          <w:bCs/>
          <w:b/>
        </w:rPr>
        <w:t xml:space="preserve">17.6 Exit and escrow licence.</w:t>
      </w:r>
      <w:r>
        <w:t xml:space="preserve"> </w:t>
      </w:r>
      <w:r>
        <w:t xml:space="preserve">On termination, the Company shall retain a perpetual, royalty-free right to use the exported Company Data and Company Materials, and the reports, documents and records generated by the Platform, for any lawful purpose. Article 26 governs the licence on release of escrow materials.</w:t>
      </w:r>
    </w:p>
    <w:bookmarkEnd w:id="38"/>
    <w:bookmarkStart w:id="39" w:name="confidentiality"/>
    <w:p>
      <w:pPr>
        <w:pStyle w:val="Heading1"/>
      </w:pPr>
      <w:r>
        <w:t xml:space="preserve">18. CONFIDENTIALITY</w:t>
      </w:r>
    </w:p>
    <w:p>
      <w:pPr>
        <w:pStyle w:val="FirstParagraph"/>
      </w:pPr>
      <w:r>
        <w:rPr>
          <w:bCs/>
          <w:b/>
        </w:rPr>
        <w:t xml:space="preserve">18.1 Definition.</w:t>
      </w:r>
      <w:r>
        <w:t xml:space="preserve"> </w:t>
      </w:r>
      <w:r>
        <w:t xml:space="preserve">“</w:t>
      </w:r>
      <w:r>
        <w:rPr>
          <w:bCs/>
          <w:b/>
        </w:rPr>
        <w:t xml:space="preserve">Confidential Information</w:t>
      </w:r>
      <w:r>
        <w:t xml:space="preserve">”</w:t>
      </w:r>
      <w:r>
        <w:t xml:space="preserve"> </w:t>
      </w:r>
      <w:r>
        <w:t xml:space="preserve">means all information, in any form, disclosed by or on behalf of a Party (the</w:t>
      </w:r>
      <w:r>
        <w:t xml:space="preserve"> </w:t>
      </w:r>
      <w:r>
        <w:t xml:space="preserve">“</w:t>
      </w:r>
      <w:r>
        <w:rPr>
          <w:bCs/>
          <w:b/>
        </w:rPr>
        <w:t xml:space="preserve">Discloser</w:t>
      </w:r>
      <w:r>
        <w:t xml:space="preserve">”</w:t>
      </w:r>
      <w:r>
        <w:t xml:space="preserve">) to the other (the</w:t>
      </w:r>
      <w:r>
        <w:t xml:space="preserve"> </w:t>
      </w:r>
      <w:r>
        <w:t xml:space="preserve">“</w:t>
      </w:r>
      <w:r>
        <w:rPr>
          <w:bCs/>
          <w:b/>
        </w:rPr>
        <w:t xml:space="preserve">Recipient</w:t>
      </w:r>
      <w:r>
        <w:t xml:space="preserve">”</w:t>
      </w:r>
      <w:r>
        <w:t xml:space="preserve">) or obtained by the Recipient in connection with this Agreement, including Company Data, customer information, business plans, pricing, security reports, audit reports, source code and the terms of this Agreement.</w:t>
      </w:r>
    </w:p>
    <w:p>
      <w:pPr>
        <w:pStyle w:val="BodyText"/>
      </w:pPr>
      <w:r>
        <w:rPr>
          <w:bCs/>
          <w:b/>
        </w:rPr>
        <w:t xml:space="preserve">18.2 Obligations.</w:t>
      </w:r>
      <w:r>
        <w:t xml:space="preserve"> </w:t>
      </w:r>
      <w:r>
        <w:t xml:space="preserve">The Recipient shall: (a) keep the Discloser’s Confidential Information secret and not disclose it except under this Article; (b) use it only to perform or exercise rights under this Agreement; (c) protect it with at least the degree of care it uses for its own confidential information and no less than reasonable care, and, for Company Data, the measures in Articles 10 and 11; and (d) disclose it only to its personnel, professional advisers, auditors, (in the case of the Service Provider) Approved Sub-contractors and (in the case of the Company) any Successor Provider or prospective Successor Provider, in each case who need to know it and are bound by obligations of confidentiality no less protective than this Article.</w:t>
      </w:r>
    </w:p>
    <w:p>
      <w:pPr>
        <w:pStyle w:val="BodyText"/>
      </w:pPr>
      <w:r>
        <w:rPr>
          <w:bCs/>
          <w:b/>
        </w:rPr>
        <w:t xml:space="preserve">18.3 Exceptions.</w:t>
      </w:r>
      <w:r>
        <w:t xml:space="preserve"> </w:t>
      </w:r>
      <w:r>
        <w:t xml:space="preserve">Clause 18.2 does not apply to information that the Recipient can show (a) is or becomes publicly available other than through breach; (b) was lawfully in its possession free of any duty of confidence before disclosure; (c) is lawfully received from a third party free of any duty of confidence; or (d) is independently developed without use of the Discloser’s information. These exceptions do not apply to Customer Data or Personal Data.</w:t>
      </w:r>
    </w:p>
    <w:p>
      <w:pPr>
        <w:pStyle w:val="BodyText"/>
      </w:pPr>
      <w:r>
        <w:rPr>
          <w:bCs/>
          <w:b/>
        </w:rPr>
        <w:t xml:space="preserve">18.4 Disclosures required by law and to Regulators [Mandatory — RBI].</w:t>
      </w:r>
      <w:r>
        <w:t xml:space="preserve"> </w:t>
      </w:r>
      <w:r>
        <w:t xml:space="preserve">Nothing in this Agreement shall prevent either Party from disclosing any information (including Confidential Information of the other Party and the terms of this Agreement) to RBI, the National Housing Bank or any other Supervisory Authority, or as required by Applicable Law or a court order. Where disclosure is required by law (other than to a Supervisory Authority in connection with the Company), the Recipient shall, where lawful, notify the Discloser in advance and disclose only what is required.</w:t>
      </w:r>
    </w:p>
    <w:p>
      <w:pPr>
        <w:pStyle w:val="BodyText"/>
      </w:pPr>
      <w:r>
        <w:rPr>
          <w:bCs/>
          <w:b/>
        </w:rPr>
        <w:t xml:space="preserve">18.5 Non-disclosure agreements [Mandatory — RBI].</w:t>
      </w:r>
      <w:r>
        <w:t xml:space="preserve"> </w:t>
      </w:r>
      <w:r>
        <w:t xml:space="preserve">The Service Provider shall ensure that each of its personnel and each Sub-contractor having access to Company Data or Confidential Information of the Company executes a non-disclosure undertaking in the form in Schedule 15 with respect to information retained by the Service Provider (OUT para 74(xix)), and shall maintain controls for maintaining confidentiality of data, including of the Company’s customers (OUT para 34(v)).</w:t>
      </w:r>
    </w:p>
    <w:p>
      <w:pPr>
        <w:pStyle w:val="BodyText"/>
      </w:pPr>
      <w:r>
        <w:rPr>
          <w:bCs/>
          <w:b/>
        </w:rPr>
        <w:t xml:space="preserve">18.6 Survival [Mandatory — RBI].</w:t>
      </w:r>
      <w:r>
        <w:t xml:space="preserve"> </w:t>
      </w:r>
      <w:r>
        <w:t xml:space="preserve">The obligations in this Article shall survive the expiry or termination of this Agreement. The confidentiality of customers’ information shall be maintained even after this Agreement expires or is terminated, without limit of time (OUT para 34(xi)). The confidentiality of other Confidential Information shall be maintained for [five (5)] years after expiry or termination, or for so long as it remains confidential, whichever is later.</w:t>
      </w:r>
    </w:p>
    <w:p>
      <w:pPr>
        <w:pStyle w:val="BodyText"/>
      </w:pPr>
      <w:r>
        <w:rPr>
          <w:bCs/>
          <w:b/>
        </w:rPr>
        <w:t xml:space="preserve">18.7 Liability for breach [Mandatory — RBI].</w:t>
      </w:r>
      <w:r>
        <w:t xml:space="preserve"> </w:t>
      </w:r>
      <w:r>
        <w:t xml:space="preserve">The Service Provider shall be liable to the Company in the event of a Security Breach or leakage of confidential information, including of the Company’s customers, caused by the Service Provider, its personnel or Sub-contractors (OUT para 34(v)), in accordance with Articles 21 and 22.</w:t>
      </w:r>
    </w:p>
    <w:p>
      <w:pPr>
        <w:pStyle w:val="BodyText"/>
      </w:pPr>
      <w:r>
        <w:rPr>
          <w:bCs/>
          <w:b/>
        </w:rPr>
        <w:t xml:space="preserve">18.8 Equitable relief.</w:t>
      </w:r>
      <w:r>
        <w:t xml:space="preserve"> </w:t>
      </w:r>
      <w:r>
        <w:t xml:space="preserve">Each Party acknowledges that damages may not be an adequate remedy for breach of this Article and that the other Party may seek injunctive relief and specific performance, without prejudice to other remedies.</w:t>
      </w:r>
    </w:p>
    <w:bookmarkEnd w:id="39"/>
    <w:bookmarkStart w:id="40" w:name="personnel"/>
    <w:p>
      <w:pPr>
        <w:pStyle w:val="Heading1"/>
      </w:pPr>
      <w:r>
        <w:t xml:space="preserve">19. PERSONNEL</w:t>
      </w:r>
    </w:p>
    <w:p>
      <w:pPr>
        <w:pStyle w:val="FirstParagraph"/>
      </w:pPr>
      <w:r>
        <w:rPr>
          <w:bCs/>
          <w:b/>
        </w:rPr>
        <w:t xml:space="preserve">19.1 Qualified personnel.</w:t>
      </w:r>
      <w:r>
        <w:t xml:space="preserve"> </w:t>
      </w:r>
      <w:r>
        <w:t xml:space="preserve">The Service Provider shall assign to the Services personnel who are appropriately qualified, trained and experienced, and shall maintain sufficient resources to meet its obligations.</w:t>
      </w:r>
    </w:p>
    <w:p>
      <w:pPr>
        <w:pStyle w:val="BodyText"/>
      </w:pPr>
      <w:r>
        <w:rPr>
          <w:bCs/>
          <w:b/>
        </w:rPr>
        <w:t xml:space="preserve">19.2 Background verification.</w:t>
      </w:r>
      <w:r>
        <w:t xml:space="preserve"> </w:t>
      </w:r>
      <w:r>
        <w:t xml:space="preserve">The Service Provider shall carry out background verification of all personnel engaged in the Services (identity, address, employment, education and criminal-record checks, to the extent permitted by law) before deployment, and rigorous screening of personnel with privileged access (CYB para 21(4)), and shall provide evidence to the Company on request.</w:t>
      </w:r>
    </w:p>
    <w:p>
      <w:pPr>
        <w:pStyle w:val="BodyText"/>
      </w:pPr>
      <w:r>
        <w:rPr>
          <w:bCs/>
          <w:b/>
        </w:rPr>
        <w:t xml:space="preserve">19.3 Key personnel.</w:t>
      </w:r>
      <w:r>
        <w:t xml:space="preserve"> </w:t>
      </w:r>
      <w:r>
        <w:t xml:space="preserve">The Service Provider shall designate the key personnel named in Schedule 12, including a relationship manager, a delivery lead, an information security officer and a business continuity lead, and shall not remove or replace them without [thirty (30)] days’ notice and a suitably qualified replacement, except for resignation, illness or termination of employment.</w:t>
      </w:r>
    </w:p>
    <w:p>
      <w:pPr>
        <w:pStyle w:val="BodyText"/>
      </w:pPr>
      <w:r>
        <w:rPr>
          <w:bCs/>
          <w:b/>
        </w:rPr>
        <w:t xml:space="preserve">19.4 Essential personnel.</w:t>
      </w:r>
      <w:r>
        <w:t xml:space="preserve"> </w:t>
      </w:r>
      <w:r>
        <w:t xml:space="preserve">Clause 8.9 applies.</w:t>
      </w:r>
    </w:p>
    <w:p>
      <w:pPr>
        <w:pStyle w:val="BodyText"/>
      </w:pPr>
      <w:r>
        <w:rPr>
          <w:bCs/>
          <w:b/>
        </w:rPr>
        <w:t xml:space="preserve">19.5 Removal.</w:t>
      </w:r>
      <w:r>
        <w:t xml:space="preserve"> </w:t>
      </w:r>
      <w:r>
        <w:t xml:space="preserve">The Company may, on reasonable grounds (including breach of Company Policies, security concerns or misconduct), require the Service Provider to remove any person from the Services, and the Service Provider shall promptly do so and provide a suitable replacement.</w:t>
      </w:r>
    </w:p>
    <w:p>
      <w:pPr>
        <w:pStyle w:val="BodyText"/>
      </w:pPr>
      <w:r>
        <w:rPr>
          <w:bCs/>
          <w:b/>
        </w:rPr>
        <w:t xml:space="preserve">19.6 No employment relationship.</w:t>
      </w:r>
      <w:r>
        <w:t xml:space="preserve"> </w:t>
      </w:r>
      <w:r>
        <w:t xml:space="preserve">Personnel of the Service Provider shall remain its employees or contractors. The Service Provider shall be solely responsible for their remuneration, statutory contributions and compliance with labour laws, including the Code on Wages, 2019, the Code on Social Security, 2020, the Industrial Relations Code, 2020 and the Occupational Safety, Health and Working Conditions Code, 2020, to the extent in force, and shall indemnify the Company against any claim by or in respect of such personnel.</w:t>
      </w:r>
    </w:p>
    <w:p>
      <w:pPr>
        <w:pStyle w:val="BodyText"/>
      </w:pPr>
      <w:r>
        <w:rPr>
          <w:bCs/>
          <w:b/>
        </w:rPr>
        <w:t xml:space="preserve">19.7 On-site conduct.</w:t>
      </w:r>
      <w:r>
        <w:t xml:space="preserve"> </w:t>
      </w:r>
      <w:r>
        <w:t xml:space="preserve">Personnel of the Service Provider attending the Company’s premises shall comply with the Company’s security, safety and conduct rules and shall not access Company systems other than as authorised.</w:t>
      </w:r>
    </w:p>
    <w:p>
      <w:pPr>
        <w:pStyle w:val="BodyText"/>
      </w:pPr>
      <w:r>
        <w:rPr>
          <w:bCs/>
          <w:b/>
        </w:rPr>
        <w:t xml:space="preserve">19.8 Non-solicitation [Option].</w:t>
      </w:r>
      <w:r>
        <w:t xml:space="preserve"> </w:t>
      </w:r>
      <w:r>
        <w:t xml:space="preserve">During the Term and for [twelve (12)] months after it, neither Party shall directly solicit for employment any employee of the other Party who was materially involved in the Services, without the other Party’s consent. General advertisements and the hiring of persons responding to them shall not breach this Clause. This Clause shall not restrict the Company or a Successor Provider from engaging personnel during exit where required for continuity.</w:t>
      </w:r>
    </w:p>
    <w:bookmarkEnd w:id="40"/>
    <w:bookmarkStart w:id="41" w:name="representations-and-warranties"/>
    <w:p>
      <w:pPr>
        <w:pStyle w:val="Heading1"/>
      </w:pPr>
      <w:r>
        <w:t xml:space="preserve">20. REPRESENTATIONS AND WARRANTIES</w:t>
      </w:r>
    </w:p>
    <w:p>
      <w:pPr>
        <w:pStyle w:val="FirstParagraph"/>
      </w:pPr>
      <w:r>
        <w:rPr>
          <w:bCs/>
          <w:b/>
        </w:rPr>
        <w:t xml:space="preserve">20.1 Mutual.</w:t>
      </w:r>
      <w:r>
        <w:t xml:space="preserve"> </w:t>
      </w:r>
      <w:r>
        <w:t xml:space="preserve">Each Party represents and warrants to the other, on the Effective Date and on the date of each Order Form, that: (a) it is duly incorporated and validly existing under the laws of India; (b) it has the corporate power and authority to enter into and perform this Agreement, and has obtained all necessary corporate approvals; (c) this Agreement constitutes its legal, valid and binding obligations; (d) its execution and performance of this Agreement do not contravene its constitutional documents, any Applicable Law or any agreement binding on it; and (e) no insolvency, winding-up or similar proceeding has been admitted against it.</w:t>
      </w:r>
    </w:p>
    <w:p>
      <w:pPr>
        <w:pStyle w:val="BodyText"/>
      </w:pPr>
      <w:r>
        <w:rPr>
          <w:bCs/>
          <w:b/>
        </w:rPr>
        <w:t xml:space="preserve">20.2 Service Provider.</w:t>
      </w:r>
      <w:r>
        <w:t xml:space="preserve"> </w:t>
      </w:r>
      <w:r>
        <w:t xml:space="preserve">The Service Provider further represents, warrants and undertakes that:</w:t>
      </w:r>
    </w:p>
    <w:p>
      <w:pPr>
        <w:numPr>
          <w:ilvl w:val="0"/>
          <w:numId w:val="1018"/>
        </w:numPr>
      </w:pPr>
      <w:r>
        <w:t xml:space="preserve">the declaration in Clause 3.6 and the declarations in Schedule 15 are true, complete and not misleading;</w:t>
      </w:r>
    </w:p>
    <w:p>
      <w:pPr>
        <w:numPr>
          <w:ilvl w:val="0"/>
          <w:numId w:val="1018"/>
        </w:numPr>
      </w:pPr>
      <w:r>
        <w:t xml:space="preserve">the Platform will perform materially in accordance with Schedule 2 and the documentation, and the Services will be performed in accordance with this Agreement;</w:t>
      </w:r>
    </w:p>
    <w:p>
      <w:pPr>
        <w:numPr>
          <w:ilvl w:val="0"/>
          <w:numId w:val="1018"/>
        </w:numPr>
      </w:pPr>
      <w:r>
        <w:t xml:space="preserve">the Platform does not and will not contain any virus, malware, time bomb, back door, covert channel, undisclosed remote-disablement function or other malicious code, and the Service Provider shall not use any mechanism to disable or restrict the Platform or access to Company Data;</w:t>
      </w:r>
    </w:p>
    <w:p>
      <w:pPr>
        <w:numPr>
          <w:ilvl w:val="0"/>
          <w:numId w:val="1018"/>
        </w:numPr>
      </w:pPr>
      <w:r>
        <w:t xml:space="preserve">the receipt and use of the Services by the Company in accordance with this Agreement will not infringe the Intellectual Property Rights of any third party;</w:t>
      </w:r>
    </w:p>
    <w:p>
      <w:pPr>
        <w:numPr>
          <w:ilvl w:val="0"/>
          <w:numId w:val="1018"/>
        </w:numPr>
      </w:pPr>
      <w:r>
        <w:t xml:space="preserve">it holds and will maintain all registrations, licences and certifications required for the Services, including those referred to in Clause 8.5;</w:t>
      </w:r>
    </w:p>
    <w:p>
      <w:pPr>
        <w:numPr>
          <w:ilvl w:val="0"/>
          <w:numId w:val="1018"/>
        </w:numPr>
      </w:pPr>
      <w:r>
        <w:t xml:space="preserve">it is not, and none of its directors is, debarred or blacklisted by any Regulator, Governmental Authority or regulated entity, or included in any sanctions list maintained under the Unlawful Activities (Prevention) Act, 1967 or by the United Nations Security Council, and it has not been declared a wilful defaulter;</w:t>
      </w:r>
    </w:p>
    <w:p>
      <w:pPr>
        <w:numPr>
          <w:ilvl w:val="0"/>
          <w:numId w:val="1018"/>
        </w:numPr>
      </w:pPr>
      <w:r>
        <w:t xml:space="preserve">it has disclosed to the Company all information material to the Company’s due diligence, including any material litigation, regulatory action, security breach in the preceding [three (3)] years and conflict of interest; and</w:t>
      </w:r>
    </w:p>
    <w:p>
      <w:pPr>
        <w:numPr>
          <w:ilvl w:val="0"/>
          <w:numId w:val="1018"/>
        </w:numPr>
      </w:pPr>
      <w:r>
        <w:t xml:space="preserve">it has the financial and operational capacity to perform this Agreement for the Term and the Exit Period.</w:t>
      </w:r>
    </w:p>
    <w:p>
      <w:pPr>
        <w:pStyle w:val="FirstParagraph"/>
      </w:pPr>
      <w:r>
        <w:rPr>
          <w:bCs/>
          <w:b/>
        </w:rPr>
        <w:t xml:space="preserve">20.3 Company.</w:t>
      </w:r>
      <w:r>
        <w:t xml:space="preserve"> </w:t>
      </w:r>
      <w:r>
        <w:t xml:space="preserve">The Company further represents and warrants that: (a) it holds a valid certificate of registration from RBI (or, for an HFC, as applicable) and is in the layer stated in the description of the Parties; (b) it has the right to provide Company Data to the Service Provider for processing under this Agreement; and (c) it has complied with Clause 2.6(a).</w:t>
      </w:r>
    </w:p>
    <w:p>
      <w:pPr>
        <w:pStyle w:val="BodyText"/>
      </w:pPr>
      <w:r>
        <w:rPr>
          <w:bCs/>
          <w:b/>
        </w:rPr>
        <w:t xml:space="preserve">20.4 Disclaimer.</w:t>
      </w:r>
      <w:r>
        <w:t xml:space="preserve"> </w:t>
      </w:r>
      <w:r>
        <w:t xml:space="preserve">Except as expressly stated in this Agreement, neither Party gives any warranty, express or implied, including as to merchantability or fitness for purpose. The Service Provider does not warrant that the Platform will be error-free, but shall correct errors in accordance with Schedule 3. This Clause shall not limit any obligation marked</w:t>
      </w:r>
      <w:r>
        <w:t xml:space="preserve"> </w:t>
      </w:r>
      <w:r>
        <w:rPr>
          <w:bCs/>
          <w:b/>
        </w:rPr>
        <w:t xml:space="preserve">[Mandatory — RBI]</w:t>
      </w:r>
      <w:r>
        <w:t xml:space="preserve">.</w:t>
      </w:r>
    </w:p>
    <w:bookmarkEnd w:id="41"/>
    <w:bookmarkStart w:id="42" w:name="indemnities"/>
    <w:p>
      <w:pPr>
        <w:pStyle w:val="Heading1"/>
      </w:pPr>
      <w:r>
        <w:t xml:space="preserve">21. INDEMNITIES</w:t>
      </w:r>
    </w:p>
    <w:p>
      <w:pPr>
        <w:pStyle w:val="FirstParagraph"/>
      </w:pPr>
      <w:r>
        <w:rPr>
          <w:bCs/>
          <w:b/>
        </w:rPr>
        <w:t xml:space="preserve">21.1 Indemnity by the Service Provider.</w:t>
      </w:r>
      <w:r>
        <w:t xml:space="preserve"> </w:t>
      </w:r>
      <w:r>
        <w:t xml:space="preserve">The Service Provider shall indemnify, defend and hold harmless the Company, its directors, officers and employees against all losses, damages, liabilities and costs (including reasonable legal fees) and, where sub-clause (d) is selected, fines and penalties to the extent permitted by Applicable Law, arising out of or in connection with:</w:t>
      </w:r>
    </w:p>
    <w:p>
      <w:pPr>
        <w:numPr>
          <w:ilvl w:val="0"/>
          <w:numId w:val="1019"/>
        </w:numPr>
      </w:pPr>
      <w:r>
        <w:t xml:space="preserve">any claim that the Platform, the Services or any Deliverable (other than Company Materials) infringes the Intellectual Property Rights of a third party;</w:t>
      </w:r>
    </w:p>
    <w:p>
      <w:pPr>
        <w:numPr>
          <w:ilvl w:val="0"/>
          <w:numId w:val="1019"/>
        </w:numPr>
      </w:pPr>
      <w:r>
        <w:t xml:space="preserve">any Security Breach or personal data breach caused by any breach of Articles 10, 11, 12, 13 or 18 by the Service Provider, its personnel or Sub-contractors, including amounts paid by the Company to customers in respect of damage for which the Company is liable to them (OUT para 28), the costs referred to in Clause 12.10, and claims by Data Principals;</w:t>
      </w:r>
    </w:p>
    <w:p>
      <w:pPr>
        <w:numPr>
          <w:ilvl w:val="0"/>
          <w:numId w:val="1019"/>
        </w:numPr>
      </w:pPr>
      <w:r>
        <w:t xml:space="preserve">any breach of Applicable Law by the Service Provider, its personnel or Sub-contractors;</w:t>
      </w:r>
    </w:p>
    <w:p>
      <w:pPr>
        <w:numPr>
          <w:ilvl w:val="0"/>
          <w:numId w:val="1019"/>
        </w:numPr>
      </w:pPr>
      <w:r>
        <w:rPr>
          <w:bCs/>
          <w:b/>
        </w:rPr>
        <w:t xml:space="preserve">[Option]</w:t>
      </w:r>
      <w:r>
        <w:t xml:space="preserve"> </w:t>
      </w:r>
      <w:r>
        <w:t xml:space="preserve">any fine, penalty or compensation imposed on the Company by a Regulator or the Data Protection Board to the extent caused by the Service Provider’s breach of this Agreement, where such indemnity is permitted by Applicable Law;</w:t>
      </w:r>
    </w:p>
    <w:p>
      <w:pPr>
        <w:numPr>
          <w:ilvl w:val="0"/>
          <w:numId w:val="1019"/>
        </w:numPr>
      </w:pPr>
      <w:r>
        <w:t xml:space="preserve">fraud, wilful misconduct or gross negligence of the Service Provider, its personnel or Sub-contractors, including where wilful negligence or malpractice is a causative factor for a fraud on the Company (FRM para 31);</w:t>
      </w:r>
    </w:p>
    <w:p>
      <w:pPr>
        <w:numPr>
          <w:ilvl w:val="0"/>
          <w:numId w:val="1019"/>
        </w:numPr>
      </w:pPr>
      <w:r>
        <w:t xml:space="preserve">any claim by personnel of the Service Provider or of its Sub-contractors, including under labour laws; and</w:t>
      </w:r>
    </w:p>
    <w:p>
      <w:pPr>
        <w:numPr>
          <w:ilvl w:val="0"/>
          <w:numId w:val="1019"/>
        </w:numPr>
      </w:pPr>
      <w:r>
        <w:t xml:space="preserve">any claim by a Sub-contractor against the Company.</w:t>
      </w:r>
    </w:p>
    <w:p>
      <w:pPr>
        <w:pStyle w:val="FirstParagraph"/>
      </w:pPr>
      <w:r>
        <w:rPr>
          <w:bCs/>
          <w:b/>
        </w:rPr>
        <w:t xml:space="preserve">21.2 Indemnity by the Company.</w:t>
      </w:r>
      <w:r>
        <w:t xml:space="preserve"> </w:t>
      </w:r>
      <w:r>
        <w:t xml:space="preserve">The Company shall indemnify, defend and hold harmless the Service Provider, its directors, officers and employees against all losses, damages, liabilities and costs (including reasonable legal fees) arising out of any claim by a third party that the use of Company Materials in accordance with this Agreement infringes its Intellectual Property Rights, or that the Company’s instructions or configuration (as distinct from the performance of the Platform or the Services) caused processing of Personal Data in breach of the DPDP Act, except to the extent caused by the Service Provider’s breach of this Agreement.</w:t>
      </w:r>
    </w:p>
    <w:p>
      <w:pPr>
        <w:pStyle w:val="BodyText"/>
      </w:pPr>
      <w:r>
        <w:rPr>
          <w:bCs/>
          <w:b/>
        </w:rPr>
        <w:t xml:space="preserve">21.3 Procedure.</w:t>
      </w:r>
      <w:r>
        <w:t xml:space="preserve"> </w:t>
      </w:r>
      <w:r>
        <w:t xml:space="preserve">The indemnified Party shall: (a) notify the indemnifying Party promptly of any claim (provided that delay shall relieve the indemnifying Party only to the extent prejudiced); (b) allow the indemnifying Party to conduct the defence and settlement, provided that the Company shall control the conduct of any matter involving a Regulator, any customer of the Company or any matter affecting its reputation, and no settlement admitting liability on behalf of the Company or imposing any obligation on it shall be made without its consent; and (c) give reasonable co-operation at the indemnifying Party’s cost.</w:t>
      </w:r>
    </w:p>
    <w:p>
      <w:pPr>
        <w:pStyle w:val="BodyText"/>
      </w:pPr>
      <w:r>
        <w:rPr>
          <w:bCs/>
          <w:b/>
        </w:rPr>
        <w:t xml:space="preserve">21.4 IP remedies.</w:t>
      </w:r>
      <w:r>
        <w:t xml:space="preserve"> </w:t>
      </w:r>
      <w:r>
        <w:t xml:space="preserve">If the Platform is, or in the Service Provider’s reasonable opinion is likely to be, the subject of an infringement claim, the Service Provider shall at its cost (a) procure the right for the Company to continue using it, or (b) modify or replace it so that it is non-infringing without loss of functionality, security or regulatory compliance. If neither is achievable within a reasonable time, the Company may terminate the affected Order Form and the Service Provider shall refund prepaid Fees for the unexpired period and provide exit assistance under Article 25 at no charge.</w:t>
      </w:r>
    </w:p>
    <w:p>
      <w:pPr>
        <w:pStyle w:val="BodyText"/>
      </w:pPr>
      <w:r>
        <w:rPr>
          <w:bCs/>
          <w:b/>
        </w:rPr>
        <w:t xml:space="preserve">21.5 Mitigation.</w:t>
      </w:r>
      <w:r>
        <w:t xml:space="preserve"> </w:t>
      </w:r>
      <w:r>
        <w:t xml:space="preserve">Each Party shall take reasonable steps to mitigate losses for which it claims indemnity.</w:t>
      </w:r>
    </w:p>
    <w:p>
      <w:pPr>
        <w:pStyle w:val="BodyText"/>
      </w:pPr>
      <w:r>
        <w:rPr>
          <w:bCs/>
          <w:b/>
        </w:rPr>
        <w:t xml:space="preserve">21.6 Remedies and recourse.</w:t>
      </w:r>
      <w:r>
        <w:t xml:space="preserve"> </w:t>
      </w:r>
      <w:r>
        <w:t xml:space="preserve">Articles 6, 21, 22, 24 and 30 together set out the resolution process, events of default, indemnities, remedies and recourse available to the Parties (OUT para 74(ix)).</w:t>
      </w:r>
    </w:p>
    <w:bookmarkEnd w:id="42"/>
    <w:bookmarkStart w:id="43" w:name="limitation-of-liability"/>
    <w:p>
      <w:pPr>
        <w:pStyle w:val="Heading1"/>
      </w:pPr>
      <w:r>
        <w:t xml:space="preserve">22. LIMITATION OF LIABILITY</w:t>
      </w:r>
    </w:p>
    <w:p>
      <w:pPr>
        <w:pStyle w:val="FirstParagraph"/>
      </w:pPr>
      <w:r>
        <w:rPr>
          <w:bCs/>
          <w:b/>
        </w:rPr>
        <w:t xml:space="preserve">22.1 Unlimited liability.</w:t>
      </w:r>
      <w:r>
        <w:t xml:space="preserve"> </w:t>
      </w:r>
      <w:r>
        <w:t xml:space="preserve">Nothing in this Agreement limits or excludes the liability of either Party for the following (save that, where Option B in sub-clause (d) is chosen, the Service Provider’s liability referred to in sub-clause (d) is subject to the Data Super-Cap):</w:t>
      </w:r>
    </w:p>
    <w:p>
      <w:pPr>
        <w:numPr>
          <w:ilvl w:val="0"/>
          <w:numId w:val="1020"/>
        </w:numPr>
      </w:pPr>
      <w:r>
        <w:t xml:space="preserve">fraud or fraudulent misrepresentation;</w:t>
      </w:r>
    </w:p>
    <w:p>
      <w:pPr>
        <w:numPr>
          <w:ilvl w:val="0"/>
          <w:numId w:val="1020"/>
        </w:numPr>
      </w:pPr>
      <w:r>
        <w:t xml:space="preserve">wilful misconduct or wilful default;</w:t>
      </w:r>
    </w:p>
    <w:p>
      <w:pPr>
        <w:numPr>
          <w:ilvl w:val="0"/>
          <w:numId w:val="1020"/>
        </w:numPr>
      </w:pPr>
      <w:r>
        <w:t xml:space="preserve">death or personal injury caused by negligence;</w:t>
      </w:r>
    </w:p>
    <w:p>
      <w:pPr>
        <w:numPr>
          <w:ilvl w:val="0"/>
          <w:numId w:val="1020"/>
        </w:numPr>
      </w:pPr>
      <w:r>
        <w:t xml:space="preserve">breach of Article 18 (Confidentiality), Article 10 (Data Ownership, Localisation and Protection) or Article 11 (Information Security and Cyber Resilience), or the indemnity in Clause 21.1(b),</w:t>
      </w:r>
      <w:r>
        <w:t xml:space="preserve"> </w:t>
      </w:r>
      <w:r>
        <w:rPr>
          <w:bCs/>
          <w:b/>
        </w:rPr>
        <w:t xml:space="preserve">[Option A: without limit / Option B: subject only to the Data Super-Cap in Clause 22.4]</w:t>
      </w:r>
      <w:r>
        <w:t xml:space="preserve">;</w:t>
      </w:r>
    </w:p>
    <w:p>
      <w:pPr>
        <w:numPr>
          <w:ilvl w:val="0"/>
          <w:numId w:val="1020"/>
        </w:numPr>
      </w:pPr>
      <w:r>
        <w:t xml:space="preserve">the indemnities in Clauses 21.1(a), 21.1(e) and 21.1(f);</w:t>
      </w:r>
    </w:p>
    <w:p>
      <w:pPr>
        <w:numPr>
          <w:ilvl w:val="0"/>
          <w:numId w:val="1020"/>
        </w:numPr>
      </w:pPr>
      <w:r>
        <w:rPr>
          <w:bCs/>
          <w:b/>
        </w:rPr>
        <w:t xml:space="preserve">[Option]</w:t>
      </w:r>
      <w:r>
        <w:t xml:space="preserve"> </w:t>
      </w:r>
      <w:r>
        <w:t xml:space="preserve">the indemnity in Clause 21.1(d) (regulatory penalties caused by the Service Provider’s breach);</w:t>
      </w:r>
    </w:p>
    <w:p>
      <w:pPr>
        <w:numPr>
          <w:ilvl w:val="0"/>
          <w:numId w:val="1020"/>
        </w:numPr>
      </w:pPr>
      <w:r>
        <w:t xml:space="preserve">the Company’s obligation to pay undisputed Fees; or</w:t>
      </w:r>
    </w:p>
    <w:p>
      <w:pPr>
        <w:numPr>
          <w:ilvl w:val="0"/>
          <w:numId w:val="1020"/>
        </w:numPr>
      </w:pPr>
      <w:r>
        <w:t xml:space="preserve">any liability that cannot be limited or excluded under Applicable Law.</w:t>
      </w:r>
    </w:p>
    <w:p>
      <w:pPr>
        <w:pStyle w:val="FirstParagraph"/>
      </w:pPr>
      <w:r>
        <w:rPr>
          <w:bCs/>
          <w:b/>
        </w:rPr>
        <w:t xml:space="preserve">22.2 Exclusion of indirect loss.</w:t>
      </w:r>
      <w:r>
        <w:t xml:space="preserve"> </w:t>
      </w:r>
      <w:r>
        <w:t xml:space="preserve">Subject to Clause 22.1, neither Party shall be liable for any indirect or consequential loss, or for loss of profits, revenue, goodwill or anticipated savings, in each case whether or not foreseeable. The following shall be treated as direct and recoverable losses of the Company: (a) costs of investigating, containing and remediating an Incident and notifying affected persons; (b) costs of restoring, reconstructing or re-entering Company Data; (c) amounts paid to customers as compensation required by Applicable Law or the RBI Directions in respect of failures caused by the Service Provider; (d) additional costs of procuring replacement services and of transition; (e) costs of regulatory responses, including forensic audits required by a Supervisory Authority; and (f) wasted Fees.</w:t>
      </w:r>
    </w:p>
    <w:p>
      <w:pPr>
        <w:pStyle w:val="BodyText"/>
      </w:pPr>
      <w:r>
        <w:rPr>
          <w:bCs/>
          <w:b/>
        </w:rPr>
        <w:t xml:space="preserve">22.3 General cap.</w:t>
      </w:r>
      <w:r>
        <w:t xml:space="preserve"> </w:t>
      </w:r>
      <w:r>
        <w:t xml:space="preserve">Subject to Clauses 22.1 and 22.4, each Party’s total aggregate liability arising out of or in connection with this Agreement in any Contract Year shall not exceed [one hundred and fifty per cent (150%) / two hundred per cent (200%)] of the total Fees paid and payable under all Order Forms in the twelve (12) months preceding the event giving rise to the most recent claim (or, for claims in the first twelve months, the Fees payable for the first twelve months), and in any case not less than ₹[●].</w:t>
      </w:r>
      <w:r>
        <w:t xml:space="preserve"> </w:t>
      </w:r>
      <w:r>
        <w:t xml:space="preserve">“</w:t>
      </w:r>
      <w:r>
        <w:rPr>
          <w:bCs/>
          <w:b/>
        </w:rPr>
        <w:t xml:space="preserve">Contract Year</w:t>
      </w:r>
      <w:r>
        <w:t xml:space="preserve">”</w:t>
      </w:r>
      <w:r>
        <w:t xml:space="preserve"> </w:t>
      </w:r>
      <w:r>
        <w:t xml:space="preserve">means each period of twelve months commencing on the Effective Date or an anniversary of it.</w:t>
      </w:r>
    </w:p>
    <w:p>
      <w:pPr>
        <w:pStyle w:val="BodyText"/>
      </w:pPr>
      <w:r>
        <w:rPr>
          <w:bCs/>
          <w:b/>
        </w:rPr>
        <w:t xml:space="preserve">22.4 Data Super-Cap [Option].</w:t>
      </w:r>
      <w:r>
        <w:t xml:space="preserve"> </w:t>
      </w:r>
      <w:r>
        <w:t xml:space="preserve">Where Option B in Clause 22.1(d) is chosen, the Service Provider’s total aggregate liability for breach of Article 10, Article 11 or Article 18 and under Clause 21.1(b) shall not exceed the greater of ₹[●] crore and [five (5)] times the Fees paid and payable in the twelve (12) months preceding the event (the</w:t>
      </w:r>
      <w:r>
        <w:t xml:space="preserve"> </w:t>
      </w:r>
      <w:r>
        <w:t xml:space="preserve">“</w:t>
      </w:r>
      <w:r>
        <w:rPr>
          <w:bCs/>
          <w:b/>
        </w:rPr>
        <w:t xml:space="preserve">Data Super-Cap</w:t>
      </w:r>
      <w:r>
        <w:t xml:space="preserve">”</w:t>
      </w:r>
      <w:r>
        <w:t xml:space="preserve">), which shall be separate from and in addition to the general cap in Clause 22.3.</w:t>
      </w:r>
    </w:p>
    <w:p>
      <w:pPr>
        <w:pStyle w:val="BodyText"/>
      </w:pPr>
      <w:r>
        <w:rPr>
          <w:bCs/>
          <w:b/>
        </w:rPr>
        <w:t xml:space="preserve">22.5 Service Credits and liquidated damages.</w:t>
      </w:r>
      <w:r>
        <w:t xml:space="preserve"> </w:t>
      </w:r>
      <w:r>
        <w:t xml:space="preserve">Service Credits and liquidated damages paid shall count towards the general cap but shall not reduce the Data Super-Cap.</w:t>
      </w:r>
    </w:p>
    <w:p>
      <w:pPr>
        <w:pStyle w:val="BodyText"/>
      </w:pPr>
      <w:r>
        <w:rPr>
          <w:bCs/>
          <w:b/>
        </w:rPr>
        <w:t xml:space="preserve">22.6 No limitation of regulatory obligations.</w:t>
      </w:r>
      <w:r>
        <w:t xml:space="preserve"> </w:t>
      </w:r>
      <w:r>
        <w:t xml:space="preserve">Nothing in this Article limits (a) any obligation of the Service Provider marked</w:t>
      </w:r>
      <w:r>
        <w:t xml:space="preserve"> </w:t>
      </w:r>
      <w:r>
        <w:rPr>
          <w:bCs/>
          <w:b/>
        </w:rPr>
        <w:t xml:space="preserve">[Mandatory — RBI]</w:t>
      </w:r>
      <w:r>
        <w:t xml:space="preserve"> </w:t>
      </w:r>
      <w:r>
        <w:t xml:space="preserve">or its obligation to perform the Services, provide access, co-operate with Supervisory Authorities, return Company Data or provide exit assistance; or (b) the liability of either Party to any Governmental Authority under Applicable Law.</w:t>
      </w:r>
    </w:p>
    <w:p>
      <w:pPr>
        <w:pStyle w:val="BodyText"/>
      </w:pPr>
      <w:r>
        <w:rPr>
          <w:bCs/>
          <w:b/>
        </w:rPr>
        <w:t xml:space="preserve">22.7 Allocation of liability to customers.</w:t>
      </w:r>
      <w:r>
        <w:t xml:space="preserve"> </w:t>
      </w:r>
      <w:r>
        <w:t xml:space="preserve">The Parties acknowledge that the Company is liable to its customers for damage arising from breach of security and leakage of confidential customer-related information (OUT para 28) and remains responsible for the actions of its service providers towards its customers (OUT para 17). As between the Parties, the Company’s right to recover such amounts from the Service Provider is governed by Article 21 and this Article.</w:t>
      </w:r>
    </w:p>
    <w:p>
      <w:pPr>
        <w:pStyle w:val="BodyText"/>
      </w:pPr>
      <w:r>
        <w:rPr>
          <w:iCs/>
          <w:i/>
        </w:rPr>
        <w:t xml:space="preserve">Drafting note:</w:t>
      </w:r>
      <w:r>
        <w:t xml:space="preserve"> </w:t>
      </w:r>
      <w:r>
        <w:t xml:space="preserve">The DPDP Act Schedule permits penalties of up to ₹250 crore (failure to take reasonable security safeguards) and ₹200 crore (failure to notify a breach) on the Data Fiduciary. Whether contractual indemnity for regulatory penalties is permitted depends on the nature of the penalty and public policy (Indian Contract Act, section 23); keep Clause 21.1(d) and Clause 22.1(f) as</w:t>
      </w:r>
      <w:r>
        <w:t xml:space="preserve"> </w:t>
      </w:r>
      <w:r>
        <w:rPr>
          <w:bCs/>
          <w:b/>
        </w:rPr>
        <w:t xml:space="preserve">[Option]</w:t>
      </w:r>
      <w:r>
        <w:t xml:space="preserve">. Indian market practice for regulated-entity SaaS uses a general cap of 100–200% of annual fees and a separate data super-cap backed by cyber insurance.</w:t>
      </w:r>
    </w:p>
    <w:bookmarkEnd w:id="43"/>
    <w:bookmarkStart w:id="44" w:name="insurance"/>
    <w:p>
      <w:pPr>
        <w:pStyle w:val="Heading1"/>
      </w:pPr>
      <w:r>
        <w:t xml:space="preserve">23. INSURANCE</w:t>
      </w:r>
    </w:p>
    <w:p>
      <w:pPr>
        <w:pStyle w:val="FirstParagraph"/>
      </w:pPr>
      <w:r>
        <w:rPr>
          <w:bCs/>
          <w:b/>
        </w:rPr>
        <w:t xml:space="preserve">23.1 Policies.</w:t>
      </w:r>
      <w:r>
        <w:t xml:space="preserve"> </w:t>
      </w:r>
      <w:r>
        <w:t xml:space="preserve">The Service Provider shall, at its cost, take out and maintain during the Term and the Exit Period, and for [three (3)] years after it in the case of claims-made policies, with insurers registered with the Insurance Regulatory and Development Authority of India, the insurance policies specified in Schedule 16, including at least: (a) professional indemnity / technology errors and omissions insurance; (b) cyber liability insurance covering data breach response costs, third-party liability, regulatory defence and penalties to the extent insurable, business interruption and cyber extortion; (c) commercial general liability insurance; (d) crime and fidelity insurance covering dishonest acts of employees; and (e) employees’ compensation insurance as required by law, each with the minimum limits specified in Schedule 16.</w:t>
      </w:r>
    </w:p>
    <w:p>
      <w:pPr>
        <w:pStyle w:val="BodyText"/>
      </w:pPr>
      <w:r>
        <w:rPr>
          <w:bCs/>
          <w:b/>
        </w:rPr>
        <w:t xml:space="preserve">23.2 Evidence.</w:t>
      </w:r>
      <w:r>
        <w:t xml:space="preserve"> </w:t>
      </w:r>
      <w:r>
        <w:t xml:space="preserve">The Service Provider shall provide certificates of insurance on the Effective Date and on each renewal, and shall notify the Company within [seven (7)] days of any cancellation, non-renewal, material reduction in cover or significant claim affecting the limits available for the Company.</w:t>
      </w:r>
    </w:p>
    <w:p>
      <w:pPr>
        <w:pStyle w:val="BodyText"/>
      </w:pPr>
      <w:r>
        <w:rPr>
          <w:bCs/>
          <w:b/>
        </w:rPr>
        <w:t xml:space="preserve">23.3 No limitation.</w:t>
      </w:r>
      <w:r>
        <w:t xml:space="preserve"> </w:t>
      </w:r>
      <w:r>
        <w:t xml:space="preserve">The maintenance of insurance shall not limit or relieve the Service Provider of any liability under this Agreement.</w:t>
      </w:r>
    </w:p>
    <w:bookmarkEnd w:id="44"/>
    <w:bookmarkStart w:id="45" w:name="term-suspension-and-termination"/>
    <w:p>
      <w:pPr>
        <w:pStyle w:val="Heading1"/>
      </w:pPr>
      <w:r>
        <w:t xml:space="preserve">24. TERM, SUSPENSION AND TERMINATION</w:t>
      </w:r>
    </w:p>
    <w:p>
      <w:pPr>
        <w:pStyle w:val="FirstParagraph"/>
      </w:pPr>
      <w:r>
        <w:rPr>
          <w:bCs/>
          <w:b/>
        </w:rPr>
        <w:t xml:space="preserve">24.1 Term.</w:t>
      </w:r>
      <w:r>
        <w:t xml:space="preserve"> </w:t>
      </w:r>
      <w:r>
        <w:t xml:space="preserve">This Agreement commences on the Effective Date and continues for an initial term of [three (3) / five (5)] years, and shall thereafter renew automatically for successive periods of [one (1)] year unless either Party gives notice of non-renewal at least [one hundred and eighty (180)] days before the end of the then-current term (the</w:t>
      </w:r>
      <w:r>
        <w:t xml:space="preserve"> </w:t>
      </w:r>
      <w:r>
        <w:t xml:space="preserve">“</w:t>
      </w:r>
      <w:r>
        <w:rPr>
          <w:bCs/>
          <w:b/>
        </w:rPr>
        <w:t xml:space="preserve">Term</w:t>
      </w:r>
      <w:r>
        <w:t xml:space="preserve">”</w:t>
      </w:r>
      <w:r>
        <w:t xml:space="preserve">). Each Order Form shall continue for the term stated in it, and this Agreement shall continue to govern any Order Form in force after the Term. Before each renewal the Company shall conduct the due diligence required by OUT para 29.</w:t>
      </w:r>
    </w:p>
    <w:p>
      <w:pPr>
        <w:pStyle w:val="BodyText"/>
      </w:pPr>
      <w:r>
        <w:rPr>
          <w:bCs/>
          <w:b/>
        </w:rPr>
        <w:t xml:space="preserve">24.2 Termination for convenience by the Company [Option].</w:t>
      </w:r>
      <w:r>
        <w:t xml:space="preserve"> </w:t>
      </w:r>
      <w:r>
        <w:t xml:space="preserve">The Company may terminate this Agreement or any Order Form for convenience on [ninety (90)] days’ written notice, on payment of the early-termination charge (if any) specified in the Order Form, which shall not exceed the subscription Fees for [three (3)] months.</w:t>
      </w:r>
    </w:p>
    <w:p>
      <w:pPr>
        <w:pStyle w:val="BodyText"/>
      </w:pPr>
      <w:r>
        <w:rPr>
          <w:bCs/>
          <w:b/>
        </w:rPr>
        <w:t xml:space="preserve">24.3 Termination for cause by either Party.</w:t>
      </w:r>
      <w:r>
        <w:t xml:space="preserve"> </w:t>
      </w:r>
      <w:r>
        <w:t xml:space="preserve">Either Party may terminate this Agreement or any affected Order Form by written notice if the other Party: (a) commits a material breach that is incapable of remedy, or (if capable of remedy) is not remedied within [thirty (30)] days of written notice requiring remedy; or (b) becomes subject to an insolvency event, including the admission of an application under the Insolvency and Bankruptcy Code, 2016, the appointment of a liquidator, administrator or receiver, or the passing of a resolution for winding up (other than for a solvent reorganisation approved by the other Party), subject to Applicable Law and to Clause 8.8.</w:t>
      </w:r>
    </w:p>
    <w:p>
      <w:pPr>
        <w:pStyle w:val="BodyText"/>
      </w:pPr>
      <w:r>
        <w:rPr>
          <w:bCs/>
          <w:b/>
        </w:rPr>
        <w:t xml:space="preserve">24.4 Additional termination rights of the Company [Mandatory — RBI].</w:t>
      </w:r>
      <w:r>
        <w:t xml:space="preserve"> </w:t>
      </w:r>
      <w:r>
        <w:t xml:space="preserve">The Company may terminate this Agreement or any Order Form, in whole or in part, by written notice with immediate effect or on such date as it specifies, without liability for any early-termination charge, if:</w:t>
      </w:r>
    </w:p>
    <w:p>
      <w:pPr>
        <w:numPr>
          <w:ilvl w:val="0"/>
          <w:numId w:val="1021"/>
        </w:numPr>
      </w:pPr>
      <w:r>
        <w:t xml:space="preserve">RBI, the National Housing Bank or any other Supervisory Authority directs, advises or requires the Company to terminate or modify the arrangement, or if the continuation of the arrangement would, in the reasonable opinion of the Company, impede supervision or breach Applicable Law (OUT paras 18(ii), 33 and 74(xv));</w:t>
      </w:r>
    </w:p>
    <w:p>
      <w:pPr>
        <w:numPr>
          <w:ilvl w:val="0"/>
          <w:numId w:val="1021"/>
        </w:numPr>
      </w:pPr>
      <w:r>
        <w:t xml:space="preserve">the Service Provider commits a Security Breach or personal data breach resulting from its breach of this Agreement that, in the Company’s reasonable opinion, is material;</w:t>
      </w:r>
    </w:p>
    <w:p>
      <w:pPr>
        <w:numPr>
          <w:ilvl w:val="0"/>
          <w:numId w:val="1021"/>
        </w:numPr>
      </w:pPr>
      <w:r>
        <w:t xml:space="preserve">a Persistent Service Failure occurs, or a milestone fails Acceptance [three (3)] times under Clause 5.4;</w:t>
      </w:r>
    </w:p>
    <w:p>
      <w:pPr>
        <w:numPr>
          <w:ilvl w:val="0"/>
          <w:numId w:val="1021"/>
        </w:numPr>
      </w:pPr>
      <w:r>
        <w:t xml:space="preserve">the declaration in Clause 3.6 is or becomes untrue, unless the Company’s Board or a committee of the Board approves an exception under the proviso to OUT para 59;</w:t>
      </w:r>
    </w:p>
    <w:p>
      <w:pPr>
        <w:numPr>
          <w:ilvl w:val="0"/>
          <w:numId w:val="1021"/>
        </w:numPr>
      </w:pPr>
      <w:r>
        <w:t xml:space="preserve">the Service Provider undergoes a change of control to which the Company has not consented, or a change of control results in the Service Provider being controlled by a competitor of the Company or by a person who is subject to any of the matters in Clause 20.2(f);</w:t>
      </w:r>
    </w:p>
    <w:p>
      <w:pPr>
        <w:numPr>
          <w:ilvl w:val="0"/>
          <w:numId w:val="1021"/>
        </w:numPr>
      </w:pPr>
      <w:r>
        <w:t xml:space="preserve">the Service Provider stores or processes Company Data outside India in breach of Clause 10.4, sub-contracts in breach of Article 13, or denies or delays access, audit or inspection in breach of Article 9;</w:t>
      </w:r>
    </w:p>
    <w:p>
      <w:pPr>
        <w:numPr>
          <w:ilvl w:val="0"/>
          <w:numId w:val="1021"/>
        </w:numPr>
      </w:pPr>
      <w:r>
        <w:t xml:space="preserve">the Service Provider or any of its directors is debarred, sanctioned or convicted of an offence involving fraud or dishonesty; or</w:t>
      </w:r>
    </w:p>
    <w:p>
      <w:pPr>
        <w:numPr>
          <w:ilvl w:val="0"/>
          <w:numId w:val="1021"/>
        </w:numPr>
      </w:pPr>
      <w:r>
        <w:t xml:space="preserve">a Force Majeure Event continues for longer than the period in Clause 29.4.</w:t>
      </w:r>
    </w:p>
    <w:p>
      <w:pPr>
        <w:pStyle w:val="FirstParagraph"/>
      </w:pPr>
      <w:r>
        <w:rPr>
          <w:bCs/>
          <w:b/>
        </w:rPr>
        <w:t xml:space="preserve">24.5 Termination by the Service Provider.</w:t>
      </w:r>
      <w:r>
        <w:t xml:space="preserve"> </w:t>
      </w:r>
      <w:r>
        <w:t xml:space="preserve">The Service Provider may terminate this Agreement only under Clause 24.3, or for non-payment of undisputed Fees exceeding [three (3)] months’ subscription Fees that remains unpaid [sixty (60)] days after a final written notice expressly referring to this Clause, and in each case the termination shall take effect only at the end of the Exit Period and subject to Article 25. The Service Provider shall not terminate for convenience during the initial term.</w:t>
      </w:r>
    </w:p>
    <w:p>
      <w:pPr>
        <w:pStyle w:val="BodyText"/>
      </w:pPr>
      <w:r>
        <w:rPr>
          <w:bCs/>
          <w:b/>
        </w:rPr>
        <w:t xml:space="preserve">24.6 Suspension.</w:t>
      </w:r>
      <w:r>
        <w:t xml:space="preserve"> </w:t>
      </w:r>
      <w:r>
        <w:t xml:space="preserve">The Service Provider shall not suspend, disable, throttle or restrict the Services or access to Company Data, including for non-payment, except: (a) to the minimum extent and for the minimum period necessary to prevent or contain an imminent security threat to the Platform, the Company or other customers, with immediate notice to the Company; or (b) as directed by a Supervisory Authority or court. In no circumstances shall the Service Provider suspend read-only access of the Company, its auditors and Supervisory Authorities to Company Data, or the Company’s ability to export Company Data.</w:t>
      </w:r>
    </w:p>
    <w:p>
      <w:pPr>
        <w:pStyle w:val="BodyText"/>
      </w:pPr>
      <w:r>
        <w:rPr>
          <w:bCs/>
          <w:b/>
        </w:rPr>
        <w:t xml:space="preserve">24.7 Minimum period for executing termination [Mandatory — RBI].</w:t>
      </w:r>
      <w:r>
        <w:t xml:space="preserve"> </w:t>
      </w:r>
      <w:r>
        <w:t xml:space="preserve">Notwithstanding any notice period, the termination of the Services shall take effect only after the Minimum Exit Period, or such shorter period as the Company specifies, so that the Company has a reasonable minimum period to execute termination and its exit plan (OUT paras 34(x) and 85), unless the Company requires earlier cessation.</w:t>
      </w:r>
    </w:p>
    <w:p>
      <w:pPr>
        <w:pStyle w:val="BodyText"/>
      </w:pPr>
      <w:r>
        <w:rPr>
          <w:bCs/>
          <w:b/>
        </w:rPr>
        <w:t xml:space="preserve">24.8 Termination publicity.</w:t>
      </w:r>
      <w:r>
        <w:t xml:space="preserve"> </w:t>
      </w:r>
      <w:r>
        <w:t xml:space="preserve">Where the Service Provider deals with the Company’s customers (for example through a borrower-facing interface operated by the Service Provider), the Company shall publicise termination as required by OUT paras 44 and 89, and the Service Provider shall co-operate, including by displaying notices and redirecting customers as the Company instructs.</w:t>
      </w:r>
    </w:p>
    <w:p>
      <w:pPr>
        <w:pStyle w:val="BodyText"/>
      </w:pPr>
      <w:r>
        <w:rPr>
          <w:bCs/>
          <w:b/>
        </w:rPr>
        <w:t xml:space="preserve">24.9 Consequences of termination.</w:t>
      </w:r>
      <w:r>
        <w:t xml:space="preserve"> </w:t>
      </w:r>
      <w:r>
        <w:t xml:space="preserve">On expiry or termination: (a) Article 25 applies; (b) the Company shall pay undisputed Fees for Services provided up to the effective date of termination (and during the Exit Period), and the Service Provider shall refund any prepaid Fees for the period after that date; (c) accrued rights and remedies are not affected; and (d) the provisions listed in Clause 33.15 survive.</w:t>
      </w:r>
    </w:p>
    <w:bookmarkEnd w:id="45"/>
    <w:bookmarkStart w:id="46" w:name="Xb070f2c007fe3c8c6b170785cd12153480ff42f"/>
    <w:p>
      <w:pPr>
        <w:pStyle w:val="Heading1"/>
      </w:pPr>
      <w:r>
        <w:t xml:space="preserve">25. EXIT MANAGEMENT AND TRANSITION [Mandatory — RBI]</w:t>
      </w:r>
    </w:p>
    <w:p>
      <w:pPr>
        <w:pStyle w:val="FirstParagraph"/>
      </w:pPr>
      <w:r>
        <w:rPr>
          <w:bCs/>
          <w:b/>
        </w:rPr>
        <w:t xml:space="preserve">25.1 Exit Plan.</w:t>
      </w:r>
      <w:r>
        <w:t xml:space="preserve"> </w:t>
      </w:r>
      <w:r>
        <w:t xml:space="preserve">The Service Provider shall deliver a draft Exit Plan within [ninety (90)] days of the Effective Date, consistent with Schedule 9 and the Company’s exit strategy (OUT paras 62(vii) and 84–86), covering different scenarios of exit or termination (including termination for cause, regulatory direction, insolvency of either Party and exit of a cloud service provider), the minimum periods to execute the plan, alternative arrangements (a Successor Provider or in-house), data export formats and turnaround times, data completeness and portability, secure purge, smooth transition and the allocation of responsibilities (OUT para 97(xvi)). The Exit Plan shall align with the ongoing design of the Platform and the service delivery technology stack (OUT para 97(xvi)(b)), and shall be reviewed and updated at least annually and on any material Change. The Exit Plan shall be tested by a dry-run export of a full copy of Company Data at least annually.</w:t>
      </w:r>
    </w:p>
    <w:p>
      <w:pPr>
        <w:pStyle w:val="BodyText"/>
      </w:pPr>
      <w:r>
        <w:rPr>
          <w:bCs/>
          <w:b/>
        </w:rPr>
        <w:t xml:space="preserve">25.2 Exit assistance.</w:t>
      </w:r>
      <w:r>
        <w:t xml:space="preserve"> </w:t>
      </w:r>
      <w:r>
        <w:t xml:space="preserve">During the Exit Period the Service Provider shall:</w:t>
      </w:r>
    </w:p>
    <w:p>
      <w:pPr>
        <w:numPr>
          <w:ilvl w:val="0"/>
          <w:numId w:val="1022"/>
        </w:numPr>
      </w:pPr>
      <w:r>
        <w:t xml:space="preserve">continue to provide the Services (or such part as the Company requires) in accordance with this Agreement, including the service levels, at the Fees then applicable, without degradation;</w:t>
      </w:r>
    </w:p>
    <w:p>
      <w:pPr>
        <w:numPr>
          <w:ilvl w:val="0"/>
          <w:numId w:val="1022"/>
        </w:numPr>
      </w:pPr>
      <w:r>
        <w:t xml:space="preserve">co-operate fully with the Company and the Successor Provider to ensure a smooth and orderly transition, including the orderly transfer of the arrangement to another service provider (OUT paras 74(xv) and 88);</w:t>
      </w:r>
    </w:p>
    <w:p>
      <w:pPr>
        <w:numPr>
          <w:ilvl w:val="0"/>
          <w:numId w:val="1022"/>
        </w:numPr>
      </w:pPr>
      <w:r>
        <w:t xml:space="preserve">provide complete exports of all Company Data, including the general ledger and sub-ledgers, loan and customer master data, schedules, transaction histories, asset classification and provisioning histories, documents, communications, recovery and legal records, consent artefacts, configuration data, rule versions, workflow definitions, reports, audit trails and logs, in the documented, machine-readable, non-proprietary formats specified in Schedule 9, with data dictionaries, schema documentation, integrity hashes and reconciliation reports, within the turnaround times in Schedule 9 (OUT paras 42 and 97(xvi)(a) and (d));</w:t>
      </w:r>
    </w:p>
    <w:p>
      <w:pPr>
        <w:numPr>
          <w:ilvl w:val="0"/>
          <w:numId w:val="1022"/>
        </w:numPr>
      </w:pPr>
      <w:r>
        <w:t xml:space="preserve">provide up to [two (2)] trial exports and support for the Successor Provider’s migration testing and reconciliation;</w:t>
      </w:r>
    </w:p>
    <w:p>
      <w:pPr>
        <w:numPr>
          <w:ilvl w:val="0"/>
          <w:numId w:val="1022"/>
        </w:numPr>
      </w:pPr>
      <w:r>
        <w:t xml:space="preserve">provide knowledge transfer on the Company’s configuration, integrations, interfaces and operating procedures;</w:t>
      </w:r>
    </w:p>
    <w:p>
      <w:pPr>
        <w:numPr>
          <w:ilvl w:val="0"/>
          <w:numId w:val="1022"/>
        </w:numPr>
      </w:pPr>
      <w:r>
        <w:t xml:space="preserve">continue to provide read-only access to the Platform for the Company, its auditors and Supervisory Authorities for [twelve (12)] months after cut-over, or such other period as the Order Form specifies; and</w:t>
      </w:r>
    </w:p>
    <w:p>
      <w:pPr>
        <w:numPr>
          <w:ilvl w:val="0"/>
          <w:numId w:val="1022"/>
        </w:numPr>
      </w:pPr>
      <w:r>
        <w:t xml:space="preserve">comply with all reasonable directions of the Company and any Supervisory Authority in relation to the transition.</w:t>
      </w:r>
    </w:p>
    <w:p>
      <w:pPr>
        <w:pStyle w:val="FirstParagraph"/>
      </w:pPr>
      <w:r>
        <w:rPr>
          <w:bCs/>
          <w:b/>
        </w:rPr>
        <w:t xml:space="preserve">25.3 No erasure or alteration during transition.</w:t>
      </w:r>
      <w:r>
        <w:t xml:space="preserve"> </w:t>
      </w:r>
      <w:r>
        <w:t xml:space="preserve">The Service Provider is prohibited from erasing, purging, revoking, altering or changing any Company Data during the transition period, unless specifically advised by the Regulator or the Company (OUT para 87).</w:t>
      </w:r>
    </w:p>
    <w:p>
      <w:pPr>
        <w:pStyle w:val="BodyText"/>
      </w:pPr>
      <w:r>
        <w:rPr>
          <w:bCs/>
          <w:b/>
        </w:rPr>
        <w:t xml:space="preserve">25.4 Take-over of records.</w:t>
      </w:r>
      <w:r>
        <w:t xml:space="preserve"> </w:t>
      </w:r>
      <w:r>
        <w:t xml:space="preserve">The Exit Plan shall provide for prompt take-over of all records of transactions, customer and operational information and configuration data in a systematic manner from the Service Provider and its cloud service providers, purging at the Service Provider’s end, and independent assurance before sign-off (OUT para 97(xvi)(d)). Clause 10.10 applies on completion.</w:t>
      </w:r>
    </w:p>
    <w:p>
      <w:pPr>
        <w:pStyle w:val="BodyText"/>
      </w:pPr>
      <w:r>
        <w:rPr>
          <w:bCs/>
          <w:b/>
        </w:rPr>
        <w:t xml:space="preserve">25.5 Exit charges.</w:t>
      </w:r>
      <w:r>
        <w:t xml:space="preserve"> </w:t>
      </w:r>
      <w:r>
        <w:t xml:space="preserve">Exit assistance under Clause 25.2 shall be provided at no additional charge where the Agreement is terminated by the Company under Clause 24.3 or 24.4 (other than Clause 24.4(a) where the regulatory direction is not attributable to the Service Provider), and otherwise at the rates in the Order Form; provided that data exports under Clause 25.2(c) and the continuation of the Services under Clause 25.2(a) at the applicable Fees shall always be available irrespective of the reason for exit. Exit assistance shall not be conditional on payment of any disputed amount.</w:t>
      </w:r>
    </w:p>
    <w:p>
      <w:pPr>
        <w:pStyle w:val="BodyText"/>
      </w:pPr>
      <w:r>
        <w:rPr>
          <w:bCs/>
          <w:b/>
        </w:rPr>
        <w:t xml:space="preserve">25.6 Insolvency or cessation of the Service Provider.</w:t>
      </w:r>
      <w:r>
        <w:t xml:space="preserve"> </w:t>
      </w:r>
      <w:r>
        <w:t xml:space="preserve">If the Service Provider becomes subject to an insolvency event or ceases to carry on business, the Company shall be entitled to (a) exercise its rights under Article 26, (b) require the Service Provider (and any resolution professional, liquidator or administrator, to the extent permitted by Applicable Law) to transfer the Tenant Environment, Company Data and the hosting arrangements to the Company or a Successor Provider, and (c) step in to the Service Provider’s contract with the cloud service provider for the Tenant Environment to the extent provided in the step-in arrangements in Schedule 9, so that the Company can continue its business operations without prohibitive expense or disruption to its customers (OUT para 43).</w:t>
      </w:r>
    </w:p>
    <w:p>
      <w:pPr>
        <w:pStyle w:val="BodyText"/>
      </w:pPr>
      <w:r>
        <w:rPr>
          <w:bCs/>
          <w:b/>
        </w:rPr>
        <w:t xml:space="preserve">25.7 Insolvency or resolution of the Company.</w:t>
      </w:r>
      <w:r>
        <w:t xml:space="preserve"> </w:t>
      </w:r>
      <w:r>
        <w:t xml:space="preserve">Clause 8.8 applies.</w:t>
      </w:r>
    </w:p>
    <w:bookmarkEnd w:id="46"/>
    <w:bookmarkStart w:id="47" w:name="source-code-escrow"/>
    <w:p>
      <w:pPr>
        <w:pStyle w:val="Heading1"/>
      </w:pPr>
      <w:r>
        <w:t xml:space="preserve">26. SOURCE CODE ESCROW</w:t>
      </w:r>
    </w:p>
    <w:p>
      <w:pPr>
        <w:pStyle w:val="FirstParagraph"/>
      </w:pPr>
      <w:r>
        <w:rPr>
          <w:bCs/>
          <w:b/>
        </w:rPr>
        <w:t xml:space="preserve">26.1 Applicability [Mandatory — RBI for Middle Layer and above].</w:t>
      </w:r>
      <w:r>
        <w:t xml:space="preserve"> </w:t>
      </w:r>
      <w:r>
        <w:t xml:space="preserve">Where the Company is in the Middle Layer or above, or where the Order Form so specifies</w:t>
      </w:r>
      <w:r>
        <w:t xml:space="preserve"> </w:t>
      </w:r>
      <w:r>
        <w:rPr>
          <w:bCs/>
          <w:b/>
        </w:rPr>
        <w:t xml:space="preserve">[Option]</w:t>
      </w:r>
      <w:r>
        <w:t xml:space="preserve"> </w:t>
      </w:r>
      <w:r>
        <w:t xml:space="preserve">for other Companies, the Service Provider shall deposit the source code of all Critical Applications with the Escrow Agent so that the Company has a source code escrow arrangement adequately mitigating the risk of default by the Service Provider, which shall include all product updates and programme fixes (CYB para 105). The Parties record that the Service Provider does not provide the source code of the Platform to the Company directly because the Platform is a multi-tenant proprietary service, and that the escrow arrangement under this Article is the alternative arrangement contemplated by CYB para 105.</w:t>
      </w:r>
    </w:p>
    <w:p>
      <w:pPr>
        <w:pStyle w:val="BodyText"/>
      </w:pPr>
      <w:r>
        <w:rPr>
          <w:bCs/>
          <w:b/>
        </w:rPr>
        <w:t xml:space="preserve">26.2 Escrow agreement.</w:t>
      </w:r>
      <w:r>
        <w:t xml:space="preserve"> </w:t>
      </w:r>
      <w:r>
        <w:t xml:space="preserve">Within [sixty (60)] days of the Effective Date, the Parties shall enter into a tripartite escrow agreement with an independent escrow agent of repute in India acceptable to the Company, substantially in the form of Schedule 13. The Service Provider may use a multi-beneficiary escrow arrangement provided that the Company is a named beneficiary with independent release rights.</w:t>
      </w:r>
    </w:p>
    <w:p>
      <w:pPr>
        <w:pStyle w:val="BodyText"/>
      </w:pPr>
      <w:r>
        <w:rPr>
          <w:bCs/>
          <w:b/>
        </w:rPr>
        <w:t xml:space="preserve">26.3 Deposit materials.</w:t>
      </w:r>
      <w:r>
        <w:t xml:space="preserve"> </w:t>
      </w:r>
      <w:r>
        <w:t xml:space="preserve">The deposit shall comprise the source code of each Critical Application and all components necessary to build, deploy and operate it, including build scripts, dependency manifests, infrastructure-as-code templates, database schemas and migration scripts, configuration templates, deployment and operations runbooks, encryption-agnostic key management procedures, documentation sufficient to enable a reasonably skilled programmer to understand, maintain, build and deploy the Platform, and a list of third-party components and licences (the</w:t>
      </w:r>
      <w:r>
        <w:t xml:space="preserve"> </w:t>
      </w:r>
      <w:r>
        <w:t xml:space="preserve">“</w:t>
      </w:r>
      <w:r>
        <w:rPr>
          <w:bCs/>
          <w:b/>
        </w:rPr>
        <w:t xml:space="preserve">Deposit Materials</w:t>
      </w:r>
      <w:r>
        <w:t xml:space="preserve">”</w:t>
      </w:r>
      <w:r>
        <w:t xml:space="preserve">). The Service Provider shall update the deposit within [thirty (30)] days of each major Release and at least [quarterly], and shall include all product updates and programme fixes (CYB para 105).</w:t>
      </w:r>
    </w:p>
    <w:p>
      <w:pPr>
        <w:pStyle w:val="BodyText"/>
      </w:pPr>
      <w:r>
        <w:rPr>
          <w:bCs/>
          <w:b/>
        </w:rPr>
        <w:t xml:space="preserve">26.4 Verification.</w:t>
      </w:r>
      <w:r>
        <w:t xml:space="preserve"> </w:t>
      </w:r>
      <w:r>
        <w:t xml:space="preserve">The Deposit Materials shall be verified by the Escrow Agent (or an independent technical verifier) at least [annually], including a full build verification that the deposited source compiles and deploys to a functioning instance matching the production version. The cost of the first verification in each Contract Year shall be borne by the Service Provider.</w:t>
      </w:r>
    </w:p>
    <w:p>
      <w:pPr>
        <w:pStyle w:val="BodyText"/>
      </w:pPr>
      <w:r>
        <w:rPr>
          <w:bCs/>
          <w:b/>
        </w:rPr>
        <w:t xml:space="preserve">26.5 Release events.</w:t>
      </w:r>
      <w:r>
        <w:t xml:space="preserve"> </w:t>
      </w:r>
      <w:r>
        <w:t xml:space="preserve">The Company shall be entitled to release of the Deposit Materials if: (a) the Service Provider becomes subject to an insolvency event, including the admission of an application under the Insolvency and Bankruptcy Code, 2016, or the appointment of a liquidator; (b) the Service Provider ceases to carry on business or to support the Platform or any Critical Application; (c) the Service Provider fails to remedy a Severity 1 Incident (as classified in Schedule 7) affecting a Critical Application within [seventy-two (72)] hours, or commits a material breach of its support obligations that is not remedied within [thirty (30)] days of notice; (d) the Service Provider assigns or transfers the Platform business without the assignee assuming the Service Provider’s obligations under this Agreement; (e) a Supervisory Authority directs the Company to obtain the source code; or (f) [Option] following termination of this Agreement for the Service Provider’s default, the Service Provider fails to deliver the exit assistance required under Article 25 and Schedule 9 within [thirty (30)] days of notice.</w:t>
      </w:r>
    </w:p>
    <w:p>
      <w:pPr>
        <w:pStyle w:val="BodyText"/>
      </w:pPr>
      <w:r>
        <w:rPr>
          <w:bCs/>
          <w:b/>
        </w:rPr>
        <w:t xml:space="preserve">26.6 Escrow licence.</w:t>
      </w:r>
      <w:r>
        <w:t xml:space="preserve"> </w:t>
      </w:r>
      <w:r>
        <w:t xml:space="preserve">The Service Provider hereby grants to the Company, with effect from the date of this Agreement, a non-exclusive, perpetual, irrevocable, royalty-free licence, exercisable only on release, to use, copy, modify, build, deploy and maintain the Deposit Materials, by itself or through a Successor Provider bound by confidentiality, solely for the purpose of continuing the Company’s business operations, meeting its regulatory obligations and transitioning to another system. The Company shall not commercialise the Deposit Materials.</w:t>
      </w:r>
    </w:p>
    <w:p>
      <w:pPr>
        <w:pStyle w:val="BodyText"/>
      </w:pPr>
      <w:r>
        <w:rPr>
          <w:bCs/>
          <w:b/>
        </w:rPr>
        <w:t xml:space="preserve">26.7 Operational continuity [Option].</w:t>
      </w:r>
      <w:r>
        <w:t xml:space="preserve"> </w:t>
      </w:r>
      <w:r>
        <w:t xml:space="preserve">Where the Order Form so specifies, the escrow arrangement shall additionally provide for continuity of the hosted environment, under which the Escrow Agent holds administrative credentials or a tripartite arrangement with the cloud service provider enabling the Company to keep the Tenant Environment running for not less than [ninety (90)] days following a release event.</w:t>
      </w:r>
    </w:p>
    <w:p>
      <w:pPr>
        <w:pStyle w:val="BodyText"/>
      </w:pPr>
      <w:r>
        <w:rPr>
          <w:bCs/>
          <w:b/>
        </w:rPr>
        <w:t xml:space="preserve">26.8 Costs.</w:t>
      </w:r>
      <w:r>
        <w:t xml:space="preserve"> </w:t>
      </w:r>
      <w:r>
        <w:t xml:space="preserve">The fees of the Escrow Agent shall be borne by [the Service Provider / the Company / equally].</w:t>
      </w:r>
    </w:p>
    <w:p>
      <w:pPr>
        <w:pStyle w:val="BodyText"/>
      </w:pPr>
      <w:r>
        <w:rPr>
          <w:iCs/>
          <w:i/>
        </w:rPr>
        <w:t xml:space="preserve">Drafting note:</w:t>
      </w:r>
      <w:r>
        <w:t xml:space="preserve"> </w:t>
      </w:r>
      <w:r>
        <w:t xml:space="preserve">Release on the Service Provider’s insolvency may be affected by the moratorium under section 14 of the Insolvency and Bankruptcy Code, 2016 and the resolution professional’s powers. Structuring the escrow as a licence granted on execution, with deposit held by the agent from the outset, mitigates this risk [VERIFY: current judicial position on enforceability of escrow release against the moratorium].</w:t>
      </w:r>
    </w:p>
    <w:bookmarkEnd w:id="47"/>
    <w:bookmarkStart w:id="48" w:name="governance-and-reporting"/>
    <w:p>
      <w:pPr>
        <w:pStyle w:val="Heading1"/>
      </w:pPr>
      <w:r>
        <w:t xml:space="preserve">27. GOVERNANCE AND REPORTING</w:t>
      </w:r>
    </w:p>
    <w:p>
      <w:pPr>
        <w:pStyle w:val="FirstParagraph"/>
      </w:pPr>
      <w:r>
        <w:rPr>
          <w:bCs/>
          <w:b/>
        </w:rPr>
        <w:t xml:space="preserve">27.1 Governance structure.</w:t>
      </w:r>
      <w:r>
        <w:t xml:space="preserve"> </w:t>
      </w:r>
      <w:r>
        <w:t xml:space="preserve">The Parties shall establish the governance structure in Schedule 12, comprising at least: (a) relationship managers of each Party; (b) an operational review committee meeting [monthly] to review service levels, incidents, problems, changes, capacity and remediation; and (c) a steering committee of senior representatives (including, for the Company, its Chief Information Officer or Chief Technology Officer, Chief Information Security Officer, Chief Compliance Officer or their nominees) meeting [quarterly] to review performance, risk, compliance, audit findings, the roadmap, Regulatory Updates and the Exit Plan.</w:t>
      </w:r>
    </w:p>
    <w:p>
      <w:pPr>
        <w:pStyle w:val="BodyText"/>
      </w:pPr>
      <w:r>
        <w:rPr>
          <w:bCs/>
          <w:b/>
        </w:rPr>
        <w:t xml:space="preserve">27.2 Reports.</w:t>
      </w:r>
      <w:r>
        <w:t xml:space="preserve"> </w:t>
      </w:r>
      <w:r>
        <w:t xml:space="preserve">The Service Provider shall provide the reports specified in Schedule 12, including: a monthly service performance report; a quarterly security and risk report under Clause 11.14; key risk indicators; a quarterly Sub-contractor and supply-chain report; a half-yearly business continuity and disaster recovery report; and the annual vendor assurance pack under Clause 8.5.</w:t>
      </w:r>
    </w:p>
    <w:p>
      <w:pPr>
        <w:pStyle w:val="BodyText"/>
      </w:pPr>
      <w:r>
        <w:rPr>
          <w:bCs/>
          <w:b/>
        </w:rPr>
        <w:t xml:space="preserve">27.3 Support for the Company’s oversight.</w:t>
      </w:r>
      <w:r>
        <w:t xml:space="preserve"> </w:t>
      </w:r>
      <w:r>
        <w:t xml:space="preserve">The Service Provider shall provide the information reasonably required by the Company to: (a) maintain the central record of material outsourcing and the central database and inventory of IT outsourcing arrangements (OUT paras 36, 64(2) and 82); (b) prepare half-yearly reviews of material outsourcing for its Board or Risk Management Committee (OUT para 12(1)(vii)); (c) enable its senior management to review reports on monitoring and control activities and escalate adverse developments to the Board (OUT paras 13(v) and 78); (d) classify the Service Provider by risk and document service level management, vendor monitoring and key risk indicators (OUT para 64(4)); and (e) maintain the register of third-party relationships under its operational resilience framework (ORM para 74).</w:t>
      </w:r>
    </w:p>
    <w:p>
      <w:pPr>
        <w:pStyle w:val="BodyText"/>
      </w:pPr>
      <w:r>
        <w:rPr>
          <w:bCs/>
          <w:b/>
        </w:rPr>
        <w:t xml:space="preserve">27.4 Escalation.</w:t>
      </w:r>
      <w:r>
        <w:t xml:space="preserve"> </w:t>
      </w:r>
      <w:r>
        <w:t xml:space="preserve">Any matter not resolved at the operational review committee within [ten (10)] Business Days shall be escalated to the steering committee, and thereafter under Clause 30.1.</w:t>
      </w:r>
    </w:p>
    <w:bookmarkEnd w:id="48"/>
    <w:bookmarkStart w:id="49" w:name="X489f3ae1ca1798062539684be6039d66141f812"/>
    <w:p>
      <w:pPr>
        <w:pStyle w:val="Heading1"/>
      </w:pPr>
      <w:r>
        <w:t xml:space="preserve">28. GRIEVANCE REDRESSAL FOR OUTSOURCED SERVICES [Mandatory — RBI]</w:t>
      </w:r>
    </w:p>
    <w:p>
      <w:pPr>
        <w:pStyle w:val="FirstParagraph"/>
      </w:pPr>
      <w:r>
        <w:rPr>
          <w:bCs/>
          <w:b/>
        </w:rPr>
        <w:t xml:space="preserve">28.1 Responsibility of the Company.</w:t>
      </w:r>
      <w:r>
        <w:t xml:space="preserve"> </w:t>
      </w:r>
      <w:r>
        <w:t xml:space="preserve">The responsibility for redressal of customers’ grievances related to the Services rests with the Company. The arrangement under this Agreement shall not affect the rights of the Company’s customers against the Company, including their ability to obtain redressal under relevant laws, and the Company’s grievance redressal mechanism shall not be compromised in any manner on account of the outsourcing (OUT paras 54, 56, 98 and 99).</w:t>
      </w:r>
    </w:p>
    <w:p>
      <w:pPr>
        <w:pStyle w:val="BodyText"/>
      </w:pPr>
      <w:r>
        <w:rPr>
          <w:bCs/>
          <w:b/>
        </w:rPr>
        <w:t xml:space="preserve">28.2 Routing of complaints.</w:t>
      </w:r>
      <w:r>
        <w:t xml:space="preserve"> </w:t>
      </w:r>
      <w:r>
        <w:t xml:space="preserve">If the Service Provider receives any complaint, grievance or query from a customer of the Company, or any complaint concerning the Company from any person, it shall: (a) acknowledge receipt and inform the complainant that the complaint has been forwarded to the Company’s Grievance Redressal Officer, without expressing any view on the merits; (b) forward it to the Company’s Grievance Redressal Officer through the channel in Schedule 12 within [one (1)] Business Day (and the same day for complaints alleging fraud, unauthorised transactions, harassment or data breach); and (c) not close, resolve or reject any complaint.</w:t>
      </w:r>
    </w:p>
    <w:p>
      <w:pPr>
        <w:pStyle w:val="BodyText"/>
      </w:pPr>
      <w:r>
        <w:rPr>
          <w:bCs/>
          <w:b/>
        </w:rPr>
        <w:t xml:space="preserve">28.3 Support for redressal within timelines.</w:t>
      </w:r>
      <w:r>
        <w:t xml:space="preserve"> </w:t>
      </w:r>
      <w:r>
        <w:t xml:space="preserve">The Service Provider shall provide the Company with all information, logs and records required to investigate and resolve complaints within the timelines prescribed by the RBI Directions, the Company’s policy and the integrated ombudsman scheme of RBI in force [VERIFY: Reserve Bank – Integrated Ombudsman Scheme, 2026], including complaints escalated to the RBI Ombudsman or the Consumer Education and Protection Cell after thirty (30) days (OUT para 57), and complaints relating to credit information within the timelines in CIR paras 34 and 35. The Platform’s grievance module shall be configured by the Company to record each complaint with a unique reference, timestamps, escalation and resolution, and shall enable the Company to indicate that its grievance redressal machinery also deals with issues relating to services provided by the outsourced agency (OUT para 57(2)).</w:t>
      </w:r>
    </w:p>
    <w:p>
      <w:pPr>
        <w:pStyle w:val="BodyText"/>
      </w:pPr>
      <w:r>
        <w:rPr>
          <w:bCs/>
          <w:b/>
        </w:rPr>
        <w:t xml:space="preserve">28.4 Root-cause remediation.</w:t>
      </w:r>
      <w:r>
        <w:t xml:space="preserve"> </w:t>
      </w:r>
      <w:r>
        <w:t xml:space="preserve">Where complaints indicate a defect in the Platform or the Services, the Service Provider shall analyse the root cause and remediate it under Schedule 3.</w:t>
      </w:r>
    </w:p>
    <w:bookmarkEnd w:id="49"/>
    <w:bookmarkStart w:id="50" w:name="force-majeure"/>
    <w:p>
      <w:pPr>
        <w:pStyle w:val="Heading1"/>
      </w:pPr>
      <w:r>
        <w:t xml:space="preserve">29. FORCE MAJEURE</w:t>
      </w:r>
    </w:p>
    <w:p>
      <w:pPr>
        <w:pStyle w:val="FirstParagraph"/>
      </w:pPr>
      <w:r>
        <w:rPr>
          <w:bCs/>
          <w:b/>
        </w:rPr>
        <w:t xml:space="preserve">29.1 Definition.</w:t>
      </w:r>
      <w:r>
        <w:t xml:space="preserve"> </w:t>
      </w:r>
      <w:r>
        <w:t xml:space="preserve">“</w:t>
      </w:r>
      <w:r>
        <w:rPr>
          <w:bCs/>
          <w:b/>
        </w:rPr>
        <w:t xml:space="preserve">Force Majeure Event</w:t>
      </w:r>
      <w:r>
        <w:t xml:space="preserve">”</w:t>
      </w:r>
      <w:r>
        <w:t xml:space="preserve"> </w:t>
      </w:r>
      <w:r>
        <w:t xml:space="preserve">means an event beyond the reasonable control of the affected Party which could not have been prevented or avoided by the exercise of reasonable diligence and good industry practice, including acts of God, flood, earthquake, epidemic declared by a Governmental Authority, war, terrorism, riot and acts of Governmental Authorities (other than those caused by the affected Party’s breach of Applicable Law).</w:t>
      </w:r>
    </w:p>
    <w:p>
      <w:pPr>
        <w:pStyle w:val="BodyText"/>
      </w:pPr>
      <w:r>
        <w:rPr>
          <w:bCs/>
          <w:b/>
        </w:rPr>
        <w:t xml:space="preserve">29.2 Exclusions.</w:t>
      </w:r>
      <w:r>
        <w:t xml:space="preserve"> </w:t>
      </w:r>
      <w:r>
        <w:t xml:space="preserve">The following shall not be Force Majeure Events affecting the Service Provider: (a) any Cyber Incident, including ransomware, denial of service or malware, unless the Service Provider demonstrates that it had complied with Articles 11 and 14 and the event could not have been prevented or its effects mitigated by such compliance; (b) failure of any Sub-contractor or cloud service provider, unless that failure is itself caused by a Force Majeure Event and the Service Provider’s business continuity arrangements under Article 14 could not reasonably have prevented the disruption; (c) labour disputes involving the Service Provider’s or its Sub-contractors’ personnel; (d) lack of funds; and (e) any event the effects of which would have been avoided by implementation of the business continuity and disaster recovery plan.</w:t>
      </w:r>
    </w:p>
    <w:p>
      <w:pPr>
        <w:pStyle w:val="BodyText"/>
      </w:pPr>
      <w:r>
        <w:rPr>
          <w:bCs/>
          <w:b/>
        </w:rPr>
        <w:t xml:space="preserve">29.3 Effect and mitigation.</w:t>
      </w:r>
      <w:r>
        <w:t xml:space="preserve"> </w:t>
      </w:r>
      <w:r>
        <w:t xml:space="preserve">The affected Party shall notify the other within [twenty-four (24)] hours of becoming aware of a Force Majeure Event, shall use all reasonable efforts to mitigate its effects, and, in the case of the Service Provider, shall immediately invoke its business continuity and disaster recovery plan. The affected Party’s obligations shall be suspended only to the extent and for the period they are prevented by the Force Majeure Event. A Force Majeure Event shall not suspend the Service Provider’s obligations under Articles 9, 10, 12, 14, 18 and 25, nor excuse the Company’s obligation to pay for Services actually provided.</w:t>
      </w:r>
    </w:p>
    <w:p>
      <w:pPr>
        <w:pStyle w:val="BodyText"/>
      </w:pPr>
      <w:r>
        <w:rPr>
          <w:bCs/>
          <w:b/>
        </w:rPr>
        <w:t xml:space="preserve">29.4 Prolonged Force Majeure.</w:t>
      </w:r>
      <w:r>
        <w:t xml:space="preserve"> </w:t>
      </w:r>
      <w:r>
        <w:t xml:space="preserve">If a Force Majeure Event prevents the provision of any Critical Service for more than [seven (7)] consecutive days, or any other material part of the Services for more than [thirty (30)] days, the Company may terminate the affected Order Form under Clause 24.4(h), and Article 25 shall apply.</w:t>
      </w:r>
    </w:p>
    <w:bookmarkEnd w:id="50"/>
    <w:bookmarkStart w:id="51" w:name="dispute-resolution"/>
    <w:p>
      <w:pPr>
        <w:pStyle w:val="Heading1"/>
      </w:pPr>
      <w:r>
        <w:t xml:space="preserve">30. DISPUTE RESOLUTION</w:t>
      </w:r>
    </w:p>
    <w:p>
      <w:pPr>
        <w:pStyle w:val="FirstParagraph"/>
      </w:pPr>
      <w:r>
        <w:rPr>
          <w:bCs/>
          <w:b/>
        </w:rPr>
        <w:t xml:space="preserve">30.1 Negotiation.</w:t>
      </w:r>
      <w:r>
        <w:t xml:space="preserve"> </w:t>
      </w:r>
      <w:r>
        <w:t xml:space="preserve">Any dispute, controversy or claim arising out of or in connection with this Agreement, including its existence, validity, interpretation, performance, breach or termination (a</w:t>
      </w:r>
      <w:r>
        <w:t xml:space="preserve"> </w:t>
      </w:r>
      <w:r>
        <w:t xml:space="preserve">“</w:t>
      </w:r>
      <w:r>
        <w:rPr>
          <w:bCs/>
          <w:b/>
        </w:rPr>
        <w:t xml:space="preserve">Dispute</w:t>
      </w:r>
      <w:r>
        <w:t xml:space="preserve">”</w:t>
      </w:r>
      <w:r>
        <w:t xml:space="preserve">), shall first be referred by written notice to the relationship managers, and if not resolved within [ten (10)] Business Days, to the steering committee, and if not resolved within a further [fifteen (15)] Business Days, to the managing directors or chief executive officers of the Parties, who shall meet (in person or virtually) within [ten (10)] Business Days of referral.</w:t>
      </w:r>
    </w:p>
    <w:p>
      <w:pPr>
        <w:pStyle w:val="BodyText"/>
      </w:pPr>
      <w:r>
        <w:rPr>
          <w:bCs/>
          <w:b/>
        </w:rPr>
        <w:t xml:space="preserve">30.2 Mediation [Option].</w:t>
      </w:r>
      <w:r>
        <w:t xml:space="preserve"> </w:t>
      </w:r>
      <w:r>
        <w:t xml:space="preserve">If the Dispute is not resolved within [fifty (50)] days of the notice under Clause 30.1, either Party may refer it to mediation under the Mediation Act, 2023, administered by [the Delhi International Arbitration Centre / the India International Arbitration Centre / ●] in accordance with its mediation rules, before a sole mediator appointed by that institution. The mediation shall be concluded within [sixty (60)] days of the appointment of the mediator unless the Parties agree otherwise. A settlement agreement shall be binding and enforceable in accordance with the Mediation Act, 2023.</w:t>
      </w:r>
    </w:p>
    <w:p>
      <w:pPr>
        <w:pStyle w:val="BodyText"/>
      </w:pPr>
      <w:r>
        <w:rPr>
          <w:iCs/>
          <w:i/>
        </w:rPr>
        <w:t xml:space="preserve">Drafting note:</w:t>
      </w:r>
      <w:r>
        <w:t xml:space="preserve"> </w:t>
      </w:r>
      <w:r>
        <w:t xml:space="preserve">Do not designate a mediation or arbitration provider in the Infrabyx group (including Equator Resolution) for disputes between the Service Provider and the Company; the group relationship would give rise to justifiable doubts as to independence and impartiality (Arbitration and Conciliation Act, 1996, section 12 and the Fifth and Seventh Schedules). The pre-litigation mediation provisions of the Mediation Act, 2023 are being brought into force in stages [VERIFY: commencement of sections 4–25 of the Mediation Act, 2023].</w:t>
      </w:r>
    </w:p>
    <w:p>
      <w:pPr>
        <w:pStyle w:val="BodyText"/>
      </w:pPr>
      <w:r>
        <w:rPr>
          <w:bCs/>
          <w:b/>
        </w:rPr>
        <w:t xml:space="preserve">30.3 Arbitration.</w:t>
      </w:r>
      <w:r>
        <w:t xml:space="preserve"> </w:t>
      </w:r>
      <w:r>
        <w:t xml:space="preserve">Any Dispute not resolved under Clause 30.1 (or, where Clause 30.2 applies, under Clause 30.2) within [sixty (60)] days of the notice under Clause 30.1 (or, where the Dispute has been referred to mediation under Clause 30.2, within [fifteen (15)] days after the mediation terminates without settlement or the period in Clause 30.2 expires) shall be referred to and finally resolved by arbitration administered by [the Delhi International Arbitration Centre / the India International Arbitration Centre / the Mumbai Centre for International Arbitration / ●] (the</w:t>
      </w:r>
      <w:r>
        <w:t xml:space="preserve"> </w:t>
      </w:r>
      <w:r>
        <w:t xml:space="preserve">“</w:t>
      </w:r>
      <w:r>
        <w:rPr>
          <w:bCs/>
          <w:b/>
        </w:rPr>
        <w:t xml:space="preserve">Institution</w:t>
      </w:r>
      <w:r>
        <w:t xml:space="preserve">”</w:t>
      </w:r>
      <w:r>
        <w:t xml:space="preserve">) in accordance with its arbitration rules in force at the date of commencement of the arbitration, which rules are deemed incorporated by reference into this Clause, and the Arbitration and Conciliation Act, 1996.</w:t>
      </w:r>
    </w:p>
    <w:p>
      <w:pPr>
        <w:pStyle w:val="BodyText"/>
      </w:pPr>
      <w:r>
        <w:rPr>
          <w:bCs/>
          <w:b/>
        </w:rPr>
        <w:t xml:space="preserve">30.4 Tribunal.</w:t>
      </w:r>
      <w:r>
        <w:t xml:space="preserve"> </w:t>
      </w:r>
      <w:r>
        <w:t xml:space="preserve">The arbitral tribunal shall consist of</w:t>
      </w:r>
      <w:r>
        <w:t xml:space="preserve"> </w:t>
      </w:r>
      <w:r>
        <w:rPr>
          <w:bCs/>
          <w:b/>
        </w:rPr>
        <w:t xml:space="preserve">[Option A: a sole arbitrator / Option B: three arbitrators where the amount in dispute exceeds ₹[●] crore]</w:t>
      </w:r>
      <w:r>
        <w:t xml:space="preserve">, in each case appointed by the Institution in accordance with its rules. Neither Party shall have the right to appoint a sole arbitrator unilaterally or to require the other Party to choose an arbitrator from a panel curated by one Party; where the tribunal consists of three arbitrators, each Party may nominate one arbitrator for confirmation by the Institution and the presiding arbitrator shall be appointed by the Institution (</w:t>
      </w:r>
      <w:r>
        <w:rPr>
          <w:iCs/>
          <w:i/>
        </w:rPr>
        <w:t xml:space="preserve">Central Organisation for Railway Electrification v. ECI-SPIC-SMO-MCML (JV)</w:t>
      </w:r>
      <w:r>
        <w:t xml:space="preserve">, Supreme Court of India, Constitution Bench, 8 November 2024, 2024 INSC 857 [VERIFY: neutral citation];</w:t>
      </w:r>
      <w:r>
        <w:t xml:space="preserve"> </w:t>
      </w:r>
      <w:r>
        <w:rPr>
          <w:iCs/>
          <w:i/>
        </w:rPr>
        <w:t xml:space="preserve">Perkins Eastman Architects DPC v. HSCC (India) Ltd.</w:t>
      </w:r>
      <w:r>
        <w:t xml:space="preserve">, (2020) 20 SCC 760). Every arbitrator shall be independent and impartial and shall make the disclosures required by section 12 of the Arbitration and Conciliation Act, 1996.</w:t>
      </w:r>
    </w:p>
    <w:p>
      <w:pPr>
        <w:pStyle w:val="BodyText"/>
      </w:pPr>
      <w:r>
        <w:rPr>
          <w:bCs/>
          <w:b/>
        </w:rPr>
        <w:t xml:space="preserve">30.5 Seat, venue and language.</w:t>
      </w:r>
      <w:r>
        <w:t xml:space="preserve"> </w:t>
      </w:r>
      <w:r>
        <w:t xml:space="preserve">The seat of arbitration shall be [New Delhi], India. Hearings may be held at [New Delhi] or virtually, as the tribunal directs. The language of the arbitration shall be English. The award shall be reasoned, final and binding on the Parties. The Parties may agree in writing after a Dispute has arisen to fast-track procedure under section 29B of the Arbitration and Conciliation Act, 1996.</w:t>
      </w:r>
    </w:p>
    <w:p>
      <w:pPr>
        <w:pStyle w:val="BodyText"/>
      </w:pPr>
      <w:r>
        <w:rPr>
          <w:bCs/>
          <w:b/>
        </w:rPr>
        <w:t xml:space="preserve">30.6 Interim relief.</w:t>
      </w:r>
      <w:r>
        <w:t xml:space="preserve"> </w:t>
      </w:r>
      <w:r>
        <w:t xml:space="preserve">Nothing in this Article shall prevent either Party from seeking interim or conservatory measures, including injunctive relief to protect Confidential Information or Company Data, to secure continuity of the Services or exit assistance, or to secure access to the Deposit Materials, from the arbitral tribunal under section 17, or from the courts having jurisdiction under Clause 31.2 under section 9, of the Arbitration and Conciliation Act, 1996.</w:t>
      </w:r>
    </w:p>
    <w:p>
      <w:pPr>
        <w:pStyle w:val="BodyText"/>
      </w:pPr>
      <w:r>
        <w:rPr>
          <w:bCs/>
          <w:b/>
        </w:rPr>
        <w:t xml:space="preserve">30.7 Regulatory matters not arbitrable [Mandatory — RBI].</w:t>
      </w:r>
      <w:r>
        <w:t xml:space="preserve"> </w:t>
      </w:r>
      <w:r>
        <w:t xml:space="preserve">Nothing in this Article shall: (a) apply to, or permit any arbitral tribunal or mediator to review, any direction, requirement, inspection, request for information or other action of RBI, the National Housing Bank or any other Regulator or Supervisory Authority, or any matter which under Applicable Law is not capable of settlement by arbitration (</w:t>
      </w:r>
      <w:r>
        <w:rPr>
          <w:iCs/>
          <w:i/>
        </w:rPr>
        <w:t xml:space="preserve">Vidya Drolia v. Durga Trading Corporation</w:t>
      </w:r>
      <w:r>
        <w:t xml:space="preserve">, (2021) 2 SCC 1); (b) delay or condition compliance by either Party with any such direction or requirement or with any obligation marked</w:t>
      </w:r>
      <w:r>
        <w:t xml:space="preserve"> </w:t>
      </w:r>
      <w:r>
        <w:rPr>
          <w:bCs/>
          <w:b/>
        </w:rPr>
        <w:t xml:space="preserve">[Mandatory — RBI]</w:t>
      </w:r>
      <w:r>
        <w:t xml:space="preserve">; or (c) restrict the Company from reporting any matter to a Regulator or law enforcement agency.</w:t>
      </w:r>
    </w:p>
    <w:p>
      <w:pPr>
        <w:pStyle w:val="BodyText"/>
      </w:pPr>
      <w:r>
        <w:rPr>
          <w:bCs/>
          <w:b/>
        </w:rPr>
        <w:t xml:space="preserve">30.8 Continuity.</w:t>
      </w:r>
      <w:r>
        <w:t xml:space="preserve"> </w:t>
      </w:r>
      <w:r>
        <w:t xml:space="preserve">Pending resolution of any Dispute, each Party shall continue to perform its obligations under this Agreement, and the Service Provider shall not suspend or degrade the Services, withhold Company Data or exit assistance, or exercise any lien by reason of the Dispute.</w:t>
      </w:r>
    </w:p>
    <w:p>
      <w:pPr>
        <w:pStyle w:val="BodyText"/>
      </w:pPr>
      <w:r>
        <w:rPr>
          <w:bCs/>
          <w:b/>
        </w:rPr>
        <w:t xml:space="preserve">30.9 Confidentiality of proceedings.</w:t>
      </w:r>
      <w:r>
        <w:t xml:space="preserve"> </w:t>
      </w:r>
      <w:r>
        <w:t xml:space="preserve">The arbitral proceedings, and all information disclosed in them, shall be confidential, save for the award where its disclosure is necessary for implementation and enforcement (Arbitration and Conciliation Act, 1996, section 42A), and save for disclosures to Regulators under Clause 18.4.</w:t>
      </w:r>
    </w:p>
    <w:bookmarkEnd w:id="51"/>
    <w:bookmarkStart w:id="52" w:name="governing-law-and-jurisdiction"/>
    <w:p>
      <w:pPr>
        <w:pStyle w:val="Heading1"/>
      </w:pPr>
      <w:r>
        <w:t xml:space="preserve">31. GOVERNING LAW AND JURISDICTION</w:t>
      </w:r>
    </w:p>
    <w:p>
      <w:pPr>
        <w:pStyle w:val="FirstParagraph"/>
      </w:pPr>
      <w:r>
        <w:rPr>
          <w:bCs/>
          <w:b/>
        </w:rPr>
        <w:t xml:space="preserve">31.1 Governing law.</w:t>
      </w:r>
      <w:r>
        <w:t xml:space="preserve"> </w:t>
      </w:r>
      <w:r>
        <w:t xml:space="preserve">This Agreement and any non-contractual obligations arising out of or in connection with it shall be governed by and construed in accordance with the laws of India.</w:t>
      </w:r>
    </w:p>
    <w:p>
      <w:pPr>
        <w:pStyle w:val="BodyText"/>
      </w:pPr>
      <w:r>
        <w:rPr>
          <w:bCs/>
          <w:b/>
        </w:rPr>
        <w:t xml:space="preserve">31.2 Jurisdiction.</w:t>
      </w:r>
      <w:r>
        <w:t xml:space="preserve"> </w:t>
      </w:r>
      <w:r>
        <w:t xml:space="preserve">Subject to Article 30, the courts at [New Delhi] shall have exclusive jurisdiction in relation to this Agreement, including for applications under the Arbitration and Conciliation Act, 1996 in relation to an arbitration seated at [New Delhi].</w:t>
      </w:r>
    </w:p>
    <w:p>
      <w:pPr>
        <w:pStyle w:val="BodyText"/>
      </w:pPr>
      <w:r>
        <w:rPr>
          <w:bCs/>
          <w:b/>
        </w:rPr>
        <w:t xml:space="preserve">31.3 Regulatory powers unaffected.</w:t>
      </w:r>
      <w:r>
        <w:t xml:space="preserve"> </w:t>
      </w:r>
      <w:r>
        <w:t xml:space="preserve">Nothing in this Agreement shall be construed as limiting the powers of RBI, the National Housing Bank or any other Regulator under Applicable Law in relation to the Company or the Services.</w:t>
      </w:r>
    </w:p>
    <w:bookmarkEnd w:id="52"/>
    <w:bookmarkStart w:id="53" w:name="notices"/>
    <w:p>
      <w:pPr>
        <w:pStyle w:val="Heading1"/>
      </w:pPr>
      <w:r>
        <w:t xml:space="preserve">32. NOTICES</w:t>
      </w:r>
    </w:p>
    <w:p>
      <w:pPr>
        <w:pStyle w:val="FirstParagraph"/>
      </w:pPr>
      <w:r>
        <w:rPr>
          <w:bCs/>
          <w:b/>
        </w:rPr>
        <w:t xml:space="preserve">32.1 Form and addresses.</w:t>
      </w:r>
      <w:r>
        <w:t xml:space="preserve"> </w:t>
      </w:r>
      <w:r>
        <w:t xml:space="preserve">Any notice under this Agreement shall be in writing in English and delivered by hand, by registered post acknowledgement due or speed post, by reputable courier, or by email, to the address and email of the receiving Party set out below or as updated by notice: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32"/>
        <w:gridCol w:w="1812"/>
        <w:gridCol w:w="1812"/>
        <w:gridCol w:w="3882"/>
      </w:tblGrid>
      <w:tr>
        <w:trPr>
          <w:tblHeader w:val="true"/>
          <w:tblHeader w:val="true"/>
        </w:trPr>
        <w:tc>
          <w:tcPr>
            <w:tcW w:w="2132" w:type="dxa"/>
            <w:shd w:val="clear" w:color="auto" w:fill="1F3A5F"/>
          </w:tcPr>
          <w:p>
            <w:pPr>
              <w:pStyle w:val="Compact"/>
              <w:spacing w:after="40"/>
              <w:jc w:val="left"/>
            </w:pPr>
            <w:r>
              <w:rPr>
                <w:b/>
                <w:color w:val="FFFFFF"/>
                <w:sz w:val="18"/>
              </w:rPr>
              <w:t xml:space="preserve">Party</w:t>
            </w:r>
          </w:p>
        </w:tc>
        <w:tc>
          <w:tcPr>
            <w:tcW w:w="1812" w:type="dxa"/>
            <w:shd w:val="clear" w:color="auto" w:fill="1F3A5F"/>
          </w:tcPr>
          <w:p>
            <w:pPr>
              <w:pStyle w:val="Compact"/>
              <w:spacing w:after="40"/>
              <w:jc w:val="left"/>
            </w:pPr>
            <w:r>
              <w:rPr>
                <w:b/>
                <w:color w:val="FFFFFF"/>
                <w:sz w:val="18"/>
              </w:rPr>
              <w:t xml:space="preserve">Address</w:t>
            </w:r>
          </w:p>
        </w:tc>
        <w:tc>
          <w:tcPr>
            <w:tcW w:w="1812" w:type="dxa"/>
            <w:shd w:val="clear" w:color="auto" w:fill="1F3A5F"/>
          </w:tcPr>
          <w:p>
            <w:pPr>
              <w:pStyle w:val="Compact"/>
              <w:spacing w:after="40"/>
              <w:jc w:val="left"/>
            </w:pPr>
            <w:r>
              <w:rPr>
                <w:b/>
                <w:color w:val="FFFFFF"/>
                <w:sz w:val="18"/>
              </w:rPr>
              <w:t xml:space="preserve">Email</w:t>
            </w:r>
          </w:p>
        </w:tc>
        <w:tc>
          <w:tcPr>
            <w:tcW w:w="3882" w:type="dxa"/>
            <w:shd w:val="clear" w:color="auto" w:fill="1F3A5F"/>
          </w:tcPr>
          <w:p>
            <w:pPr>
              <w:pStyle w:val="Compact"/>
              <w:spacing w:after="40"/>
              <w:jc w:val="left"/>
            </w:pPr>
            <w:r>
              <w:rPr>
                <w:b/>
                <w:color w:val="FFFFFF"/>
                <w:sz w:val="18"/>
              </w:rPr>
              <w:t xml:space="preserve">Attention</w:t>
            </w:r>
          </w:p>
        </w:tc>
      </w:tr>
      <w:tr>
        <w:tc>
          <w:tcPr>
            <w:tcW w:w="2132" w:type="dxa"/>
          </w:tcPr>
          <w:p>
            <w:pPr>
              <w:pStyle w:val="Compact"/>
              <w:spacing w:after="40"/>
              <w:jc w:val="left"/>
            </w:pPr>
            <w:r>
              <w:rPr>
                <w:sz w:val="18"/>
              </w:rPr>
              <w:t xml:space="preserve">Service Provider</w:t>
            </w:r>
          </w:p>
        </w:tc>
        <w:tc>
          <w:tcPr>
            <w:tcW w:w="1812" w:type="dxa"/>
          </w:tcPr>
          <w:p>
            <w:pPr>
              <w:pStyle w:val="Compact"/>
              <w:spacing w:after="40"/>
              <w:jc w:val="left"/>
            </w:pPr>
            <w:r>
              <w:rPr>
                <w:sz w:val="18"/>
              </w:rPr>
              <w:t xml:space="preserve">[●]</w:t>
            </w:r>
          </w:p>
        </w:tc>
        <w:tc>
          <w:tcPr>
            <w:tcW w:w="1812" w:type="dxa"/>
          </w:tcPr>
          <w:p>
            <w:pPr>
              <w:pStyle w:val="Compact"/>
              <w:spacing w:after="40"/>
              <w:jc w:val="left"/>
            </w:pPr>
            <w:r>
              <w:rPr>
                <w:sz w:val="18"/>
              </w:rPr>
              <w:t xml:space="preserve">[●]</w:t>
            </w:r>
          </w:p>
        </w:tc>
        <w:tc>
          <w:tcPr>
            <w:tcW w:w="3882" w:type="dxa"/>
          </w:tcPr>
          <w:p>
            <w:pPr>
              <w:pStyle w:val="Compact"/>
              <w:spacing w:after="40"/>
              <w:jc w:val="left"/>
            </w:pPr>
            <w:r>
              <w:rPr>
                <w:sz w:val="18"/>
              </w:rPr>
              <w:t xml:space="preserve">[Name, designation]</w:t>
            </w:r>
          </w:p>
        </w:tc>
      </w:tr>
      <w:tr>
        <w:tc>
          <w:tcPr>
            <w:tcW w:w="2132" w:type="dxa"/>
          </w:tcPr>
          <w:p>
            <w:pPr>
              <w:pStyle w:val="Compact"/>
              <w:spacing w:after="40"/>
              <w:jc w:val="left"/>
            </w:pPr>
            <w:r>
              <w:rPr>
                <w:sz w:val="18"/>
              </w:rPr>
              <w:t xml:space="preserve">Company</w:t>
            </w:r>
          </w:p>
        </w:tc>
        <w:tc>
          <w:tcPr>
            <w:tcW w:w="1812" w:type="dxa"/>
          </w:tcPr>
          <w:p>
            <w:pPr>
              <w:pStyle w:val="Compact"/>
              <w:spacing w:after="40"/>
              <w:jc w:val="left"/>
            </w:pPr>
            <w:r>
              <w:rPr>
                <w:sz w:val="18"/>
              </w:rPr>
              <w:t xml:space="preserve">[●]</w:t>
            </w:r>
          </w:p>
        </w:tc>
        <w:tc>
          <w:tcPr>
            <w:tcW w:w="1812" w:type="dxa"/>
          </w:tcPr>
          <w:p>
            <w:pPr>
              <w:pStyle w:val="Compact"/>
              <w:spacing w:after="40"/>
              <w:jc w:val="left"/>
            </w:pPr>
            <w:r>
              <w:rPr>
                <w:sz w:val="18"/>
              </w:rPr>
              <w:t xml:space="preserve">[●]</w:t>
            </w:r>
          </w:p>
        </w:tc>
        <w:tc>
          <w:tcPr>
            <w:tcW w:w="3882" w:type="dxa"/>
          </w:tcPr>
          <w:p>
            <w:pPr>
              <w:pStyle w:val="Compact"/>
              <w:spacing w:after="40"/>
              <w:jc w:val="left"/>
            </w:pPr>
            <w:r>
              <w:rPr>
                <w:sz w:val="18"/>
              </w:rPr>
              <w:t xml:space="preserve">[Name, designation; copy to Chief Compliance Officer]</w:t>
            </w:r>
          </w:p>
        </w:tc>
      </w:tr>
    </w:tbl>
    <w:p>
      <w:pPr>
        <w:pStyle w:val="BodyText"/>
      </w:pPr>
      <w:r>
        <w:rPr>
          <w:bCs/>
          <w:b/>
        </w:rPr>
        <w:t xml:space="preserve">32.2 Deemed receipt.</w:t>
      </w:r>
      <w:r>
        <w:t xml:space="preserve"> </w:t>
      </w:r>
      <w:r>
        <w:t xml:space="preserve">A notice shall be deemed received: (a) if delivered by hand or courier, on delivery at the address; (b) if sent by registered post or speed post, on the date of delivery shown by the postal tracking record, or [five (5)] Business Days after posting if delivery is not recorded; and (c) if sent by email, at the time of transmission, provided no delivery-failure message is received, and if received after 6:00 p.m. or on a day that is not a Business Day, on the next Business Day. Notices of breach, termination or Dispute sent by email shall also be sent by one of the other methods.</w:t>
      </w:r>
    </w:p>
    <w:p>
      <w:pPr>
        <w:pStyle w:val="BodyText"/>
      </w:pPr>
      <w:r>
        <w:rPr>
          <w:bCs/>
          <w:b/>
        </w:rPr>
        <w:t xml:space="preserve">32.3 Operational and incident notices.</w:t>
      </w:r>
      <w:r>
        <w:t xml:space="preserve"> </w:t>
      </w:r>
      <w:r>
        <w:t xml:space="preserve">Incident notifications under Article 12, operational communications and governance reports may be given through the channels, contacts and escalation matrix in Schedule 7 and Schedule 12, and incident notifications shall take effect when made through those channels irrespective of Clause 32.2(c).</w:t>
      </w:r>
    </w:p>
    <w:bookmarkEnd w:id="53"/>
    <w:bookmarkStart w:id="54" w:name="general-provisions"/>
    <w:p>
      <w:pPr>
        <w:pStyle w:val="Heading1"/>
      </w:pPr>
      <w:r>
        <w:t xml:space="preserve">33. GENERAL PROVISIONS</w:t>
      </w:r>
    </w:p>
    <w:p>
      <w:pPr>
        <w:pStyle w:val="FirstParagraph"/>
      </w:pPr>
      <w:r>
        <w:rPr>
          <w:bCs/>
          <w:b/>
        </w:rPr>
        <w:t xml:space="preserve">33.1 Entire agreement.</w:t>
      </w:r>
      <w:r>
        <w:t xml:space="preserve"> </w:t>
      </w:r>
      <w:r>
        <w:t xml:space="preserve">This Agreement, the Schedules and each Order Form constitute the entire agreement between the Parties relating to their subject matter and supersede all prior proposals, representations and understandings, without prejudice to liability for fraudulent misrepresentation.</w:t>
      </w:r>
    </w:p>
    <w:p>
      <w:pPr>
        <w:pStyle w:val="BodyText"/>
      </w:pPr>
      <w:r>
        <w:rPr>
          <w:bCs/>
          <w:b/>
        </w:rPr>
        <w:t xml:space="preserve">33.2 Amendment.</w:t>
      </w:r>
      <w:r>
        <w:t xml:space="preserve"> </w:t>
      </w:r>
      <w:r>
        <w:t xml:space="preserve">No amendment of this Agreement shall be effective unless in writing and signed by authorised signatories of both Parties, save for (a) Changes under Article 15 and (b) the incorporation of mandatory terms under Clause 15.3.</w:t>
      </w:r>
    </w:p>
    <w:p>
      <w:pPr>
        <w:pStyle w:val="BodyText"/>
      </w:pPr>
      <w:r>
        <w:rPr>
          <w:bCs/>
          <w:b/>
        </w:rPr>
        <w:t xml:space="preserve">33.3 Assignment and change of control.</w:t>
      </w:r>
      <w:r>
        <w:t xml:space="preserve"> </w:t>
      </w:r>
      <w:r>
        <w:t xml:space="preserve">The Service Provider shall not assign, novate, transfer or sub-license any of its rights or obligations under this Agreement, including by way of business transfer, scheme of arrangement or slump sale, without the prior written consent of the Company. The Company may assign or novate this Agreement, on notice, to any successor to all or substantially all of its lending business, to any entity resulting from a merger, amalgamation or scheme, or as directed by a Supervisory Authority or a resolution authority, and the Service Provider hereby irrevocably consents to any such assignment or novation and shall execute such documents as the Company may reasonably require to give effect to it (Indian Contract Act, 1872, section 62). A change of control of the Service Provider is governed by Clauses 8.6(a) and 24.4(e).</w:t>
      </w:r>
    </w:p>
    <w:p>
      <w:pPr>
        <w:pStyle w:val="BodyText"/>
      </w:pPr>
      <w:r>
        <w:rPr>
          <w:bCs/>
          <w:b/>
        </w:rPr>
        <w:t xml:space="preserve">33.4 Waiver.</w:t>
      </w:r>
      <w:r>
        <w:t xml:space="preserve"> </w:t>
      </w:r>
      <w:r>
        <w:t xml:space="preserve">No failure or delay in exercising any right shall operate as a waiver of it. A waiver shall be effective only if in writing and only for the instance specified. No waiver shall apply to any Clause marked</w:t>
      </w:r>
      <w:r>
        <w:t xml:space="preserve"> </w:t>
      </w:r>
      <w:r>
        <w:rPr>
          <w:bCs/>
          <w:b/>
        </w:rPr>
        <w:t xml:space="preserve">[Mandatory — RBI]</w:t>
      </w:r>
      <w:r>
        <w:t xml:space="preserve">.</w:t>
      </w:r>
    </w:p>
    <w:p>
      <w:pPr>
        <w:pStyle w:val="BodyText"/>
      </w:pPr>
      <w:r>
        <w:rPr>
          <w:bCs/>
          <w:b/>
        </w:rPr>
        <w:t xml:space="preserve">33.5 Severability.</w:t>
      </w:r>
      <w:r>
        <w:t xml:space="preserve"> </w:t>
      </w:r>
      <w:r>
        <w:t xml:space="preserve">If any provision of this Agreement is held invalid or unenforceable, it shall be modified to the minimum extent necessary to make it valid and enforceable and the remaining provisions shall continue in full force. If a provision required by the RBI Directions is held unenforceable, the Parties shall promptly agree a valid provision that achieves the regulatory requirement.</w:t>
      </w:r>
    </w:p>
    <w:p>
      <w:pPr>
        <w:pStyle w:val="BodyText"/>
      </w:pPr>
      <w:r>
        <w:rPr>
          <w:bCs/>
          <w:b/>
        </w:rPr>
        <w:t xml:space="preserve">33.6 Independent contractors.</w:t>
      </w:r>
      <w:r>
        <w:t xml:space="preserve"> </w:t>
      </w:r>
      <w:r>
        <w:t xml:space="preserve">Nothing in this Agreement creates a partnership, joint venture, agency or employment relationship between the Parties.</w:t>
      </w:r>
    </w:p>
    <w:p>
      <w:pPr>
        <w:pStyle w:val="BodyText"/>
      </w:pPr>
      <w:r>
        <w:rPr>
          <w:bCs/>
          <w:b/>
        </w:rPr>
        <w:t xml:space="preserve">33.7 Rights of Supervisory Authorities.</w:t>
      </w:r>
      <w:r>
        <w:t xml:space="preserve"> </w:t>
      </w:r>
      <w:r>
        <w:t xml:space="preserve">The Parties intend that the rights expressed in favour of RBI, the National Housing Bank and other Supervisory Authorities in this Agreement may be relied upon and enforced by the Company on their behalf and shall not be varied or rescinded without the Company’s consent.</w:t>
      </w:r>
    </w:p>
    <w:p>
      <w:pPr>
        <w:pStyle w:val="BodyText"/>
      </w:pPr>
      <w:r>
        <w:rPr>
          <w:bCs/>
          <w:b/>
        </w:rPr>
        <w:t xml:space="preserve">33.8 Counterparts and electronic execution.</w:t>
      </w:r>
      <w:r>
        <w:t xml:space="preserve"> </w:t>
      </w:r>
      <w:r>
        <w:t xml:space="preserve">This Agreement and any Order Form may be executed in counterparts, and by electronic signature (including Aadhaar-based eSign or a digital signature certificate) being a digital signature under section 3, or an electronic signature or electronic authentication technique specified in the Second Schedule under section 3A, of the IT Act, which is given legal recognition by sections 5 and 10A of the IT Act; each counterpart shall be an original and all counterparts together shall constitute one instrument.</w:t>
      </w:r>
    </w:p>
    <w:p>
      <w:pPr>
        <w:pStyle w:val="BodyText"/>
      </w:pPr>
      <w:r>
        <w:rPr>
          <w:bCs/>
          <w:b/>
        </w:rPr>
        <w:t xml:space="preserve">33.9 Stamp duty.</w:t>
      </w:r>
      <w:r>
        <w:t xml:space="preserve"> </w:t>
      </w:r>
      <w:r>
        <w:t xml:space="preserve">The stamp duty payable on this Agreement (including each counterpart) and each Order Form under [the Indian Stamp Act, 1899 as applicable in the National Capital Territory of Delhi / the stamp law in force in the State of ● (for example, the Rajasthan Stamp Act, 1998, or the Indian Stamp Act, 1899 as amended in its application to Uttar Pradesh)], together with any differential duty payable when this Agreement is received in another State, shall be borne by [the Company / the Service Provider / equally], and the Parties shall ensure that this Agreement is duly stamped before or at the time of execution [VERIFY: applicable article and rate in the state of execution and, for e-stamping, the state of first execution].</w:t>
      </w:r>
    </w:p>
    <w:p>
      <w:pPr>
        <w:pStyle w:val="BodyText"/>
      </w:pPr>
      <w:r>
        <w:rPr>
          <w:bCs/>
          <w:b/>
        </w:rPr>
        <w:t xml:space="preserve">33.10 Costs.</w:t>
      </w:r>
      <w:r>
        <w:t xml:space="preserve"> </w:t>
      </w:r>
      <w:r>
        <w:t xml:space="preserve">Except as otherwise provided, each Party shall bear its own costs in relation to the negotiation and execution of this Agreement.</w:t>
      </w:r>
    </w:p>
    <w:p>
      <w:pPr>
        <w:pStyle w:val="BodyText"/>
      </w:pPr>
      <w:r>
        <w:rPr>
          <w:bCs/>
          <w:b/>
        </w:rPr>
        <w:t xml:space="preserve">33.11 Further assurance.</w:t>
      </w:r>
      <w:r>
        <w:t xml:space="preserve"> </w:t>
      </w:r>
      <w:r>
        <w:t xml:space="preserve">Each Party shall execute such documents and do such things as the other Party or a Supervisory Authority may reasonably require to give full effect to this Agreement.</w:t>
      </w:r>
    </w:p>
    <w:p>
      <w:pPr>
        <w:pStyle w:val="BodyText"/>
      </w:pPr>
      <w:r>
        <w:rPr>
          <w:bCs/>
          <w:b/>
        </w:rPr>
        <w:t xml:space="preserve">33.12 Anti-corruption and sanctions.</w:t>
      </w:r>
      <w:r>
        <w:t xml:space="preserve"> </w:t>
      </w:r>
      <w:r>
        <w:t xml:space="preserve">Each Party shall comply with applicable anti-corruption, anti-money-laundering and sanctions laws in connection with this Agreement.</w:t>
      </w:r>
    </w:p>
    <w:p>
      <w:pPr>
        <w:pStyle w:val="BodyText"/>
      </w:pPr>
      <w:r>
        <w:rPr>
          <w:bCs/>
          <w:b/>
        </w:rPr>
        <w:t xml:space="preserve">33.13 Non-exclusivity.</w:t>
      </w:r>
      <w:r>
        <w:t xml:space="preserve"> </w:t>
      </w:r>
      <w:r>
        <w:t xml:space="preserve">Nothing in this Agreement shall restrict either Party from entering into similar arrangements with third parties, subject to the confidentiality, data segregation and conflict-of-interest obligations in this Agreement.</w:t>
      </w:r>
    </w:p>
    <w:p>
      <w:pPr>
        <w:pStyle w:val="BodyText"/>
      </w:pPr>
      <w:r>
        <w:rPr>
          <w:bCs/>
          <w:b/>
        </w:rPr>
        <w:t xml:space="preserve">33.14 Remedies cumulative.</w:t>
      </w:r>
      <w:r>
        <w:t xml:space="preserve"> </w:t>
      </w:r>
      <w:r>
        <w:t xml:space="preserve">Except as expressly stated, the rights and remedies under this Agreement are cumulative and in addition to rights and remedies provided by law.</w:t>
      </w:r>
    </w:p>
    <w:p>
      <w:pPr>
        <w:pStyle w:val="BodyText"/>
      </w:pPr>
      <w:r>
        <w:rPr>
          <w:bCs/>
          <w:b/>
        </w:rPr>
        <w:t xml:space="preserve">33.15 Survival.</w:t>
      </w:r>
      <w:r>
        <w:t xml:space="preserve"> </w:t>
      </w:r>
      <w:r>
        <w:t xml:space="preserve">Article 1, Clauses 3.2 and 8.8, Article 9 (for so long as the Service Provider or any Sub-contractor holds Company Data, and in any event for the retention periods in Schedule 4), Article 10, Article 12 (in respect of Incidents relating to the period of the Services), Article 16 (for accrued Fees, including Clause 16.5 in respect of invoices issued before expiry or termination), Articles 17 and 18, Clauses 19.6 and 19.8, Articles 21 and 22, Article 23 (for the periods stated in Clause 23.1), Clause 24.9, Articles 25 and 26, Article 28 (for complaints relating to the period of the Services) and Articles 30 to 33, and any other provision which by its nature is intended to survive, shall survive expiry or termination of this Agreement.</w:t>
      </w:r>
    </w:p>
    <w:p>
      <w:pPr>
        <w:pStyle w:val="BodyText"/>
      </w:pPr>
      <w:r>
        <w:rPr>
          <w:bCs/>
          <w:b/>
        </w:rPr>
        <w:t xml:space="preserve">33.16 Language.</w:t>
      </w:r>
      <w:r>
        <w:t xml:space="preserve"> </w:t>
      </w:r>
      <w:r>
        <w:t xml:space="preserve">This Agreement is executed in English. Any translation shall be for convenience only, and the English text shall prevail.</w:t>
      </w:r>
    </w:p>
    <w:bookmarkEnd w:id="54"/>
    <w:bookmarkStart w:id="55" w:name="execution"/>
    <w:p>
      <w:pPr>
        <w:pStyle w:val="Heading1"/>
      </w:pPr>
      <w:r>
        <w:t xml:space="preserve">EXECUTION</w:t>
      </w:r>
    </w:p>
    <w:p>
      <w:pPr>
        <w:pStyle w:val="FirstParagraph"/>
      </w:pPr>
      <w:r>
        <w:rPr>
          <w:bCs/>
          <w:b/>
        </w:rPr>
        <w:t xml:space="preserve">IN WITNESS WHEREOF</w:t>
      </w:r>
      <w:r>
        <w:t xml:space="preserve"> </w:t>
      </w:r>
      <w:r>
        <w:t xml:space="preserve">the Parties have caused this Agreement to be executed by their duly authorised signatories on the date and at the place first written above.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58"/>
        <w:gridCol w:w="3662"/>
        <w:gridCol w:w="3618"/>
      </w:tblGrid>
      <w:tr>
        <w:trPr>
          <w:tblHeader w:val="true"/>
          <w:tblHeader w:val="true"/>
        </w:trPr>
        <w:tc>
          <w:tcPr>
            <w:tcW w:w="2358" w:type="dxa"/>
            <w:shd w:val="clear" w:color="auto" w:fill="1F3A5F"/>
          </w:tcPr>
          <w:p>
            <w:pPr>
              <w:pStyle w:val="Compact"/>
              <w:spacing w:after="40"/>
            </w:pPr>
          </w:p>
        </w:tc>
        <w:tc>
          <w:tcPr>
            <w:tcW w:w="3662" w:type="dxa"/>
            <w:shd w:val="clear" w:color="auto" w:fill="1F3A5F"/>
          </w:tcPr>
          <w:p>
            <w:pPr>
              <w:pStyle w:val="Compact"/>
              <w:spacing w:after="40"/>
              <w:jc w:val="left"/>
            </w:pPr>
            <w:r>
              <w:rPr>
                <w:b/>
                <w:color w:val="FFFFFF"/>
                <w:sz w:val="18"/>
              </w:rPr>
              <w:t xml:space="preserve">For and on behalf of the Service Provider</w:t>
            </w:r>
          </w:p>
        </w:tc>
        <w:tc>
          <w:tcPr>
            <w:tcW w:w="3618" w:type="dxa"/>
            <w:shd w:val="clear" w:color="auto" w:fill="1F3A5F"/>
          </w:tcPr>
          <w:p>
            <w:pPr>
              <w:pStyle w:val="Compact"/>
              <w:spacing w:after="40"/>
              <w:jc w:val="left"/>
            </w:pPr>
            <w:r>
              <w:rPr>
                <w:b/>
                <w:color w:val="FFFFFF"/>
                <w:sz w:val="18"/>
              </w:rPr>
              <w:t xml:space="preserve">For and on behalf of the Company</w:t>
            </w:r>
          </w:p>
        </w:tc>
      </w:tr>
      <w:tr>
        <w:tc>
          <w:tcPr>
            <w:tcW w:w="2358" w:type="dxa"/>
          </w:tcPr>
          <w:p>
            <w:pPr>
              <w:pStyle w:val="Compact"/>
              <w:spacing w:after="40"/>
              <w:jc w:val="left"/>
            </w:pPr>
            <w:r>
              <w:rPr>
                <w:sz w:val="18"/>
              </w:rPr>
              <w:t xml:space="preserve">Name of entity</w:t>
            </w:r>
          </w:p>
        </w:tc>
        <w:tc>
          <w:tcPr>
            <w:tcW w:w="3662" w:type="dxa"/>
          </w:tcPr>
          <w:p>
            <w:pPr>
              <w:pStyle w:val="Compact"/>
              <w:spacing w:after="40"/>
              <w:jc w:val="left"/>
            </w:pPr>
            <w:r>
              <w:rPr>
                <w:sz w:val="18"/>
              </w:rPr>
              <w:t xml:space="preserve">[Infrabyx group company name]</w:t>
            </w:r>
          </w:p>
        </w:tc>
        <w:tc>
          <w:tcPr>
            <w:tcW w:w="3618" w:type="dxa"/>
          </w:tcPr>
          <w:p>
            <w:pPr>
              <w:pStyle w:val="Compact"/>
              <w:spacing w:after="40"/>
              <w:jc w:val="left"/>
            </w:pPr>
            <w:r>
              <w:rPr>
                <w:sz w:val="18"/>
              </w:rPr>
              <w:t xml:space="preserve">[NBFC name]</w:t>
            </w:r>
          </w:p>
        </w:tc>
      </w:tr>
      <w:tr>
        <w:tc>
          <w:tcPr>
            <w:tcW w:w="2358" w:type="dxa"/>
          </w:tcPr>
          <w:p>
            <w:pPr>
              <w:pStyle w:val="Compact"/>
              <w:spacing w:after="40"/>
              <w:jc w:val="left"/>
            </w:pPr>
            <w:r>
              <w:rPr>
                <w:sz w:val="18"/>
              </w:rPr>
              <w:t xml:space="preserve">Signature</w:t>
            </w:r>
          </w:p>
        </w:tc>
        <w:tc>
          <w:tcPr>
            <w:tcW w:w="3662" w:type="dxa"/>
          </w:tcPr>
          <w:p>
            <w:pPr>
              <w:pStyle w:val="Compact"/>
              <w:spacing w:after="40"/>
              <w:jc w:val="left"/>
            </w:pPr>
            <w:r>
              <w:rPr>
                <w:sz w:val="18"/>
              </w:rPr>
              <w:t xml:space="preserve">____________________</w:t>
            </w:r>
          </w:p>
        </w:tc>
        <w:tc>
          <w:tcPr>
            <w:tcW w:w="3618" w:type="dxa"/>
          </w:tcPr>
          <w:p>
            <w:pPr>
              <w:pStyle w:val="Compact"/>
              <w:spacing w:after="40"/>
              <w:jc w:val="left"/>
            </w:pPr>
            <w:r>
              <w:rPr>
                <w:sz w:val="18"/>
              </w:rPr>
              <w:t xml:space="preserve">____________________</w:t>
            </w:r>
          </w:p>
        </w:tc>
      </w:tr>
      <w:tr>
        <w:tc>
          <w:tcPr>
            <w:tcW w:w="2358" w:type="dxa"/>
          </w:tcPr>
          <w:p>
            <w:pPr>
              <w:pStyle w:val="Compact"/>
              <w:spacing w:after="40"/>
              <w:jc w:val="left"/>
            </w:pPr>
            <w:r>
              <w:rPr>
                <w:sz w:val="18"/>
              </w:rPr>
              <w:t xml:space="preserve">Name of signatory</w:t>
            </w:r>
          </w:p>
        </w:tc>
        <w:tc>
          <w:tcPr>
            <w:tcW w:w="3662" w:type="dxa"/>
          </w:tcPr>
          <w:p>
            <w:pPr>
              <w:pStyle w:val="Compact"/>
              <w:spacing w:after="40"/>
              <w:jc w:val="left"/>
            </w:pPr>
            <w:r>
              <w:rPr>
                <w:sz w:val="18"/>
              </w:rPr>
              <w:t xml:space="preserve">[●]</w:t>
            </w:r>
          </w:p>
        </w:tc>
        <w:tc>
          <w:tcPr>
            <w:tcW w:w="3618" w:type="dxa"/>
          </w:tcPr>
          <w:p>
            <w:pPr>
              <w:pStyle w:val="Compact"/>
              <w:spacing w:after="40"/>
              <w:jc w:val="left"/>
            </w:pPr>
            <w:r>
              <w:rPr>
                <w:sz w:val="18"/>
              </w:rPr>
              <w:t xml:space="preserve">[●]</w:t>
            </w:r>
          </w:p>
        </w:tc>
      </w:tr>
      <w:tr>
        <w:tc>
          <w:tcPr>
            <w:tcW w:w="2358" w:type="dxa"/>
          </w:tcPr>
          <w:p>
            <w:pPr>
              <w:pStyle w:val="Compact"/>
              <w:spacing w:after="40"/>
              <w:jc w:val="left"/>
            </w:pPr>
            <w:r>
              <w:rPr>
                <w:sz w:val="18"/>
              </w:rPr>
              <w:t xml:space="preserve">Designation</w:t>
            </w:r>
          </w:p>
        </w:tc>
        <w:tc>
          <w:tcPr>
            <w:tcW w:w="3662" w:type="dxa"/>
          </w:tcPr>
          <w:p>
            <w:pPr>
              <w:pStyle w:val="Compact"/>
              <w:spacing w:after="40"/>
              <w:jc w:val="left"/>
            </w:pPr>
            <w:r>
              <w:rPr>
                <w:sz w:val="18"/>
              </w:rPr>
              <w:t xml:space="preserve">[●]</w:t>
            </w:r>
          </w:p>
        </w:tc>
        <w:tc>
          <w:tcPr>
            <w:tcW w:w="3618" w:type="dxa"/>
          </w:tcPr>
          <w:p>
            <w:pPr>
              <w:pStyle w:val="Compact"/>
              <w:spacing w:after="40"/>
              <w:jc w:val="left"/>
            </w:pPr>
            <w:r>
              <w:rPr>
                <w:sz w:val="18"/>
              </w:rPr>
              <w:t xml:space="preserve">[●]</w:t>
            </w:r>
          </w:p>
        </w:tc>
      </w:tr>
      <w:tr>
        <w:tc>
          <w:tcPr>
            <w:tcW w:w="2358" w:type="dxa"/>
          </w:tcPr>
          <w:p>
            <w:pPr>
              <w:pStyle w:val="Compact"/>
              <w:spacing w:after="40"/>
              <w:jc w:val="left"/>
            </w:pPr>
            <w:r>
              <w:rPr>
                <w:sz w:val="18"/>
              </w:rPr>
              <w:t xml:space="preserve">Authority</w:t>
            </w:r>
          </w:p>
        </w:tc>
        <w:tc>
          <w:tcPr>
            <w:tcW w:w="3662" w:type="dxa"/>
          </w:tcPr>
          <w:p>
            <w:pPr>
              <w:pStyle w:val="Compact"/>
              <w:spacing w:after="40"/>
              <w:jc w:val="left"/>
            </w:pPr>
            <w:r>
              <w:rPr>
                <w:sz w:val="18"/>
              </w:rPr>
              <w:t xml:space="preserve">Board resolution dated [●]</w:t>
            </w:r>
          </w:p>
        </w:tc>
        <w:tc>
          <w:tcPr>
            <w:tcW w:w="3618" w:type="dxa"/>
          </w:tcPr>
          <w:p>
            <w:pPr>
              <w:pStyle w:val="Compact"/>
              <w:spacing w:after="40"/>
              <w:jc w:val="left"/>
            </w:pPr>
            <w:r>
              <w:rPr>
                <w:sz w:val="18"/>
              </w:rPr>
              <w:t xml:space="preserve">[Board / committee] resolution dated [●]</w:t>
            </w:r>
          </w:p>
        </w:tc>
      </w:tr>
      <w:tr>
        <w:tc>
          <w:tcPr>
            <w:tcW w:w="2358" w:type="dxa"/>
          </w:tcPr>
          <w:p>
            <w:pPr>
              <w:pStyle w:val="Compact"/>
              <w:spacing w:after="40"/>
              <w:jc w:val="left"/>
            </w:pPr>
            <w:r>
              <w:rPr>
                <w:sz w:val="18"/>
              </w:rPr>
              <w:t xml:space="preserve">Date</w:t>
            </w:r>
          </w:p>
        </w:tc>
        <w:tc>
          <w:tcPr>
            <w:tcW w:w="3662" w:type="dxa"/>
          </w:tcPr>
          <w:p>
            <w:pPr>
              <w:pStyle w:val="Compact"/>
              <w:spacing w:after="40"/>
              <w:jc w:val="left"/>
            </w:pPr>
            <w:r>
              <w:rPr>
                <w:sz w:val="18"/>
              </w:rPr>
              <w:t xml:space="preserve">[●]</w:t>
            </w:r>
          </w:p>
        </w:tc>
        <w:tc>
          <w:tcPr>
            <w:tcW w:w="3618" w:type="dxa"/>
          </w:tcPr>
          <w:p>
            <w:pPr>
              <w:pStyle w:val="Compact"/>
              <w:spacing w:after="40"/>
              <w:jc w:val="left"/>
            </w:pPr>
            <w:r>
              <w:rPr>
                <w:sz w:val="18"/>
              </w:rPr>
              <w:t xml:space="preserve">[●]</w:t>
            </w:r>
          </w:p>
        </w:tc>
      </w:tr>
      <w:tr>
        <w:tc>
          <w:tcPr>
            <w:tcW w:w="2358" w:type="dxa"/>
          </w:tcPr>
          <w:p>
            <w:pPr>
              <w:pStyle w:val="Compact"/>
              <w:spacing w:after="40"/>
              <w:jc w:val="left"/>
            </w:pPr>
            <w:r>
              <w:rPr>
                <w:sz w:val="18"/>
              </w:rPr>
              <w:t xml:space="preserve">Place</w:t>
            </w:r>
          </w:p>
        </w:tc>
        <w:tc>
          <w:tcPr>
            <w:tcW w:w="3662" w:type="dxa"/>
          </w:tcPr>
          <w:p>
            <w:pPr>
              <w:pStyle w:val="Compact"/>
              <w:spacing w:after="40"/>
              <w:jc w:val="left"/>
            </w:pPr>
            <w:r>
              <w:rPr>
                <w:sz w:val="18"/>
              </w:rPr>
              <w:t xml:space="preserve">[●]</w:t>
            </w:r>
          </w:p>
        </w:tc>
        <w:tc>
          <w:tcPr>
            <w:tcW w:w="3618" w:type="dxa"/>
          </w:tcPr>
          <w:p>
            <w:pPr>
              <w:pStyle w:val="Compact"/>
              <w:spacing w:after="40"/>
              <w:jc w:val="left"/>
            </w:pPr>
            <w:r>
              <w:rPr>
                <w:sz w:val="18"/>
              </w:rPr>
              <w:t xml:space="preserve">[●]</w:t>
            </w:r>
          </w:p>
        </w:tc>
      </w:tr>
      <w:tr>
        <w:tc>
          <w:tcPr>
            <w:tcW w:w="2358" w:type="dxa"/>
          </w:tcPr>
          <w:p>
            <w:pPr>
              <w:pStyle w:val="Compact"/>
              <w:spacing w:after="40"/>
              <w:jc w:val="left"/>
            </w:pPr>
            <w:r>
              <w:rPr>
                <w:sz w:val="18"/>
              </w:rPr>
              <w:t xml:space="preserve">Mode of execution</w:t>
            </w:r>
          </w:p>
        </w:tc>
        <w:tc>
          <w:tcPr>
            <w:tcW w:w="3662" w:type="dxa"/>
          </w:tcPr>
          <w:p>
            <w:pPr>
              <w:pStyle w:val="Compact"/>
              <w:spacing w:after="40"/>
              <w:jc w:val="left"/>
            </w:pPr>
            <w:r>
              <w:rPr>
                <w:sz w:val="18"/>
              </w:rPr>
              <w:t xml:space="preserve">[Wet ink / eSign / DSC]</w:t>
            </w:r>
          </w:p>
        </w:tc>
        <w:tc>
          <w:tcPr>
            <w:tcW w:w="3618" w:type="dxa"/>
          </w:tcPr>
          <w:p>
            <w:pPr>
              <w:pStyle w:val="Compact"/>
              <w:spacing w:after="40"/>
              <w:jc w:val="left"/>
            </w:pPr>
            <w:r>
              <w:rPr>
                <w:sz w:val="18"/>
              </w:rPr>
              <w:t xml:space="preserve">[Wet ink / eSign / DSC]</w:t>
            </w:r>
          </w:p>
        </w:tc>
      </w:tr>
    </w:tbl>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54"/>
        <w:gridCol w:w="3491"/>
        <w:gridCol w:w="3493"/>
      </w:tblGrid>
      <w:tr>
        <w:trPr>
          <w:tblHeader w:val="true"/>
          <w:tblHeader w:val="true"/>
        </w:trPr>
        <w:tc>
          <w:tcPr>
            <w:tcW w:w="2654" w:type="dxa"/>
            <w:shd w:val="clear" w:color="auto" w:fill="1F3A5F"/>
          </w:tcPr>
          <w:p>
            <w:pPr>
              <w:pStyle w:val="Compact"/>
              <w:spacing w:after="40"/>
              <w:jc w:val="left"/>
            </w:pPr>
            <w:r>
              <w:rPr>
                <w:b/>
                <w:color w:val="FFFFFF"/>
                <w:sz w:val="18"/>
              </w:rPr>
              <w:t xml:space="preserve">Witnesses</w:t>
            </w:r>
          </w:p>
        </w:tc>
        <w:tc>
          <w:tcPr>
            <w:tcW w:w="3491" w:type="dxa"/>
            <w:shd w:val="clear" w:color="auto" w:fill="1F3A5F"/>
          </w:tcPr>
          <w:p>
            <w:pPr>
              <w:pStyle w:val="Compact"/>
              <w:spacing w:after="40"/>
              <w:jc w:val="left"/>
            </w:pPr>
            <w:r>
              <w:rPr>
                <w:b/>
                <w:color w:val="FFFFFF"/>
                <w:sz w:val="18"/>
              </w:rPr>
              <w:t xml:space="preserve">Witness 1</w:t>
            </w:r>
          </w:p>
        </w:tc>
        <w:tc>
          <w:tcPr>
            <w:tcW w:w="3493" w:type="dxa"/>
            <w:shd w:val="clear" w:color="auto" w:fill="1F3A5F"/>
          </w:tcPr>
          <w:p>
            <w:pPr>
              <w:pStyle w:val="Compact"/>
              <w:spacing w:after="40"/>
              <w:jc w:val="left"/>
            </w:pPr>
            <w:r>
              <w:rPr>
                <w:b/>
                <w:color w:val="FFFFFF"/>
                <w:sz w:val="18"/>
              </w:rPr>
              <w:t xml:space="preserve">Witness 2</w:t>
            </w:r>
          </w:p>
        </w:tc>
      </w:tr>
      <w:tr>
        <w:tc>
          <w:tcPr>
            <w:tcW w:w="2654" w:type="dxa"/>
          </w:tcPr>
          <w:p>
            <w:pPr>
              <w:pStyle w:val="Compact"/>
              <w:spacing w:after="40"/>
              <w:jc w:val="left"/>
            </w:pPr>
            <w:r>
              <w:rPr>
                <w:sz w:val="18"/>
              </w:rPr>
              <w:t xml:space="preserve">Signature</w:t>
            </w:r>
          </w:p>
        </w:tc>
        <w:tc>
          <w:tcPr>
            <w:tcW w:w="3491" w:type="dxa"/>
          </w:tcPr>
          <w:p>
            <w:pPr>
              <w:pStyle w:val="Compact"/>
              <w:spacing w:after="40"/>
              <w:jc w:val="left"/>
            </w:pPr>
            <w:r>
              <w:rPr>
                <w:sz w:val="18"/>
              </w:rPr>
              <w:t xml:space="preserve">____________________</w:t>
            </w:r>
          </w:p>
        </w:tc>
        <w:tc>
          <w:tcPr>
            <w:tcW w:w="3493" w:type="dxa"/>
          </w:tcPr>
          <w:p>
            <w:pPr>
              <w:pStyle w:val="Compact"/>
              <w:spacing w:after="40"/>
              <w:jc w:val="left"/>
            </w:pPr>
            <w:r>
              <w:rPr>
                <w:sz w:val="18"/>
              </w:rPr>
              <w:t xml:space="preserve">____________________</w:t>
            </w:r>
          </w:p>
        </w:tc>
      </w:tr>
      <w:tr>
        <w:tc>
          <w:tcPr>
            <w:tcW w:w="2654" w:type="dxa"/>
          </w:tcPr>
          <w:p>
            <w:pPr>
              <w:pStyle w:val="Compact"/>
              <w:spacing w:after="40"/>
              <w:jc w:val="left"/>
            </w:pPr>
            <w:r>
              <w:rPr>
                <w:sz w:val="18"/>
              </w:rPr>
              <w:t xml:space="preserve">Name</w:t>
            </w:r>
          </w:p>
        </w:tc>
        <w:tc>
          <w:tcPr>
            <w:tcW w:w="3491" w:type="dxa"/>
          </w:tcPr>
          <w:p>
            <w:pPr>
              <w:pStyle w:val="Compact"/>
              <w:spacing w:after="40"/>
              <w:jc w:val="left"/>
            </w:pPr>
            <w:r>
              <w:rPr>
                <w:sz w:val="18"/>
              </w:rPr>
              <w:t xml:space="preserve">[●]</w:t>
            </w:r>
          </w:p>
        </w:tc>
        <w:tc>
          <w:tcPr>
            <w:tcW w:w="3493" w:type="dxa"/>
          </w:tcPr>
          <w:p>
            <w:pPr>
              <w:pStyle w:val="Compact"/>
              <w:spacing w:after="40"/>
              <w:jc w:val="left"/>
            </w:pPr>
            <w:r>
              <w:rPr>
                <w:sz w:val="18"/>
              </w:rPr>
              <w:t xml:space="preserve">[●]</w:t>
            </w:r>
          </w:p>
        </w:tc>
      </w:tr>
      <w:tr>
        <w:tc>
          <w:tcPr>
            <w:tcW w:w="2654" w:type="dxa"/>
          </w:tcPr>
          <w:p>
            <w:pPr>
              <w:pStyle w:val="Compact"/>
              <w:spacing w:after="40"/>
              <w:jc w:val="left"/>
            </w:pPr>
            <w:r>
              <w:rPr>
                <w:sz w:val="18"/>
              </w:rPr>
              <w:t xml:space="preserve">Address</w:t>
            </w:r>
          </w:p>
        </w:tc>
        <w:tc>
          <w:tcPr>
            <w:tcW w:w="3491" w:type="dxa"/>
          </w:tcPr>
          <w:p>
            <w:pPr>
              <w:pStyle w:val="Compact"/>
              <w:spacing w:after="40"/>
              <w:jc w:val="left"/>
            </w:pPr>
            <w:r>
              <w:rPr>
                <w:sz w:val="18"/>
              </w:rPr>
              <w:t xml:space="preserve">[●]</w:t>
            </w:r>
          </w:p>
        </w:tc>
        <w:tc>
          <w:tcPr>
            <w:tcW w:w="3493" w:type="dxa"/>
          </w:tcPr>
          <w:p>
            <w:pPr>
              <w:pStyle w:val="Compact"/>
              <w:spacing w:after="40"/>
              <w:jc w:val="left"/>
            </w:pPr>
            <w:r>
              <w:rPr>
                <w:sz w:val="18"/>
              </w:rPr>
              <w:t xml:space="preserve">[●]</w:t>
            </w:r>
          </w:p>
        </w:tc>
      </w:tr>
    </w:tbl>
    <w:bookmarkEnd w:id="55"/>
    <w:bookmarkStart w:id="56" w:name="list-of-schedules"/>
    <w:p>
      <w:pPr>
        <w:pStyle w:val="Heading1"/>
      </w:pPr>
      <w:r>
        <w:t xml:space="preserve">LIST OF SCHEDULES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32"/>
        <w:gridCol w:w="3312"/>
        <w:gridCol w:w="4794"/>
      </w:tblGrid>
      <w:tr>
        <w:trPr>
          <w:tblHeader w:val="true"/>
          <w:tblHeader w:val="true"/>
        </w:trPr>
        <w:tc>
          <w:tcPr>
            <w:tcW w:w="1532" w:type="dxa"/>
            <w:shd w:val="clear" w:color="auto" w:fill="1F3A5F"/>
          </w:tcPr>
          <w:p>
            <w:pPr>
              <w:pStyle w:val="Compact"/>
              <w:spacing w:after="40"/>
              <w:jc w:val="left"/>
            </w:pPr>
            <w:r>
              <w:rPr>
                <w:b/>
                <w:color w:val="FFFFFF"/>
                <w:sz w:val="18"/>
              </w:rPr>
              <w:t xml:space="preserve">Schedule</w:t>
            </w:r>
          </w:p>
        </w:tc>
        <w:tc>
          <w:tcPr>
            <w:tcW w:w="3312" w:type="dxa"/>
            <w:shd w:val="clear" w:color="auto" w:fill="1F3A5F"/>
          </w:tcPr>
          <w:p>
            <w:pPr>
              <w:pStyle w:val="Compact"/>
              <w:spacing w:after="40"/>
              <w:jc w:val="left"/>
            </w:pPr>
            <w:r>
              <w:rPr>
                <w:b/>
                <w:color w:val="FFFFFF"/>
                <w:sz w:val="18"/>
              </w:rPr>
              <w:t xml:space="preserve">Title</w:t>
            </w:r>
          </w:p>
        </w:tc>
        <w:tc>
          <w:tcPr>
            <w:tcW w:w="4794" w:type="dxa"/>
            <w:shd w:val="clear" w:color="auto" w:fill="1F3A5F"/>
          </w:tcPr>
          <w:p>
            <w:pPr>
              <w:pStyle w:val="Compact"/>
              <w:spacing w:after="40"/>
              <w:jc w:val="left"/>
            </w:pPr>
            <w:r>
              <w:rPr>
                <w:b/>
                <w:color w:val="FFFFFF"/>
                <w:sz w:val="18"/>
              </w:rPr>
              <w:t xml:space="preserve">Principal Clauses referring to it</w:t>
            </w:r>
          </w:p>
        </w:tc>
      </w:tr>
      <w:tr>
        <w:tc>
          <w:tcPr>
            <w:tcW w:w="1532" w:type="dxa"/>
          </w:tcPr>
          <w:p>
            <w:pPr>
              <w:pStyle w:val="Compact"/>
              <w:spacing w:after="40"/>
              <w:jc w:val="left"/>
            </w:pPr>
            <w:r>
              <w:rPr>
                <w:sz w:val="18"/>
              </w:rPr>
              <w:t xml:space="preserve">Schedule 1</w:t>
            </w:r>
          </w:p>
        </w:tc>
        <w:tc>
          <w:tcPr>
            <w:tcW w:w="3312" w:type="dxa"/>
          </w:tcPr>
          <w:p>
            <w:pPr>
              <w:pStyle w:val="Compact"/>
              <w:spacing w:after="40"/>
              <w:jc w:val="left"/>
            </w:pPr>
            <w:r>
              <w:rPr>
                <w:sz w:val="18"/>
              </w:rPr>
              <w:t xml:space="preserve">Order Form and Commercial Terms</w:t>
            </w:r>
          </w:p>
        </w:tc>
        <w:tc>
          <w:tcPr>
            <w:tcW w:w="4794" w:type="dxa"/>
          </w:tcPr>
          <w:p>
            <w:pPr>
              <w:pStyle w:val="Compact"/>
              <w:spacing w:after="40"/>
              <w:jc w:val="left"/>
            </w:pPr>
            <w:r>
              <w:rPr>
                <w:sz w:val="18"/>
              </w:rPr>
              <w:t xml:space="preserve">1.1 (</w:t>
            </w:r>
            <w:r>
              <w:rPr>
                <w:sz w:val="18"/>
              </w:rPr>
              <w:t xml:space="preserve">“</w:t>
            </w:r>
            <w:r>
              <w:rPr>
                <w:sz w:val="18"/>
              </w:rPr>
              <w:t xml:space="preserve">Order Form</w:t>
            </w:r>
            <w:r>
              <w:rPr>
                <w:sz w:val="18"/>
              </w:rPr>
              <w:t xml:space="preserve">”</w:t>
            </w:r>
            <w:r>
              <w:rPr>
                <w:sz w:val="18"/>
              </w:rPr>
              <w:t xml:space="preserve">), 2.3, 2.6, 3.5, 3.6, 4.4, 4.11, 16</w:t>
            </w:r>
          </w:p>
        </w:tc>
      </w:tr>
      <w:tr>
        <w:tc>
          <w:tcPr>
            <w:tcW w:w="1532" w:type="dxa"/>
          </w:tcPr>
          <w:p>
            <w:pPr>
              <w:pStyle w:val="Compact"/>
              <w:spacing w:after="40"/>
              <w:jc w:val="left"/>
            </w:pPr>
            <w:r>
              <w:rPr>
                <w:sz w:val="18"/>
              </w:rPr>
              <w:t xml:space="preserve">Schedule 2</w:t>
            </w:r>
          </w:p>
        </w:tc>
        <w:tc>
          <w:tcPr>
            <w:tcW w:w="3312" w:type="dxa"/>
          </w:tcPr>
          <w:p>
            <w:pPr>
              <w:pStyle w:val="Compact"/>
              <w:spacing w:after="40"/>
              <w:jc w:val="left"/>
            </w:pPr>
            <w:r>
              <w:rPr>
                <w:sz w:val="18"/>
              </w:rPr>
              <w:t xml:space="preserve">Service Description and Module Catalogue</w:t>
            </w:r>
          </w:p>
        </w:tc>
        <w:tc>
          <w:tcPr>
            <w:tcW w:w="4794" w:type="dxa"/>
          </w:tcPr>
          <w:p>
            <w:pPr>
              <w:pStyle w:val="Compact"/>
              <w:spacing w:after="40"/>
              <w:jc w:val="left"/>
            </w:pPr>
            <w:r>
              <w:rPr>
                <w:sz w:val="18"/>
              </w:rPr>
              <w:t xml:space="preserve">1.1 (</w:t>
            </w:r>
            <w:r>
              <w:rPr>
                <w:sz w:val="18"/>
              </w:rPr>
              <w:t xml:space="preserve">“</w:t>
            </w:r>
            <w:r>
              <w:rPr>
                <w:sz w:val="18"/>
              </w:rPr>
              <w:t xml:space="preserve">Module</w:t>
            </w:r>
            <w:r>
              <w:rPr>
                <w:sz w:val="18"/>
              </w:rPr>
              <w:t xml:space="preserve">”</w:t>
            </w:r>
            <w:r>
              <w:rPr>
                <w:sz w:val="18"/>
              </w:rPr>
              <w:t xml:space="preserve">,</w:t>
            </w:r>
            <w:r>
              <w:rPr>
                <w:sz w:val="18"/>
              </w:rPr>
              <w:t xml:space="preserve"> </w:t>
            </w:r>
            <w:r>
              <w:rPr>
                <w:sz w:val="18"/>
              </w:rPr>
              <w:t xml:space="preserve">“</w:t>
            </w:r>
            <w:r>
              <w:rPr>
                <w:sz w:val="18"/>
              </w:rPr>
              <w:t xml:space="preserve">Optional Module</w:t>
            </w:r>
            <w:r>
              <w:rPr>
                <w:sz w:val="18"/>
              </w:rPr>
              <w:t xml:space="preserve">”</w:t>
            </w:r>
            <w:r>
              <w:rPr>
                <w:sz w:val="18"/>
              </w:rPr>
              <w:t xml:space="preserve">,</w:t>
            </w:r>
            <w:r>
              <w:rPr>
                <w:sz w:val="18"/>
              </w:rPr>
              <w:t xml:space="preserve"> </w:t>
            </w:r>
            <w:r>
              <w:rPr>
                <w:sz w:val="18"/>
              </w:rPr>
              <w:t xml:space="preserve">“</w:t>
            </w:r>
            <w:r>
              <w:rPr>
                <w:sz w:val="18"/>
              </w:rPr>
              <w:t xml:space="preserve">Recovery Suite</w:t>
            </w:r>
            <w:r>
              <w:rPr>
                <w:sz w:val="18"/>
              </w:rPr>
              <w:t xml:space="preserve">”</w:t>
            </w:r>
            <w:r>
              <w:rPr>
                <w:sz w:val="18"/>
              </w:rPr>
              <w:t xml:space="preserve">,</w:t>
            </w:r>
            <w:r>
              <w:rPr>
                <w:sz w:val="18"/>
              </w:rPr>
              <w:t xml:space="preserve"> </w:t>
            </w:r>
            <w:r>
              <w:rPr>
                <w:sz w:val="18"/>
              </w:rPr>
              <w:t xml:space="preserve">“</w:t>
            </w:r>
            <w:r>
              <w:rPr>
                <w:sz w:val="18"/>
              </w:rPr>
              <w:t xml:space="preserve">Integration Hub</w:t>
            </w:r>
            <w:r>
              <w:rPr>
                <w:sz w:val="18"/>
              </w:rPr>
              <w:t xml:space="preserve">”</w:t>
            </w:r>
            <w:r>
              <w:rPr>
                <w:sz w:val="18"/>
              </w:rPr>
              <w:t xml:space="preserve">,</w:t>
            </w:r>
            <w:r>
              <w:rPr>
                <w:sz w:val="18"/>
              </w:rPr>
              <w:t xml:space="preserve"> </w:t>
            </w:r>
            <w:r>
              <w:rPr>
                <w:sz w:val="18"/>
              </w:rPr>
              <w:t xml:space="preserve">“</w:t>
            </w:r>
            <w:r>
              <w:rPr>
                <w:sz w:val="18"/>
              </w:rPr>
              <w:t xml:space="preserve">Critical Application</w:t>
            </w:r>
            <w:r>
              <w:rPr>
                <w:sz w:val="18"/>
              </w:rPr>
              <w:t xml:space="preserve">”</w:t>
            </w:r>
            <w:r>
              <w:rPr>
                <w:sz w:val="18"/>
              </w:rPr>
              <w:t xml:space="preserve">), 3.8, 4.4–4.9, 7.7</w:t>
            </w:r>
          </w:p>
        </w:tc>
      </w:tr>
      <w:tr>
        <w:tc>
          <w:tcPr>
            <w:tcW w:w="1532" w:type="dxa"/>
          </w:tcPr>
          <w:p>
            <w:pPr>
              <w:pStyle w:val="Compact"/>
              <w:spacing w:after="40"/>
              <w:jc w:val="left"/>
            </w:pPr>
            <w:r>
              <w:rPr>
                <w:sz w:val="18"/>
              </w:rPr>
              <w:t xml:space="preserve">Schedule 3</w:t>
            </w:r>
          </w:p>
        </w:tc>
        <w:tc>
          <w:tcPr>
            <w:tcW w:w="3312" w:type="dxa"/>
          </w:tcPr>
          <w:p>
            <w:pPr>
              <w:pStyle w:val="Compact"/>
              <w:spacing w:after="40"/>
              <w:jc w:val="left"/>
            </w:pPr>
            <w:r>
              <w:rPr>
                <w:sz w:val="18"/>
              </w:rPr>
              <w:t xml:space="preserve">Service Level Agreement</w:t>
            </w:r>
          </w:p>
        </w:tc>
        <w:tc>
          <w:tcPr>
            <w:tcW w:w="4794" w:type="dxa"/>
          </w:tcPr>
          <w:p>
            <w:pPr>
              <w:pStyle w:val="Compact"/>
              <w:spacing w:after="40"/>
              <w:jc w:val="left"/>
            </w:pPr>
            <w:r>
              <w:rPr>
                <w:sz w:val="18"/>
              </w:rPr>
              <w:t xml:space="preserve">6.1–6.6, 20.4, 28.4</w:t>
            </w:r>
          </w:p>
        </w:tc>
      </w:tr>
      <w:tr>
        <w:tc>
          <w:tcPr>
            <w:tcW w:w="1532" w:type="dxa"/>
          </w:tcPr>
          <w:p>
            <w:pPr>
              <w:pStyle w:val="Compact"/>
              <w:spacing w:after="40"/>
              <w:jc w:val="left"/>
            </w:pPr>
            <w:r>
              <w:rPr>
                <w:sz w:val="18"/>
              </w:rPr>
              <w:t xml:space="preserve">Schedule 4</w:t>
            </w:r>
          </w:p>
        </w:tc>
        <w:tc>
          <w:tcPr>
            <w:tcW w:w="3312" w:type="dxa"/>
          </w:tcPr>
          <w:p>
            <w:pPr>
              <w:pStyle w:val="Compact"/>
              <w:spacing w:after="40"/>
              <w:jc w:val="left"/>
            </w:pPr>
            <w:r>
              <w:rPr>
                <w:sz w:val="18"/>
              </w:rPr>
              <w:t xml:space="preserve">Data Processing Agreement</w:t>
            </w:r>
          </w:p>
        </w:tc>
        <w:tc>
          <w:tcPr>
            <w:tcW w:w="4794" w:type="dxa"/>
          </w:tcPr>
          <w:p>
            <w:pPr>
              <w:pStyle w:val="Compact"/>
              <w:spacing w:after="40"/>
              <w:jc w:val="left"/>
            </w:pPr>
            <w:r>
              <w:rPr>
                <w:sz w:val="18"/>
              </w:rPr>
              <w:t xml:space="preserve">1.3(c), 4.6, 10.2, 10.7, 10.9–10.11, 10.14</w:t>
            </w:r>
          </w:p>
        </w:tc>
      </w:tr>
      <w:tr>
        <w:tc>
          <w:tcPr>
            <w:tcW w:w="1532" w:type="dxa"/>
          </w:tcPr>
          <w:p>
            <w:pPr>
              <w:pStyle w:val="Compact"/>
              <w:spacing w:after="40"/>
              <w:jc w:val="left"/>
            </w:pPr>
            <w:r>
              <w:rPr>
                <w:sz w:val="18"/>
              </w:rPr>
              <w:t xml:space="preserve">Schedule 5</w:t>
            </w:r>
          </w:p>
        </w:tc>
        <w:tc>
          <w:tcPr>
            <w:tcW w:w="3312" w:type="dxa"/>
          </w:tcPr>
          <w:p>
            <w:pPr>
              <w:pStyle w:val="Compact"/>
              <w:spacing w:after="40"/>
              <w:jc w:val="left"/>
            </w:pPr>
            <w:r>
              <w:rPr>
                <w:sz w:val="18"/>
              </w:rPr>
              <w:t xml:space="preserve">Information Security and Cyber Resilience Requirements</w:t>
            </w:r>
          </w:p>
        </w:tc>
        <w:tc>
          <w:tcPr>
            <w:tcW w:w="4794" w:type="dxa"/>
          </w:tcPr>
          <w:p>
            <w:pPr>
              <w:pStyle w:val="Compact"/>
              <w:spacing w:after="40"/>
              <w:jc w:val="left"/>
            </w:pPr>
            <w:r>
              <w:rPr>
                <w:sz w:val="18"/>
              </w:rPr>
              <w:t xml:space="preserve">1.1 (</w:t>
            </w:r>
            <w:r>
              <w:rPr>
                <w:sz w:val="18"/>
              </w:rPr>
              <w:t xml:space="preserve">“</w:t>
            </w:r>
            <w:r>
              <w:rPr>
                <w:sz w:val="18"/>
              </w:rPr>
              <w:t xml:space="preserve">Detection</w:t>
            </w:r>
            <w:r>
              <w:rPr>
                <w:sz w:val="18"/>
              </w:rPr>
              <w:t xml:space="preserve">”</w:t>
            </w:r>
            <w:r>
              <w:rPr>
                <w:sz w:val="18"/>
              </w:rPr>
              <w:t xml:space="preserve">), 11.1–11.14, 13.8</w:t>
            </w:r>
          </w:p>
        </w:tc>
      </w:tr>
      <w:tr>
        <w:tc>
          <w:tcPr>
            <w:tcW w:w="1532" w:type="dxa"/>
          </w:tcPr>
          <w:p>
            <w:pPr>
              <w:pStyle w:val="Compact"/>
              <w:spacing w:after="40"/>
              <w:jc w:val="left"/>
            </w:pPr>
            <w:r>
              <w:rPr>
                <w:sz w:val="18"/>
              </w:rPr>
              <w:t xml:space="preserve">Schedule 6</w:t>
            </w:r>
          </w:p>
        </w:tc>
        <w:tc>
          <w:tcPr>
            <w:tcW w:w="3312" w:type="dxa"/>
          </w:tcPr>
          <w:p>
            <w:pPr>
              <w:pStyle w:val="Compact"/>
              <w:spacing w:after="40"/>
              <w:jc w:val="left"/>
            </w:pPr>
            <w:r>
              <w:rPr>
                <w:sz w:val="18"/>
              </w:rPr>
              <w:t xml:space="preserve">Audit, Inspection and Regulatory Access Protocol</w:t>
            </w:r>
          </w:p>
        </w:tc>
        <w:tc>
          <w:tcPr>
            <w:tcW w:w="4794" w:type="dxa"/>
          </w:tcPr>
          <w:p>
            <w:pPr>
              <w:pStyle w:val="Compact"/>
              <w:spacing w:after="40"/>
              <w:jc w:val="left"/>
            </w:pPr>
            <w:r>
              <w:rPr>
                <w:sz w:val="18"/>
              </w:rPr>
              <w:t xml:space="preserve">9.2–9.12</w:t>
            </w:r>
          </w:p>
        </w:tc>
      </w:tr>
      <w:tr>
        <w:tc>
          <w:tcPr>
            <w:tcW w:w="1532" w:type="dxa"/>
          </w:tcPr>
          <w:p>
            <w:pPr>
              <w:pStyle w:val="Compact"/>
              <w:spacing w:after="40"/>
              <w:jc w:val="left"/>
            </w:pPr>
            <w:r>
              <w:rPr>
                <w:sz w:val="18"/>
              </w:rPr>
              <w:t xml:space="preserve">Schedule 7</w:t>
            </w:r>
          </w:p>
        </w:tc>
        <w:tc>
          <w:tcPr>
            <w:tcW w:w="3312" w:type="dxa"/>
          </w:tcPr>
          <w:p>
            <w:pPr>
              <w:pStyle w:val="Compact"/>
              <w:spacing w:after="40"/>
              <w:jc w:val="left"/>
            </w:pPr>
            <w:r>
              <w:rPr>
                <w:sz w:val="18"/>
              </w:rPr>
              <w:t xml:space="preserve">Incident Notification Protocol</w:t>
            </w:r>
          </w:p>
        </w:tc>
        <w:tc>
          <w:tcPr>
            <w:tcW w:w="4794" w:type="dxa"/>
          </w:tcPr>
          <w:p>
            <w:pPr>
              <w:pStyle w:val="Compact"/>
              <w:spacing w:after="40"/>
              <w:jc w:val="left"/>
            </w:pPr>
            <w:r>
              <w:rPr>
                <w:sz w:val="18"/>
              </w:rPr>
              <w:t xml:space="preserve">1.1 (</w:t>
            </w:r>
            <w:r>
              <w:rPr>
                <w:sz w:val="18"/>
              </w:rPr>
              <w:t xml:space="preserve">“</w:t>
            </w:r>
            <w:r>
              <w:rPr>
                <w:sz w:val="18"/>
              </w:rPr>
              <w:t xml:space="preserve">Material Adverse Event</w:t>
            </w:r>
            <w:r>
              <w:rPr>
                <w:sz w:val="18"/>
              </w:rPr>
              <w:t xml:space="preserve">”</w:t>
            </w:r>
            <w:r>
              <w:rPr>
                <w:sz w:val="18"/>
              </w:rPr>
              <w:t xml:space="preserve">), 12.1–12.9, 32.3</w:t>
            </w:r>
          </w:p>
        </w:tc>
      </w:tr>
      <w:tr>
        <w:tc>
          <w:tcPr>
            <w:tcW w:w="1532" w:type="dxa"/>
          </w:tcPr>
          <w:p>
            <w:pPr>
              <w:pStyle w:val="Compact"/>
              <w:spacing w:after="40"/>
              <w:jc w:val="left"/>
            </w:pPr>
            <w:r>
              <w:rPr>
                <w:sz w:val="18"/>
              </w:rPr>
              <w:t xml:space="preserve">Schedule 8</w:t>
            </w:r>
          </w:p>
        </w:tc>
        <w:tc>
          <w:tcPr>
            <w:tcW w:w="3312" w:type="dxa"/>
          </w:tcPr>
          <w:p>
            <w:pPr>
              <w:pStyle w:val="Compact"/>
              <w:spacing w:after="40"/>
              <w:jc w:val="left"/>
            </w:pPr>
            <w:r>
              <w:rPr>
                <w:sz w:val="18"/>
              </w:rPr>
              <w:t xml:space="preserve">Business Continuity and Disaster Recovery Requirements</w:t>
            </w:r>
          </w:p>
        </w:tc>
        <w:tc>
          <w:tcPr>
            <w:tcW w:w="4794" w:type="dxa"/>
          </w:tcPr>
          <w:p>
            <w:pPr>
              <w:pStyle w:val="Compact"/>
              <w:spacing w:after="40"/>
              <w:jc w:val="left"/>
            </w:pPr>
            <w:r>
              <w:rPr>
                <w:sz w:val="18"/>
              </w:rPr>
              <w:t xml:space="preserve">14.1–14.8</w:t>
            </w:r>
          </w:p>
        </w:tc>
      </w:tr>
      <w:tr>
        <w:tc>
          <w:tcPr>
            <w:tcW w:w="1532" w:type="dxa"/>
          </w:tcPr>
          <w:p>
            <w:pPr>
              <w:pStyle w:val="Compact"/>
              <w:spacing w:after="40"/>
              <w:jc w:val="left"/>
            </w:pPr>
            <w:r>
              <w:rPr>
                <w:sz w:val="18"/>
              </w:rPr>
              <w:t xml:space="preserve">Schedule 9</w:t>
            </w:r>
          </w:p>
        </w:tc>
        <w:tc>
          <w:tcPr>
            <w:tcW w:w="3312" w:type="dxa"/>
          </w:tcPr>
          <w:p>
            <w:pPr>
              <w:pStyle w:val="Compact"/>
              <w:spacing w:after="40"/>
              <w:jc w:val="left"/>
            </w:pPr>
            <w:r>
              <w:rPr>
                <w:sz w:val="18"/>
              </w:rPr>
              <w:t xml:space="preserve">Exit Management and Transition Plan</w:t>
            </w:r>
          </w:p>
        </w:tc>
        <w:tc>
          <w:tcPr>
            <w:tcW w:w="4794" w:type="dxa"/>
          </w:tcPr>
          <w:p>
            <w:pPr>
              <w:pStyle w:val="Compact"/>
              <w:spacing w:after="40"/>
              <w:jc w:val="left"/>
            </w:pPr>
            <w:r>
              <w:rPr>
                <w:sz w:val="18"/>
              </w:rPr>
              <w:t xml:space="preserve">4.6(d), 10.10, 25.1–25.6</w:t>
            </w:r>
          </w:p>
        </w:tc>
      </w:tr>
      <w:tr>
        <w:tc>
          <w:tcPr>
            <w:tcW w:w="1532" w:type="dxa"/>
          </w:tcPr>
          <w:p>
            <w:pPr>
              <w:pStyle w:val="Compact"/>
              <w:spacing w:after="40"/>
              <w:jc w:val="left"/>
            </w:pPr>
            <w:r>
              <w:rPr>
                <w:sz w:val="18"/>
              </w:rPr>
              <w:t xml:space="preserve">Schedule 10</w:t>
            </w:r>
          </w:p>
        </w:tc>
        <w:tc>
          <w:tcPr>
            <w:tcW w:w="3312" w:type="dxa"/>
          </w:tcPr>
          <w:p>
            <w:pPr>
              <w:pStyle w:val="Compact"/>
              <w:spacing w:after="40"/>
              <w:jc w:val="left"/>
            </w:pPr>
            <w:r>
              <w:rPr>
                <w:sz w:val="18"/>
              </w:rPr>
              <w:t xml:space="preserve">Approved Sub-contractors and Sub-processors</w:t>
            </w:r>
          </w:p>
        </w:tc>
        <w:tc>
          <w:tcPr>
            <w:tcW w:w="4794" w:type="dxa"/>
          </w:tcPr>
          <w:p>
            <w:pPr>
              <w:pStyle w:val="Compact"/>
              <w:spacing w:after="40"/>
              <w:jc w:val="left"/>
            </w:pPr>
            <w:r>
              <w:rPr>
                <w:sz w:val="18"/>
              </w:rPr>
              <w:t xml:space="preserve">1.1 (</w:t>
            </w:r>
            <w:r>
              <w:rPr>
                <w:sz w:val="18"/>
              </w:rPr>
              <w:t xml:space="preserve">“</w:t>
            </w:r>
            <w:r>
              <w:rPr>
                <w:sz w:val="18"/>
              </w:rPr>
              <w:t xml:space="preserve">Approved Sub-contractor</w:t>
            </w:r>
            <w:r>
              <w:rPr>
                <w:sz w:val="18"/>
              </w:rPr>
              <w:t xml:space="preserve">”</w:t>
            </w:r>
            <w:r>
              <w:rPr>
                <w:sz w:val="18"/>
              </w:rPr>
              <w:t xml:space="preserve">), 11.10, 13.1–13.6</w:t>
            </w:r>
          </w:p>
        </w:tc>
      </w:tr>
      <w:tr>
        <w:tc>
          <w:tcPr>
            <w:tcW w:w="1532" w:type="dxa"/>
          </w:tcPr>
          <w:p>
            <w:pPr>
              <w:pStyle w:val="Compact"/>
              <w:spacing w:after="40"/>
              <w:jc w:val="left"/>
            </w:pPr>
            <w:r>
              <w:rPr>
                <w:sz w:val="18"/>
              </w:rPr>
              <w:t xml:space="preserve">Schedule 11</w:t>
            </w:r>
          </w:p>
        </w:tc>
        <w:tc>
          <w:tcPr>
            <w:tcW w:w="3312" w:type="dxa"/>
          </w:tcPr>
          <w:p>
            <w:pPr>
              <w:pStyle w:val="Compact"/>
              <w:spacing w:after="40"/>
              <w:jc w:val="left"/>
            </w:pPr>
            <w:r>
              <w:rPr>
                <w:sz w:val="18"/>
              </w:rPr>
              <w:t xml:space="preserve">Change Control Procedure</w:t>
            </w:r>
          </w:p>
        </w:tc>
        <w:tc>
          <w:tcPr>
            <w:tcW w:w="4794" w:type="dxa"/>
          </w:tcPr>
          <w:p>
            <w:pPr>
              <w:pStyle w:val="Compact"/>
              <w:spacing w:after="40"/>
              <w:jc w:val="left"/>
            </w:pPr>
            <w:r>
              <w:rPr>
                <w:sz w:val="18"/>
              </w:rPr>
              <w:t xml:space="preserve">4.10, 15.1, 15.5</w:t>
            </w:r>
          </w:p>
        </w:tc>
      </w:tr>
      <w:tr>
        <w:tc>
          <w:tcPr>
            <w:tcW w:w="1532" w:type="dxa"/>
          </w:tcPr>
          <w:p>
            <w:pPr>
              <w:pStyle w:val="Compact"/>
              <w:spacing w:after="40"/>
              <w:jc w:val="left"/>
            </w:pPr>
            <w:r>
              <w:rPr>
                <w:sz w:val="18"/>
              </w:rPr>
              <w:t xml:space="preserve">Schedule 12</w:t>
            </w:r>
          </w:p>
        </w:tc>
        <w:tc>
          <w:tcPr>
            <w:tcW w:w="3312" w:type="dxa"/>
          </w:tcPr>
          <w:p>
            <w:pPr>
              <w:pStyle w:val="Compact"/>
              <w:spacing w:after="40"/>
              <w:jc w:val="left"/>
            </w:pPr>
            <w:r>
              <w:rPr>
                <w:sz w:val="18"/>
              </w:rPr>
              <w:t xml:space="preserve">Governance Framework and Reporting</w:t>
            </w:r>
          </w:p>
        </w:tc>
        <w:tc>
          <w:tcPr>
            <w:tcW w:w="4794" w:type="dxa"/>
          </w:tcPr>
          <w:p>
            <w:pPr>
              <w:pStyle w:val="Compact"/>
              <w:spacing w:after="40"/>
              <w:jc w:val="left"/>
            </w:pPr>
            <w:r>
              <w:rPr>
                <w:sz w:val="18"/>
              </w:rPr>
              <w:t xml:space="preserve">6.2, 8.9, 19.3, 27.1–27.4, 28.2, 32.3</w:t>
            </w:r>
          </w:p>
        </w:tc>
      </w:tr>
      <w:tr>
        <w:tc>
          <w:tcPr>
            <w:tcW w:w="1532" w:type="dxa"/>
          </w:tcPr>
          <w:p>
            <w:pPr>
              <w:pStyle w:val="Compact"/>
              <w:spacing w:after="40"/>
              <w:jc w:val="left"/>
            </w:pPr>
            <w:r>
              <w:rPr>
                <w:sz w:val="18"/>
              </w:rPr>
              <w:t xml:space="preserve">Schedule 13</w:t>
            </w:r>
          </w:p>
        </w:tc>
        <w:tc>
          <w:tcPr>
            <w:tcW w:w="3312" w:type="dxa"/>
          </w:tcPr>
          <w:p>
            <w:pPr>
              <w:pStyle w:val="Compact"/>
              <w:spacing w:after="40"/>
              <w:jc w:val="left"/>
            </w:pPr>
            <w:r>
              <w:rPr>
                <w:sz w:val="18"/>
              </w:rPr>
              <w:t xml:space="preserve">Source Code Escrow Terms</w:t>
            </w:r>
          </w:p>
        </w:tc>
        <w:tc>
          <w:tcPr>
            <w:tcW w:w="4794" w:type="dxa"/>
          </w:tcPr>
          <w:p>
            <w:pPr>
              <w:pStyle w:val="Compact"/>
              <w:spacing w:after="40"/>
              <w:jc w:val="left"/>
            </w:pPr>
            <w:r>
              <w:rPr>
                <w:sz w:val="18"/>
              </w:rPr>
              <w:t xml:space="preserve">26.2–26.8</w:t>
            </w:r>
          </w:p>
        </w:tc>
      </w:tr>
      <w:tr>
        <w:tc>
          <w:tcPr>
            <w:tcW w:w="1532" w:type="dxa"/>
          </w:tcPr>
          <w:p>
            <w:pPr>
              <w:pStyle w:val="Compact"/>
              <w:spacing w:after="40"/>
              <w:jc w:val="left"/>
            </w:pPr>
            <w:r>
              <w:rPr>
                <w:sz w:val="18"/>
              </w:rPr>
              <w:t xml:space="preserve">Schedule 14</w:t>
            </w:r>
          </w:p>
        </w:tc>
        <w:tc>
          <w:tcPr>
            <w:tcW w:w="3312" w:type="dxa"/>
          </w:tcPr>
          <w:p>
            <w:pPr>
              <w:pStyle w:val="Compact"/>
              <w:spacing w:after="40"/>
              <w:jc w:val="left"/>
            </w:pPr>
            <w:r>
              <w:rPr>
                <w:sz w:val="18"/>
              </w:rPr>
              <w:t xml:space="preserve">Regulatory Compliance Matrix</w:t>
            </w:r>
          </w:p>
        </w:tc>
        <w:tc>
          <w:tcPr>
            <w:tcW w:w="4794" w:type="dxa"/>
          </w:tcPr>
          <w:p>
            <w:pPr>
              <w:pStyle w:val="Compact"/>
              <w:spacing w:after="40"/>
              <w:jc w:val="left"/>
            </w:pPr>
            <w:r>
              <w:rPr>
                <w:sz w:val="18"/>
              </w:rPr>
              <w:t xml:space="preserve">1.5, 1.6</w:t>
            </w:r>
          </w:p>
        </w:tc>
      </w:tr>
      <w:tr>
        <w:tc>
          <w:tcPr>
            <w:tcW w:w="1532" w:type="dxa"/>
          </w:tcPr>
          <w:p>
            <w:pPr>
              <w:pStyle w:val="Compact"/>
              <w:spacing w:after="40"/>
              <w:jc w:val="left"/>
            </w:pPr>
            <w:r>
              <w:rPr>
                <w:sz w:val="18"/>
              </w:rPr>
              <w:t xml:space="preserve">Schedule 15</w:t>
            </w:r>
          </w:p>
        </w:tc>
        <w:tc>
          <w:tcPr>
            <w:tcW w:w="3312" w:type="dxa"/>
          </w:tcPr>
          <w:p>
            <w:pPr>
              <w:pStyle w:val="Compact"/>
              <w:spacing w:after="40"/>
              <w:jc w:val="left"/>
            </w:pPr>
            <w:r>
              <w:rPr>
                <w:sz w:val="18"/>
              </w:rPr>
              <w:t xml:space="preserve">Forms of Undertaking and Declaration</w:t>
            </w:r>
          </w:p>
        </w:tc>
        <w:tc>
          <w:tcPr>
            <w:tcW w:w="4794" w:type="dxa"/>
          </w:tcPr>
          <w:p>
            <w:pPr>
              <w:pStyle w:val="Compact"/>
              <w:spacing w:after="40"/>
              <w:jc w:val="left"/>
            </w:pPr>
            <w:r>
              <w:rPr>
                <w:sz w:val="18"/>
              </w:rPr>
              <w:t xml:space="preserve">2.6(b), 3.6, 5.5(c), 8.7, 18.5, 20.2(a)</w:t>
            </w:r>
          </w:p>
        </w:tc>
      </w:tr>
      <w:tr>
        <w:tc>
          <w:tcPr>
            <w:tcW w:w="1532" w:type="dxa"/>
          </w:tcPr>
          <w:p>
            <w:pPr>
              <w:pStyle w:val="Compact"/>
              <w:spacing w:after="40"/>
              <w:jc w:val="left"/>
            </w:pPr>
            <w:r>
              <w:rPr>
                <w:sz w:val="18"/>
              </w:rPr>
              <w:t xml:space="preserve">Schedule 16</w:t>
            </w:r>
          </w:p>
        </w:tc>
        <w:tc>
          <w:tcPr>
            <w:tcW w:w="3312" w:type="dxa"/>
          </w:tcPr>
          <w:p>
            <w:pPr>
              <w:pStyle w:val="Compact"/>
              <w:spacing w:after="40"/>
              <w:jc w:val="left"/>
            </w:pPr>
            <w:r>
              <w:rPr>
                <w:sz w:val="18"/>
              </w:rPr>
              <w:t xml:space="preserve">Insurance Requirements</w:t>
            </w:r>
          </w:p>
        </w:tc>
        <w:tc>
          <w:tcPr>
            <w:tcW w:w="4794" w:type="dxa"/>
          </w:tcPr>
          <w:p>
            <w:pPr>
              <w:pStyle w:val="Compact"/>
              <w:spacing w:after="40"/>
              <w:jc w:val="left"/>
            </w:pPr>
            <w:r>
              <w:rPr>
                <w:sz w:val="18"/>
              </w:rPr>
              <w:t xml:space="preserve">23.1–23.2</w:t>
            </w:r>
          </w:p>
        </w:tc>
      </w:tr>
    </w:tbl>
    <w:p>
      <w:r>
        <w:br w:type="page"/>
      </w:r>
    </w:p>
    <w:bookmarkEnd w:id="56"/>
    <w:bookmarkStart w:id="57" w:name="X09a318471743db21accbdd10a7508c23654065a"/>
    <w:p>
      <w:pPr>
        <w:pStyle w:val="Heading1"/>
      </w:pPr>
      <w:r>
        <w:t xml:space="preserve">SCHEDULES TO THE MASTER SERVICES AGREEMENT</w:t>
      </w:r>
    </w:p>
    <w:p>
      <w:pPr>
        <w:pStyle w:val="FirstParagraph"/>
      </w:pPr>
      <w:r>
        <w:rPr>
          <w:iCs/>
          <w:i/>
        </w:rPr>
        <w:t xml:space="preserve">Drafting note: These Schedules form part of the Master Services Agreement between [Infrabyx group company] (the</w:t>
      </w:r>
      <w:r>
        <w:rPr>
          <w:iCs/>
          <w:i/>
        </w:rPr>
        <w:t xml:space="preserve"> </w:t>
      </w:r>
      <w:r>
        <w:rPr>
          <w:iCs/>
          <w:i/>
        </w:rPr>
        <w:t xml:space="preserve">“</w:t>
      </w:r>
      <w:r>
        <w:rPr>
          <w:iCs/>
          <w:i/>
        </w:rPr>
        <w:t xml:space="preserve">Service Provider</w:t>
      </w:r>
      <w:r>
        <w:rPr>
          <w:iCs/>
          <w:i/>
        </w:rPr>
        <w:t xml:space="preserve">”</w:t>
      </w:r>
      <w:r>
        <w:rPr>
          <w:iCs/>
          <w:i/>
        </w:rPr>
        <w:t xml:space="preserve">) and [name of NBFC] (the</w:t>
      </w:r>
      <w:r>
        <w:rPr>
          <w:iCs/>
          <w:i/>
        </w:rPr>
        <w:t xml:space="preserve"> </w:t>
      </w:r>
      <w:r>
        <w:rPr>
          <w:iCs/>
          <w:i/>
        </w:rPr>
        <w:t xml:space="preserve">“</w:t>
      </w:r>
      <w:r>
        <w:rPr>
          <w:iCs/>
          <w:i/>
        </w:rPr>
        <w:t xml:space="preserve">Company</w:t>
      </w:r>
      <w:r>
        <w:rPr>
          <w:iCs/>
          <w:i/>
        </w:rPr>
        <w:t xml:space="preserve">”</w:t>
      </w:r>
      <w:r>
        <w:rPr>
          <w:iCs/>
          <w:i/>
        </w:rPr>
        <w:t xml:space="preserve">) and are read with Articles 1 to 33 (Clause 1.2(c)). Capitalised terms (including Company Data, Customer Data, Borrower Data, Tenant Environment, Detection, Incident, Material Adverse Event, Security Breach, Critical Application, Critical Service, Uniform Standard, Exit Period, Minimum Exit Period, Successor Provider, Deposit Materials, Persistent Service Failure, Data Super-Cap, Regulatory Updates and Business Day) have the meanings in Clause 1.1 or the Clause that defines them. Precedence follows Clause 1.3: provisions of a Schedule corresponding to a Clause marked [Mandatory — RBI] rank with that Clause, and Schedule 4 ranks above the other Clauses for Personal Data.</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74"/>
        <w:gridCol w:w="7264"/>
      </w:tblGrid>
      <w:tr>
        <w:trPr>
          <w:tblHeader w:val="true"/>
          <w:tblHeader w:val="true"/>
        </w:trPr>
        <w:tc>
          <w:tcPr>
            <w:tcW w:w="2374" w:type="dxa"/>
            <w:shd w:val="clear" w:color="auto" w:fill="1F3A5F"/>
          </w:tcPr>
          <w:p>
            <w:pPr>
              <w:pStyle w:val="Compact"/>
              <w:spacing w:after="40"/>
              <w:jc w:val="left"/>
            </w:pPr>
            <w:r>
              <w:rPr>
                <w:b/>
                <w:color w:val="FFFFFF"/>
                <w:sz w:val="18"/>
              </w:rPr>
              <w:t xml:space="preserve">Marker</w:t>
            </w:r>
          </w:p>
        </w:tc>
        <w:tc>
          <w:tcPr>
            <w:tcW w:w="7264" w:type="dxa"/>
            <w:shd w:val="clear" w:color="auto" w:fill="1F3A5F"/>
          </w:tcPr>
          <w:p>
            <w:pPr>
              <w:pStyle w:val="Compact"/>
              <w:spacing w:after="40"/>
              <w:jc w:val="left"/>
            </w:pPr>
            <w:r>
              <w:rPr>
                <w:b/>
                <w:color w:val="FFFFFF"/>
                <w:sz w:val="18"/>
              </w:rPr>
              <w:t xml:space="preserve">Meaning</w:t>
            </w:r>
          </w:p>
        </w:tc>
      </w:tr>
      <w:tr>
        <w:tc>
          <w:tcPr>
            <w:tcW w:w="2374" w:type="dxa"/>
          </w:tcPr>
          <w:p>
            <w:pPr>
              <w:pStyle w:val="Compact"/>
              <w:spacing w:after="40"/>
              <w:jc w:val="left"/>
            </w:pPr>
            <w:r>
              <w:rPr>
                <w:sz w:val="18"/>
              </w:rPr>
              <w:t xml:space="preserve">[Mandatory — RBI]</w:t>
            </w:r>
          </w:p>
        </w:tc>
        <w:tc>
          <w:tcPr>
            <w:tcW w:w="7264" w:type="dxa"/>
          </w:tcPr>
          <w:p>
            <w:pPr>
              <w:pStyle w:val="Compact"/>
              <w:spacing w:after="40"/>
              <w:jc w:val="left"/>
            </w:pPr>
            <w:r>
              <w:rPr>
                <w:sz w:val="18"/>
              </w:rPr>
              <w:t xml:space="preserve">Implements an RBI Direction applicable to the Company. Regulatory floor: cannot be deleted, diluted or made subject to extra cost or condition.</w:t>
            </w:r>
          </w:p>
        </w:tc>
      </w:tr>
      <w:tr>
        <w:tc>
          <w:tcPr>
            <w:tcW w:w="2374" w:type="dxa"/>
          </w:tcPr>
          <w:p>
            <w:pPr>
              <w:pStyle w:val="Compact"/>
              <w:spacing w:after="40"/>
              <w:jc w:val="left"/>
            </w:pPr>
            <w:r>
              <w:rPr>
                <w:sz w:val="18"/>
              </w:rPr>
              <w:t xml:space="preserve">[Mandatory — Law]</w:t>
            </w:r>
          </w:p>
        </w:tc>
        <w:tc>
          <w:tcPr>
            <w:tcW w:w="7264" w:type="dxa"/>
          </w:tcPr>
          <w:p>
            <w:pPr>
              <w:pStyle w:val="Compact"/>
              <w:spacing w:after="40"/>
              <w:jc w:val="left"/>
            </w:pPr>
            <w:r>
              <w:rPr>
                <w:sz w:val="18"/>
              </w:rPr>
              <w:t xml:space="preserve">Implements a statute or binding direction (DPDP Act 2023, DPDP Rules 2025, IT Act 2000, CERT-In Directions of 28 April 2022, Aadhaar Act 2016). Not negotiable.</w:t>
            </w:r>
          </w:p>
        </w:tc>
      </w:tr>
      <w:tr>
        <w:tc>
          <w:tcPr>
            <w:tcW w:w="2374" w:type="dxa"/>
          </w:tcPr>
          <w:p>
            <w:pPr>
              <w:pStyle w:val="Compact"/>
              <w:spacing w:after="40"/>
              <w:jc w:val="left"/>
            </w:pPr>
            <w:r>
              <w:rPr>
                <w:sz w:val="18"/>
              </w:rPr>
              <w:t xml:space="preserve">[Recommended]</w:t>
            </w:r>
          </w:p>
        </w:tc>
        <w:tc>
          <w:tcPr>
            <w:tcW w:w="7264" w:type="dxa"/>
          </w:tcPr>
          <w:p>
            <w:pPr>
              <w:pStyle w:val="Compact"/>
              <w:spacing w:after="40"/>
              <w:jc w:val="left"/>
            </w:pPr>
            <w:r>
              <w:rPr>
                <w:sz w:val="18"/>
              </w:rPr>
              <w:t xml:space="preserve">Good practice; may be varied with reasons recorded in the Company’s outsourcing file.</w:t>
            </w:r>
          </w:p>
        </w:tc>
      </w:tr>
      <w:tr>
        <w:tc>
          <w:tcPr>
            <w:tcW w:w="2374" w:type="dxa"/>
          </w:tcPr>
          <w:p>
            <w:pPr>
              <w:pStyle w:val="Compact"/>
              <w:spacing w:after="40"/>
              <w:jc w:val="left"/>
            </w:pPr>
            <w:r>
              <w:rPr>
                <w:sz w:val="18"/>
              </w:rPr>
              <w:t xml:space="preserve">[Option]</w:t>
            </w:r>
          </w:p>
        </w:tc>
        <w:tc>
          <w:tcPr>
            <w:tcW w:w="7264" w:type="dxa"/>
          </w:tcPr>
          <w:p>
            <w:pPr>
              <w:pStyle w:val="Compact"/>
              <w:spacing w:after="40"/>
              <w:jc w:val="left"/>
            </w:pPr>
            <w:r>
              <w:rPr>
                <w:sz w:val="18"/>
              </w:rPr>
              <w:t xml:space="preserve">Commercial choice: select, complete or delete.</w:t>
            </w:r>
          </w:p>
        </w:tc>
      </w:tr>
      <w:tr>
        <w:tc>
          <w:tcPr>
            <w:tcW w:w="2374" w:type="dxa"/>
          </w:tcPr>
          <w:p>
            <w:pPr>
              <w:pStyle w:val="Compact"/>
              <w:spacing w:after="40"/>
              <w:jc w:val="left"/>
            </w:pPr>
            <w:r>
              <w:rPr>
                <w:sz w:val="18"/>
              </w:rPr>
              <w:t xml:space="preserve">[●] / [VERIFY: …]</w:t>
            </w:r>
          </w:p>
        </w:tc>
        <w:tc>
          <w:tcPr>
            <w:tcW w:w="7264" w:type="dxa"/>
          </w:tcPr>
          <w:p>
            <w:pPr>
              <w:pStyle w:val="Compact"/>
              <w:spacing w:after="40"/>
              <w:jc w:val="left"/>
            </w:pPr>
            <w:r>
              <w:rPr>
                <w:sz w:val="18"/>
              </w:rPr>
              <w:t xml:space="preserve">Blank to complete / point to confirm against the official text before execution.</w:t>
            </w:r>
          </w:p>
        </w:tc>
      </w:tr>
    </w:tbl>
    <w:p>
      <w:pPr>
        <w:pStyle w:val="BodyText"/>
      </w:pPr>
      <w:r>
        <w:rPr>
          <w:bCs/>
          <w:b/>
        </w:rPr>
        <w:t xml:space="preserve">Source abbreviations.</w:t>
      </w:r>
      <w:r>
        <w:t xml:space="preserve"> </w:t>
      </w:r>
      <w:r>
        <w:t xml:space="preserve">OUT: RBI (NBFC – Managing Risks in Outsourcing) Directions, 2025 (RBI/DOR/2025-26/363). CYB: RBI (NBFC – Cybersecurity, Technology: Risk, Resilience and Assurance Framework) Directions, 2026 (RBI/DoS/2026-27/461). CF: RBI (NBFC – Credit Facilities) Directions, 2025. KYC: RBI (NBFC – Know Your Customer) Directions, 2025 (RBI/DOR/2025-26/361). RBC: RBI (NBFC – Responsible Business Conduct) Directions, 2025 (RBI/DOR/2025-26/362). CIR: RBI (NBFC – Credit Information Reporting) Directions, 2025 (RBI/DOR/2025-26/349). AUD: RBI (NBFC – Auditor’s Report) Directions, 2026 (RBI/DoS/2026-27/468). IAF: RBI (NBFC – Internal Audit Function) Directions, 2026 (RBI/DoS/2026-27/464). DPDP Rules: G.S.R. 846(E), 13 November 2025.</w:t>
      </w:r>
    </w:p>
    <w:p>
      <w:pPr>
        <w:pStyle w:val="BodyText"/>
      </w:pPr>
      <w:r>
        <w:rPr>
          <w:bCs/>
          <w:b/>
        </w:rPr>
        <w:t xml:space="preserve">Layer applicability.</w:t>
      </w:r>
      <w:r>
        <w:t xml:space="preserve"> </w:t>
      </w:r>
      <w:r>
        <w:t xml:space="preserve">CYB Chapter III applies to Base Layer NBFCs with assets below ₹500 crore and CICs (CYB paras 7–9); Chapter IV to Base Layer NBFCs with assets of ₹500 crore and above (paras 10–64); Chapter V to Middle, Upper and Top Layer NBFCs (paras 65–154) (CYB para 3). OUT Chapter IV applies to the Middle Layer and above (OUT para 3(2)), and then only to material outsourcing of IT services (OUT para 5(1)).</w:t>
      </w:r>
      <w:r>
        <w:t xml:space="preserve"> </w:t>
      </w:r>
      <w:r>
        <w:rPr>
          <w:iCs/>
          <w:i/>
        </w:rPr>
        <w:t xml:space="preserve">Drafting note: under Clause 1.5(b) the Service Provider provides the Services to the Uniform Standard (OUT Chapter IV and CYB Chapter V), so these Schedules apply irrespective of layer unless stated. HFCs report cyber incidents to NHB, not RBI (CYB para 141, Note), and AUD does not apply to HFC auditors (AUD para 3). For a bank, substitute the commercial-bank outsourcing and IT Directions [VERIFY].</w:t>
      </w:r>
    </w:p>
    <w:p>
      <w:r>
        <w:pict>
          <v:rect style="width:0;height:1.5pt" o:hralign="center" o:hrstd="t" o:hr="t"/>
        </w:pict>
      </w:r>
    </w:p>
    <w:p>
      <w:r>
        <w:br w:type="page"/>
      </w:r>
    </w:p>
    <w:bookmarkEnd w:id="57"/>
    <w:bookmarkStart w:id="67" w:name="Xa29adcf19a26f1cb3969d99c29a08a82d6d10c0"/>
    <w:p>
      <w:pPr>
        <w:pStyle w:val="Heading1"/>
      </w:pPr>
      <w:r>
        <w:t xml:space="preserve">SCHEDULE 1 — Order Form and Commercial Terms</w:t>
      </w:r>
    </w:p>
    <w:p>
      <w:pPr>
        <w:pStyle w:val="FirstParagraph"/>
      </w:pPr>
      <w:r>
        <w:rPr>
          <w:iCs/>
          <w:i/>
        </w:rPr>
        <w:t xml:space="preserve">Drafting note: One Order Form per legal entity under Article 2; a regulated Affiliate of the Company must enter into its own agreement and may not be added through an entity table (Clause 2.3). Additions are made by further Order Form or a Change under Article 15 and Schedule 11. All items are commercial unless marked.</w:t>
      </w:r>
    </w:p>
    <w:bookmarkStart w:id="58" w:name="part-a-parties-and-regulatory-profile"/>
    <w:p>
      <w:pPr>
        <w:pStyle w:val="Heading2"/>
      </w:pPr>
      <w:r>
        <w:t xml:space="preserve">Part A — Parties and Regulatory Profile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66"/>
        <w:gridCol w:w="6472"/>
      </w:tblGrid>
      <w:tr>
        <w:trPr>
          <w:tblHeader w:val="true"/>
          <w:tblHeader w:val="true"/>
        </w:trPr>
        <w:tc>
          <w:tcPr>
            <w:tcW w:w="3166" w:type="dxa"/>
            <w:shd w:val="clear" w:color="auto" w:fill="1F3A5F"/>
          </w:tcPr>
          <w:p>
            <w:pPr>
              <w:pStyle w:val="Compact"/>
              <w:spacing w:after="40"/>
              <w:jc w:val="left"/>
            </w:pPr>
            <w:r>
              <w:rPr>
                <w:b/>
                <w:color w:val="FFFFFF"/>
                <w:sz w:val="18"/>
              </w:rPr>
              <w:t xml:space="preserve">Item</w:t>
            </w:r>
          </w:p>
        </w:tc>
        <w:tc>
          <w:tcPr>
            <w:tcW w:w="6472" w:type="dxa"/>
            <w:shd w:val="clear" w:color="auto" w:fill="1F3A5F"/>
          </w:tcPr>
          <w:p>
            <w:pPr>
              <w:pStyle w:val="Compact"/>
              <w:spacing w:after="40"/>
              <w:jc w:val="left"/>
            </w:pPr>
            <w:r>
              <w:rPr>
                <w:b/>
                <w:color w:val="FFFFFF"/>
                <w:sz w:val="18"/>
              </w:rPr>
              <w:t xml:space="preserve">Particulars</w:t>
            </w:r>
          </w:p>
        </w:tc>
      </w:tr>
      <w:tr>
        <w:tc>
          <w:tcPr>
            <w:tcW w:w="3166" w:type="dxa"/>
          </w:tcPr>
          <w:p>
            <w:pPr>
              <w:pStyle w:val="Compact"/>
              <w:spacing w:after="40"/>
              <w:jc w:val="left"/>
            </w:pPr>
            <w:r>
              <w:rPr>
                <w:sz w:val="18"/>
              </w:rPr>
              <w:t xml:space="preserve">Order Form number and date</w:t>
            </w:r>
          </w:p>
        </w:tc>
        <w:tc>
          <w:tcPr>
            <w:tcW w:w="6472" w:type="dxa"/>
          </w:tcPr>
          <w:p>
            <w:pPr>
              <w:pStyle w:val="Compact"/>
              <w:spacing w:after="40"/>
              <w:jc w:val="left"/>
            </w:pPr>
            <w:r>
              <w:rPr>
                <w:sz w:val="18"/>
              </w:rPr>
              <w:t xml:space="preserve">[●]</w:t>
            </w:r>
          </w:p>
        </w:tc>
      </w:tr>
      <w:tr>
        <w:tc>
          <w:tcPr>
            <w:tcW w:w="3166" w:type="dxa"/>
          </w:tcPr>
          <w:p>
            <w:pPr>
              <w:pStyle w:val="Compact"/>
              <w:spacing w:after="40"/>
              <w:jc w:val="left"/>
            </w:pPr>
            <w:r>
              <w:rPr>
                <w:sz w:val="18"/>
              </w:rPr>
              <w:t xml:space="preserve">Service Provider</w:t>
            </w:r>
          </w:p>
        </w:tc>
        <w:tc>
          <w:tcPr>
            <w:tcW w:w="6472" w:type="dxa"/>
          </w:tcPr>
          <w:p>
            <w:pPr>
              <w:pStyle w:val="Compact"/>
              <w:spacing w:after="40"/>
              <w:jc w:val="left"/>
            </w:pPr>
            <w:r>
              <w:rPr>
                <w:sz w:val="18"/>
              </w:rPr>
              <w:t xml:space="preserve">[Infrabyx group company], CIN [●], registered office [●], GSTIN [●]</w:t>
            </w:r>
          </w:p>
        </w:tc>
      </w:tr>
      <w:tr>
        <w:tc>
          <w:tcPr>
            <w:tcW w:w="3166" w:type="dxa"/>
          </w:tcPr>
          <w:p>
            <w:pPr>
              <w:pStyle w:val="Compact"/>
              <w:spacing w:after="40"/>
              <w:jc w:val="left"/>
            </w:pPr>
            <w:r>
              <w:rPr>
                <w:sz w:val="18"/>
              </w:rPr>
              <w:t xml:space="preserve">Company</w:t>
            </w:r>
          </w:p>
        </w:tc>
        <w:tc>
          <w:tcPr>
            <w:tcW w:w="6472" w:type="dxa"/>
          </w:tcPr>
          <w:p>
            <w:pPr>
              <w:pStyle w:val="Compact"/>
              <w:spacing w:after="40"/>
              <w:jc w:val="left"/>
            </w:pPr>
            <w:r>
              <w:rPr>
                <w:sz w:val="18"/>
              </w:rPr>
              <w:t xml:space="preserve">[Name], CIN [●], RBI CoR No. [●], registered office [●], GSTIN(s) [●]</w:t>
            </w:r>
          </w:p>
        </w:tc>
      </w:tr>
      <w:tr>
        <w:tc>
          <w:tcPr>
            <w:tcW w:w="3166" w:type="dxa"/>
          </w:tcPr>
          <w:p>
            <w:pPr>
              <w:pStyle w:val="Compact"/>
              <w:spacing w:after="40"/>
              <w:jc w:val="left"/>
            </w:pPr>
            <w:r>
              <w:rPr>
                <w:sz w:val="18"/>
              </w:rPr>
              <w:t xml:space="preserve">Category and layer</w:t>
            </w:r>
          </w:p>
        </w:tc>
        <w:tc>
          <w:tcPr>
            <w:tcW w:w="6472" w:type="dxa"/>
          </w:tcPr>
          <w:p>
            <w:pPr>
              <w:pStyle w:val="Compact"/>
              <w:spacing w:after="40"/>
              <w:jc w:val="left"/>
            </w:pPr>
            <w:r>
              <w:rPr>
                <w:sz w:val="18"/>
              </w:rPr>
              <w:t xml:space="preserve">[NBFC-ICC / NBFC-MFI / NBFC-D / HFC / other]; [Base Layer below ₹500 crore / Base Layer ₹500 crore and above / Middle / Upper / Top Layer]</w:t>
            </w:r>
          </w:p>
        </w:tc>
      </w:tr>
      <w:tr>
        <w:tc>
          <w:tcPr>
            <w:tcW w:w="3166" w:type="dxa"/>
          </w:tcPr>
          <w:p>
            <w:pPr>
              <w:pStyle w:val="Compact"/>
              <w:spacing w:after="40"/>
              <w:jc w:val="left"/>
            </w:pPr>
            <w:r>
              <w:rPr>
                <w:sz w:val="18"/>
              </w:rPr>
              <w:t xml:space="preserve">CYB chapter; OUT Chapter IV</w:t>
            </w:r>
          </w:p>
        </w:tc>
        <w:tc>
          <w:tcPr>
            <w:tcW w:w="6472" w:type="dxa"/>
          </w:tcPr>
          <w:p>
            <w:pPr>
              <w:pStyle w:val="Compact"/>
              <w:spacing w:after="40"/>
              <w:jc w:val="left"/>
            </w:pPr>
            <w:r>
              <w:rPr>
                <w:sz w:val="18"/>
              </w:rPr>
              <w:t xml:space="preserve">[III / IV / V]; [applies / adopted contractually]</w:t>
            </w:r>
          </w:p>
        </w:tc>
      </w:tr>
      <w:tr>
        <w:tc>
          <w:tcPr>
            <w:tcW w:w="3166" w:type="dxa"/>
          </w:tcPr>
          <w:p>
            <w:pPr>
              <w:pStyle w:val="Compact"/>
              <w:spacing w:after="40"/>
              <w:jc w:val="left"/>
            </w:pPr>
            <w:r>
              <w:rPr>
                <w:sz w:val="18"/>
              </w:rPr>
              <w:t xml:space="preserve">Critical Applications and Critical Services (Clauses 3.5, 4.4)</w:t>
            </w:r>
          </w:p>
        </w:tc>
        <w:tc>
          <w:tcPr>
            <w:tcW w:w="6472" w:type="dxa"/>
          </w:tcPr>
          <w:p>
            <w:pPr>
              <w:pStyle w:val="Compact"/>
              <w:spacing w:after="40"/>
              <w:jc w:val="left"/>
            </w:pPr>
            <w:r>
              <w:rPr>
                <w:sz w:val="18"/>
              </w:rPr>
              <w:t xml:space="preserve">Critical Applications: [M4 LOS, M6 LMS, M10 accounting and general ledger, M7 payments and reconciliation, M13 regulatory reporting (default under Clause 1.1) / add: ●]. Critical Services: [●]</w:t>
            </w:r>
          </w:p>
        </w:tc>
      </w:tr>
      <w:tr>
        <w:tc>
          <w:tcPr>
            <w:tcW w:w="3166" w:type="dxa"/>
          </w:tcPr>
          <w:p>
            <w:pPr>
              <w:pStyle w:val="Compact"/>
              <w:spacing w:after="40"/>
              <w:jc w:val="left"/>
            </w:pPr>
            <w:r>
              <w:rPr>
                <w:sz w:val="18"/>
              </w:rPr>
              <w:t xml:space="preserve">Materiality</w:t>
            </w:r>
          </w:p>
        </w:tc>
        <w:tc>
          <w:tcPr>
            <w:tcW w:w="6472" w:type="dxa"/>
          </w:tcPr>
          <w:p>
            <w:pPr>
              <w:pStyle w:val="Compact"/>
              <w:spacing w:after="40"/>
              <w:jc w:val="left"/>
            </w:pPr>
            <w:r>
              <w:rPr>
                <w:sz w:val="18"/>
              </w:rPr>
              <w:t xml:space="preserve">[Material Outsourcing of IT services (OUT para 58(2)) / non-material with reasons].</w:t>
            </w:r>
            <w:r>
              <w:rPr>
                <w:sz w:val="18"/>
              </w:rPr>
              <w:t xml:space="preserve"> </w:t>
            </w:r>
            <w:r>
              <w:rPr>
                <w:iCs/>
                <w:i/>
                <w:sz w:val="18"/>
              </w:rPr>
              <w:t xml:space="preserve">A hosted deployment holding borrower data is ordinarily material for a Middle Layer or higher Company; the decision is the Company’s under its Board policy (OUT para 62(iii)).</w:t>
            </w:r>
          </w:p>
        </w:tc>
      </w:tr>
      <w:tr>
        <w:tc>
          <w:tcPr>
            <w:tcW w:w="3166" w:type="dxa"/>
          </w:tcPr>
          <w:p>
            <w:pPr>
              <w:pStyle w:val="Compact"/>
              <w:spacing w:after="40"/>
              <w:jc w:val="left"/>
            </w:pPr>
            <w:r>
              <w:rPr>
                <w:sz w:val="18"/>
              </w:rPr>
              <w:t xml:space="preserve">Group relationship</w:t>
            </w:r>
          </w:p>
        </w:tc>
        <w:tc>
          <w:tcPr>
            <w:tcW w:w="6472" w:type="dxa"/>
          </w:tcPr>
          <w:p>
            <w:pPr>
              <w:pStyle w:val="Compact"/>
              <w:spacing w:after="40"/>
              <w:jc w:val="left"/>
            </w:pPr>
            <w:r>
              <w:rPr>
                <w:sz w:val="18"/>
              </w:rPr>
              <w:t xml:space="preserve">Service Provider [is / is not] a group company (OUT para 6(2)); if it is, Board-approved group policy reference and arm’s length confirmation (OUT paras 90–92)</w:t>
            </w:r>
          </w:p>
        </w:tc>
      </w:tr>
      <w:tr>
        <w:tc>
          <w:tcPr>
            <w:tcW w:w="3166" w:type="dxa"/>
          </w:tcPr>
          <w:p>
            <w:pPr>
              <w:pStyle w:val="Compact"/>
              <w:spacing w:after="40"/>
              <w:jc w:val="left"/>
            </w:pPr>
            <w:r>
              <w:rPr>
                <w:sz w:val="18"/>
              </w:rPr>
              <w:t xml:space="preserve">Approval</w:t>
            </w:r>
          </w:p>
        </w:tc>
        <w:tc>
          <w:tcPr>
            <w:tcW w:w="6472" w:type="dxa"/>
          </w:tcPr>
          <w:p>
            <w:pPr>
              <w:pStyle w:val="Compact"/>
              <w:spacing w:after="40"/>
              <w:jc w:val="left"/>
            </w:pPr>
            <w:r>
              <w:rPr>
                <w:sz w:val="18"/>
              </w:rPr>
              <w:t xml:space="preserve">[Board / Committee], resolution dated [●]; exception under OUT para 59 proviso: [none / approved on ● with disclosure]</w:t>
            </w:r>
          </w:p>
        </w:tc>
      </w:tr>
      <w:tr>
        <w:tc>
          <w:tcPr>
            <w:tcW w:w="3166" w:type="dxa"/>
          </w:tcPr>
          <w:p>
            <w:pPr>
              <w:pStyle w:val="Compact"/>
              <w:spacing w:after="40"/>
              <w:jc w:val="left"/>
            </w:pPr>
            <w:r>
              <w:rPr>
                <w:sz w:val="18"/>
              </w:rPr>
              <w:t xml:space="preserve">Representatives</w:t>
            </w:r>
          </w:p>
        </w:tc>
        <w:tc>
          <w:tcPr>
            <w:tcW w:w="6472" w:type="dxa"/>
          </w:tcPr>
          <w:p>
            <w:pPr>
              <w:pStyle w:val="Compact"/>
              <w:spacing w:after="40"/>
              <w:jc w:val="left"/>
            </w:pPr>
            <w:r>
              <w:rPr>
                <w:sz w:val="18"/>
              </w:rPr>
              <w:t xml:space="preserve">Company: contract owner, IT owner, CISO, DPDP contact (DPDP Act s.8(9)), Grievance Redressal Officer [●]. Service Provider: account executive, service delivery manager, CISO, privacy officer, escalation director [●]</w:t>
            </w:r>
          </w:p>
        </w:tc>
      </w:tr>
    </w:tbl>
    <w:bookmarkEnd w:id="58"/>
    <w:bookmarkStart w:id="59" w:name="part-b-modules-subscribed"/>
    <w:p>
      <w:pPr>
        <w:pStyle w:val="Heading2"/>
      </w:pPr>
      <w:r>
        <w:t xml:space="preserve">Part B — Modules Subscribed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386"/>
        <w:gridCol w:w="3953"/>
        <w:gridCol w:w="2299"/>
      </w:tblGrid>
      <w:tr>
        <w:trPr>
          <w:tblHeader w:val="true"/>
          <w:tblHeader w:val="true"/>
        </w:trPr>
        <w:tc>
          <w:tcPr>
            <w:tcW w:w="3386" w:type="dxa"/>
            <w:shd w:val="clear" w:color="auto" w:fill="1F3A5F"/>
          </w:tcPr>
          <w:p>
            <w:pPr>
              <w:pStyle w:val="Compact"/>
              <w:spacing w:after="40"/>
              <w:jc w:val="left"/>
            </w:pPr>
            <w:r>
              <w:rPr>
                <w:b/>
                <w:color w:val="FFFFFF"/>
                <w:sz w:val="18"/>
              </w:rPr>
              <w:t xml:space="preserve">Module or SKU (Schedule 2)</w:t>
            </w:r>
          </w:p>
        </w:tc>
        <w:tc>
          <w:tcPr>
            <w:tcW w:w="3953" w:type="dxa"/>
            <w:shd w:val="clear" w:color="auto" w:fill="1F3A5F"/>
          </w:tcPr>
          <w:p>
            <w:pPr>
              <w:pStyle w:val="Compact"/>
              <w:spacing w:after="40"/>
              <w:jc w:val="left"/>
            </w:pPr>
            <w:r>
              <w:rPr>
                <w:b/>
                <w:color w:val="FFFFFF"/>
                <w:sz w:val="18"/>
              </w:rPr>
              <w:t xml:space="preserve">Core / Optional</w:t>
            </w:r>
          </w:p>
        </w:tc>
        <w:tc>
          <w:tcPr>
            <w:tcW w:w="2299" w:type="dxa"/>
            <w:shd w:val="clear" w:color="auto" w:fill="1F3A5F"/>
          </w:tcPr>
          <w:p>
            <w:pPr>
              <w:pStyle w:val="Compact"/>
              <w:spacing w:after="40"/>
              <w:jc w:val="left"/>
            </w:pPr>
            <w:r>
              <w:rPr>
                <w:b/>
                <w:color w:val="FFFFFF"/>
                <w:sz w:val="18"/>
              </w:rPr>
              <w:t xml:space="preserve">Subscribed; start date; entities, products, branches</w:t>
            </w:r>
          </w:p>
        </w:tc>
      </w:tr>
      <w:tr>
        <w:tc>
          <w:tcPr>
            <w:tcW w:w="3386" w:type="dxa"/>
          </w:tcPr>
          <w:p>
            <w:pPr>
              <w:pStyle w:val="Compact"/>
              <w:spacing w:after="40"/>
              <w:jc w:val="left"/>
            </w:pPr>
            <w:r>
              <w:rPr>
                <w:sz w:val="18"/>
              </w:rPr>
              <w:t xml:space="preserve">CORE — Core Lending Platform [full suite / LOS only / LMS only / accounting only / compliance and reporting only]</w:t>
            </w:r>
          </w:p>
        </w:tc>
        <w:tc>
          <w:tcPr>
            <w:tcW w:w="3953" w:type="dxa"/>
          </w:tcPr>
          <w:p>
            <w:pPr>
              <w:pStyle w:val="Compact"/>
              <w:spacing w:after="40"/>
              <w:jc w:val="left"/>
            </w:pPr>
            <w:r>
              <w:rPr>
                <w:sz w:val="18"/>
              </w:rPr>
              <w:t xml:space="preserve">Core</w:t>
            </w:r>
          </w:p>
        </w:tc>
        <w:tc>
          <w:tcPr>
            <w:tcW w:w="2299" w:type="dxa"/>
          </w:tcPr>
          <w:p>
            <w:pPr>
              <w:pStyle w:val="Compact"/>
              <w:spacing w:after="40"/>
              <w:jc w:val="left"/>
            </w:pPr>
            <w:r>
              <w:rPr>
                <w:sz w:val="18"/>
              </w:rPr>
              <w:t xml:space="preserve">[●]</w:t>
            </w:r>
          </w:p>
        </w:tc>
      </w:tr>
      <w:tr>
        <w:tc>
          <w:tcPr>
            <w:tcW w:w="3386" w:type="dxa"/>
          </w:tcPr>
          <w:p>
            <w:pPr>
              <w:pStyle w:val="Compact"/>
              <w:spacing w:after="40"/>
              <w:jc w:val="left"/>
            </w:pPr>
            <w:r>
              <w:rPr>
                <w:sz w:val="18"/>
              </w:rPr>
              <w:t xml:space="preserve">PRD-STD / PRD-SPL — product template packs</w:t>
            </w:r>
          </w:p>
        </w:tc>
        <w:tc>
          <w:tcPr>
            <w:tcW w:w="3953" w:type="dxa"/>
          </w:tcPr>
          <w:p>
            <w:pPr>
              <w:pStyle w:val="Compact"/>
              <w:spacing w:after="40"/>
              <w:jc w:val="left"/>
            </w:pPr>
            <w:r>
              <w:rPr>
                <w:sz w:val="18"/>
              </w:rPr>
              <w:t xml:space="preserve">Core / Optional</w:t>
            </w:r>
          </w:p>
        </w:tc>
        <w:tc>
          <w:tcPr>
            <w:tcW w:w="2299" w:type="dxa"/>
          </w:tcPr>
          <w:p>
            <w:pPr>
              <w:pStyle w:val="Compact"/>
              <w:spacing w:after="40"/>
              <w:jc w:val="left"/>
            </w:pPr>
            <w:r>
              <w:rPr>
                <w:sz w:val="18"/>
              </w:rPr>
              <w:t xml:space="preserve">[●]</w:t>
            </w:r>
          </w:p>
        </w:tc>
      </w:tr>
      <w:tr>
        <w:tc>
          <w:tcPr>
            <w:tcW w:w="3386" w:type="dxa"/>
          </w:tcPr>
          <w:p>
            <w:pPr>
              <w:pStyle w:val="Compact"/>
              <w:spacing w:after="40"/>
              <w:jc w:val="left"/>
            </w:pPr>
            <w:r>
              <w:rPr>
                <w:sz w:val="18"/>
              </w:rPr>
              <w:t xml:space="preserve">M2-P — partner and DSA portal with payout engine</w:t>
            </w:r>
          </w:p>
        </w:tc>
        <w:tc>
          <w:tcPr>
            <w:tcW w:w="3953" w:type="dxa"/>
          </w:tcPr>
          <w:p>
            <w:pPr>
              <w:pStyle w:val="Compact"/>
              <w:spacing w:after="40"/>
              <w:jc w:val="left"/>
            </w:pPr>
            <w:r>
              <w:rPr>
                <w:sz w:val="18"/>
              </w:rPr>
              <w:t xml:space="preserve">Optional</w:t>
            </w:r>
          </w:p>
        </w:tc>
        <w:tc>
          <w:tcPr>
            <w:tcW w:w="2299" w:type="dxa"/>
          </w:tcPr>
          <w:p>
            <w:pPr>
              <w:pStyle w:val="Compact"/>
              <w:spacing w:after="40"/>
              <w:jc w:val="left"/>
            </w:pPr>
            <w:r>
              <w:rPr>
                <w:sz w:val="18"/>
              </w:rPr>
              <w:t xml:space="preserve">[●]</w:t>
            </w:r>
          </w:p>
        </w:tc>
      </w:tr>
      <w:tr>
        <w:tc>
          <w:tcPr>
            <w:tcW w:w="3386" w:type="dxa"/>
          </w:tcPr>
          <w:p>
            <w:pPr>
              <w:pStyle w:val="Compact"/>
              <w:spacing w:after="40"/>
              <w:jc w:val="left"/>
            </w:pPr>
            <w:r>
              <w:rPr>
                <w:sz w:val="18"/>
              </w:rPr>
              <w:t xml:space="preserve">RS-CORE, RS-ADR, RS-SEC, RS-SHX, RS-PLB — Recovery Suite SKUs</w:t>
            </w:r>
          </w:p>
        </w:tc>
        <w:tc>
          <w:tcPr>
            <w:tcW w:w="3953" w:type="dxa"/>
          </w:tcPr>
          <w:p>
            <w:pPr>
              <w:pStyle w:val="Compact"/>
              <w:spacing w:after="40"/>
              <w:jc w:val="left"/>
            </w:pPr>
            <w:r>
              <w:rPr>
                <w:sz w:val="18"/>
              </w:rPr>
              <w:t xml:space="preserve">Optional</w:t>
            </w:r>
          </w:p>
        </w:tc>
        <w:tc>
          <w:tcPr>
            <w:tcW w:w="2299" w:type="dxa"/>
          </w:tcPr>
          <w:p>
            <w:pPr>
              <w:pStyle w:val="Compact"/>
              <w:spacing w:after="40"/>
              <w:jc w:val="left"/>
            </w:pPr>
            <w:r>
              <w:rPr>
                <w:sz w:val="18"/>
              </w:rPr>
              <w:t xml:space="preserve">[●]</w:t>
            </w:r>
          </w:p>
        </w:tc>
      </w:tr>
      <w:tr>
        <w:tc>
          <w:tcPr>
            <w:tcW w:w="3386" w:type="dxa"/>
          </w:tcPr>
          <w:p>
            <w:pPr>
              <w:pStyle w:val="Compact"/>
              <w:spacing w:after="40"/>
              <w:jc w:val="left"/>
            </w:pPr>
            <w:r>
              <w:rPr>
                <w:sz w:val="18"/>
              </w:rPr>
              <w:t xml:space="preserve">M11 — co-lending, direct assignment, securitisation</w:t>
            </w:r>
          </w:p>
        </w:tc>
        <w:tc>
          <w:tcPr>
            <w:tcW w:w="3953" w:type="dxa"/>
          </w:tcPr>
          <w:p>
            <w:pPr>
              <w:pStyle w:val="Compact"/>
              <w:spacing w:after="40"/>
              <w:jc w:val="left"/>
            </w:pPr>
            <w:r>
              <w:rPr>
                <w:sz w:val="18"/>
              </w:rPr>
              <w:t xml:space="preserve">Optional</w:t>
            </w:r>
          </w:p>
        </w:tc>
        <w:tc>
          <w:tcPr>
            <w:tcW w:w="2299" w:type="dxa"/>
          </w:tcPr>
          <w:p>
            <w:pPr>
              <w:pStyle w:val="Compact"/>
              <w:spacing w:after="40"/>
              <w:jc w:val="left"/>
            </w:pPr>
            <w:r>
              <w:rPr>
                <w:sz w:val="18"/>
              </w:rPr>
              <w:t xml:space="preserve">[●]</w:t>
            </w:r>
          </w:p>
        </w:tc>
      </w:tr>
      <w:tr>
        <w:tc>
          <w:tcPr>
            <w:tcW w:w="3386" w:type="dxa"/>
          </w:tcPr>
          <w:p>
            <w:pPr>
              <w:pStyle w:val="Compact"/>
              <w:spacing w:after="40"/>
              <w:jc w:val="left"/>
            </w:pPr>
            <w:r>
              <w:rPr>
                <w:sz w:val="18"/>
              </w:rPr>
              <w:t xml:space="preserve">M21-V2 — Ecosystem Integration Hub v2</w:t>
            </w:r>
          </w:p>
        </w:tc>
        <w:tc>
          <w:tcPr>
            <w:tcW w:w="3953" w:type="dxa"/>
          </w:tcPr>
          <w:p>
            <w:pPr>
              <w:pStyle w:val="Compact"/>
              <w:spacing w:after="40"/>
              <w:jc w:val="left"/>
            </w:pPr>
            <w:r>
              <w:rPr>
                <w:sz w:val="18"/>
              </w:rPr>
              <w:t xml:space="preserve">Optional</w:t>
            </w:r>
          </w:p>
        </w:tc>
        <w:tc>
          <w:tcPr>
            <w:tcW w:w="2299" w:type="dxa"/>
          </w:tcPr>
          <w:p>
            <w:pPr>
              <w:pStyle w:val="Compact"/>
              <w:spacing w:after="40"/>
              <w:jc w:val="left"/>
            </w:pPr>
            <w:r>
              <w:rPr>
                <w:sz w:val="18"/>
              </w:rPr>
              <w:t xml:space="preserve">[●]</w:t>
            </w:r>
          </w:p>
        </w:tc>
      </w:tr>
      <w:tr>
        <w:tc>
          <w:tcPr>
            <w:tcW w:w="3386" w:type="dxa"/>
          </w:tcPr>
          <w:p>
            <w:pPr>
              <w:pStyle w:val="Compact"/>
              <w:spacing w:after="40"/>
              <w:jc w:val="left"/>
            </w:pPr>
            <w:r>
              <w:rPr>
                <w:sz w:val="18"/>
              </w:rPr>
              <w:t xml:space="preserve">M22 — field application; M23 — borrower portal; M20 — AI layer</w:t>
            </w:r>
          </w:p>
        </w:tc>
        <w:tc>
          <w:tcPr>
            <w:tcW w:w="3953" w:type="dxa"/>
          </w:tcPr>
          <w:p>
            <w:pPr>
              <w:pStyle w:val="Compact"/>
              <w:spacing w:after="40"/>
              <w:jc w:val="left"/>
            </w:pPr>
            <w:r>
              <w:rPr>
                <w:sz w:val="18"/>
              </w:rPr>
              <w:t xml:space="preserve">Optional</w:t>
            </w:r>
          </w:p>
        </w:tc>
        <w:tc>
          <w:tcPr>
            <w:tcW w:w="2299" w:type="dxa"/>
          </w:tcPr>
          <w:p>
            <w:pPr>
              <w:pStyle w:val="Compact"/>
              <w:spacing w:after="40"/>
              <w:jc w:val="left"/>
            </w:pPr>
            <w:r>
              <w:rPr>
                <w:sz w:val="18"/>
              </w:rPr>
              <w:t xml:space="preserve">[●]</w:t>
            </w:r>
          </w:p>
        </w:tc>
      </w:tr>
      <w:tr>
        <w:tc>
          <w:tcPr>
            <w:tcW w:w="3386" w:type="dxa"/>
          </w:tcPr>
          <w:p>
            <w:pPr>
              <w:pStyle w:val="Compact"/>
              <w:spacing w:after="40"/>
              <w:jc w:val="left"/>
            </w:pPr>
            <w:r>
              <w:rPr>
                <w:sz w:val="18"/>
              </w:rPr>
              <w:t xml:space="preserve">M14 — compliance mode [embedded / LawDocsComply / group LawDocsComply / third-party GRC]</w:t>
            </w:r>
          </w:p>
        </w:tc>
        <w:tc>
          <w:tcPr>
            <w:tcW w:w="3953" w:type="dxa"/>
          </w:tcPr>
          <w:p>
            <w:pPr>
              <w:pStyle w:val="Compact"/>
              <w:spacing w:after="40"/>
              <w:jc w:val="left"/>
            </w:pPr>
            <w:r>
              <w:rPr>
                <w:sz w:val="18"/>
              </w:rPr>
              <w:t xml:space="preserve">Core</w:t>
            </w:r>
          </w:p>
        </w:tc>
        <w:tc>
          <w:tcPr>
            <w:tcW w:w="2299" w:type="dxa"/>
          </w:tcPr>
          <w:p>
            <w:pPr>
              <w:pStyle w:val="Compact"/>
              <w:spacing w:after="40"/>
              <w:jc w:val="left"/>
            </w:pPr>
            <w:r>
              <w:rPr>
                <w:sz w:val="18"/>
              </w:rPr>
              <w:t xml:space="preserve">[●]</w:t>
            </w:r>
          </w:p>
        </w:tc>
      </w:tr>
      <w:tr>
        <w:tc>
          <w:tcPr>
            <w:tcW w:w="3386" w:type="dxa"/>
          </w:tcPr>
          <w:p>
            <w:pPr>
              <w:pStyle w:val="Compact"/>
              <w:spacing w:after="40"/>
              <w:jc w:val="left"/>
            </w:pPr>
            <w:r>
              <w:rPr>
                <w:sz w:val="18"/>
              </w:rPr>
              <w:t xml:space="preserve">SEC-KEY — Company-controlled keys (BYOK/HYOK)</w:t>
            </w:r>
          </w:p>
        </w:tc>
        <w:tc>
          <w:tcPr>
            <w:tcW w:w="3953" w:type="dxa"/>
          </w:tcPr>
          <w:p>
            <w:pPr>
              <w:pStyle w:val="Compact"/>
              <w:spacing w:after="40"/>
              <w:jc w:val="left"/>
            </w:pPr>
            <w:r>
              <w:rPr>
                <w:sz w:val="18"/>
              </w:rPr>
              <w:t xml:space="preserve">Optional; [Mandatory — RBI] for a cloud deployment of a Middle Layer or higher Company (OUT para 97(vii)(b))</w:t>
            </w:r>
          </w:p>
        </w:tc>
        <w:tc>
          <w:tcPr>
            <w:tcW w:w="2299" w:type="dxa"/>
          </w:tcPr>
          <w:p>
            <w:pPr>
              <w:pStyle w:val="Compact"/>
              <w:spacing w:after="40"/>
              <w:jc w:val="left"/>
            </w:pPr>
            <w:r>
              <w:rPr>
                <w:sz w:val="18"/>
              </w:rPr>
              <w:t xml:space="preserve">[●]</w:t>
            </w:r>
          </w:p>
        </w:tc>
      </w:tr>
      <w:tr>
        <w:tc>
          <w:tcPr>
            <w:tcW w:w="3386" w:type="dxa"/>
          </w:tcPr>
          <w:p>
            <w:pPr>
              <w:pStyle w:val="Compact"/>
              <w:spacing w:after="40"/>
              <w:jc w:val="left"/>
            </w:pPr>
            <w:r>
              <w:rPr>
                <w:sz w:val="18"/>
              </w:rPr>
              <w:t xml:space="preserve">ESC — source code escrow</w:t>
            </w:r>
          </w:p>
        </w:tc>
        <w:tc>
          <w:tcPr>
            <w:tcW w:w="3953" w:type="dxa"/>
          </w:tcPr>
          <w:p>
            <w:pPr>
              <w:pStyle w:val="Compact"/>
              <w:spacing w:after="40"/>
              <w:jc w:val="left"/>
            </w:pPr>
            <w:r>
              <w:rPr>
                <w:sz w:val="18"/>
              </w:rPr>
              <w:t xml:space="preserve">[Mandatory — RBI] for a Chapter V Company where the Platform is a critical application and source code is not delivered (CYB para 105); otherwise Optional</w:t>
            </w:r>
          </w:p>
        </w:tc>
        <w:tc>
          <w:tcPr>
            <w:tcW w:w="2299" w:type="dxa"/>
          </w:tcPr>
          <w:p>
            <w:pPr>
              <w:pStyle w:val="Compact"/>
              <w:spacing w:after="40"/>
              <w:jc w:val="left"/>
            </w:pPr>
            <w:r>
              <w:rPr>
                <w:sz w:val="18"/>
              </w:rPr>
              <w:t xml:space="preserve">[●]</w:t>
            </w:r>
          </w:p>
        </w:tc>
      </w:tr>
      <w:tr>
        <w:tc>
          <w:tcPr>
            <w:tcW w:w="3386" w:type="dxa"/>
          </w:tcPr>
          <w:p>
            <w:pPr>
              <w:pStyle w:val="Compact"/>
              <w:spacing w:after="40"/>
              <w:jc w:val="left"/>
            </w:pPr>
            <w:r>
              <w:rPr>
                <w:sz w:val="18"/>
              </w:rPr>
              <w:t xml:space="preserve">SOC — monitoring service</w:t>
            </w:r>
          </w:p>
        </w:tc>
        <w:tc>
          <w:tcPr>
            <w:tcW w:w="3953" w:type="dxa"/>
          </w:tcPr>
          <w:p>
            <w:pPr>
              <w:pStyle w:val="Compact"/>
              <w:spacing w:after="40"/>
              <w:jc w:val="left"/>
            </w:pPr>
            <w:r>
              <w:rPr>
                <w:sz w:val="18"/>
              </w:rPr>
              <w:t xml:space="preserve">Optional (OUT para 95 then applies)</w:t>
            </w:r>
          </w:p>
        </w:tc>
        <w:tc>
          <w:tcPr>
            <w:tcW w:w="2299" w:type="dxa"/>
          </w:tcPr>
          <w:p>
            <w:pPr>
              <w:pStyle w:val="Compact"/>
              <w:spacing w:after="40"/>
              <w:jc w:val="left"/>
            </w:pPr>
            <w:r>
              <w:rPr>
                <w:sz w:val="18"/>
              </w:rPr>
              <w:t xml:space="preserve">[●]</w:t>
            </w:r>
          </w:p>
        </w:tc>
      </w:tr>
    </w:tbl>
    <w:bookmarkEnd w:id="59"/>
    <w:bookmarkStart w:id="60" w:name="part-c-deployment-and-hosting"/>
    <w:p>
      <w:pPr>
        <w:pStyle w:val="Heading2"/>
      </w:pPr>
      <w:r>
        <w:t xml:space="preserve">Part C — Deployment and Hosting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42"/>
        <w:gridCol w:w="7596"/>
      </w:tblGrid>
      <w:tr>
        <w:trPr>
          <w:tblHeader w:val="true"/>
          <w:tblHeader w:val="true"/>
        </w:trPr>
        <w:tc>
          <w:tcPr>
            <w:tcW w:w="2042" w:type="dxa"/>
            <w:shd w:val="clear" w:color="auto" w:fill="1F3A5F"/>
          </w:tcPr>
          <w:p>
            <w:pPr>
              <w:pStyle w:val="Compact"/>
              <w:spacing w:after="40"/>
              <w:jc w:val="left"/>
            </w:pPr>
            <w:r>
              <w:rPr>
                <w:b/>
                <w:color w:val="FFFFFF"/>
                <w:sz w:val="18"/>
              </w:rPr>
              <w:t xml:space="preserve">Item</w:t>
            </w:r>
          </w:p>
        </w:tc>
        <w:tc>
          <w:tcPr>
            <w:tcW w:w="7596" w:type="dxa"/>
            <w:shd w:val="clear" w:color="auto" w:fill="1F3A5F"/>
          </w:tcPr>
          <w:p>
            <w:pPr>
              <w:pStyle w:val="Compact"/>
              <w:spacing w:after="40"/>
              <w:jc w:val="left"/>
            </w:pPr>
            <w:r>
              <w:rPr>
                <w:b/>
                <w:color w:val="FFFFFF"/>
                <w:sz w:val="18"/>
              </w:rPr>
              <w:t xml:space="preserve">Selection</w:t>
            </w:r>
          </w:p>
        </w:tc>
      </w:tr>
      <w:tr>
        <w:tc>
          <w:tcPr>
            <w:tcW w:w="2042" w:type="dxa"/>
          </w:tcPr>
          <w:p>
            <w:pPr>
              <w:pStyle w:val="Compact"/>
              <w:spacing w:after="40"/>
              <w:jc w:val="left"/>
            </w:pPr>
            <w:r>
              <w:rPr>
                <w:sz w:val="18"/>
              </w:rPr>
              <w:t xml:space="preserve">Model</w:t>
            </w:r>
          </w:p>
        </w:tc>
        <w:tc>
          <w:tcPr>
            <w:tcW w:w="7596" w:type="dxa"/>
          </w:tcPr>
          <w:p>
            <w:pPr>
              <w:pStyle w:val="Compact"/>
              <w:spacing w:after="40"/>
              <w:jc w:val="left"/>
            </w:pPr>
            <w:r>
              <w:rPr>
                <w:sz w:val="18"/>
              </w:rPr>
              <w:t xml:space="preserve">[Option A: multi-tenant SaaS] [Option B: single-tenant dedicated deployment in the Service Provider’s cloud account] [Option C: private deployment in the Company’s cloud account or data centre, operated by [Service Provider / Company]]</w:t>
            </w:r>
          </w:p>
        </w:tc>
      </w:tr>
      <w:tr>
        <w:tc>
          <w:tcPr>
            <w:tcW w:w="2042" w:type="dxa"/>
          </w:tcPr>
          <w:p>
            <w:pPr>
              <w:pStyle w:val="Compact"/>
              <w:spacing w:after="40"/>
              <w:jc w:val="left"/>
            </w:pPr>
            <w:r>
              <w:rPr>
                <w:sz w:val="18"/>
              </w:rPr>
              <w:t xml:space="preserve">DC and DR regions</w:t>
            </w:r>
          </w:p>
        </w:tc>
        <w:tc>
          <w:tcPr>
            <w:tcW w:w="7596" w:type="dxa"/>
          </w:tcPr>
          <w:p>
            <w:pPr>
              <w:pStyle w:val="Compact"/>
              <w:spacing w:after="40"/>
              <w:jc w:val="left"/>
            </w:pPr>
            <w:r>
              <w:rPr>
                <w:sz w:val="18"/>
              </w:rPr>
              <w:t xml:space="preserve">DC [AWS ap-south-1 Mumbai / ●]; DR [AWS ap-south-2 Hyderabad / ●], geographically separated (CYB para 102)</w:t>
            </w:r>
          </w:p>
        </w:tc>
      </w:tr>
      <w:tr>
        <w:tc>
          <w:tcPr>
            <w:tcW w:w="2042" w:type="dxa"/>
          </w:tcPr>
          <w:p>
            <w:pPr>
              <w:pStyle w:val="Compact"/>
              <w:spacing w:after="40"/>
              <w:jc w:val="left"/>
            </w:pPr>
            <w:r>
              <w:rPr>
                <w:sz w:val="18"/>
              </w:rPr>
              <w:t xml:space="preserve">Residency</w:t>
            </w:r>
          </w:p>
        </w:tc>
        <w:tc>
          <w:tcPr>
            <w:tcW w:w="7596" w:type="dxa"/>
          </w:tcPr>
          <w:p>
            <w:pPr>
              <w:pStyle w:val="Compact"/>
              <w:spacing w:after="40"/>
              <w:jc w:val="left"/>
            </w:pPr>
            <w:r>
              <w:rPr>
                <w:sz w:val="18"/>
              </w:rPr>
              <w:t xml:space="preserve">All Company Data, backups, logs and replicas in India only (OUT para 74(vi); CF para 14(4)) [Mandatory — RBI]</w:t>
            </w:r>
          </w:p>
        </w:tc>
      </w:tr>
      <w:tr>
        <w:tc>
          <w:tcPr>
            <w:tcW w:w="2042" w:type="dxa"/>
          </w:tcPr>
          <w:p>
            <w:pPr>
              <w:pStyle w:val="Compact"/>
              <w:spacing w:after="40"/>
              <w:jc w:val="left"/>
            </w:pPr>
            <w:r>
              <w:rPr>
                <w:sz w:val="18"/>
              </w:rPr>
              <w:t xml:space="preserve">Key custody</w:t>
            </w:r>
          </w:p>
        </w:tc>
        <w:tc>
          <w:tcPr>
            <w:tcW w:w="7596" w:type="dxa"/>
          </w:tcPr>
          <w:p>
            <w:pPr>
              <w:pStyle w:val="Compact"/>
              <w:spacing w:after="40"/>
              <w:jc w:val="left"/>
            </w:pPr>
            <w:r>
              <w:rPr>
                <w:sz w:val="18"/>
              </w:rPr>
              <w:t xml:space="preserve">[Service Provider-managed per-tenant keys / BYOK / HYOK]</w:t>
            </w:r>
          </w:p>
        </w:tc>
      </w:tr>
      <w:tr>
        <w:tc>
          <w:tcPr>
            <w:tcW w:w="2042" w:type="dxa"/>
          </w:tcPr>
          <w:p>
            <w:pPr>
              <w:pStyle w:val="Compact"/>
              <w:spacing w:after="40"/>
              <w:jc w:val="left"/>
            </w:pPr>
            <w:r>
              <w:rPr>
                <w:sz w:val="18"/>
              </w:rPr>
              <w:t xml:space="preserve">Aadhaar route</w:t>
            </w:r>
          </w:p>
        </w:tc>
        <w:tc>
          <w:tcPr>
            <w:tcW w:w="7596" w:type="dxa"/>
          </w:tcPr>
          <w:p>
            <w:pPr>
              <w:pStyle w:val="Compact"/>
              <w:spacing w:after="40"/>
              <w:jc w:val="left"/>
            </w:pPr>
            <w:r>
              <w:rPr>
                <w:sz w:val="18"/>
              </w:rPr>
              <w:t xml:space="preserve">[No full Aadhaar stored / Aadhaar Data Vault by ● / ADV-as-a-service by ●] (Schedule 4, Part H)</w:t>
            </w:r>
          </w:p>
        </w:tc>
      </w:tr>
    </w:tbl>
    <w:p>
      <w:pPr>
        <w:pStyle w:val="BodyText"/>
      </w:pPr>
      <w:r>
        <w:rPr>
          <w:iCs/>
          <w:i/>
        </w:rPr>
        <w:t xml:space="preserve">Drafting note: Option C may fall outside OUT Chapter IV only where the Service Provider neither operates the system nor accesses its data (OUT para 5(2)(v)–(vi)); that is the Company’s assessment. Draft every option to the in-scope standard.</w:t>
      </w:r>
    </w:p>
    <w:bookmarkEnd w:id="60"/>
    <w:bookmarkStart w:id="61" w:name="part-d-environments"/>
    <w:p>
      <w:pPr>
        <w:pStyle w:val="Heading2"/>
      </w:pPr>
      <w:r>
        <w:t xml:space="preserve">Part D — Environments</w:t>
      </w:r>
    </w:p>
    <w:p>
      <w:pPr>
        <w:pStyle w:val="FirstParagraph"/>
      </w:pPr>
      <w:r>
        <w:t xml:space="preserve">Production; DR; UAT or staging and sandbox and training (synthetic or irreversibly masked data only; production Personal Data only with the Company’s written approval for a defined test, deleted on completion); [optional] read-only audit environment. Tiers per Schedule 3, Part B.</w:t>
      </w:r>
    </w:p>
    <w:bookmarkEnd w:id="61"/>
    <w:bookmarkStart w:id="62" w:name="part-e-volumes-and-metrics"/>
    <w:p>
      <w:pPr>
        <w:pStyle w:val="Heading2"/>
      </w:pPr>
      <w:r>
        <w:t xml:space="preserve">Part E — Volumes and Metrics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728"/>
        <w:gridCol w:w="1964"/>
        <w:gridCol w:w="2946"/>
      </w:tblGrid>
      <w:tr>
        <w:trPr>
          <w:tblHeader w:val="true"/>
          <w:tblHeader w:val="true"/>
        </w:trPr>
        <w:tc>
          <w:tcPr>
            <w:tcW w:w="4728" w:type="dxa"/>
            <w:shd w:val="clear" w:color="auto" w:fill="1F3A5F"/>
          </w:tcPr>
          <w:p>
            <w:pPr>
              <w:pStyle w:val="Compact"/>
              <w:spacing w:after="40"/>
              <w:jc w:val="left"/>
            </w:pPr>
            <w:r>
              <w:rPr>
                <w:b/>
                <w:color w:val="FFFFFF"/>
                <w:sz w:val="18"/>
              </w:rPr>
              <w:t xml:space="preserve">Metric</w:t>
            </w:r>
          </w:p>
        </w:tc>
        <w:tc>
          <w:tcPr>
            <w:tcW w:w="1964" w:type="dxa"/>
            <w:shd w:val="clear" w:color="auto" w:fill="1F3A5F"/>
          </w:tcPr>
          <w:p>
            <w:pPr>
              <w:pStyle w:val="Compact"/>
              <w:spacing w:after="40"/>
              <w:jc w:val="left"/>
            </w:pPr>
            <w:r>
              <w:rPr>
                <w:b/>
                <w:color w:val="FFFFFF"/>
                <w:sz w:val="18"/>
              </w:rPr>
              <w:t xml:space="preserve">Contracted</w:t>
            </w:r>
          </w:p>
        </w:tc>
        <w:tc>
          <w:tcPr>
            <w:tcW w:w="2946" w:type="dxa"/>
            <w:shd w:val="clear" w:color="auto" w:fill="1F3A5F"/>
          </w:tcPr>
          <w:p>
            <w:pPr>
              <w:pStyle w:val="Compact"/>
              <w:spacing w:after="40"/>
              <w:jc w:val="left"/>
            </w:pPr>
            <w:r>
              <w:rPr>
                <w:b/>
                <w:color w:val="FFFFFF"/>
                <w:sz w:val="18"/>
              </w:rPr>
              <w:t xml:space="preserve">Overage</w:t>
            </w:r>
          </w:p>
        </w:tc>
      </w:tr>
      <w:tr>
        <w:tc>
          <w:tcPr>
            <w:tcW w:w="4728" w:type="dxa"/>
          </w:tcPr>
          <w:p>
            <w:pPr>
              <w:pStyle w:val="Compact"/>
              <w:spacing w:after="40"/>
              <w:jc w:val="left"/>
            </w:pPr>
            <w:r>
              <w:rPr>
                <w:sz w:val="18"/>
              </w:rPr>
              <w:t xml:space="preserve">Active loan accounts (non-zero balance or open status at month end)</w:t>
            </w:r>
          </w:p>
        </w:tc>
        <w:tc>
          <w:tcPr>
            <w:tcW w:w="1964" w:type="dxa"/>
          </w:tcPr>
          <w:p>
            <w:pPr>
              <w:pStyle w:val="Compact"/>
              <w:spacing w:after="40"/>
              <w:jc w:val="left"/>
            </w:pPr>
            <w:r>
              <w:rPr>
                <w:sz w:val="18"/>
              </w:rPr>
              <w:t xml:space="preserve">[●]</w:t>
            </w:r>
          </w:p>
        </w:tc>
        <w:tc>
          <w:tcPr>
            <w:tcW w:w="2946" w:type="dxa"/>
          </w:tcPr>
          <w:p>
            <w:pPr>
              <w:pStyle w:val="Compact"/>
              <w:spacing w:after="40"/>
              <w:jc w:val="left"/>
            </w:pPr>
            <w:r>
              <w:rPr>
                <w:sz w:val="18"/>
              </w:rPr>
              <w:t xml:space="preserve">₹[●] per account per month</w:t>
            </w:r>
          </w:p>
        </w:tc>
      </w:tr>
      <w:tr>
        <w:tc>
          <w:tcPr>
            <w:tcW w:w="4728" w:type="dxa"/>
          </w:tcPr>
          <w:p>
            <w:pPr>
              <w:pStyle w:val="Compact"/>
              <w:spacing w:after="40"/>
              <w:jc w:val="left"/>
            </w:pPr>
            <w:r>
              <w:rPr>
                <w:sz w:val="18"/>
              </w:rPr>
              <w:t xml:space="preserve">Named / concurrent users; field users</w:t>
            </w:r>
          </w:p>
        </w:tc>
        <w:tc>
          <w:tcPr>
            <w:tcW w:w="1964" w:type="dxa"/>
          </w:tcPr>
          <w:p>
            <w:pPr>
              <w:pStyle w:val="Compact"/>
              <w:spacing w:after="40"/>
              <w:jc w:val="left"/>
            </w:pPr>
            <w:r>
              <w:rPr>
                <w:sz w:val="18"/>
              </w:rPr>
              <w:t xml:space="preserve">[●]</w:t>
            </w:r>
          </w:p>
        </w:tc>
        <w:tc>
          <w:tcPr>
            <w:tcW w:w="2946" w:type="dxa"/>
          </w:tcPr>
          <w:p>
            <w:pPr>
              <w:pStyle w:val="Compact"/>
              <w:spacing w:after="40"/>
              <w:jc w:val="left"/>
            </w:pPr>
            <w:r>
              <w:rPr>
                <w:sz w:val="18"/>
              </w:rPr>
              <w:t xml:space="preserve">₹[●] per user per month</w:t>
            </w:r>
          </w:p>
        </w:tc>
      </w:tr>
      <w:tr>
        <w:tc>
          <w:tcPr>
            <w:tcW w:w="4728" w:type="dxa"/>
          </w:tcPr>
          <w:p>
            <w:pPr>
              <w:pStyle w:val="Compact"/>
              <w:spacing w:after="40"/>
              <w:jc w:val="left"/>
            </w:pPr>
            <w:r>
              <w:rPr>
                <w:sz w:val="18"/>
              </w:rPr>
              <w:t xml:space="preserve">Legal entities; branches</w:t>
            </w:r>
          </w:p>
        </w:tc>
        <w:tc>
          <w:tcPr>
            <w:tcW w:w="1964" w:type="dxa"/>
          </w:tcPr>
          <w:p>
            <w:pPr>
              <w:pStyle w:val="Compact"/>
              <w:spacing w:after="40"/>
              <w:jc w:val="left"/>
            </w:pPr>
            <w:r>
              <w:rPr>
                <w:sz w:val="18"/>
              </w:rPr>
              <w:t xml:space="preserve">[●]</w:t>
            </w:r>
          </w:p>
        </w:tc>
        <w:tc>
          <w:tcPr>
            <w:tcW w:w="2946" w:type="dxa"/>
          </w:tcPr>
          <w:p>
            <w:pPr>
              <w:pStyle w:val="Compact"/>
              <w:spacing w:after="40"/>
              <w:jc w:val="left"/>
            </w:pPr>
            <w:r>
              <w:rPr>
                <w:sz w:val="18"/>
              </w:rPr>
              <w:t xml:space="preserve">₹[●]</w:t>
            </w:r>
          </w:p>
        </w:tc>
      </w:tr>
      <w:tr>
        <w:tc>
          <w:tcPr>
            <w:tcW w:w="4728" w:type="dxa"/>
          </w:tcPr>
          <w:p>
            <w:pPr>
              <w:pStyle w:val="Compact"/>
              <w:spacing w:after="40"/>
              <w:jc w:val="left"/>
            </w:pPr>
            <w:r>
              <w:rPr>
                <w:sz w:val="18"/>
              </w:rPr>
              <w:t xml:space="preserve">Partner and LSP API calls per month</w:t>
            </w:r>
          </w:p>
        </w:tc>
        <w:tc>
          <w:tcPr>
            <w:tcW w:w="1964" w:type="dxa"/>
          </w:tcPr>
          <w:p>
            <w:pPr>
              <w:pStyle w:val="Compact"/>
              <w:spacing w:after="40"/>
              <w:jc w:val="left"/>
            </w:pPr>
            <w:r>
              <w:rPr>
                <w:sz w:val="18"/>
              </w:rPr>
              <w:t xml:space="preserve">[●]</w:t>
            </w:r>
          </w:p>
        </w:tc>
        <w:tc>
          <w:tcPr>
            <w:tcW w:w="2946" w:type="dxa"/>
          </w:tcPr>
          <w:p>
            <w:pPr>
              <w:pStyle w:val="Compact"/>
              <w:spacing w:after="40"/>
              <w:jc w:val="left"/>
            </w:pPr>
            <w:r>
              <w:rPr>
                <w:sz w:val="18"/>
              </w:rPr>
              <w:t xml:space="preserve">₹[●] per 1,000 calls</w:t>
            </w:r>
          </w:p>
        </w:tc>
      </w:tr>
      <w:tr>
        <w:tc>
          <w:tcPr>
            <w:tcW w:w="4728" w:type="dxa"/>
          </w:tcPr>
          <w:p>
            <w:pPr>
              <w:pStyle w:val="Compact"/>
              <w:spacing w:after="40"/>
              <w:jc w:val="left"/>
            </w:pPr>
            <w:r>
              <w:rPr>
                <w:sz w:val="18"/>
              </w:rPr>
              <w:t xml:space="preserve">Document storage</w:t>
            </w:r>
          </w:p>
        </w:tc>
        <w:tc>
          <w:tcPr>
            <w:tcW w:w="1964" w:type="dxa"/>
          </w:tcPr>
          <w:p>
            <w:pPr>
              <w:pStyle w:val="Compact"/>
              <w:spacing w:after="40"/>
              <w:jc w:val="left"/>
            </w:pPr>
            <w:r>
              <w:rPr>
                <w:sz w:val="18"/>
              </w:rPr>
              <w:t xml:space="preserve">[●] TB</w:t>
            </w:r>
          </w:p>
        </w:tc>
        <w:tc>
          <w:tcPr>
            <w:tcW w:w="2946" w:type="dxa"/>
          </w:tcPr>
          <w:p>
            <w:pPr>
              <w:pStyle w:val="Compact"/>
              <w:spacing w:after="40"/>
              <w:jc w:val="left"/>
            </w:pPr>
            <w:r>
              <w:rPr>
                <w:sz w:val="18"/>
              </w:rPr>
              <w:t xml:space="preserve">₹[●] per TB per month</w:t>
            </w:r>
          </w:p>
        </w:tc>
      </w:tr>
      <w:tr>
        <w:tc>
          <w:tcPr>
            <w:tcW w:w="4728" w:type="dxa"/>
          </w:tcPr>
          <w:p>
            <w:pPr>
              <w:pStyle w:val="Compact"/>
              <w:spacing w:after="40"/>
              <w:jc w:val="left"/>
            </w:pPr>
            <w:r>
              <w:rPr>
                <w:sz w:val="18"/>
              </w:rPr>
              <w:t xml:space="preserve">AUM (if AUM pricing)</w:t>
            </w:r>
          </w:p>
        </w:tc>
        <w:tc>
          <w:tcPr>
            <w:tcW w:w="1964" w:type="dxa"/>
          </w:tcPr>
          <w:p>
            <w:pPr>
              <w:pStyle w:val="Compact"/>
              <w:spacing w:after="40"/>
              <w:jc w:val="left"/>
            </w:pPr>
            <w:r>
              <w:rPr>
                <w:sz w:val="18"/>
              </w:rPr>
              <w:t xml:space="preserve">₹[●] crore</w:t>
            </w:r>
          </w:p>
        </w:tc>
        <w:tc>
          <w:tcPr>
            <w:tcW w:w="2946" w:type="dxa"/>
          </w:tcPr>
          <w:p>
            <w:pPr>
              <w:pStyle w:val="Compact"/>
              <w:spacing w:after="40"/>
              <w:jc w:val="left"/>
            </w:pPr>
            <w:r>
              <w:rPr>
                <w:sz w:val="18"/>
              </w:rPr>
              <w:t xml:space="preserve">Part F</w:t>
            </w:r>
          </w:p>
        </w:tc>
      </w:tr>
    </w:tbl>
    <w:bookmarkEnd w:id="62"/>
    <w:bookmarkStart w:id="63" w:name="part-f-fees"/>
    <w:p>
      <w:pPr>
        <w:pStyle w:val="Heading2"/>
      </w:pPr>
      <w:r>
        <w:t xml:space="preserve">Part F — Fees</w:t>
      </w:r>
    </w:p>
    <w:p>
      <w:pPr>
        <w:numPr>
          <w:ilvl w:val="0"/>
          <w:numId w:val="1023"/>
        </w:numPr>
        <w:pStyle w:val="Compact"/>
      </w:pPr>
      <w:r>
        <w:rPr>
          <w:bCs/>
          <w:b/>
        </w:rPr>
        <w:t xml:space="preserve">Implementation, migration, integration and training:</w:t>
      </w:r>
      <w:r>
        <w:t xml:space="preserve"> </w:t>
      </w:r>
      <w:r>
        <w:t xml:space="preserve">₹[●] [fixed / time and materials], payable [20]% on signing, [40]% on UAT sign-off and [40]% on Acceptance of go-live under Clause 5.4; liquidated damages for delay under Clause 5.7 at [●]% per week, capped at [●]%; migration fee payable on reconciled migration sign-off (CYB para 99); integration fees per certified connector.</w:t>
      </w:r>
    </w:p>
    <w:p>
      <w:pPr>
        <w:numPr>
          <w:ilvl w:val="0"/>
          <w:numId w:val="1023"/>
        </w:numPr>
        <w:pStyle w:val="Compact"/>
      </w:pPr>
      <w:r>
        <w:rPr>
          <w:bCs/>
          <w:b/>
        </w:rPr>
        <w:t xml:space="preserve">Subscription</w:t>
      </w:r>
      <w:r>
        <w:t xml:space="preserve"> </w:t>
      </w:r>
      <w:r>
        <w:t xml:space="preserve">[select]: [Option A — per active loan account in slabs: up to [●] at ₹[●]; [●]–[●] at ₹[●]; above [●] at ₹[●]; minimum ₹[●] per month] [Option B — ₹[●] per named or concurrent user per month] [Option C — [●] basis points per annum of month-end AUM, minimum ₹[●], maximum ₹[●] per month] [Option D — platform fee ₹[●] per month plus ₹[●] per active loan above [●]].</w:t>
      </w:r>
    </w:p>
    <w:p>
      <w:pPr>
        <w:numPr>
          <w:ilvl w:val="0"/>
          <w:numId w:val="1023"/>
        </w:numPr>
        <w:pStyle w:val="Compact"/>
      </w:pPr>
      <w:r>
        <w:rPr>
          <w:bCs/>
          <w:b/>
        </w:rPr>
        <w:t xml:space="preserve">Optional Modules:</w:t>
      </w:r>
      <w:r>
        <w:t xml:space="preserve"> </w:t>
      </w:r>
      <w:r>
        <w:t xml:space="preserve">₹[●] per month or [●]% uplift each. Fees for a detached module cease from the end of the then-current billing period (Clause 4.6(e)), except a read-only retention fee of ₹[●] per month after [90] days if elected.</w:t>
      </w:r>
    </w:p>
    <w:p>
      <w:pPr>
        <w:numPr>
          <w:ilvl w:val="0"/>
          <w:numId w:val="1023"/>
        </w:numPr>
        <w:pStyle w:val="Compact"/>
      </w:pPr>
      <w:r>
        <w:rPr>
          <w:bCs/>
          <w:b/>
        </w:rPr>
        <w:t xml:space="preserve">Pass-through costs</w:t>
      </w:r>
      <w:r>
        <w:t xml:space="preserve"> </w:t>
      </w:r>
      <w:r>
        <w:t xml:space="preserve">[at cost / at cost plus [●]%], with supplier invoices, only for Service Provider-procured items in Schedule 10 (bureau and verification APIs, Account Aggregator, eSign, SMS and DLT, email, notice dispatch, court-data and e-auction fees, dedicated cloud costs, escrow fees if borne by the Company). Stamp duty on the Company’s loan, security and borrower documents executed through the Platform is always the Company’s cost; stamp duty on this Agreement and each Order Form is governed by Clause 33.9. No pass-through rate is chargeable without prior written approval.</w:t>
      </w:r>
    </w:p>
    <w:p>
      <w:pPr>
        <w:numPr>
          <w:ilvl w:val="0"/>
          <w:numId w:val="1023"/>
        </w:numPr>
        <w:pStyle w:val="Compact"/>
      </w:pPr>
      <w:r>
        <w:rPr>
          <w:bCs/>
          <w:b/>
        </w:rPr>
        <w:t xml:space="preserve">Rate card</w:t>
      </w:r>
      <w:r>
        <w:t xml:space="preserve"> </w:t>
      </w:r>
      <w:r>
        <w:t xml:space="preserve">for Changes (Clause 15.2, company-specific changes) and chargeable exit assistance (Clause 25.5): architect ₹[●], developer ₹[●], analyst ₹[●], security specialist ₹[●] per day.</w:t>
      </w:r>
    </w:p>
    <w:bookmarkEnd w:id="63"/>
    <w:bookmarkStart w:id="64" w:name="part-g-invoicing-and-payment"/>
    <w:p>
      <w:pPr>
        <w:pStyle w:val="Heading2"/>
      </w:pPr>
      <w:r>
        <w:t xml:space="preserve">Part G — Invoicing and Payment</w:t>
      </w:r>
    </w:p>
    <w:p>
      <w:pPr>
        <w:numPr>
          <w:ilvl w:val="0"/>
          <w:numId w:val="1024"/>
        </w:numPr>
        <w:pStyle w:val="Compact"/>
      </w:pPr>
      <w:r>
        <w:t xml:space="preserve">Invoices [monthly / quarterly] in [advance / arrears] (Clause 16.2), within [7] days of the start of the period (advance billing) or of its end (arrears billing), with a usage report reconciled to Part E; payment within [30] days of receipt (Clause 16.3) to account [●] (not more than 45 days if the Service Provider is a micro or small enterprise: MSMED Act, 2006 s.15). Quarterly statement of account within [15] days of quarter end (Clause 16.9).</w:t>
      </w:r>
    </w:p>
    <w:p>
      <w:pPr>
        <w:numPr>
          <w:ilvl w:val="0"/>
          <w:numId w:val="1024"/>
        </w:numPr>
        <w:pStyle w:val="Compact"/>
      </w:pPr>
      <w:r>
        <w:t xml:space="preserve">GST and TDS: Clause 16.5.</w:t>
      </w:r>
    </w:p>
    <w:p>
      <w:pPr>
        <w:numPr>
          <w:ilvl w:val="0"/>
          <w:numId w:val="1024"/>
        </w:numPr>
        <w:pStyle w:val="Compact"/>
      </w:pPr>
      <w:r>
        <w:t xml:space="preserve">Disputed amounts: Clause 16.4.</w:t>
      </w:r>
      <w:r>
        <w:t xml:space="preserve"> </w:t>
      </w:r>
      <w:r>
        <w:rPr>
          <w:bCs/>
          <w:b/>
        </w:rPr>
        <w:t xml:space="preserve">No suspension or withholding of Services or Company Data on account of a fee dispute</w:t>
      </w:r>
      <w:r>
        <w:t xml:space="preserve"> </w:t>
      </w:r>
      <w:r>
        <w:t xml:space="preserve">(Clauses 16.4, 24.6, 30.8; Schedule 9, Part C) [Mandatory — RBI] (OUT paras 43, 74(xv)). Late interest: [●]% per annum (Clause 16.7).</w:t>
      </w:r>
    </w:p>
    <w:bookmarkEnd w:id="64"/>
    <w:bookmarkStart w:id="65" w:name="part-h-term-renewal-and-price-review"/>
    <w:p>
      <w:pPr>
        <w:pStyle w:val="Heading2"/>
      </w:pPr>
      <w:r>
        <w:t xml:space="preserve">Part H — Term, Renewal and Price Review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911"/>
        <w:gridCol w:w="5727"/>
      </w:tblGrid>
      <w:tr>
        <w:trPr>
          <w:tblHeader w:val="true"/>
          <w:tblHeader w:val="true"/>
        </w:trPr>
        <w:tc>
          <w:tcPr>
            <w:tcW w:w="3911" w:type="dxa"/>
            <w:shd w:val="clear" w:color="auto" w:fill="1F3A5F"/>
          </w:tcPr>
          <w:p>
            <w:pPr>
              <w:pStyle w:val="Compact"/>
              <w:spacing w:after="40"/>
              <w:jc w:val="left"/>
            </w:pPr>
            <w:r>
              <w:rPr>
                <w:b/>
                <w:color w:val="FFFFFF"/>
                <w:sz w:val="18"/>
              </w:rPr>
              <w:t xml:space="preserve">Item</w:t>
            </w:r>
          </w:p>
        </w:tc>
        <w:tc>
          <w:tcPr>
            <w:tcW w:w="5727" w:type="dxa"/>
            <w:shd w:val="clear" w:color="auto" w:fill="1F3A5F"/>
          </w:tcPr>
          <w:p>
            <w:pPr>
              <w:pStyle w:val="Compact"/>
              <w:spacing w:after="40"/>
              <w:jc w:val="left"/>
            </w:pPr>
            <w:r>
              <w:rPr>
                <w:b/>
                <w:color w:val="FFFFFF"/>
                <w:sz w:val="18"/>
              </w:rPr>
              <w:t xml:space="preserve">Term</w:t>
            </w:r>
          </w:p>
        </w:tc>
      </w:tr>
      <w:tr>
        <w:tc>
          <w:tcPr>
            <w:tcW w:w="3911" w:type="dxa"/>
          </w:tcPr>
          <w:p>
            <w:pPr>
              <w:pStyle w:val="Compact"/>
              <w:spacing w:after="40"/>
              <w:jc w:val="left"/>
            </w:pPr>
            <w:r>
              <w:rPr>
                <w:sz w:val="18"/>
              </w:rPr>
              <w:t xml:space="preserve">Term of this Order Form</w:t>
            </w:r>
          </w:p>
        </w:tc>
        <w:tc>
          <w:tcPr>
            <w:tcW w:w="5727" w:type="dxa"/>
          </w:tcPr>
          <w:p>
            <w:pPr>
              <w:pStyle w:val="Compact"/>
              <w:spacing w:after="40"/>
              <w:jc w:val="left"/>
            </w:pPr>
            <w:r>
              <w:rPr>
                <w:sz w:val="18"/>
              </w:rPr>
              <w:t xml:space="preserve">[●] years from [the Effective Date / ●] (Clause 24.1); renewal [1]-year periods unless [180] days’ notice of non-renewal</w:t>
            </w:r>
          </w:p>
        </w:tc>
      </w:tr>
      <w:tr>
        <w:tc>
          <w:tcPr>
            <w:tcW w:w="3911" w:type="dxa"/>
          </w:tcPr>
          <w:p>
            <w:pPr>
              <w:pStyle w:val="Compact"/>
              <w:spacing w:after="40"/>
              <w:jc w:val="left"/>
            </w:pPr>
            <w:r>
              <w:rPr>
                <w:sz w:val="18"/>
              </w:rPr>
              <w:t xml:space="preserve">Termination for convenience by the Company (Clause 24.2)</w:t>
            </w:r>
          </w:p>
        </w:tc>
        <w:tc>
          <w:tcPr>
            <w:tcW w:w="5727" w:type="dxa"/>
          </w:tcPr>
          <w:p>
            <w:pPr>
              <w:pStyle w:val="Compact"/>
              <w:spacing w:after="40"/>
              <w:jc w:val="left"/>
            </w:pPr>
            <w:r>
              <w:rPr>
                <w:sz w:val="18"/>
              </w:rPr>
              <w:t xml:space="preserve">[90] days’ notice; early-termination charge [nil / ₹●], not exceeding three months’ subscription Fees</w:t>
            </w:r>
          </w:p>
        </w:tc>
      </w:tr>
      <w:tr>
        <w:tc>
          <w:tcPr>
            <w:tcW w:w="3911" w:type="dxa"/>
          </w:tcPr>
          <w:p>
            <w:pPr>
              <w:pStyle w:val="Compact"/>
              <w:spacing w:after="40"/>
              <w:jc w:val="left"/>
            </w:pPr>
            <w:r>
              <w:rPr>
                <w:sz w:val="18"/>
              </w:rPr>
              <w:t xml:space="preserve">Termination by the Service Provider</w:t>
            </w:r>
          </w:p>
        </w:tc>
        <w:tc>
          <w:tcPr>
            <w:tcW w:w="5727" w:type="dxa"/>
          </w:tcPr>
          <w:p>
            <w:pPr>
              <w:pStyle w:val="Compact"/>
              <w:spacing w:after="40"/>
              <w:jc w:val="left"/>
            </w:pPr>
            <w:r>
              <w:rPr>
                <w:sz w:val="18"/>
              </w:rPr>
              <w:t xml:space="preserve">Only under Clauses 24.3 and 24.5, effective at the end of the Exit Period</w:t>
            </w:r>
          </w:p>
        </w:tc>
      </w:tr>
      <w:tr>
        <w:tc>
          <w:tcPr>
            <w:tcW w:w="3911" w:type="dxa"/>
          </w:tcPr>
          <w:p>
            <w:pPr>
              <w:pStyle w:val="Compact"/>
              <w:spacing w:after="40"/>
              <w:jc w:val="left"/>
            </w:pPr>
            <w:r>
              <w:rPr>
                <w:sz w:val="18"/>
              </w:rPr>
              <w:t xml:space="preserve">Minimum Exit Period</w:t>
            </w:r>
          </w:p>
        </w:tc>
        <w:tc>
          <w:tcPr>
            <w:tcW w:w="5727" w:type="dxa"/>
          </w:tcPr>
          <w:p>
            <w:pPr>
              <w:pStyle w:val="Compact"/>
              <w:spacing w:after="40"/>
              <w:jc w:val="left"/>
            </w:pPr>
            <w:r>
              <w:rPr>
                <w:sz w:val="18"/>
              </w:rPr>
              <w:t xml:space="preserve">[12] months (Clause 1.1) [or ●]</w:t>
            </w:r>
          </w:p>
        </w:tc>
      </w:tr>
      <w:tr>
        <w:tc>
          <w:tcPr>
            <w:tcW w:w="3911" w:type="dxa"/>
          </w:tcPr>
          <w:p>
            <w:pPr>
              <w:pStyle w:val="Compact"/>
              <w:spacing w:after="40"/>
              <w:jc w:val="left"/>
            </w:pPr>
            <w:r>
              <w:rPr>
                <w:sz w:val="18"/>
              </w:rPr>
              <w:t xml:space="preserve">Post-cut-over read-only access</w:t>
            </w:r>
          </w:p>
        </w:tc>
        <w:tc>
          <w:tcPr>
            <w:tcW w:w="5727" w:type="dxa"/>
          </w:tcPr>
          <w:p>
            <w:pPr>
              <w:pStyle w:val="Compact"/>
              <w:spacing w:after="40"/>
              <w:jc w:val="left"/>
            </w:pPr>
            <w:r>
              <w:rPr>
                <w:sz w:val="18"/>
              </w:rPr>
              <w:t xml:space="preserve">[12] months (Clause 25.2(f)) [or ●]</w:t>
            </w:r>
          </w:p>
        </w:tc>
      </w:tr>
      <w:tr>
        <w:tc>
          <w:tcPr>
            <w:tcW w:w="3911" w:type="dxa"/>
          </w:tcPr>
          <w:p>
            <w:pPr>
              <w:pStyle w:val="Compact"/>
              <w:spacing w:after="40"/>
              <w:jc w:val="left"/>
            </w:pPr>
            <w:r>
              <w:rPr>
                <w:sz w:val="18"/>
              </w:rPr>
              <w:t xml:space="preserve">Fee revision</w:t>
            </w:r>
          </w:p>
        </w:tc>
        <w:tc>
          <w:tcPr>
            <w:tcW w:w="5727" w:type="dxa"/>
          </w:tcPr>
          <w:p>
            <w:pPr>
              <w:pStyle w:val="Compact"/>
              <w:spacing w:after="40"/>
              <w:jc w:val="left"/>
            </w:pPr>
            <w:r>
              <w:rPr>
                <w:sz w:val="18"/>
              </w:rPr>
              <w:t xml:space="preserve">Fixed for [36] months, then Clause 16.6 (lower of [●]% and CPI (Industrial Workers))</w:t>
            </w:r>
          </w:p>
        </w:tc>
      </w:tr>
      <w:tr>
        <w:tc>
          <w:tcPr>
            <w:tcW w:w="3911" w:type="dxa"/>
          </w:tcPr>
          <w:p>
            <w:pPr>
              <w:pStyle w:val="Compact"/>
              <w:spacing w:after="40"/>
              <w:jc w:val="left"/>
            </w:pPr>
            <w:r>
              <w:rPr>
                <w:sz w:val="18"/>
              </w:rPr>
              <w:t xml:space="preserve">[Option]</w:t>
            </w:r>
          </w:p>
        </w:tc>
        <w:tc>
          <w:tcPr>
            <w:tcW w:w="5727" w:type="dxa"/>
          </w:tcPr>
          <w:p>
            <w:pPr>
              <w:pStyle w:val="Compact"/>
              <w:spacing w:after="40"/>
              <w:jc w:val="left"/>
            </w:pPr>
            <w:r>
              <w:rPr>
                <w:sz w:val="18"/>
              </w:rPr>
              <w:t xml:space="preserve">Most-favoured pricing for comparable tenants; benchmarking every [2] years</w:t>
            </w:r>
          </w:p>
        </w:tc>
      </w:tr>
    </w:tbl>
    <w:bookmarkEnd w:id="65"/>
    <w:bookmarkStart w:id="66" w:name="part-i-special-conditions"/>
    <w:p>
      <w:pPr>
        <w:pStyle w:val="Heading2"/>
      </w:pPr>
      <w:r>
        <w:t xml:space="preserve">Part I — Special Conditions</w:t>
      </w:r>
    </w:p>
    <w:p>
      <w:pPr>
        <w:pStyle w:val="FirstParagraph"/>
      </w:pPr>
      <w:r>
        <w:t xml:space="preserve">[●]</w:t>
      </w:r>
      <w:r>
        <w:t xml:space="preserve"> </w:t>
      </w:r>
      <w:r>
        <w:rPr>
          <w:iCs/>
          <w:i/>
        </w:rPr>
        <w:t xml:space="preserve">Record any RTO approved by the Company’s IT Strategy Committee (CYB para 135), parallel run (Clause 5.6), dedicated deployment terms (Clause 4.11), escrow operational continuity (Clause 26.7), any Data Super-Cap selection (Clause 22.4) and agreed deviations. Under Clause 1.3(f) an Order Form may vary a commercial term only by identifying the Clause it varies, and may not dilute a [Mandatory — RBI] Clause or Schedule 4.</w:t>
      </w:r>
    </w:p>
    <w:p>
      <w:pPr>
        <w:pStyle w:val="BodyText"/>
      </w:pPr>
      <w:r>
        <w:t xml:space="preserve">Signed for the Service Provider: ________ Name [●] Designation [●] Date [●] — Signed for the Company: ________ Name [●] Designation [●] Date [●]</w:t>
      </w:r>
    </w:p>
    <w:p>
      <w:r>
        <w:pict>
          <v:rect style="width:0;height:1.5pt" o:hralign="center" o:hrstd="t" o:hr="t"/>
        </w:pict>
      </w:r>
    </w:p>
    <w:p>
      <w:r>
        <w:br w:type="page"/>
      </w:r>
    </w:p>
    <w:bookmarkEnd w:id="66"/>
    <w:bookmarkEnd w:id="67"/>
    <w:bookmarkStart w:id="74" w:name="X60cfd78e0e332ee3bdac70a76fea71bb5b6042b"/>
    <w:p>
      <w:pPr>
        <w:pStyle w:val="Heading1"/>
      </w:pPr>
      <w:r>
        <w:t xml:space="preserve">SCHEDULE 2 — Service Description and Module Catalogue</w:t>
      </w:r>
    </w:p>
    <w:bookmarkStart w:id="68" w:name="part-a-nature-of-the-services"/>
    <w:p>
      <w:pPr>
        <w:pStyle w:val="Heading2"/>
      </w:pPr>
      <w:r>
        <w:t xml:space="preserve">Part A — Nature of the Services</w:t>
      </w:r>
    </w:p>
    <w:p>
      <w:pPr>
        <w:numPr>
          <w:ilvl w:val="0"/>
          <w:numId w:val="1025"/>
        </w:numPr>
        <w:pStyle w:val="Compact"/>
      </w:pPr>
      <w:r>
        <w:t xml:space="preserve">The Services are the provision, hosting, operation, maintenance and support of the Finbyx platform (the</w:t>
      </w:r>
      <w:r>
        <w:t xml:space="preserve"> </w:t>
      </w:r>
      <w:r>
        <w:t xml:space="preserve">“</w:t>
      </w:r>
      <w:r>
        <w:t xml:space="preserve">Platform</w:t>
      </w:r>
      <w:r>
        <w:t xml:space="preserve">”</w:t>
      </w:r>
      <w:r>
        <w:t xml:space="preserve">) as a cloud-hosted software service, with implementation, migration, integration and support. They are outsourcing of IT services (OUT paras 5(1)(iii)–(v), 96(1)(i)(c)) on the terms of Article 3.</w:t>
      </w:r>
    </w:p>
    <w:p>
      <w:pPr>
        <w:numPr>
          <w:ilvl w:val="0"/>
          <w:numId w:val="1025"/>
        </w:numPr>
        <w:pStyle w:val="Compact"/>
      </w:pPr>
      <w:r>
        <w:rPr>
          <w:bCs/>
          <w:b/>
        </w:rPr>
        <w:t xml:space="preserve">No regulated decision</w:t>
      </w:r>
      <w:r>
        <w:t xml:space="preserve"> </w:t>
      </w:r>
      <w:r>
        <w:t xml:space="preserve">[Mandatory — RBI]. The Service Provider does not lend, take credit risk, hold or route borrower funds, sanction loans, determine KYC compliance, perform internal audit or compliance functions or manage investments (OUT para 15; KYC para 13; IAF para 39). Rules and automated decisions run only on Company-approved rule versions attributed to the Company’s authority; no Service Provider role can approve a sanction, KYC outcome, waiver, settlement or write-off (Clauses 3.1, 3.3, 3.4).</w:t>
      </w:r>
    </w:p>
    <w:p>
      <w:pPr>
        <w:numPr>
          <w:ilvl w:val="0"/>
          <w:numId w:val="1025"/>
        </w:numPr>
        <w:pStyle w:val="Compact"/>
      </w:pPr>
      <w:r>
        <w:rPr>
          <w:bCs/>
          <w:b/>
        </w:rPr>
        <w:t xml:space="preserve">Critical Applications.</w:t>
      </w:r>
      <w:r>
        <w:t xml:space="preserve"> </w:t>
      </w:r>
      <w:r>
        <w:t xml:space="preserve">Unless the Order Form designates otherwise, M4, M6, M7, M10 and M13 are Critical Applications (Clause 1.1).</w:t>
      </w:r>
    </w:p>
    <w:bookmarkEnd w:id="68"/>
    <w:bookmarkStart w:id="69" w:name="part-b-module-catalogue"/>
    <w:p>
      <w:pPr>
        <w:pStyle w:val="Heading2"/>
      </w:pPr>
      <w:r>
        <w:t xml:space="preserve">Part B — Module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66"/>
        <w:gridCol w:w="6862"/>
        <w:gridCol w:w="1610"/>
      </w:tblGrid>
      <w:tr>
        <w:trPr>
          <w:tblHeader w:val="true"/>
          <w:tblHeader w:val="true"/>
        </w:trPr>
        <w:tc>
          <w:tcPr>
            <w:tcW w:w="1166" w:type="dxa"/>
            <w:shd w:val="clear" w:color="auto" w:fill="1F3A5F"/>
          </w:tcPr>
          <w:p>
            <w:pPr>
              <w:pStyle w:val="Compact"/>
              <w:spacing w:after="40"/>
              <w:jc w:val="left"/>
            </w:pPr>
            <w:r>
              <w:rPr>
                <w:b/>
                <w:color w:val="FFFFFF"/>
                <w:sz w:val="18"/>
              </w:rPr>
              <w:t xml:space="preserve">Code</w:t>
            </w:r>
          </w:p>
        </w:tc>
        <w:tc>
          <w:tcPr>
            <w:tcW w:w="6862" w:type="dxa"/>
            <w:shd w:val="clear" w:color="auto" w:fill="1F3A5F"/>
          </w:tcPr>
          <w:p>
            <w:pPr>
              <w:pStyle w:val="Compact"/>
              <w:spacing w:after="40"/>
              <w:jc w:val="left"/>
            </w:pPr>
            <w:r>
              <w:rPr>
                <w:b/>
                <w:color w:val="FFFFFF"/>
                <w:sz w:val="18"/>
              </w:rPr>
              <w:t xml:space="preserve">Module and scope</w:t>
            </w:r>
          </w:p>
        </w:tc>
        <w:tc>
          <w:tcPr>
            <w:tcW w:w="1610" w:type="dxa"/>
            <w:shd w:val="clear" w:color="auto" w:fill="1F3A5F"/>
          </w:tcPr>
          <w:p>
            <w:pPr>
              <w:pStyle w:val="Compact"/>
              <w:spacing w:after="40"/>
              <w:jc w:val="left"/>
            </w:pPr>
            <w:r>
              <w:rPr>
                <w:b/>
                <w:color w:val="FFFFFF"/>
                <w:sz w:val="18"/>
              </w:rPr>
              <w:t xml:space="preserve">Core / Optional</w:t>
            </w:r>
          </w:p>
        </w:tc>
      </w:tr>
      <w:tr>
        <w:tc>
          <w:tcPr>
            <w:tcW w:w="1166" w:type="dxa"/>
          </w:tcPr>
          <w:p>
            <w:pPr>
              <w:pStyle w:val="Compact"/>
              <w:spacing w:after="40"/>
              <w:jc w:val="left"/>
            </w:pPr>
            <w:r>
              <w:rPr>
                <w:sz w:val="18"/>
              </w:rPr>
              <w:t xml:space="preserve">M1</w:t>
            </w:r>
          </w:p>
        </w:tc>
        <w:tc>
          <w:tcPr>
            <w:tcW w:w="6862" w:type="dxa"/>
          </w:tcPr>
          <w:p>
            <w:pPr>
              <w:pStyle w:val="Compact"/>
              <w:spacing w:after="40"/>
              <w:jc w:val="left"/>
            </w:pPr>
            <w:r>
              <w:rPr>
                <w:sz w:val="18"/>
              </w:rPr>
              <w:t xml:space="preserve">Organisation, masters, calendars, business date, entity regulatory profile</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M2</w:t>
            </w:r>
          </w:p>
        </w:tc>
        <w:tc>
          <w:tcPr>
            <w:tcW w:w="6862" w:type="dxa"/>
          </w:tcPr>
          <w:p>
            <w:pPr>
              <w:pStyle w:val="Compact"/>
              <w:spacing w:after="40"/>
              <w:jc w:val="left"/>
            </w:pPr>
            <w:r>
              <w:rPr>
                <w:sz w:val="18"/>
              </w:rPr>
              <w:t xml:space="preserve">Leads, sourcing, DSA and dealer master (portal and payout engine: M2-P)</w:t>
            </w:r>
          </w:p>
        </w:tc>
        <w:tc>
          <w:tcPr>
            <w:tcW w:w="1610" w:type="dxa"/>
          </w:tcPr>
          <w:p>
            <w:pPr>
              <w:pStyle w:val="Compact"/>
              <w:spacing w:after="40"/>
              <w:jc w:val="left"/>
            </w:pPr>
            <w:r>
              <w:rPr>
                <w:sz w:val="18"/>
              </w:rPr>
              <w:t xml:space="preserve">Core (M2-P Optional)</w:t>
            </w:r>
          </w:p>
        </w:tc>
      </w:tr>
      <w:tr>
        <w:tc>
          <w:tcPr>
            <w:tcW w:w="1166" w:type="dxa"/>
          </w:tcPr>
          <w:p>
            <w:pPr>
              <w:pStyle w:val="Compact"/>
              <w:spacing w:after="40"/>
              <w:jc w:val="left"/>
            </w:pPr>
            <w:r>
              <w:rPr>
                <w:sz w:val="18"/>
              </w:rPr>
              <w:t xml:space="preserve">M3</w:t>
            </w:r>
          </w:p>
        </w:tc>
        <w:tc>
          <w:tcPr>
            <w:tcW w:w="6862" w:type="dxa"/>
          </w:tcPr>
          <w:p>
            <w:pPr>
              <w:pStyle w:val="Compact"/>
              <w:spacing w:after="40"/>
              <w:jc w:val="left"/>
            </w:pPr>
            <w:r>
              <w:rPr>
                <w:sz w:val="18"/>
              </w:rPr>
              <w:t xml:space="preserve">Customer file, KYC workflows supporting the Company’s decision (digital KYC, V-CIP, OTP e-KYC limits, CKYCR), sanctions and PEP screening, AML alerts (KYC paras 13, 24–27, 54–57, 63)</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M4</w:t>
            </w:r>
          </w:p>
        </w:tc>
        <w:tc>
          <w:tcPr>
            <w:tcW w:w="6862" w:type="dxa"/>
          </w:tcPr>
          <w:p>
            <w:pPr>
              <w:pStyle w:val="Compact"/>
              <w:spacing w:after="40"/>
              <w:jc w:val="left"/>
            </w:pPr>
            <w:r>
              <w:rPr>
                <w:sz w:val="18"/>
              </w:rPr>
              <w:t xml:space="preserve">Origination: applications, bureau and Account Aggregator pulls, rules engine, deviations, CAM, sanction workflow, KFS (RBC para 29), eSign and eStamp</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M5</w:t>
            </w:r>
          </w:p>
        </w:tc>
        <w:tc>
          <w:tcPr>
            <w:tcW w:w="6862" w:type="dxa"/>
          </w:tcPr>
          <w:p>
            <w:pPr>
              <w:pStyle w:val="Compact"/>
              <w:spacing w:after="40"/>
              <w:jc w:val="left"/>
            </w:pPr>
            <w:r>
              <w:rPr>
                <w:sz w:val="18"/>
              </w:rPr>
              <w:t xml:space="preserve">Collateral, CERSAI, valuation, insurance, release of documents within 30 days (RBC paras 35–40)</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M6</w:t>
            </w:r>
          </w:p>
        </w:tc>
        <w:tc>
          <w:tcPr>
            <w:tcW w:w="6862" w:type="dxa"/>
          </w:tcPr>
          <w:p>
            <w:pPr>
              <w:pStyle w:val="Compact"/>
              <w:spacing w:after="40"/>
              <w:jc w:val="left"/>
            </w:pPr>
            <w:r>
              <w:rPr>
                <w:sz w:val="18"/>
              </w:rPr>
              <w:t xml:space="preserve">Servicing: schedules, accruals, penal charges as charges, resets, prepayment, SMA/NPA classification in COB</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M7</w:t>
            </w:r>
          </w:p>
        </w:tc>
        <w:tc>
          <w:tcPr>
            <w:tcW w:w="6862" w:type="dxa"/>
          </w:tcPr>
          <w:p>
            <w:pPr>
              <w:pStyle w:val="Compact"/>
              <w:spacing w:after="40"/>
              <w:jc w:val="left"/>
            </w:pPr>
            <w:r>
              <w:rPr>
                <w:sz w:val="18"/>
              </w:rPr>
              <w:t xml:space="preserve">Mandates (eNACH, UPI AutoPay), disbursement files, reconciliation; funds move only between the Company’s accounts and borrowers (CF para 10)</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M8</w:t>
            </w:r>
          </w:p>
        </w:tc>
        <w:tc>
          <w:tcPr>
            <w:tcW w:w="6862" w:type="dxa"/>
          </w:tcPr>
          <w:p>
            <w:pPr>
              <w:pStyle w:val="Compact"/>
              <w:spacing w:after="40"/>
              <w:jc w:val="left"/>
            </w:pPr>
            <w:r>
              <w:rPr>
                <w:sz w:val="18"/>
              </w:rPr>
              <w:t xml:space="preserve">Collections strategy, allocation, contact-policy engine, PTP, receipts</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M9</w:t>
            </w:r>
          </w:p>
        </w:tc>
        <w:tc>
          <w:tcPr>
            <w:tcW w:w="6862" w:type="dxa"/>
          </w:tcPr>
          <w:p>
            <w:pPr>
              <w:pStyle w:val="Compact"/>
              <w:spacing w:after="40"/>
              <w:jc w:val="left"/>
            </w:pPr>
            <w:r>
              <w:rPr>
                <w:sz w:val="18"/>
              </w:rPr>
              <w:t xml:space="preserve">Regulatory minimum for recovery without the Recovery Suite (not licence-gated): wilful-defaulter workflow and CIC files, settlement guard-rails and CIC</w:t>
            </w:r>
            <w:r>
              <w:rPr>
                <w:sz w:val="18"/>
              </w:rPr>
              <w:t xml:space="preserve"> </w:t>
            </w:r>
            <w:r>
              <w:rPr>
                <w:sz w:val="18"/>
              </w:rPr>
              <w:t xml:space="preserve">‘</w:t>
            </w:r>
            <w:r>
              <w:rPr>
                <w:sz w:val="18"/>
              </w:rPr>
              <w:t xml:space="preserve">settled</w:t>
            </w:r>
            <w:r>
              <w:rPr>
                <w:sz w:val="18"/>
              </w:rPr>
              <w:t xml:space="preserve">’</w:t>
            </w:r>
            <w:r>
              <w:rPr>
                <w:sz w:val="18"/>
              </w:rPr>
              <w:t xml:space="preserve"> </w:t>
            </w:r>
            <w:r>
              <w:rPr>
                <w:sz w:val="18"/>
              </w:rPr>
              <w:t xml:space="preserve">reporting, write-off and post-write-off accounting; otherwise a pointer to the Recovery Suite (R1–R16)</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RS</w:t>
            </w:r>
          </w:p>
        </w:tc>
        <w:tc>
          <w:tcPr>
            <w:tcW w:w="6862" w:type="dxa"/>
          </w:tcPr>
          <w:p>
            <w:pPr>
              <w:pStyle w:val="Compact"/>
              <w:spacing w:after="40"/>
              <w:jc w:val="left"/>
            </w:pPr>
            <w:r>
              <w:rPr>
                <w:sz w:val="18"/>
              </w:rPr>
              <w:t xml:space="preserve">Recovery Suite: case management, notices, SARFAESI, civil and tribunal remedies, IBC, s.138 NI Act, settlement and ADR, litigation, repossession and auction, vendors, recovery accounting, registers: modules R1–R16 licensed as Recovery Core (RS-CORE: R1–R3, R7, R9, R11, R12, R14, R15), Settlement and ADR (RS-ADR: R8), Secured Enforcement (RS-SEC: R4–R6, R10), Shared-Exposure Recovery (RS-SHX: R13) and Product Playbooks (RS-PLB: R16)</w:t>
            </w:r>
          </w:p>
        </w:tc>
        <w:tc>
          <w:tcPr>
            <w:tcW w:w="1610" w:type="dxa"/>
          </w:tcPr>
          <w:p>
            <w:pPr>
              <w:pStyle w:val="Compact"/>
              <w:spacing w:after="40"/>
              <w:jc w:val="left"/>
            </w:pPr>
            <w:r>
              <w:rPr>
                <w:sz w:val="18"/>
              </w:rPr>
              <w:t xml:space="preserve">Optional</w:t>
            </w:r>
          </w:p>
        </w:tc>
      </w:tr>
      <w:tr>
        <w:tc>
          <w:tcPr>
            <w:tcW w:w="1166" w:type="dxa"/>
          </w:tcPr>
          <w:p>
            <w:pPr>
              <w:pStyle w:val="Compact"/>
              <w:spacing w:after="40"/>
              <w:jc w:val="left"/>
            </w:pPr>
            <w:r>
              <w:rPr>
                <w:sz w:val="18"/>
              </w:rPr>
              <w:t xml:space="preserve">M10</w:t>
            </w:r>
          </w:p>
        </w:tc>
        <w:tc>
          <w:tcPr>
            <w:tcW w:w="6862" w:type="dxa"/>
          </w:tcPr>
          <w:p>
            <w:pPr>
              <w:pStyle w:val="Compact"/>
              <w:spacing w:after="40"/>
              <w:jc w:val="left"/>
            </w:pPr>
            <w:r>
              <w:rPr>
                <w:sz w:val="18"/>
              </w:rPr>
              <w:t xml:space="preserve">Double-entry accounting, multi-entity books, EIR, ECL or IRACP provisioning, GST and TDS, period close; Tally, SAP, Zoho exports</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M11</w:t>
            </w:r>
          </w:p>
        </w:tc>
        <w:tc>
          <w:tcPr>
            <w:tcW w:w="6862" w:type="dxa"/>
          </w:tcPr>
          <w:p>
            <w:pPr>
              <w:pStyle w:val="Compact"/>
              <w:spacing w:after="40"/>
              <w:jc w:val="left"/>
            </w:pPr>
            <w:r>
              <w:rPr>
                <w:sz w:val="18"/>
              </w:rPr>
              <w:t xml:space="preserve">Co-lending (RBI (NBFC – Transfer and Distribution of Credit Risk) Directions, 2025 (RBI/DOR/2025-26/352), Part B), direct assignment, securitisation</w:t>
            </w:r>
          </w:p>
        </w:tc>
        <w:tc>
          <w:tcPr>
            <w:tcW w:w="1610" w:type="dxa"/>
          </w:tcPr>
          <w:p>
            <w:pPr>
              <w:pStyle w:val="Compact"/>
              <w:spacing w:after="40"/>
              <w:jc w:val="left"/>
            </w:pPr>
            <w:r>
              <w:rPr>
                <w:sz w:val="18"/>
              </w:rPr>
              <w:t xml:space="preserve">Optional</w:t>
            </w:r>
          </w:p>
        </w:tc>
      </w:tr>
      <w:tr>
        <w:tc>
          <w:tcPr>
            <w:tcW w:w="1166" w:type="dxa"/>
          </w:tcPr>
          <w:p>
            <w:pPr>
              <w:pStyle w:val="Compact"/>
              <w:spacing w:after="40"/>
              <w:jc w:val="left"/>
            </w:pPr>
            <w:r>
              <w:rPr>
                <w:sz w:val="18"/>
              </w:rPr>
              <w:t xml:space="preserve">M12</w:t>
            </w:r>
          </w:p>
        </w:tc>
        <w:tc>
          <w:tcPr>
            <w:tcW w:w="6862" w:type="dxa"/>
          </w:tcPr>
          <w:p>
            <w:pPr>
              <w:pStyle w:val="Compact"/>
              <w:spacing w:after="40"/>
              <w:jc w:val="left"/>
            </w:pPr>
            <w:r>
              <w:rPr>
                <w:sz w:val="18"/>
              </w:rPr>
              <w:t xml:space="preserve">Credit, concentration, ALM and operational risk; early warning</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M13</w:t>
            </w:r>
          </w:p>
        </w:tc>
        <w:tc>
          <w:tcPr>
            <w:tcW w:w="6862" w:type="dxa"/>
          </w:tcPr>
          <w:p>
            <w:pPr>
              <w:pStyle w:val="Compact"/>
              <w:spacing w:after="40"/>
              <w:jc w:val="left"/>
            </w:pPr>
            <w:r>
              <w:rPr>
                <w:sz w:val="18"/>
              </w:rPr>
              <w:t xml:space="preserve">Regulatory returns as code; CIC files for all four CICs (CIR paras 6, 10); CIMS returns; FIU-IND report preparation</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M14</w:t>
            </w:r>
          </w:p>
        </w:tc>
        <w:tc>
          <w:tcPr>
            <w:tcW w:w="6862" w:type="dxa"/>
          </w:tcPr>
          <w:p>
            <w:pPr>
              <w:pStyle w:val="Compact"/>
              <w:spacing w:after="40"/>
              <w:jc w:val="left"/>
            </w:pPr>
            <w:r>
              <w:rPr>
                <w:sz w:val="18"/>
              </w:rPr>
              <w:t xml:space="preserve">Embedded compliance, or bridge to LawDocsComply or a third-party GRC tool (OSCAL)</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M15</w:t>
            </w:r>
          </w:p>
        </w:tc>
        <w:tc>
          <w:tcPr>
            <w:tcW w:w="6862" w:type="dxa"/>
          </w:tcPr>
          <w:p>
            <w:pPr>
              <w:pStyle w:val="Compact"/>
              <w:spacing w:after="40"/>
              <w:jc w:val="left"/>
            </w:pPr>
            <w:r>
              <w:rPr>
                <w:sz w:val="18"/>
              </w:rPr>
              <w:t xml:space="preserve">Complaints, escalation to the Company’s GRO and Internal Ombudsman; optional ADR referral to Equator Resolution</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M16</w:t>
            </w:r>
          </w:p>
        </w:tc>
        <w:tc>
          <w:tcPr>
            <w:tcW w:w="6862" w:type="dxa"/>
          </w:tcPr>
          <w:p>
            <w:pPr>
              <w:pStyle w:val="Compact"/>
              <w:spacing w:after="40"/>
              <w:jc w:val="left"/>
            </w:pPr>
            <w:r>
              <w:rPr>
                <w:sz w:val="18"/>
              </w:rPr>
              <w:t xml:space="preserve">Document management: encryption, hashes, signed URLs, retention, legal hold</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M17</w:t>
            </w:r>
          </w:p>
        </w:tc>
        <w:tc>
          <w:tcPr>
            <w:tcW w:w="6862" w:type="dxa"/>
          </w:tcPr>
          <w:p>
            <w:pPr>
              <w:pStyle w:val="Compact"/>
              <w:spacing w:after="40"/>
              <w:jc w:val="left"/>
            </w:pPr>
            <w:r>
              <w:rPr>
                <w:sz w:val="18"/>
              </w:rPr>
              <w:t xml:space="preserve">Reports, MIS, dashboards (CYB para 44)</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M18</w:t>
            </w:r>
          </w:p>
        </w:tc>
        <w:tc>
          <w:tcPr>
            <w:tcW w:w="6862" w:type="dxa"/>
          </w:tcPr>
          <w:p>
            <w:pPr>
              <w:pStyle w:val="Compact"/>
              <w:spacing w:after="40"/>
              <w:jc w:val="left"/>
            </w:pPr>
            <w:r>
              <w:rPr>
                <w:sz w:val="18"/>
              </w:rPr>
              <w:t xml:space="preserve">Multilingual communications with DLT IDs; consent and preferences</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M19</w:t>
            </w:r>
          </w:p>
        </w:tc>
        <w:tc>
          <w:tcPr>
            <w:tcW w:w="6862" w:type="dxa"/>
          </w:tcPr>
          <w:p>
            <w:pPr>
              <w:pStyle w:val="Compact"/>
              <w:spacing w:after="40"/>
              <w:jc w:val="left"/>
            </w:pPr>
            <w:r>
              <w:rPr>
                <w:sz w:val="18"/>
              </w:rPr>
              <w:t xml:space="preserve">RBAC/ABAC, maker-checker, MFA, workflow designer within guard-rails, break-glass audit, read-only RBI Supervisor and Auditor roles (CYB paras 46, 57)</w:t>
            </w:r>
          </w:p>
        </w:tc>
        <w:tc>
          <w:tcPr>
            <w:tcW w:w="1610" w:type="dxa"/>
          </w:tcPr>
          <w:p>
            <w:pPr>
              <w:pStyle w:val="Compact"/>
              <w:spacing w:after="40"/>
              <w:jc w:val="left"/>
            </w:pPr>
            <w:r>
              <w:rPr>
                <w:sz w:val="18"/>
              </w:rPr>
              <w:t xml:space="preserve">Core</w:t>
            </w:r>
          </w:p>
        </w:tc>
      </w:tr>
      <w:tr>
        <w:tc>
          <w:tcPr>
            <w:tcW w:w="1166" w:type="dxa"/>
          </w:tcPr>
          <w:p>
            <w:pPr>
              <w:pStyle w:val="Compact"/>
              <w:spacing w:after="40"/>
              <w:jc w:val="left"/>
            </w:pPr>
            <w:r>
              <w:rPr>
                <w:sz w:val="18"/>
              </w:rPr>
              <w:t xml:space="preserve">M20</w:t>
            </w:r>
          </w:p>
        </w:tc>
        <w:tc>
          <w:tcPr>
            <w:tcW w:w="6862" w:type="dxa"/>
          </w:tcPr>
          <w:p>
            <w:pPr>
              <w:pStyle w:val="Compact"/>
              <w:spacing w:after="40"/>
              <w:jc w:val="left"/>
            </w:pPr>
            <w:r>
              <w:rPr>
                <w:sz w:val="18"/>
              </w:rPr>
              <w:t xml:space="preserve">Governed AI: extraction, CAM drafting, complaint classification, staff copilot; never approves, rejects or prices a loan or rejects a complaint</w:t>
            </w:r>
          </w:p>
        </w:tc>
        <w:tc>
          <w:tcPr>
            <w:tcW w:w="1610" w:type="dxa"/>
          </w:tcPr>
          <w:p>
            <w:pPr>
              <w:pStyle w:val="Compact"/>
              <w:spacing w:after="40"/>
              <w:jc w:val="left"/>
            </w:pPr>
            <w:r>
              <w:rPr>
                <w:sz w:val="18"/>
              </w:rPr>
              <w:t xml:space="preserve">Optional</w:t>
            </w:r>
          </w:p>
        </w:tc>
      </w:tr>
      <w:tr>
        <w:tc>
          <w:tcPr>
            <w:tcW w:w="1166" w:type="dxa"/>
          </w:tcPr>
          <w:p>
            <w:pPr>
              <w:pStyle w:val="Compact"/>
              <w:spacing w:after="40"/>
              <w:jc w:val="left"/>
            </w:pPr>
            <w:r>
              <w:rPr>
                <w:sz w:val="18"/>
              </w:rPr>
              <w:t xml:space="preserve">M21</w:t>
            </w:r>
          </w:p>
        </w:tc>
        <w:tc>
          <w:tcPr>
            <w:tcW w:w="6862" w:type="dxa"/>
          </w:tcPr>
          <w:p>
            <w:pPr>
              <w:pStyle w:val="Compact"/>
              <w:spacing w:after="40"/>
              <w:jc w:val="left"/>
            </w:pPr>
            <w:r>
              <w:rPr>
                <w:sz w:val="18"/>
              </w:rPr>
              <w:t xml:space="preserve">API gateway, OAuth 2 and mTLS, signed webhooks, SFTP (v2 ecosystem hub: M21-V2)</w:t>
            </w:r>
          </w:p>
        </w:tc>
        <w:tc>
          <w:tcPr>
            <w:tcW w:w="1610" w:type="dxa"/>
          </w:tcPr>
          <w:p>
            <w:pPr>
              <w:pStyle w:val="Compact"/>
              <w:spacing w:after="40"/>
              <w:jc w:val="left"/>
            </w:pPr>
            <w:r>
              <w:rPr>
                <w:sz w:val="18"/>
              </w:rPr>
              <w:t xml:space="preserve">Core (M21-V2 Optional)</w:t>
            </w:r>
          </w:p>
        </w:tc>
      </w:tr>
      <w:tr>
        <w:tc>
          <w:tcPr>
            <w:tcW w:w="1166" w:type="dxa"/>
          </w:tcPr>
          <w:p>
            <w:pPr>
              <w:pStyle w:val="Compact"/>
              <w:spacing w:after="40"/>
              <w:jc w:val="left"/>
            </w:pPr>
            <w:r>
              <w:rPr>
                <w:sz w:val="18"/>
              </w:rPr>
              <w:t xml:space="preserve">M22</w:t>
            </w:r>
          </w:p>
        </w:tc>
        <w:tc>
          <w:tcPr>
            <w:tcW w:w="6862" w:type="dxa"/>
          </w:tcPr>
          <w:p>
            <w:pPr>
              <w:pStyle w:val="Compact"/>
              <w:spacing w:after="40"/>
              <w:jc w:val="left"/>
            </w:pPr>
            <w:r>
              <w:rPr>
                <w:sz w:val="18"/>
              </w:rPr>
              <w:t xml:space="preserve">Offline-first field application with geo-tagging and device binding</w:t>
            </w:r>
          </w:p>
        </w:tc>
        <w:tc>
          <w:tcPr>
            <w:tcW w:w="1610" w:type="dxa"/>
          </w:tcPr>
          <w:p>
            <w:pPr>
              <w:pStyle w:val="Compact"/>
              <w:spacing w:after="40"/>
              <w:jc w:val="left"/>
            </w:pPr>
            <w:r>
              <w:rPr>
                <w:sz w:val="18"/>
              </w:rPr>
              <w:t xml:space="preserve">Optional</w:t>
            </w:r>
          </w:p>
        </w:tc>
      </w:tr>
      <w:tr>
        <w:tc>
          <w:tcPr>
            <w:tcW w:w="1166" w:type="dxa"/>
          </w:tcPr>
          <w:p>
            <w:pPr>
              <w:pStyle w:val="Compact"/>
              <w:spacing w:after="40"/>
              <w:jc w:val="left"/>
            </w:pPr>
            <w:r>
              <w:rPr>
                <w:sz w:val="18"/>
              </w:rPr>
              <w:t xml:space="preserve">M23</w:t>
            </w:r>
          </w:p>
        </w:tc>
        <w:tc>
          <w:tcPr>
            <w:tcW w:w="6862" w:type="dxa"/>
          </w:tcPr>
          <w:p>
            <w:pPr>
              <w:pStyle w:val="Compact"/>
              <w:spacing w:after="40"/>
              <w:jc w:val="left"/>
            </w:pPr>
            <w:r>
              <w:rPr>
                <w:sz w:val="18"/>
              </w:rPr>
              <w:t xml:space="preserve">Borrower self-service portal</w:t>
            </w:r>
          </w:p>
        </w:tc>
        <w:tc>
          <w:tcPr>
            <w:tcW w:w="1610" w:type="dxa"/>
          </w:tcPr>
          <w:p>
            <w:pPr>
              <w:pStyle w:val="Compact"/>
              <w:spacing w:after="40"/>
              <w:jc w:val="left"/>
            </w:pPr>
            <w:r>
              <w:rPr>
                <w:sz w:val="18"/>
              </w:rPr>
              <w:t xml:space="preserve">Optional</w:t>
            </w:r>
          </w:p>
        </w:tc>
      </w:tr>
    </w:tbl>
    <w:p>
      <w:pPr>
        <w:pStyle w:val="BodyText"/>
      </w:pPr>
      <w:r>
        <w:t xml:space="preserve">Product packs: PRD-STD (personal, MSME, LAP, home, vehicle, gold, education, consumer durable, staff, entity loans); PRD-SPL (LAS and LAMF, microfinance, supply chain, co-lending, project finance, demand loans). Pilot products are offered only after a written feasibility note accepted by the Company.</w:t>
      </w:r>
    </w:p>
    <w:bookmarkEnd w:id="69"/>
    <w:bookmarkStart w:id="70" w:name="X9bfe217fdf6d128416338205808a3a0b3ec21ab"/>
    <w:p>
      <w:pPr>
        <w:pStyle w:val="Heading2"/>
      </w:pPr>
      <w:r>
        <w:t xml:space="preserve">Part C — Attach, Detach and Guard-rails (Clauses 4.5 to 4.9)</w:t>
      </w:r>
    </w:p>
    <w:p>
      <w:pPr>
        <w:numPr>
          <w:ilvl w:val="0"/>
          <w:numId w:val="1026"/>
        </w:numPr>
        <w:pStyle w:val="Compact"/>
      </w:pPr>
      <w:r>
        <w:t xml:space="preserve">Entitlement is activated within [5] Business Days (Clause 4.5(a)). An Optional Module runs only when the entitlement is active, the Company’s administrator has enabled the feature flag under maker-checker, and prerequisite modules are live (for example, Recovery Suite: M3, M6, M8, M10, M16, M18, M19), after certification tests on the Company’s configuration in the sandbox and sign-off by the Company’s Chief Compliance Officer or nominee (Clause 4.5(b); CMP paras 15(2), 31).</w:t>
      </w:r>
    </w:p>
    <w:p>
      <w:pPr>
        <w:numPr>
          <w:ilvl w:val="0"/>
          <w:numId w:val="1026"/>
        </w:numPr>
        <w:pStyle w:val="Compact"/>
      </w:pPr>
      <w:r>
        <w:t xml:space="preserve">On detach the module becomes READ_ONLY: writes and timers stop, data stays readable, statutory registers continue; the Platform first lists every running statutory or contractual deadline for the Company’s acknowledgement.</w:t>
      </w:r>
    </w:p>
    <w:p>
      <w:pPr>
        <w:numPr>
          <w:ilvl w:val="0"/>
          <w:numId w:val="1026"/>
        </w:numPr>
        <w:pStyle w:val="Compact"/>
      </w:pPr>
      <w:r>
        <w:rPr>
          <w:bCs/>
          <w:b/>
        </w:rPr>
        <w:t xml:space="preserve">No deletion on detach</w:t>
      </w:r>
      <w:r>
        <w:t xml:space="preserve"> </w:t>
      </w:r>
      <w:r>
        <w:t xml:space="preserve">[Mandatory — RBI] (OUT para 34(xii); KYC para 47). An export bundle in Schedule 9, Part D formats is delivered within [10] Business Days. Re-attach restores records, replays gap events and flags deadlines that expired meanwhile.</w:t>
      </w:r>
    </w:p>
    <w:p>
      <w:pPr>
        <w:numPr>
          <w:ilvl w:val="0"/>
          <w:numId w:val="1026"/>
        </w:numPr>
        <w:pStyle w:val="Compact"/>
      </w:pPr>
      <w:r>
        <w:rPr>
          <w:bCs/>
          <w:b/>
        </w:rPr>
        <w:t xml:space="preserve">Guard-rails</w:t>
      </w:r>
      <w:r>
        <w:t xml:space="preserve"> </w:t>
      </w:r>
      <w:r>
        <w:t xml:space="preserve">(Clause 4.8) that no configuration can override include: no NPA classification later than the regulatory days-past-due; no capitalisation of penal charges; no prepayment charge where barred; no recovery contact outside permitted hours; no settlement approval by the sanctioning authority or below the prescribed level; no automatic arbitration referral or unilateral arbitrator appointment; no deletion of records in a retention class; no change to a dispatched notice; no cross-tenant data exposure. The Company may tighten, not relax, them and remains responsible for its configuration (Clause 4.9).</w:t>
      </w:r>
    </w:p>
    <w:bookmarkEnd w:id="70"/>
    <w:bookmarkStart w:id="71" w:name="part-d-integrations-and-support"/>
    <w:p>
      <w:pPr>
        <w:pStyle w:val="Heading2"/>
      </w:pPr>
      <w:r>
        <w:t xml:space="preserve">Part D — Integrations and Support</w:t>
      </w:r>
    </w:p>
    <w:p>
      <w:pPr>
        <w:numPr>
          <w:ilvl w:val="0"/>
          <w:numId w:val="1027"/>
        </w:numPr>
        <w:pStyle w:val="Compact"/>
      </w:pPr>
      <w:r>
        <w:rPr>
          <w:bCs/>
          <w:b/>
        </w:rPr>
        <w:t xml:space="preserve">Integrations.</w:t>
      </w:r>
      <w:r>
        <w:t xml:space="preserve"> </w:t>
      </w:r>
      <w:r>
        <w:t xml:space="preserve">Bureaus, CKYCR, UIDAI offline verification and DigiLocker, verification APIs, Account Aggregator (Company as FIU), eSign and eStamp, NACH sponsor bank and payment gateways, accounting systems, CERSAI, Vahan, depositories, Udofin and other LSPs, Equator, LawDocsComply and GRC tools. The contracting party for each is in Schedule 10. Each connector passes the connector certification process before production use (Clause 1.1,</w:t>
      </w:r>
      <w:r>
        <w:t xml:space="preserve"> </w:t>
      </w:r>
      <w:r>
        <w:t xml:space="preserve">“</w:t>
      </w:r>
      <w:r>
        <w:t xml:space="preserve">Integration Hub</w:t>
      </w:r>
      <w:r>
        <w:t xml:space="preserve">”</w:t>
      </w:r>
      <w:r>
        <w:t xml:space="preserve">); Infrabyx group products connect only under their own agreements with the Company (Clauses 2.4, 13.8). The Service Provider is not responsible for a Company-contracted third party’s performance but is responsible for its adapter, queuing, retry and reconciliation.</w:t>
      </w:r>
    </w:p>
    <w:p>
      <w:pPr>
        <w:numPr>
          <w:ilvl w:val="0"/>
          <w:numId w:val="1027"/>
        </w:numPr>
        <w:pStyle w:val="Compact"/>
      </w:pPr>
      <w:r>
        <w:rPr>
          <w:bCs/>
          <w:b/>
        </w:rPr>
        <w:t xml:space="preserve">Support.</w:t>
      </w:r>
      <w:r>
        <w:t xml:space="preserve"> </w:t>
      </w:r>
      <w:r>
        <w:t xml:space="preserve">Level 1 by the Company’s helpdesk [Option: by the Service Provider at ₹[●] per month]; Levels 2 and 3 by the Service Provider, including data correction only through authorised scripts with maker-checker and audit trail (CYB para 112(3)). S1 and S2: 24 x 7; S3 and S4: 09:00–19:00 IST on Business Days. Service desk portal, email, telephone and an out-of-band security channel. Key personnel are named in Schedule 12. This Part and Schedule 3 are the support model under Clause 6.3 (CYB para 104).</w:t>
      </w:r>
    </w:p>
    <w:bookmarkEnd w:id="71"/>
    <w:bookmarkStart w:id="72" w:name="part-e-out-of-scope"/>
    <w:p>
      <w:pPr>
        <w:pStyle w:val="Heading2"/>
      </w:pPr>
      <w:r>
        <w:t xml:space="preserve">Part E — Out of Scope</w:t>
      </w:r>
    </w:p>
    <w:p>
      <w:pPr>
        <w:numPr>
          <w:ilvl w:val="0"/>
          <w:numId w:val="1028"/>
        </w:numPr>
        <w:pStyle w:val="Compact"/>
      </w:pPr>
      <w:r>
        <w:t xml:space="preserve">Any regulated decision or core management function; (b) holding or controlling funds (CF para 10); (c) filing returns or reports with RBI, FIU-IND, CICs, CERSAI or any authority, which the Company files with its own credentials [Recommended: the Service Provider holds no regulatory-portal credentials]; (d) field collection, recovery agent services or legal representation; (e) legal, tax or regulatory advice; (f) Company-contracted third-party services; (g) the Company’s network and devices; (h) legacy data cleansing beyond agreed rules; (i) bespoke development beyond configuration and extension points.</w:t>
      </w:r>
    </w:p>
    <w:bookmarkEnd w:id="72"/>
    <w:bookmarkStart w:id="73" w:name="part-f-company-dependencies-article-7"/>
    <w:p>
      <w:pPr>
        <w:pStyle w:val="Heading2"/>
      </w:pPr>
      <w:r>
        <w:t xml:space="preserve">Part F — Company Dependencies (Article 7)</w:t>
      </w:r>
    </w:p>
    <w:p>
      <w:pPr>
        <w:pStyle w:val="FirstParagraph"/>
      </w:pPr>
      <w:r>
        <w:t xml:space="preserve">The Company shall: (a) appoint a sponsor, product owners and tenant administrator; (b) supply Board-approved policies and parameters (rule versions, KFS wording, provisioning above floors, retention schedule, ITSC-approved RTO) on time; (c) take every regulated decision and make every regulatory filing through its own Authorised Users (Clause 7.1); (d) perform UAT and accept or reject within Article 5 periods; (e) hold its CIC memberships, CKYCR access, DLT registration and sponsor bank arrangements; (f) manage and review its users’ access at least quarterly; (g) provide legacy extracts and sign off migration reconciliations (CYB para 99); (h) make its own regulatory filings, including DAKSH and CERT-In reports (CYB paras 28, 141) and Data Protection Board intimations; and (i) notify any change in its layer or asset size within [30] days (Clause 1.5(b)). A Company delay extends dependent Service Provider timelines but never relieves a [Mandatory] obligation.</w:t>
      </w:r>
    </w:p>
    <w:p>
      <w:r>
        <w:pict>
          <v:rect style="width:0;height:1.5pt" o:hralign="center" o:hrstd="t" o:hr="t"/>
        </w:pict>
      </w:r>
    </w:p>
    <w:p>
      <w:r>
        <w:br w:type="page"/>
      </w:r>
    </w:p>
    <w:bookmarkEnd w:id="73"/>
    <w:bookmarkEnd w:id="74"/>
    <w:bookmarkStart w:id="84" w:name="schedule-3-service-level-agreement"/>
    <w:p>
      <w:pPr>
        <w:pStyle w:val="Heading1"/>
      </w:pPr>
      <w:r>
        <w:t xml:space="preserve">SCHEDULE 3 — Service Level Agreement</w:t>
      </w:r>
    </w:p>
    <w:p>
      <w:pPr>
        <w:pStyle w:val="FirstParagraph"/>
      </w:pPr>
      <w:r>
        <w:rPr>
          <w:iCs/>
          <w:i/>
        </w:rPr>
        <w:t xml:space="preserve">Drafting note: Implements Article 6 (Clauses 6.1 to 6.7) and the service and performance standards required by OUT paras 34(i) and 74(v); the Company monitors performance, uptime, availability, SLA adherence and incident response under OUT para 75 through the dashboard in Clause 6.2. Targets may be tightened in the Order Form, never loosened below a [Mandatory] floor.</w:t>
      </w:r>
      <w:r>
        <w:rPr>
          <w:iCs/>
          <w:i/>
        </w:rPr>
        <w:t xml:space="preserve"> </w:t>
      </w:r>
      <w:r>
        <w:rPr>
          <w:iCs/>
          <w:i/>
        </w:rPr>
        <w:t xml:space="preserve">“</w:t>
      </w:r>
      <w:r>
        <w:rPr>
          <w:iCs/>
          <w:i/>
        </w:rPr>
        <w:t xml:space="preserve">Business Day</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Detection</w:t>
      </w:r>
      <w:r>
        <w:rPr>
          <w:iCs/>
          <w:i/>
        </w:rPr>
        <w:t xml:space="preserve">”</w:t>
      </w:r>
      <w:r>
        <w:rPr>
          <w:iCs/>
          <w:i/>
        </w:rPr>
        <w:t xml:space="preserve"> </w:t>
      </w:r>
      <w:r>
        <w:rPr>
          <w:iCs/>
          <w:i/>
        </w:rPr>
        <w:t xml:space="preserve">have the meanings in Clause 1.1.</w:t>
      </w:r>
    </w:p>
    <w:bookmarkStart w:id="75" w:name="part-a-definitions"/>
    <w:p>
      <w:pPr>
        <w:pStyle w:val="Heading2"/>
      </w:pPr>
      <w:r>
        <w:t xml:space="preserve">Part A — Definitions</w:t>
      </w:r>
    </w:p>
    <w:p>
      <w:pPr>
        <w:numPr>
          <w:ilvl w:val="0"/>
          <w:numId w:val="1029"/>
        </w:numPr>
        <w:pStyle w:val="Compact"/>
      </w:pPr>
      <w:r>
        <w:rPr>
          <w:bCs/>
          <w:b/>
        </w:rPr>
        <w:t xml:space="preserve">Availability</w:t>
      </w:r>
      <w:r>
        <w:t xml:space="preserve"> </w:t>
      </w:r>
      <w:r>
        <w:t xml:space="preserve">per Service Tier per calendar month (IST): ((Total Minutes − Excused Downtime) − Downtime) ÷ (Total Minutes − Excused Downtime) × 100.</w:t>
      </w:r>
    </w:p>
    <w:p>
      <w:pPr>
        <w:numPr>
          <w:ilvl w:val="0"/>
          <w:numId w:val="1029"/>
        </w:numPr>
        <w:pStyle w:val="Compact"/>
      </w:pPr>
      <w:r>
        <w:rPr>
          <w:bCs/>
          <w:b/>
        </w:rPr>
        <w:t xml:space="preserve">Unavailable</w:t>
      </w:r>
      <w:r>
        <w:t xml:space="preserve">: in production, (a) synthetic transactions from at least two India monitoring points fail in two consecutive one-minute probes, or (b) more than [5]% of valid requests return server-side errors, or (c) p95 response time exceeds [5] seconds for [5] consecutive minutes.</w:t>
      </w:r>
      <w:r>
        <w:t xml:space="preserve"> </w:t>
      </w:r>
      <w:r>
        <w:rPr>
          <w:bCs/>
          <w:b/>
        </w:rPr>
        <w:t xml:space="preserve">Downtime</w:t>
      </w:r>
      <w:r>
        <w:t xml:space="preserve"> </w:t>
      </w:r>
      <w:r>
        <w:t xml:space="preserve">is each minute Unavailable.</w:t>
      </w:r>
      <w:r>
        <w:t xml:space="preserve"> </w:t>
      </w:r>
      <w:r>
        <w:rPr>
          <w:bCs/>
          <w:b/>
        </w:rPr>
        <w:t xml:space="preserve">Excused Downtime</w:t>
      </w:r>
      <w:r>
        <w:t xml:space="preserve"> </w:t>
      </w:r>
      <w:r>
        <w:t xml:space="preserve">is planned maintenance complying with Part D and Downtime caused by an Excluded Event.</w:t>
      </w:r>
    </w:p>
    <w:p>
      <w:pPr>
        <w:numPr>
          <w:ilvl w:val="0"/>
          <w:numId w:val="1029"/>
        </w:numPr>
        <w:pStyle w:val="Compact"/>
      </w:pPr>
      <w:r>
        <w:rPr>
          <w:bCs/>
          <w:b/>
        </w:rPr>
        <w:t xml:space="preserve">Minimum threshold</w:t>
      </w:r>
      <w:r>
        <w:t xml:space="preserve"> </w:t>
      </w:r>
      <w:r>
        <w:t xml:space="preserve">(Clause 6.5(a)): Availability of [99.5]% for each Critical Application in a month.</w:t>
      </w:r>
      <w:r>
        <w:t xml:space="preserve"> </w:t>
      </w:r>
      <w:r>
        <w:rPr>
          <w:bCs/>
          <w:b/>
        </w:rPr>
        <w:t xml:space="preserve">Critical service levels</w:t>
      </w:r>
      <w:r>
        <w:t xml:space="preserve"> </w:t>
      </w:r>
      <w:r>
        <w:t xml:space="preserve">(Clause 6.5(b)): S1 resolution, COB completion, CIC and return output windows, RTO and RPO, and initial Incident notification under Clause 12.2(a).</w:t>
      </w:r>
    </w:p>
    <w:bookmarkEnd w:id="75"/>
    <w:bookmarkStart w:id="76" w:name="part-b-availability-targets"/>
    <w:p>
      <w:pPr>
        <w:pStyle w:val="Heading2"/>
      </w:pPr>
      <w:r>
        <w:t xml:space="preserve">Part B — Availability Targets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54"/>
        <w:gridCol w:w="3474"/>
        <w:gridCol w:w="2151"/>
        <w:gridCol w:w="1759"/>
      </w:tblGrid>
      <w:tr>
        <w:trPr>
          <w:tblHeader w:val="true"/>
          <w:tblHeader w:val="true"/>
        </w:trPr>
        <w:tc>
          <w:tcPr>
            <w:tcW w:w="2254" w:type="dxa"/>
            <w:shd w:val="clear" w:color="auto" w:fill="1F3A5F"/>
          </w:tcPr>
          <w:p>
            <w:pPr>
              <w:pStyle w:val="Compact"/>
              <w:spacing w:after="40"/>
              <w:jc w:val="left"/>
            </w:pPr>
            <w:r>
              <w:rPr>
                <w:b/>
                <w:color w:val="FFFFFF"/>
                <w:sz w:val="18"/>
              </w:rPr>
              <w:t xml:space="preserve">Tier</w:t>
            </w:r>
          </w:p>
        </w:tc>
        <w:tc>
          <w:tcPr>
            <w:tcW w:w="3474" w:type="dxa"/>
            <w:shd w:val="clear" w:color="auto" w:fill="1F3A5F"/>
          </w:tcPr>
          <w:p>
            <w:pPr>
              <w:pStyle w:val="Compact"/>
              <w:spacing w:after="40"/>
              <w:jc w:val="left"/>
            </w:pPr>
            <w:r>
              <w:rPr>
                <w:b/>
                <w:color w:val="FFFFFF"/>
                <w:sz w:val="18"/>
              </w:rPr>
              <w:t xml:space="preserve">Functions</w:t>
            </w:r>
          </w:p>
        </w:tc>
        <w:tc>
          <w:tcPr>
            <w:tcW w:w="2151" w:type="dxa"/>
            <w:shd w:val="clear" w:color="auto" w:fill="1F3A5F"/>
          </w:tcPr>
          <w:p>
            <w:pPr>
              <w:pStyle w:val="Compact"/>
              <w:spacing w:after="40"/>
              <w:jc w:val="left"/>
            </w:pPr>
            <w:r>
              <w:rPr>
                <w:b/>
                <w:color w:val="FFFFFF"/>
                <w:sz w:val="18"/>
              </w:rPr>
              <w:t xml:space="preserve">Window</w:t>
            </w:r>
          </w:p>
        </w:tc>
        <w:tc>
          <w:tcPr>
            <w:tcW w:w="1759" w:type="dxa"/>
            <w:shd w:val="clear" w:color="auto" w:fill="1F3A5F"/>
          </w:tcPr>
          <w:p>
            <w:pPr>
              <w:pStyle w:val="Compact"/>
              <w:spacing w:after="40"/>
              <w:jc w:val="left"/>
            </w:pPr>
            <w:r>
              <w:rPr>
                <w:b/>
                <w:color w:val="FFFFFF"/>
                <w:sz w:val="18"/>
              </w:rPr>
              <w:t xml:space="preserve">Target</w:t>
            </w:r>
          </w:p>
        </w:tc>
      </w:tr>
      <w:tr>
        <w:tc>
          <w:tcPr>
            <w:tcW w:w="2254" w:type="dxa"/>
          </w:tcPr>
          <w:p>
            <w:pPr>
              <w:pStyle w:val="Compact"/>
              <w:spacing w:after="40"/>
              <w:jc w:val="left"/>
            </w:pPr>
            <w:r>
              <w:rPr>
                <w:sz w:val="18"/>
              </w:rPr>
              <w:t xml:space="preserve">Tier 1 — borrower-facing and money movement</w:t>
            </w:r>
          </w:p>
        </w:tc>
        <w:tc>
          <w:tcPr>
            <w:tcW w:w="3474" w:type="dxa"/>
          </w:tcPr>
          <w:p>
            <w:pPr>
              <w:pStyle w:val="Compact"/>
              <w:spacing w:after="40"/>
              <w:jc w:val="left"/>
            </w:pPr>
            <w:r>
              <w:rPr>
                <w:sz w:val="18"/>
              </w:rPr>
              <w:t xml:space="preserve">Partner and LSP APIs, borrower portal, payment, mandate and disbursement interfaces (M7), KFS and eSign journeys, inbound webhooks</w:t>
            </w:r>
          </w:p>
        </w:tc>
        <w:tc>
          <w:tcPr>
            <w:tcW w:w="2151" w:type="dxa"/>
          </w:tcPr>
          <w:p>
            <w:pPr>
              <w:pStyle w:val="Compact"/>
              <w:spacing w:after="40"/>
              <w:jc w:val="left"/>
            </w:pPr>
            <w:r>
              <w:rPr>
                <w:sz w:val="18"/>
              </w:rPr>
              <w:t xml:space="preserve">24 x 7</w:t>
            </w:r>
          </w:p>
        </w:tc>
        <w:tc>
          <w:tcPr>
            <w:tcW w:w="1759" w:type="dxa"/>
          </w:tcPr>
          <w:p>
            <w:pPr>
              <w:pStyle w:val="Compact"/>
              <w:spacing w:after="40"/>
              <w:jc w:val="left"/>
            </w:pPr>
            <w:r>
              <w:rPr>
                <w:sz w:val="18"/>
              </w:rPr>
              <w:t xml:space="preserve">99.9% [Option: 99.95%]</w:t>
            </w:r>
          </w:p>
        </w:tc>
      </w:tr>
      <w:tr>
        <w:tc>
          <w:tcPr>
            <w:tcW w:w="2254" w:type="dxa"/>
          </w:tcPr>
          <w:p>
            <w:pPr>
              <w:pStyle w:val="Compact"/>
              <w:spacing w:after="40"/>
              <w:jc w:val="left"/>
            </w:pPr>
            <w:r>
              <w:rPr>
                <w:sz w:val="18"/>
              </w:rPr>
              <w:t xml:space="preserve">Tier 2 — Critical Applications and core staff workspaces</w:t>
            </w:r>
          </w:p>
        </w:tc>
        <w:tc>
          <w:tcPr>
            <w:tcW w:w="3474" w:type="dxa"/>
          </w:tcPr>
          <w:p>
            <w:pPr>
              <w:pStyle w:val="Compact"/>
              <w:spacing w:after="40"/>
              <w:jc w:val="left"/>
            </w:pPr>
            <w:r>
              <w:rPr>
                <w:sz w:val="18"/>
              </w:rPr>
              <w:t xml:space="preserve">LOS (M4), LMS (M6), accounting and general ledger (M10), regulatory reporting (M13), collections, DMS, administration, field-app sync</w:t>
            </w:r>
          </w:p>
        </w:tc>
        <w:tc>
          <w:tcPr>
            <w:tcW w:w="2151" w:type="dxa"/>
          </w:tcPr>
          <w:p>
            <w:pPr>
              <w:pStyle w:val="Compact"/>
              <w:spacing w:after="40"/>
              <w:jc w:val="left"/>
            </w:pPr>
            <w:r>
              <w:rPr>
                <w:sz w:val="18"/>
              </w:rPr>
              <w:t xml:space="preserve">24 x 7; Core Hours 07:00–22:00 IST on Business Days</w:t>
            </w:r>
          </w:p>
        </w:tc>
        <w:tc>
          <w:tcPr>
            <w:tcW w:w="1759" w:type="dxa"/>
          </w:tcPr>
          <w:p>
            <w:pPr>
              <w:pStyle w:val="Compact"/>
              <w:spacing w:after="40"/>
              <w:jc w:val="left"/>
            </w:pPr>
            <w:r>
              <w:rPr>
                <w:sz w:val="18"/>
              </w:rPr>
              <w:t xml:space="preserve">99.9% in Core Hours; 99.5% overall</w:t>
            </w:r>
          </w:p>
        </w:tc>
      </w:tr>
      <w:tr>
        <w:tc>
          <w:tcPr>
            <w:tcW w:w="2254" w:type="dxa"/>
          </w:tcPr>
          <w:p>
            <w:pPr>
              <w:pStyle w:val="Compact"/>
              <w:spacing w:after="40"/>
              <w:jc w:val="left"/>
            </w:pPr>
            <w:r>
              <w:rPr>
                <w:sz w:val="18"/>
              </w:rPr>
              <w:t xml:space="preserve">Tier 3 — back-office and analytics</w:t>
            </w:r>
          </w:p>
        </w:tc>
        <w:tc>
          <w:tcPr>
            <w:tcW w:w="3474" w:type="dxa"/>
          </w:tcPr>
          <w:p>
            <w:pPr>
              <w:pStyle w:val="Compact"/>
              <w:spacing w:after="40"/>
              <w:jc w:val="left"/>
            </w:pPr>
            <w:r>
              <w:rPr>
                <w:sz w:val="18"/>
              </w:rPr>
              <w:t xml:space="preserve">MIS, report scheduler, AI layer, GRC bridge, read-only audit access</w:t>
            </w:r>
          </w:p>
        </w:tc>
        <w:tc>
          <w:tcPr>
            <w:tcW w:w="2151" w:type="dxa"/>
          </w:tcPr>
          <w:p>
            <w:pPr>
              <w:pStyle w:val="Compact"/>
              <w:spacing w:after="40"/>
              <w:jc w:val="left"/>
            </w:pPr>
            <w:r>
              <w:rPr>
                <w:sz w:val="18"/>
              </w:rPr>
              <w:t xml:space="preserve">24 x 7</w:t>
            </w:r>
          </w:p>
        </w:tc>
        <w:tc>
          <w:tcPr>
            <w:tcW w:w="1759" w:type="dxa"/>
          </w:tcPr>
          <w:p>
            <w:pPr>
              <w:pStyle w:val="Compact"/>
              <w:spacing w:after="40"/>
              <w:jc w:val="left"/>
            </w:pPr>
            <w:r>
              <w:rPr>
                <w:sz w:val="18"/>
              </w:rPr>
              <w:t xml:space="preserve">99.5%</w:t>
            </w:r>
          </w:p>
        </w:tc>
      </w:tr>
      <w:tr>
        <w:tc>
          <w:tcPr>
            <w:tcW w:w="2254" w:type="dxa"/>
          </w:tcPr>
          <w:p>
            <w:pPr>
              <w:pStyle w:val="Compact"/>
              <w:spacing w:after="40"/>
              <w:jc w:val="left"/>
            </w:pPr>
            <w:r>
              <w:rPr>
                <w:sz w:val="18"/>
              </w:rPr>
              <w:t xml:space="preserve">Tier 4 — non-production</w:t>
            </w:r>
          </w:p>
        </w:tc>
        <w:tc>
          <w:tcPr>
            <w:tcW w:w="3474" w:type="dxa"/>
          </w:tcPr>
          <w:p>
            <w:pPr>
              <w:pStyle w:val="Compact"/>
              <w:spacing w:after="40"/>
              <w:jc w:val="left"/>
            </w:pPr>
            <w:r>
              <w:rPr>
                <w:sz w:val="18"/>
              </w:rPr>
              <w:t xml:space="preserve">UAT, sandbox, training</w:t>
            </w:r>
          </w:p>
        </w:tc>
        <w:tc>
          <w:tcPr>
            <w:tcW w:w="2151" w:type="dxa"/>
          </w:tcPr>
          <w:p>
            <w:pPr>
              <w:pStyle w:val="Compact"/>
              <w:spacing w:after="40"/>
              <w:jc w:val="left"/>
            </w:pPr>
            <w:r>
              <w:rPr>
                <w:sz w:val="18"/>
              </w:rPr>
              <w:t xml:space="preserve">Business Days 09:00–19:00 IST</w:t>
            </w:r>
          </w:p>
        </w:tc>
        <w:tc>
          <w:tcPr>
            <w:tcW w:w="1759" w:type="dxa"/>
          </w:tcPr>
          <w:p>
            <w:pPr>
              <w:pStyle w:val="Compact"/>
              <w:spacing w:after="40"/>
              <w:jc w:val="left"/>
            </w:pPr>
            <w:r>
              <w:rPr>
                <w:sz w:val="18"/>
              </w:rPr>
              <w:t xml:space="preserve">98.0%</w:t>
            </w:r>
          </w:p>
        </w:tc>
      </w:tr>
    </w:tbl>
    <w:p>
      <w:pPr>
        <w:pStyle w:val="BodyText"/>
      </w:pPr>
      <w:r>
        <w:rPr>
          <w:iCs/>
          <w:i/>
        </w:rPr>
        <w:t xml:space="preserve">Targets are [Recommended] market norms; the Company must ensure availability of service delivery channels and high availability for uninterrupted customer service (CYB para 107).</w:t>
      </w:r>
    </w:p>
    <w:bookmarkEnd w:id="76"/>
    <w:bookmarkStart w:id="77" w:name="part-c-measurement-and-exclusions"/>
    <w:p>
      <w:pPr>
        <w:pStyle w:val="Heading2"/>
      </w:pPr>
      <w:r>
        <w:t xml:space="preserve">Part C — Measurement and Exclusions</w:t>
      </w:r>
    </w:p>
    <w:p>
      <w:pPr>
        <w:numPr>
          <w:ilvl w:val="0"/>
          <w:numId w:val="1030"/>
        </w:numPr>
        <w:pStyle w:val="Compact"/>
      </w:pPr>
      <w:r>
        <w:t xml:space="preserve">One-minute synthetic monitoring from at least two India locations outside the hosting region; raw data retained [13] months and available to the Company; live dashboard under Clause 6.2 showing availability, latency, errors, COB status, Incidents, connector health and the key risk indicators in Schedule 12 (OUT paras 74(ii), 75; CYB para 90).</w:t>
      </w:r>
    </w:p>
    <w:p>
      <w:pPr>
        <w:numPr>
          <w:ilvl w:val="0"/>
          <w:numId w:val="1030"/>
        </w:numPr>
        <w:pStyle w:val="Compact"/>
      </w:pPr>
      <w:r>
        <w:rPr>
          <w:bCs/>
          <w:b/>
        </w:rPr>
        <w:t xml:space="preserve">Excluded Events</w:t>
      </w:r>
      <w:r>
        <w:t xml:space="preserve"> </w:t>
      </w:r>
      <w:r>
        <w:t xml:space="preserve">(only to the extent they cause Downtime): planned maintenance under Part D; failure of a Company Third-Party Provider (Clause 7.7), provided the Service Provider’s adapter queues, retries and reconciles and the rest of the Platform stays available; the Company’s network, identity provider or misuse; suspension permitted by Clause 24.6, except where the security threat results from the Service Provider’s breach or from a Cyber Incident not caused by the Company (Part C.3); a Force Majeure Event under Article 29,</w:t>
      </w:r>
      <w:r>
        <w:t xml:space="preserve"> </w:t>
      </w:r>
      <w:r>
        <w:rPr>
          <w:bCs/>
          <w:b/>
        </w:rPr>
        <w:t xml:space="preserve">only after the Service Provider has invoked Schedule 8 and is meeting the RTO</w:t>
      </w:r>
      <w:r>
        <w:t xml:space="preserve"> </w:t>
      </w:r>
      <w:r>
        <w:t xml:space="preserve">(Clauses 29.2, 29.3); a Supervisory Authority direction not caused by the Service Provider.</w:t>
      </w:r>
    </w:p>
    <w:p>
      <w:pPr>
        <w:numPr>
          <w:ilvl w:val="0"/>
          <w:numId w:val="1030"/>
        </w:numPr>
        <w:pStyle w:val="Compact"/>
      </w:pPr>
      <w:r>
        <w:rPr>
          <w:bCs/>
          <w:b/>
        </w:rPr>
        <w:t xml:space="preserve">Not excluded</w:t>
      </w:r>
      <w:r>
        <w:t xml:space="preserve">: failures of Sub-contractors (including the cloud service provider), capacity shortfalls, failed Releases or Changes, Cyber Incidents not caused by the Company, and emergency maintenance (Clauses 13.4, 29.2; OUT para 74(xiii)).</w:t>
      </w:r>
    </w:p>
    <w:bookmarkEnd w:id="77"/>
    <w:bookmarkStart w:id="78" w:name="part-d-maintenance-windows-clause-6.6"/>
    <w:p>
      <w:pPr>
        <w:pStyle w:val="Heading2"/>
      </w:pPr>
      <w:r>
        <w:t xml:space="preserve">Part D — Maintenance Windows (Clause 6.6)</w:t>
      </w:r>
    </w:p>
    <w:p>
      <w:pPr>
        <w:pStyle w:val="FirstParagraph"/>
      </w:pPr>
      <w:r>
        <w:t xml:space="preserve">Only 00:00–05:00 IST, on [5] Business Days’ notice (for an emergency change under Clause 15.5, such prior notice as is practicable and in any event notice within [2] hours after implementation), up to [8] hours a month.</w:t>
      </w:r>
      <w:r>
        <w:t xml:space="preserve"> </w:t>
      </w:r>
      <w:r>
        <w:rPr>
          <w:bCs/>
          <w:b/>
        </w:rPr>
        <w:t xml:space="preserve">Blackout:</w:t>
      </w:r>
      <w:r>
        <w:t xml:space="preserve"> </w:t>
      </w:r>
      <w:r>
        <w:t xml:space="preserve">the Company’s beginning-of-day and end-of-day processes; the last [3] and first [2] Business Days of each month (month-, quarter- and year-end close); the 15th and last day of each month and the following [7] calendar days (CIC submissions: CIR para 10(2)); return deadlines and audit cut-offs the Company notifies [10] Business Days ahead. Tier 1 maintenance needs the Company’s prior written consent; zero-downtime deployment is the default.</w:t>
      </w:r>
    </w:p>
    <w:bookmarkEnd w:id="78"/>
    <w:bookmarkStart w:id="79" w:name="part-e-severity-matrix-and-support"/>
    <w:p>
      <w:pPr>
        <w:pStyle w:val="Heading2"/>
      </w:pPr>
      <w:r>
        <w:t xml:space="preserve">Part E — Severity Matrix and Support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28"/>
        <w:gridCol w:w="4506"/>
        <w:gridCol w:w="1093"/>
        <w:gridCol w:w="875"/>
        <w:gridCol w:w="997"/>
        <w:gridCol w:w="1239"/>
      </w:tblGrid>
      <w:tr>
        <w:trPr>
          <w:tblHeader w:val="true"/>
          <w:tblHeader w:val="true"/>
        </w:trPr>
        <w:tc>
          <w:tcPr>
            <w:tcW w:w="928" w:type="dxa"/>
            <w:shd w:val="clear" w:color="auto" w:fill="1F3A5F"/>
          </w:tcPr>
          <w:p>
            <w:pPr>
              <w:pStyle w:val="Compact"/>
              <w:spacing w:after="40"/>
              <w:jc w:val="left"/>
            </w:pPr>
            <w:r>
              <w:rPr>
                <w:b/>
                <w:color w:val="FFFFFF"/>
                <w:sz w:val="18"/>
              </w:rPr>
              <w:t xml:space="preserve">Severity</w:t>
            </w:r>
          </w:p>
        </w:tc>
        <w:tc>
          <w:tcPr>
            <w:tcW w:w="4506" w:type="dxa"/>
            <w:shd w:val="clear" w:color="auto" w:fill="1F3A5F"/>
          </w:tcPr>
          <w:p>
            <w:pPr>
              <w:pStyle w:val="Compact"/>
              <w:spacing w:after="40"/>
              <w:jc w:val="left"/>
            </w:pPr>
            <w:r>
              <w:rPr>
                <w:b/>
                <w:color w:val="FFFFFF"/>
                <w:sz w:val="18"/>
              </w:rPr>
              <w:t xml:space="preserve">Examples</w:t>
            </w:r>
          </w:p>
        </w:tc>
        <w:tc>
          <w:tcPr>
            <w:tcW w:w="1093" w:type="dxa"/>
            <w:shd w:val="clear" w:color="auto" w:fill="1F3A5F"/>
          </w:tcPr>
          <w:p>
            <w:pPr>
              <w:pStyle w:val="Compact"/>
              <w:spacing w:after="40"/>
              <w:jc w:val="left"/>
            </w:pPr>
            <w:r>
              <w:rPr>
                <w:b/>
                <w:color w:val="FFFFFF"/>
                <w:sz w:val="18"/>
              </w:rPr>
              <w:t xml:space="preserve">Response</w:t>
            </w:r>
          </w:p>
        </w:tc>
        <w:tc>
          <w:tcPr>
            <w:tcW w:w="875" w:type="dxa"/>
            <w:shd w:val="clear" w:color="auto" w:fill="1F3A5F"/>
          </w:tcPr>
          <w:p>
            <w:pPr>
              <w:pStyle w:val="Compact"/>
              <w:spacing w:after="40"/>
              <w:jc w:val="left"/>
            </w:pPr>
            <w:r>
              <w:rPr>
                <w:b/>
                <w:color w:val="FFFFFF"/>
                <w:sz w:val="18"/>
              </w:rPr>
              <w:t xml:space="preserve">Updates</w:t>
            </w:r>
          </w:p>
        </w:tc>
        <w:tc>
          <w:tcPr>
            <w:tcW w:w="997" w:type="dxa"/>
            <w:shd w:val="clear" w:color="auto" w:fill="1F3A5F"/>
          </w:tcPr>
          <w:p>
            <w:pPr>
              <w:pStyle w:val="Compact"/>
              <w:spacing w:after="40"/>
              <w:jc w:val="left"/>
            </w:pPr>
            <w:r>
              <w:rPr>
                <w:b/>
                <w:color w:val="FFFFFF"/>
                <w:sz w:val="18"/>
              </w:rPr>
              <w:t xml:space="preserve">Workaround</w:t>
            </w:r>
          </w:p>
        </w:tc>
        <w:tc>
          <w:tcPr>
            <w:tcW w:w="1239" w:type="dxa"/>
            <w:shd w:val="clear" w:color="auto" w:fill="1F3A5F"/>
          </w:tcPr>
          <w:p>
            <w:pPr>
              <w:pStyle w:val="Compact"/>
              <w:spacing w:after="40"/>
              <w:jc w:val="left"/>
            </w:pPr>
            <w:r>
              <w:rPr>
                <w:b/>
                <w:color w:val="FFFFFF"/>
                <w:sz w:val="18"/>
              </w:rPr>
              <w:t xml:space="preserve">Resolution</w:t>
            </w:r>
          </w:p>
        </w:tc>
      </w:tr>
      <w:tr>
        <w:tc>
          <w:tcPr>
            <w:tcW w:w="928" w:type="dxa"/>
          </w:tcPr>
          <w:p>
            <w:pPr>
              <w:pStyle w:val="Compact"/>
              <w:spacing w:after="40"/>
              <w:jc w:val="left"/>
            </w:pPr>
            <w:r>
              <w:rPr>
                <w:sz w:val="18"/>
              </w:rPr>
              <w:t xml:space="preserve">S1 — Critical</w:t>
            </w:r>
          </w:p>
        </w:tc>
        <w:tc>
          <w:tcPr>
            <w:tcW w:w="4506" w:type="dxa"/>
          </w:tcPr>
          <w:p>
            <w:pPr>
              <w:pStyle w:val="Compact"/>
              <w:spacing w:after="40"/>
              <w:jc w:val="left"/>
            </w:pPr>
            <w:r>
              <w:rPr>
                <w:sz w:val="18"/>
              </w:rPr>
              <w:t xml:space="preserve">Tier 1 or a Critical Application Unavailable; disbursement, repayment or mandate processing stopped; ledger or classification integrity error; COB failure delaying the next business day; suspected Cyber Incident, Security Breach or personal data breach; regulatory deadline at risk within [2] Business Days</w:t>
            </w:r>
          </w:p>
        </w:tc>
        <w:tc>
          <w:tcPr>
            <w:tcW w:w="1093" w:type="dxa"/>
          </w:tcPr>
          <w:p>
            <w:pPr>
              <w:pStyle w:val="Compact"/>
              <w:spacing w:after="40"/>
              <w:jc w:val="left"/>
            </w:pPr>
            <w:r>
              <w:rPr>
                <w:sz w:val="18"/>
              </w:rPr>
              <w:t xml:space="preserve">15 minutes, 24 x 7</w:t>
            </w:r>
          </w:p>
        </w:tc>
        <w:tc>
          <w:tcPr>
            <w:tcW w:w="875" w:type="dxa"/>
          </w:tcPr>
          <w:p>
            <w:pPr>
              <w:pStyle w:val="Compact"/>
              <w:spacing w:after="40"/>
              <w:jc w:val="left"/>
            </w:pPr>
            <w:r>
              <w:rPr>
                <w:sz w:val="18"/>
              </w:rPr>
              <w:t xml:space="preserve">30 minutes</w:t>
            </w:r>
          </w:p>
        </w:tc>
        <w:tc>
          <w:tcPr>
            <w:tcW w:w="997" w:type="dxa"/>
          </w:tcPr>
          <w:p>
            <w:pPr>
              <w:pStyle w:val="Compact"/>
              <w:spacing w:after="40"/>
              <w:jc w:val="left"/>
            </w:pPr>
            <w:r>
              <w:rPr>
                <w:sz w:val="18"/>
              </w:rPr>
              <w:t xml:space="preserve">2 hours</w:t>
            </w:r>
          </w:p>
        </w:tc>
        <w:tc>
          <w:tcPr>
            <w:tcW w:w="1239" w:type="dxa"/>
          </w:tcPr>
          <w:p>
            <w:pPr>
              <w:pStyle w:val="Compact"/>
              <w:spacing w:after="40"/>
              <w:jc w:val="left"/>
            </w:pPr>
            <w:r>
              <w:rPr>
                <w:sz w:val="18"/>
              </w:rPr>
              <w:t xml:space="preserve">4 hours</w:t>
            </w:r>
          </w:p>
        </w:tc>
      </w:tr>
      <w:tr>
        <w:tc>
          <w:tcPr>
            <w:tcW w:w="928" w:type="dxa"/>
          </w:tcPr>
          <w:p>
            <w:pPr>
              <w:pStyle w:val="Compact"/>
              <w:spacing w:after="40"/>
              <w:jc w:val="left"/>
            </w:pPr>
            <w:r>
              <w:rPr>
                <w:sz w:val="18"/>
              </w:rPr>
              <w:t xml:space="preserve">S2 — High</w:t>
            </w:r>
          </w:p>
        </w:tc>
        <w:tc>
          <w:tcPr>
            <w:tcW w:w="4506" w:type="dxa"/>
          </w:tcPr>
          <w:p>
            <w:pPr>
              <w:pStyle w:val="Compact"/>
              <w:spacing w:after="40"/>
              <w:jc w:val="left"/>
            </w:pPr>
            <w:r>
              <w:rPr>
                <w:sz w:val="18"/>
              </w:rPr>
              <w:t xml:space="preserve">Major function degraded without workaround; connector down; incorrect regulatory or customer output not yet submitted; one branch or entity unable to transact</w:t>
            </w:r>
          </w:p>
        </w:tc>
        <w:tc>
          <w:tcPr>
            <w:tcW w:w="1093" w:type="dxa"/>
          </w:tcPr>
          <w:p>
            <w:pPr>
              <w:pStyle w:val="Compact"/>
              <w:spacing w:after="40"/>
              <w:jc w:val="left"/>
            </w:pPr>
            <w:r>
              <w:rPr>
                <w:sz w:val="18"/>
              </w:rPr>
              <w:t xml:space="preserve">30 minutes, 24 x 7</w:t>
            </w:r>
          </w:p>
        </w:tc>
        <w:tc>
          <w:tcPr>
            <w:tcW w:w="875" w:type="dxa"/>
          </w:tcPr>
          <w:p>
            <w:pPr>
              <w:pStyle w:val="Compact"/>
              <w:spacing w:after="40"/>
              <w:jc w:val="left"/>
            </w:pPr>
            <w:r>
              <w:rPr>
                <w:sz w:val="18"/>
              </w:rPr>
              <w:t xml:space="preserve">2 hours</w:t>
            </w:r>
          </w:p>
        </w:tc>
        <w:tc>
          <w:tcPr>
            <w:tcW w:w="997" w:type="dxa"/>
          </w:tcPr>
          <w:p>
            <w:pPr>
              <w:pStyle w:val="Compact"/>
              <w:spacing w:after="40"/>
              <w:jc w:val="left"/>
            </w:pPr>
            <w:r>
              <w:rPr>
                <w:sz w:val="18"/>
              </w:rPr>
              <w:t xml:space="preserve">4 hours</w:t>
            </w:r>
          </w:p>
        </w:tc>
        <w:tc>
          <w:tcPr>
            <w:tcW w:w="1239" w:type="dxa"/>
          </w:tcPr>
          <w:p>
            <w:pPr>
              <w:pStyle w:val="Compact"/>
              <w:spacing w:after="40"/>
              <w:jc w:val="left"/>
            </w:pPr>
            <w:r>
              <w:rPr>
                <w:sz w:val="18"/>
              </w:rPr>
              <w:t xml:space="preserve">1 Business Day</w:t>
            </w:r>
          </w:p>
        </w:tc>
      </w:tr>
      <w:tr>
        <w:tc>
          <w:tcPr>
            <w:tcW w:w="928" w:type="dxa"/>
          </w:tcPr>
          <w:p>
            <w:pPr>
              <w:pStyle w:val="Compact"/>
              <w:spacing w:after="40"/>
              <w:jc w:val="left"/>
            </w:pPr>
            <w:r>
              <w:rPr>
                <w:sz w:val="18"/>
              </w:rPr>
              <w:t xml:space="preserve">S3 — Medium</w:t>
            </w:r>
          </w:p>
        </w:tc>
        <w:tc>
          <w:tcPr>
            <w:tcW w:w="4506" w:type="dxa"/>
          </w:tcPr>
          <w:p>
            <w:pPr>
              <w:pStyle w:val="Compact"/>
              <w:spacing w:after="40"/>
              <w:jc w:val="left"/>
            </w:pPr>
            <w:r>
              <w:rPr>
                <w:sz w:val="18"/>
              </w:rPr>
              <w:t xml:space="preserve">Function impaired with workaround; performance below target; report or template defect</w:t>
            </w:r>
          </w:p>
        </w:tc>
        <w:tc>
          <w:tcPr>
            <w:tcW w:w="1093" w:type="dxa"/>
          </w:tcPr>
          <w:p>
            <w:pPr>
              <w:pStyle w:val="Compact"/>
              <w:spacing w:after="40"/>
              <w:jc w:val="left"/>
            </w:pPr>
            <w:r>
              <w:rPr>
                <w:sz w:val="18"/>
              </w:rPr>
              <w:t xml:space="preserve">4 business hours</w:t>
            </w:r>
          </w:p>
        </w:tc>
        <w:tc>
          <w:tcPr>
            <w:tcW w:w="875" w:type="dxa"/>
          </w:tcPr>
          <w:p>
            <w:pPr>
              <w:pStyle w:val="Compact"/>
              <w:spacing w:after="40"/>
              <w:jc w:val="left"/>
            </w:pPr>
            <w:r>
              <w:rPr>
                <w:sz w:val="18"/>
              </w:rPr>
              <w:t xml:space="preserve">Daily</w:t>
            </w:r>
          </w:p>
        </w:tc>
        <w:tc>
          <w:tcPr>
            <w:tcW w:w="997" w:type="dxa"/>
          </w:tcPr>
          <w:p>
            <w:pPr>
              <w:pStyle w:val="Compact"/>
              <w:spacing w:after="40"/>
              <w:jc w:val="left"/>
            </w:pPr>
            <w:r>
              <w:rPr>
                <w:sz w:val="18"/>
              </w:rPr>
              <w:t xml:space="preserve">2 Business Days</w:t>
            </w:r>
          </w:p>
        </w:tc>
        <w:tc>
          <w:tcPr>
            <w:tcW w:w="1239" w:type="dxa"/>
          </w:tcPr>
          <w:p>
            <w:pPr>
              <w:pStyle w:val="Compact"/>
              <w:spacing w:after="40"/>
              <w:jc w:val="left"/>
            </w:pPr>
            <w:r>
              <w:rPr>
                <w:sz w:val="18"/>
              </w:rPr>
              <w:t xml:space="preserve">5 Business Days</w:t>
            </w:r>
          </w:p>
        </w:tc>
      </w:tr>
      <w:tr>
        <w:tc>
          <w:tcPr>
            <w:tcW w:w="928" w:type="dxa"/>
          </w:tcPr>
          <w:p>
            <w:pPr>
              <w:pStyle w:val="Compact"/>
              <w:spacing w:after="40"/>
              <w:jc w:val="left"/>
            </w:pPr>
            <w:r>
              <w:rPr>
                <w:sz w:val="18"/>
              </w:rPr>
              <w:t xml:space="preserve">S4 — Low</w:t>
            </w:r>
          </w:p>
        </w:tc>
        <w:tc>
          <w:tcPr>
            <w:tcW w:w="4506" w:type="dxa"/>
          </w:tcPr>
          <w:p>
            <w:pPr>
              <w:pStyle w:val="Compact"/>
              <w:spacing w:after="40"/>
              <w:jc w:val="left"/>
            </w:pPr>
            <w:r>
              <w:rPr>
                <w:sz w:val="18"/>
              </w:rPr>
              <w:t xml:space="preserve">Cosmetic, documentation, query, enhancement</w:t>
            </w:r>
          </w:p>
        </w:tc>
        <w:tc>
          <w:tcPr>
            <w:tcW w:w="1093" w:type="dxa"/>
          </w:tcPr>
          <w:p>
            <w:pPr>
              <w:pStyle w:val="Compact"/>
              <w:spacing w:after="40"/>
              <w:jc w:val="left"/>
            </w:pPr>
            <w:r>
              <w:rPr>
                <w:sz w:val="18"/>
              </w:rPr>
              <w:t xml:space="preserve">1 Business Day</w:t>
            </w:r>
          </w:p>
        </w:tc>
        <w:tc>
          <w:tcPr>
            <w:tcW w:w="875" w:type="dxa"/>
          </w:tcPr>
          <w:p>
            <w:pPr>
              <w:pStyle w:val="Compact"/>
              <w:spacing w:after="40"/>
              <w:jc w:val="left"/>
            </w:pPr>
            <w:r>
              <w:rPr>
                <w:sz w:val="18"/>
              </w:rPr>
              <w:t xml:space="preserve">Weekly</w:t>
            </w:r>
          </w:p>
        </w:tc>
        <w:tc>
          <w:tcPr>
            <w:tcW w:w="997" w:type="dxa"/>
          </w:tcPr>
          <w:p>
            <w:pPr>
              <w:pStyle w:val="Compact"/>
              <w:spacing w:after="40"/>
              <w:jc w:val="left"/>
            </w:pPr>
            <w:r>
              <w:rPr>
                <w:sz w:val="18"/>
              </w:rPr>
              <w:t xml:space="preserve">—</w:t>
            </w:r>
          </w:p>
        </w:tc>
        <w:tc>
          <w:tcPr>
            <w:tcW w:w="1239" w:type="dxa"/>
          </w:tcPr>
          <w:p>
            <w:pPr>
              <w:pStyle w:val="Compact"/>
              <w:spacing w:after="40"/>
              <w:jc w:val="left"/>
            </w:pPr>
            <w:r>
              <w:rPr>
                <w:sz w:val="18"/>
              </w:rPr>
              <w:t xml:space="preserve">Next Release or 30 days</w:t>
            </w:r>
          </w:p>
        </w:tc>
      </w:tr>
    </w:tbl>
    <w:p>
      <w:pPr>
        <w:pStyle w:val="BodyText"/>
      </w:pPr>
      <w:r>
        <w:t xml:space="preserve">Severity is assigned by the Company acting reasonably; an incorrect regulatory or customer-facing output is at least S2. S1 and S2 clocks run continuously (Clause 1.2(k)) and pause only while awaiting information requested in writing. Support hours: S1 and S2 24 x 7 (Clause 6.3); S3 and S4 09:00–19:00 IST on Business Days. Every Incident is also handled under Schedule 7, whose timelines run independently. Errors are corrected under this Part (Clause 20.4); complaint-driven defects are remediated under this Part (Clause 28.4).</w:t>
      </w:r>
    </w:p>
    <w:bookmarkEnd w:id="79"/>
    <w:bookmarkStart w:id="80" w:name="part-f-batch-output-and-export-windows"/>
    <w:p>
      <w:pPr>
        <w:pStyle w:val="Heading2"/>
      </w:pPr>
      <w:r>
        <w:t xml:space="preserve">Part F — Batch, Output and Export Windows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43"/>
        <w:gridCol w:w="3938"/>
        <w:gridCol w:w="2757"/>
      </w:tblGrid>
      <w:tr>
        <w:trPr>
          <w:tblHeader w:val="true"/>
          <w:tblHeader w:val="true"/>
        </w:trPr>
        <w:tc>
          <w:tcPr>
            <w:tcW w:w="2943" w:type="dxa"/>
            <w:shd w:val="clear" w:color="auto" w:fill="1F3A5F"/>
          </w:tcPr>
          <w:p>
            <w:pPr>
              <w:pStyle w:val="Compact"/>
              <w:spacing w:after="40"/>
              <w:jc w:val="left"/>
            </w:pPr>
            <w:r>
              <w:rPr>
                <w:b/>
                <w:color w:val="FFFFFF"/>
                <w:sz w:val="18"/>
              </w:rPr>
              <w:t xml:space="preserve">Process</w:t>
            </w:r>
          </w:p>
        </w:tc>
        <w:tc>
          <w:tcPr>
            <w:tcW w:w="3938" w:type="dxa"/>
            <w:shd w:val="clear" w:color="auto" w:fill="1F3A5F"/>
          </w:tcPr>
          <w:p>
            <w:pPr>
              <w:pStyle w:val="Compact"/>
              <w:spacing w:after="40"/>
              <w:jc w:val="left"/>
            </w:pPr>
            <w:r>
              <w:rPr>
                <w:b/>
                <w:color w:val="FFFFFF"/>
                <w:sz w:val="18"/>
              </w:rPr>
              <w:t xml:space="preserve">Target</w:t>
            </w:r>
          </w:p>
        </w:tc>
        <w:tc>
          <w:tcPr>
            <w:tcW w:w="2757" w:type="dxa"/>
            <w:shd w:val="clear" w:color="auto" w:fill="1F3A5F"/>
          </w:tcPr>
          <w:p>
            <w:pPr>
              <w:pStyle w:val="Compact"/>
              <w:spacing w:after="40"/>
              <w:jc w:val="left"/>
            </w:pPr>
            <w:r>
              <w:rPr>
                <w:b/>
                <w:color w:val="FFFFFF"/>
                <w:sz w:val="18"/>
              </w:rPr>
              <w:t xml:space="preserve">Basis</w:t>
            </w:r>
          </w:p>
        </w:tc>
      </w:tr>
      <w:tr>
        <w:tc>
          <w:tcPr>
            <w:tcW w:w="2943" w:type="dxa"/>
          </w:tcPr>
          <w:p>
            <w:pPr>
              <w:pStyle w:val="Compact"/>
              <w:spacing w:after="40"/>
              <w:jc w:val="left"/>
            </w:pPr>
            <w:r>
              <w:rPr>
                <w:sz w:val="18"/>
              </w:rPr>
              <w:t xml:space="preserve">Daily COB (accruals, DPD, SMA/NPA classification, provisioning inputs) for date D</w:t>
            </w:r>
          </w:p>
        </w:tc>
        <w:tc>
          <w:tcPr>
            <w:tcW w:w="3938" w:type="dxa"/>
          </w:tcPr>
          <w:p>
            <w:pPr>
              <w:pStyle w:val="Compact"/>
              <w:spacing w:after="40"/>
              <w:jc w:val="left"/>
            </w:pPr>
            <w:r>
              <w:rPr>
                <w:sz w:val="18"/>
              </w:rPr>
              <w:t xml:space="preserve">Complete by [06:00] IST on D+1; BOD by [07:00]; month-end by [08:00]; 1 million active loans within 60 minutes on reference infrastructure</w:t>
            </w:r>
          </w:p>
        </w:tc>
        <w:tc>
          <w:tcPr>
            <w:tcW w:w="2757" w:type="dxa"/>
          </w:tcPr>
          <w:p>
            <w:pPr>
              <w:pStyle w:val="Compact"/>
              <w:spacing w:after="40"/>
              <w:jc w:val="left"/>
            </w:pPr>
            <w:r>
              <w:rPr>
                <w:sz w:val="18"/>
              </w:rPr>
              <w:t xml:space="preserve">System-driven SMA/NPA identification (CYB para 44(2)) [Mandatory — RBI]</w:t>
            </w:r>
          </w:p>
        </w:tc>
      </w:tr>
      <w:tr>
        <w:tc>
          <w:tcPr>
            <w:tcW w:w="2943" w:type="dxa"/>
          </w:tcPr>
          <w:p>
            <w:pPr>
              <w:pStyle w:val="Compact"/>
              <w:spacing w:after="40"/>
              <w:jc w:val="left"/>
            </w:pPr>
            <w:r>
              <w:rPr>
                <w:sz w:val="18"/>
              </w:rPr>
              <w:t xml:space="preserve">CIC files (all four CICs)</w:t>
            </w:r>
          </w:p>
        </w:tc>
        <w:tc>
          <w:tcPr>
            <w:tcW w:w="3938" w:type="dxa"/>
          </w:tcPr>
          <w:p>
            <w:pPr>
              <w:pStyle w:val="Compact"/>
              <w:spacing w:after="40"/>
              <w:jc w:val="left"/>
            </w:pPr>
            <w:r>
              <w:rPr>
                <w:sz w:val="18"/>
              </w:rPr>
              <w:t xml:space="preserve">Validated files within [2] Business Days after the 15th and last day of each month; corrected file within [3] Business Days of a rejection report</w:t>
            </w:r>
          </w:p>
        </w:tc>
        <w:tc>
          <w:tcPr>
            <w:tcW w:w="2757" w:type="dxa"/>
          </w:tcPr>
          <w:p>
            <w:pPr>
              <w:pStyle w:val="Compact"/>
              <w:spacing w:after="40"/>
              <w:jc w:val="left"/>
            </w:pPr>
            <w:r>
              <w:rPr>
                <w:sz w:val="18"/>
              </w:rPr>
              <w:t xml:space="preserve">Submission within seven calendar days of the fortnight (CIR para 10(2))</w:t>
            </w:r>
          </w:p>
        </w:tc>
      </w:tr>
      <w:tr>
        <w:tc>
          <w:tcPr>
            <w:tcW w:w="2943" w:type="dxa"/>
          </w:tcPr>
          <w:p>
            <w:pPr>
              <w:pStyle w:val="Compact"/>
              <w:spacing w:after="40"/>
              <w:jc w:val="left"/>
            </w:pPr>
            <w:r>
              <w:rPr>
                <w:sz w:val="18"/>
              </w:rPr>
              <w:t xml:space="preserve">Credit data corrections</w:t>
            </w:r>
          </w:p>
        </w:tc>
        <w:tc>
          <w:tcPr>
            <w:tcW w:w="3938" w:type="dxa"/>
          </w:tcPr>
          <w:p>
            <w:pPr>
              <w:pStyle w:val="Compact"/>
              <w:spacing w:after="40"/>
              <w:jc w:val="left"/>
            </w:pPr>
            <w:r>
              <w:rPr>
                <w:sz w:val="18"/>
              </w:rPr>
              <w:t xml:space="preserve">Tooling to correct and resubmit within 21 days</w:t>
            </w:r>
          </w:p>
        </w:tc>
        <w:tc>
          <w:tcPr>
            <w:tcW w:w="2757" w:type="dxa"/>
          </w:tcPr>
          <w:p>
            <w:pPr>
              <w:pStyle w:val="Compact"/>
              <w:spacing w:after="40"/>
              <w:jc w:val="left"/>
            </w:pPr>
            <w:r>
              <w:rPr>
                <w:sz w:val="18"/>
              </w:rPr>
              <w:t xml:space="preserve">(CIR para 35(2))</w:t>
            </w:r>
          </w:p>
        </w:tc>
      </w:tr>
      <w:tr>
        <w:tc>
          <w:tcPr>
            <w:tcW w:w="2943" w:type="dxa"/>
          </w:tcPr>
          <w:p>
            <w:pPr>
              <w:pStyle w:val="Compact"/>
              <w:spacing w:after="40"/>
              <w:jc w:val="left"/>
            </w:pPr>
            <w:r>
              <w:rPr>
                <w:sz w:val="18"/>
              </w:rPr>
              <w:t xml:space="preserve">Regulatory returns and CIMS data</w:t>
            </w:r>
          </w:p>
        </w:tc>
        <w:tc>
          <w:tcPr>
            <w:tcW w:w="3938" w:type="dxa"/>
          </w:tcPr>
          <w:p>
            <w:pPr>
              <w:pStyle w:val="Compact"/>
              <w:spacing w:after="40"/>
              <w:jc w:val="left"/>
            </w:pPr>
            <w:r>
              <w:rPr>
                <w:sz w:val="18"/>
              </w:rPr>
              <w:t xml:space="preserve">Generated and validated [5] Business Days before the due date, subject to Company inputs</w:t>
            </w:r>
          </w:p>
        </w:tc>
        <w:tc>
          <w:tcPr>
            <w:tcW w:w="2757" w:type="dxa"/>
          </w:tcPr>
          <w:p>
            <w:pPr>
              <w:pStyle w:val="Compact"/>
              <w:spacing w:after="40"/>
              <w:jc w:val="left"/>
            </w:pPr>
            <w:r>
              <w:rPr>
                <w:sz w:val="18"/>
              </w:rPr>
              <w:t xml:space="preserve">(Clause 3.8; CYB para 46)</w:t>
            </w:r>
          </w:p>
        </w:tc>
      </w:tr>
      <w:tr>
        <w:tc>
          <w:tcPr>
            <w:tcW w:w="2943" w:type="dxa"/>
          </w:tcPr>
          <w:p>
            <w:pPr>
              <w:pStyle w:val="Compact"/>
              <w:spacing w:after="40"/>
              <w:jc w:val="left"/>
            </w:pPr>
            <w:r>
              <w:rPr>
                <w:sz w:val="18"/>
              </w:rPr>
              <w:t xml:space="preserve">CKYCR upload file</w:t>
            </w:r>
          </w:p>
        </w:tc>
        <w:tc>
          <w:tcPr>
            <w:tcW w:w="3938" w:type="dxa"/>
          </w:tcPr>
          <w:p>
            <w:pPr>
              <w:pStyle w:val="Compact"/>
              <w:spacing w:after="40"/>
              <w:jc w:val="left"/>
            </w:pPr>
            <w:r>
              <w:rPr>
                <w:sz w:val="18"/>
              </w:rPr>
              <w:t xml:space="preserve">Within [5] days of account opening</w:t>
            </w:r>
          </w:p>
        </w:tc>
        <w:tc>
          <w:tcPr>
            <w:tcW w:w="2757" w:type="dxa"/>
          </w:tcPr>
          <w:p>
            <w:pPr>
              <w:pStyle w:val="Compact"/>
              <w:spacing w:after="40"/>
              <w:jc w:val="left"/>
            </w:pPr>
            <w:r>
              <w:rPr>
                <w:sz w:val="18"/>
              </w:rPr>
              <w:t xml:space="preserve">Upload within 10 days (KYC para 63(1))</w:t>
            </w:r>
          </w:p>
        </w:tc>
      </w:tr>
      <w:tr>
        <w:tc>
          <w:tcPr>
            <w:tcW w:w="2943" w:type="dxa"/>
          </w:tcPr>
          <w:p>
            <w:pPr>
              <w:pStyle w:val="Compact"/>
              <w:spacing w:after="40"/>
              <w:jc w:val="left"/>
            </w:pPr>
            <w:r>
              <w:rPr>
                <w:sz w:val="18"/>
              </w:rPr>
              <w:t xml:space="preserve">Data exports</w:t>
            </w:r>
          </w:p>
        </w:tc>
        <w:tc>
          <w:tcPr>
            <w:tcW w:w="3938" w:type="dxa"/>
          </w:tcPr>
          <w:p>
            <w:pPr>
              <w:pStyle w:val="Compact"/>
              <w:spacing w:after="40"/>
              <w:jc w:val="left"/>
            </w:pPr>
            <w:r>
              <w:rPr>
                <w:sz w:val="18"/>
              </w:rPr>
              <w:t xml:space="preserve">Turnaround in Schedule 9, Part D</w:t>
            </w:r>
          </w:p>
        </w:tc>
        <w:tc>
          <w:tcPr>
            <w:tcW w:w="2757" w:type="dxa"/>
          </w:tcPr>
          <w:p>
            <w:pPr>
              <w:pStyle w:val="Compact"/>
              <w:spacing w:after="40"/>
              <w:jc w:val="left"/>
            </w:pPr>
            <w:r>
              <w:rPr>
                <w:sz w:val="18"/>
              </w:rPr>
              <w:t xml:space="preserve">(Clause 6.1)</w:t>
            </w:r>
          </w:p>
        </w:tc>
      </w:tr>
      <w:tr>
        <w:tc>
          <w:tcPr>
            <w:tcW w:w="2943" w:type="dxa"/>
          </w:tcPr>
          <w:p>
            <w:pPr>
              <w:pStyle w:val="Compact"/>
              <w:spacing w:after="40"/>
              <w:jc w:val="left"/>
            </w:pPr>
            <w:r>
              <w:rPr>
                <w:sz w:val="18"/>
              </w:rPr>
              <w:t xml:space="preserve">Incident notification</w:t>
            </w:r>
          </w:p>
        </w:tc>
        <w:tc>
          <w:tcPr>
            <w:tcW w:w="3938" w:type="dxa"/>
          </w:tcPr>
          <w:p>
            <w:pPr>
              <w:pStyle w:val="Compact"/>
              <w:spacing w:after="40"/>
              <w:jc w:val="left"/>
            </w:pPr>
            <w:r>
              <w:rPr>
                <w:sz w:val="18"/>
              </w:rPr>
              <w:t xml:space="preserve">Schedule 7, Part B</w:t>
            </w:r>
          </w:p>
        </w:tc>
        <w:tc>
          <w:tcPr>
            <w:tcW w:w="2757" w:type="dxa"/>
          </w:tcPr>
          <w:p>
            <w:pPr>
              <w:pStyle w:val="Compact"/>
              <w:spacing w:after="40"/>
              <w:jc w:val="left"/>
            </w:pPr>
            <w:r>
              <w:rPr>
                <w:sz w:val="18"/>
              </w:rPr>
              <w:t xml:space="preserve">(Clauses 6.1, 12.2)</w:t>
            </w:r>
          </w:p>
        </w:tc>
      </w:tr>
    </w:tbl>
    <w:p>
      <w:pPr>
        <w:pStyle w:val="BodyText"/>
      </w:pPr>
      <w:r>
        <w:t xml:space="preserve">A missed window that puts a regulatory deadline at risk is an S1 Incident. RTO and RPO are in Schedule 8, Part B (Clause 14.2).</w:t>
      </w:r>
    </w:p>
    <w:bookmarkEnd w:id="80"/>
    <w:bookmarkStart w:id="81" w:name="part-g-reporting"/>
    <w:p>
      <w:pPr>
        <w:pStyle w:val="Heading2"/>
      </w:pPr>
      <w:r>
        <w:t xml:space="preserve">Part G — Reporting</w:t>
      </w:r>
    </w:p>
    <w:p>
      <w:pPr>
        <w:pStyle w:val="FirstParagraph"/>
      </w:pPr>
      <w:r>
        <w:t xml:space="preserve">Monthly service performance report within [5] Business Days of month end (Clause 27.2): availability by tier; Downtime log; Incidents by severity with response and resolution times; COB timings; output windows; problems; capacity trends (CYB para 108); Releases and Changes; security metrics (Schedule 5, Part D); Sub-contractor changes; Service Credits computed.</w:t>
      </w:r>
    </w:p>
    <w:bookmarkEnd w:id="81"/>
    <w:bookmarkStart w:id="82" w:name="part-h-service-credits-clause-6.4"/>
    <w:p>
      <w:pPr>
        <w:pStyle w:val="Heading2"/>
      </w:pPr>
      <w:r>
        <w:t xml:space="preserve">Part H — Service Credits (Clause 6.4)</w:t>
      </w:r>
    </w:p>
    <w:p>
      <w:pPr>
        <w:numPr>
          <w:ilvl w:val="0"/>
          <w:numId w:val="1031"/>
        </w:numPr>
        <w:pStyle w:val="Compact"/>
      </w:pPr>
      <w:r>
        <w:rPr>
          <w:bCs/>
          <w:b/>
        </w:rPr>
        <w:t xml:space="preserve">Availability credits</w:t>
      </w:r>
      <w:r>
        <w:t xml:space="preserve"> </w:t>
      </w:r>
      <w:r>
        <w:t xml:space="preserve">as a percentage of the monthly subscription Fees for the affected Modules (or total Fees weighted Tier 1 [40]%, Tier 2 [40]%, Tier 3 [20]%). Where the Order Form selects the 99.95% Tier 1 target (Part B), each Tier 1 threshold in the first column is raised by 0.05 percentage points, so that the nil band is ≥ 99.95%: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571"/>
        <w:gridCol w:w="2846"/>
        <w:gridCol w:w="2221"/>
      </w:tblGrid>
      <w:tr>
        <w:trPr>
          <w:tblHeader w:val="true"/>
          <w:tblHeader w:val="true"/>
        </w:trPr>
        <w:tc>
          <w:tcPr>
            <w:tcW w:w="4571" w:type="dxa"/>
            <w:shd w:val="clear" w:color="auto" w:fill="1F3A5F"/>
          </w:tcPr>
          <w:p>
            <w:pPr>
              <w:pStyle w:val="Compact"/>
              <w:spacing w:after="40"/>
              <w:jc w:val="left"/>
            </w:pPr>
            <w:r>
              <w:rPr>
                <w:b/>
                <w:color w:val="FFFFFF"/>
                <w:sz w:val="18"/>
              </w:rPr>
              <w:t xml:space="preserve">Tier 1 achieved, or Tier 2 achieved in Core Hours</w:t>
            </w:r>
          </w:p>
        </w:tc>
        <w:tc>
          <w:tcPr>
            <w:tcW w:w="2846" w:type="dxa"/>
            <w:shd w:val="clear" w:color="auto" w:fill="1F3A5F"/>
          </w:tcPr>
          <w:p>
            <w:pPr>
              <w:pStyle w:val="Compact"/>
              <w:spacing w:after="40"/>
              <w:jc w:val="left"/>
            </w:pPr>
            <w:r>
              <w:rPr>
                <w:b/>
                <w:color w:val="FFFFFF"/>
                <w:sz w:val="18"/>
              </w:rPr>
              <w:t xml:space="preserve">Tier 3 achieved</w:t>
            </w:r>
          </w:p>
        </w:tc>
        <w:tc>
          <w:tcPr>
            <w:tcW w:w="2221" w:type="dxa"/>
            <w:shd w:val="clear" w:color="auto" w:fill="1F3A5F"/>
          </w:tcPr>
          <w:p>
            <w:pPr>
              <w:pStyle w:val="Compact"/>
              <w:spacing w:after="40"/>
              <w:jc w:val="left"/>
            </w:pPr>
            <w:r>
              <w:rPr>
                <w:b/>
                <w:color w:val="FFFFFF"/>
                <w:sz w:val="18"/>
              </w:rPr>
              <w:t xml:space="preserve">Credit</w:t>
            </w:r>
          </w:p>
        </w:tc>
      </w:tr>
      <w:tr>
        <w:tc>
          <w:tcPr>
            <w:tcW w:w="4571" w:type="dxa"/>
          </w:tcPr>
          <w:p>
            <w:pPr>
              <w:pStyle w:val="Compact"/>
              <w:spacing w:after="40"/>
              <w:jc w:val="left"/>
            </w:pPr>
            <w:r>
              <w:rPr>
                <w:sz w:val="18"/>
              </w:rPr>
              <w:t xml:space="preserve">≥ 99.9%</w:t>
            </w:r>
          </w:p>
        </w:tc>
        <w:tc>
          <w:tcPr>
            <w:tcW w:w="2846" w:type="dxa"/>
          </w:tcPr>
          <w:p>
            <w:pPr>
              <w:pStyle w:val="Compact"/>
              <w:spacing w:after="40"/>
              <w:jc w:val="left"/>
            </w:pPr>
            <w:r>
              <w:rPr>
                <w:sz w:val="18"/>
              </w:rPr>
              <w:t xml:space="preserve">≥ 99.5%</w:t>
            </w:r>
          </w:p>
        </w:tc>
        <w:tc>
          <w:tcPr>
            <w:tcW w:w="2221" w:type="dxa"/>
          </w:tcPr>
          <w:p>
            <w:pPr>
              <w:pStyle w:val="Compact"/>
              <w:spacing w:after="40"/>
              <w:jc w:val="left"/>
            </w:pPr>
            <w:r>
              <w:rPr>
                <w:sz w:val="18"/>
              </w:rPr>
              <w:t xml:space="preserve">Nil</w:t>
            </w:r>
          </w:p>
        </w:tc>
      </w:tr>
      <w:tr>
        <w:tc>
          <w:tcPr>
            <w:tcW w:w="4571" w:type="dxa"/>
          </w:tcPr>
          <w:p>
            <w:pPr>
              <w:pStyle w:val="Compact"/>
              <w:spacing w:after="40"/>
              <w:jc w:val="left"/>
            </w:pPr>
            <w:r>
              <w:rPr>
                <w:sz w:val="18"/>
              </w:rPr>
              <w:t xml:space="preserve">&lt; 99.9% and ≥ 99.5%</w:t>
            </w:r>
          </w:p>
        </w:tc>
        <w:tc>
          <w:tcPr>
            <w:tcW w:w="2846" w:type="dxa"/>
          </w:tcPr>
          <w:p>
            <w:pPr>
              <w:pStyle w:val="Compact"/>
              <w:spacing w:after="40"/>
              <w:jc w:val="left"/>
            </w:pPr>
            <w:r>
              <w:rPr>
                <w:sz w:val="18"/>
              </w:rPr>
              <w:t xml:space="preserve">&lt; 99.5% and ≥ 99.0%</w:t>
            </w:r>
          </w:p>
        </w:tc>
        <w:tc>
          <w:tcPr>
            <w:tcW w:w="2221" w:type="dxa"/>
          </w:tcPr>
          <w:p>
            <w:pPr>
              <w:pStyle w:val="Compact"/>
              <w:spacing w:after="40"/>
              <w:jc w:val="left"/>
            </w:pPr>
            <w:r>
              <w:rPr>
                <w:sz w:val="18"/>
              </w:rPr>
              <w:t xml:space="preserve">5%</w:t>
            </w:r>
          </w:p>
        </w:tc>
      </w:tr>
      <w:tr>
        <w:tc>
          <w:tcPr>
            <w:tcW w:w="4571" w:type="dxa"/>
          </w:tcPr>
          <w:p>
            <w:pPr>
              <w:pStyle w:val="Compact"/>
              <w:spacing w:after="40"/>
              <w:jc w:val="left"/>
            </w:pPr>
            <w:r>
              <w:rPr>
                <w:sz w:val="18"/>
              </w:rPr>
              <w:t xml:space="preserve">&lt; 99.5% and ≥ 99.0%</w:t>
            </w:r>
          </w:p>
        </w:tc>
        <w:tc>
          <w:tcPr>
            <w:tcW w:w="2846" w:type="dxa"/>
          </w:tcPr>
          <w:p>
            <w:pPr>
              <w:pStyle w:val="Compact"/>
              <w:spacing w:after="40"/>
              <w:jc w:val="left"/>
            </w:pPr>
            <w:r>
              <w:rPr>
                <w:sz w:val="18"/>
              </w:rPr>
              <w:t xml:space="preserve">&lt; 99.0% and ≥ 98.0%</w:t>
            </w:r>
          </w:p>
        </w:tc>
        <w:tc>
          <w:tcPr>
            <w:tcW w:w="2221" w:type="dxa"/>
          </w:tcPr>
          <w:p>
            <w:pPr>
              <w:pStyle w:val="Compact"/>
              <w:spacing w:after="40"/>
              <w:jc w:val="left"/>
            </w:pPr>
            <w:r>
              <w:rPr>
                <w:sz w:val="18"/>
              </w:rPr>
              <w:t xml:space="preserve">10%</w:t>
            </w:r>
          </w:p>
        </w:tc>
      </w:tr>
      <w:tr>
        <w:tc>
          <w:tcPr>
            <w:tcW w:w="4571" w:type="dxa"/>
          </w:tcPr>
          <w:p>
            <w:pPr>
              <w:pStyle w:val="Compact"/>
              <w:spacing w:after="40"/>
              <w:jc w:val="left"/>
            </w:pPr>
            <w:r>
              <w:rPr>
                <w:sz w:val="18"/>
              </w:rPr>
              <w:t xml:space="preserve">&lt; 99.0% and ≥ 98.0%</w:t>
            </w:r>
          </w:p>
        </w:tc>
        <w:tc>
          <w:tcPr>
            <w:tcW w:w="2846" w:type="dxa"/>
          </w:tcPr>
          <w:p>
            <w:pPr>
              <w:pStyle w:val="Compact"/>
              <w:spacing w:after="40"/>
              <w:jc w:val="left"/>
            </w:pPr>
            <w:r>
              <w:rPr>
                <w:sz w:val="18"/>
              </w:rPr>
              <w:t xml:space="preserve">&lt; 98.0% and ≥ 96.0%</w:t>
            </w:r>
          </w:p>
        </w:tc>
        <w:tc>
          <w:tcPr>
            <w:tcW w:w="2221" w:type="dxa"/>
          </w:tcPr>
          <w:p>
            <w:pPr>
              <w:pStyle w:val="Compact"/>
              <w:spacing w:after="40"/>
              <w:jc w:val="left"/>
            </w:pPr>
            <w:r>
              <w:rPr>
                <w:sz w:val="18"/>
              </w:rPr>
              <w:t xml:space="preserve">20%</w:t>
            </w:r>
          </w:p>
        </w:tc>
      </w:tr>
      <w:tr>
        <w:tc>
          <w:tcPr>
            <w:tcW w:w="4571" w:type="dxa"/>
          </w:tcPr>
          <w:p>
            <w:pPr>
              <w:pStyle w:val="Compact"/>
              <w:spacing w:after="40"/>
              <w:jc w:val="left"/>
            </w:pPr>
            <w:r>
              <w:rPr>
                <w:sz w:val="18"/>
              </w:rPr>
              <w:t xml:space="preserve">&lt; 98.0%</w:t>
            </w:r>
          </w:p>
        </w:tc>
        <w:tc>
          <w:tcPr>
            <w:tcW w:w="2846" w:type="dxa"/>
          </w:tcPr>
          <w:p>
            <w:pPr>
              <w:pStyle w:val="Compact"/>
              <w:spacing w:after="40"/>
              <w:jc w:val="left"/>
            </w:pPr>
            <w:r>
              <w:rPr>
                <w:sz w:val="18"/>
              </w:rPr>
              <w:t xml:space="preserve">&lt; 96.0%</w:t>
            </w:r>
          </w:p>
        </w:tc>
        <w:tc>
          <w:tcPr>
            <w:tcW w:w="2221" w:type="dxa"/>
          </w:tcPr>
          <w:p>
            <w:pPr>
              <w:pStyle w:val="Compact"/>
              <w:spacing w:after="40"/>
              <w:jc w:val="left"/>
            </w:pPr>
            <w:r>
              <w:rPr>
                <w:sz w:val="18"/>
              </w:rPr>
              <w:t xml:space="preserve">30%</w:t>
            </w:r>
          </w:p>
        </w:tc>
      </w:tr>
    </w:tbl>
    <w:p>
      <w:pPr>
        <w:numPr>
          <w:ilvl w:val="0"/>
          <w:numId w:val="1032"/>
        </w:numPr>
        <w:pStyle w:val="Compact"/>
      </w:pPr>
      <w:r>
        <w:rPr>
          <w:bCs/>
          <w:b/>
        </w:rPr>
        <w:t xml:space="preserve">Other credits</w:t>
      </w:r>
      <w:r>
        <w:t xml:space="preserve">: S1 resolution exceeded — [2]% per started 4 hours; S2 — [1]% per started Business Day; COB late — [2]% per occurrence; CIC or return window missed — [3]%; initial Incident notification under Clause 12.2(a) late — [5]%; RTO or RPO missed on invocation — [10]%; monthly report late by more than [5] Business Days — [1]%.</w:t>
      </w:r>
    </w:p>
    <w:p>
      <w:pPr>
        <w:numPr>
          <w:ilvl w:val="0"/>
          <w:numId w:val="1032"/>
        </w:numPr>
        <w:pStyle w:val="Compact"/>
      </w:pPr>
      <w:r>
        <w:rPr>
          <w:bCs/>
          <w:b/>
        </w:rPr>
        <w:t xml:space="preserve">Cap</w:t>
      </w:r>
      <w:r>
        <w:t xml:space="preserve">: [25]% [Option: 35%] of monthly Fees per month. Credits are applied automatically and may be set off (Clause 16.8); they are a price adjustment, not an exclusive remedy, and are deducted from damages for the same failure (Clause 6.4); they count towards the general cap but not the Data Super-Cap (Clause 22.5). [Option: availability credits waived if the tier meets target in the next [3] months; never for notification failures.]</w:t>
      </w:r>
    </w:p>
    <w:bookmarkEnd w:id="82"/>
    <w:bookmarkStart w:id="83" w:name="X323f30e26975d412220e65cb2ee0b8a78d679ca"/>
    <w:p>
      <w:pPr>
        <w:pStyle w:val="Heading2"/>
      </w:pPr>
      <w:r>
        <w:t xml:space="preserve">Part I — Persistent Service Failure (Clause 6.5)</w:t>
      </w:r>
    </w:p>
    <w:p>
      <w:pPr>
        <w:numPr>
          <w:ilvl w:val="0"/>
          <w:numId w:val="1033"/>
        </w:numPr>
        <w:pStyle w:val="Compact"/>
      </w:pPr>
      <w:r>
        <w:t xml:space="preserve">A Persistent Service Failure occurs if (a) Availability of a Critical Application falls below the minimum threshold in Part A.3 in [2] consecutive months or in any [3] months in a rolling twelve-month period, or (b) the Service Provider fails the same critical service level in [3] months in any rolling six-month period.</w:t>
      </w:r>
    </w:p>
    <w:p>
      <w:pPr>
        <w:numPr>
          <w:ilvl w:val="0"/>
          <w:numId w:val="1033"/>
        </w:numPr>
        <w:pStyle w:val="Compact"/>
      </w:pPr>
      <w:r>
        <w:t xml:space="preserve">[Option — additional deemed events: [3] S1 Incidents with the same root cause within [90] days; two consecutive failed DR drills under Schedule 8; the credit cap reached in [2] of any rolling [6] months.]</w:t>
      </w:r>
    </w:p>
    <w:p>
      <w:pPr>
        <w:numPr>
          <w:ilvl w:val="0"/>
          <w:numId w:val="1033"/>
        </w:numPr>
        <w:pStyle w:val="Compact"/>
      </w:pPr>
      <w:r>
        <w:t xml:space="preserve">Consequences: material breach (Clause 24.3); termination by the Company under Clause 24.4(c) without early-termination charge; exit assistance at no additional charge (Clause 25.5); and, at the Company’s option, a remediation plan within [10] Business Days under enhanced governance (Schedule 12, Part E).</w:t>
      </w:r>
    </w:p>
    <w:p>
      <w:r>
        <w:pict>
          <v:rect style="width:0;height:1.5pt" o:hralign="center" o:hrstd="t" o:hr="t"/>
        </w:pict>
      </w:r>
    </w:p>
    <w:p>
      <w:r>
        <w:br w:type="page"/>
      </w:r>
    </w:p>
    <w:bookmarkEnd w:id="83"/>
    <w:bookmarkEnd w:id="84"/>
    <w:bookmarkStart w:id="100" w:name="schedule-4-data-processing-agreement"/>
    <w:p>
      <w:pPr>
        <w:pStyle w:val="Heading1"/>
      </w:pPr>
      <w:r>
        <w:t xml:space="preserve">SCHEDULE 4 — Data Processing Agreement</w:t>
      </w:r>
    </w:p>
    <w:p>
      <w:pPr>
        <w:pStyle w:val="FirstParagraph"/>
      </w:pPr>
      <w:r>
        <w:rPr>
          <w:iCs/>
          <w:i/>
        </w:rPr>
        <w:t xml:space="preserve">Drafting note: This is the valid contract by which the Company as Data Fiduciary engages the Service Provider as Data Processor (DPDP Act s.8(2); Clause 10.2) and forms part of Article 10. DPDP Rules 1, 2 and 17–21 applied on 13 November 2025, Rule 4 from 13 November 2026, and Rules 3, 5–16, 22 and 23 apply from 13 May 2027 (the corresponding sections of the Act — sections 3 to 17 other than section 6(9), section 27 other than section 27(1)(d), and sections 28 to 34, 36, 37 and 44(2) — commence on 13 May 2027, and sections 6(9) and 27(1)(d) on 13 November 2026: G.S.R. 843(E), 13 November 2025) [VERIFY: whether MeitY’s proposed compression of the 18-month period to 12 months has been notified]. Until then IT Act s.43A and the SPDI Rules, 2011 continue (Clause 10.14) (DPDP Act s.44(2), omitting IT Act s.43A, commences on 13 May 2027). This Schedule applies the DPDP standard contractually from the Effective Date.</w:t>
      </w:r>
    </w:p>
    <w:bookmarkStart w:id="85" w:name="part-a-roles"/>
    <w:p>
      <w:pPr>
        <w:pStyle w:val="Heading2"/>
      </w:pPr>
      <w:r>
        <w:t xml:space="preserve">Part A — Roles</w:t>
      </w:r>
    </w:p>
    <w:p>
      <w:pPr>
        <w:numPr>
          <w:ilvl w:val="0"/>
          <w:numId w:val="1034"/>
        </w:numPr>
        <w:pStyle w:val="Compact"/>
      </w:pPr>
      <w:r>
        <w:t xml:space="preserve">The Company is the Data Fiduciary for Personal Data processed through the Platform and remains responsible for processing on its behalf (DPDP Act s.8(1)) and for the confidentiality of customer information held by the Service Provider (OUT paras 17, 68; Clauses 3.2, 10.2).</w:t>
      </w:r>
    </w:p>
    <w:p>
      <w:pPr>
        <w:numPr>
          <w:ilvl w:val="0"/>
          <w:numId w:val="1034"/>
        </w:numPr>
        <w:pStyle w:val="Compact"/>
      </w:pPr>
      <w:r>
        <w:t xml:space="preserve">The Service Provider is a Data Processor and processes Company Data only on the Company’s documented instructions (Clause 10.3). It uses Service Telemetry only as permitted by Clause 10.8 and holds no other data for its own purposes.</w:t>
      </w:r>
    </w:p>
    <w:p>
      <w:pPr>
        <w:numPr>
          <w:ilvl w:val="0"/>
          <w:numId w:val="1034"/>
        </w:numPr>
        <w:pStyle w:val="Compact"/>
      </w:pPr>
      <w:r>
        <w:t xml:space="preserve">Infrabyx group products and Company Third-Party Providers act under their own agreements with the Company and are not Sub-processors (Clauses 2.4, 7.7, 13.8); data flows to them only through Company-authorised integrations with a recorded consent where required (OUT para 74(viii); CF para 13(4); Clause 10.7).</w:t>
      </w:r>
    </w:p>
    <w:bookmarkEnd w:id="85"/>
    <w:bookmarkStart w:id="86" w:name="X1e86667aa22effc30b426c5a7920ec08602b3f0"/>
    <w:p>
      <w:pPr>
        <w:pStyle w:val="Heading2"/>
      </w:pPr>
      <w:r>
        <w:t xml:space="preserve">Part B — Details of Processing (Clause 10.7(a); OUT para 74(vii))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86"/>
        <w:gridCol w:w="7952"/>
      </w:tblGrid>
      <w:tr>
        <w:trPr>
          <w:tblHeader w:val="true"/>
          <w:tblHeader w:val="true"/>
        </w:trPr>
        <w:tc>
          <w:tcPr>
            <w:tcW w:w="1686" w:type="dxa"/>
            <w:shd w:val="clear" w:color="auto" w:fill="1F3A5F"/>
          </w:tcPr>
          <w:p>
            <w:pPr>
              <w:pStyle w:val="Compact"/>
              <w:spacing w:after="40"/>
              <w:jc w:val="left"/>
            </w:pPr>
            <w:r>
              <w:rPr>
                <w:b/>
                <w:color w:val="FFFFFF"/>
                <w:sz w:val="18"/>
              </w:rPr>
              <w:t xml:space="preserve">Item</w:t>
            </w:r>
          </w:p>
        </w:tc>
        <w:tc>
          <w:tcPr>
            <w:tcW w:w="7952" w:type="dxa"/>
            <w:shd w:val="clear" w:color="auto" w:fill="1F3A5F"/>
          </w:tcPr>
          <w:p>
            <w:pPr>
              <w:pStyle w:val="Compact"/>
              <w:spacing w:after="40"/>
              <w:jc w:val="left"/>
            </w:pPr>
            <w:r>
              <w:rPr>
                <w:b/>
                <w:color w:val="FFFFFF"/>
                <w:sz w:val="18"/>
              </w:rPr>
              <w:t xml:space="preserve">Particulars</w:t>
            </w:r>
          </w:p>
        </w:tc>
      </w:tr>
      <w:tr>
        <w:tc>
          <w:tcPr>
            <w:tcW w:w="1686" w:type="dxa"/>
          </w:tcPr>
          <w:p>
            <w:pPr>
              <w:pStyle w:val="Compact"/>
              <w:spacing w:after="40"/>
              <w:jc w:val="left"/>
            </w:pPr>
            <w:r>
              <w:rPr>
                <w:sz w:val="18"/>
              </w:rPr>
              <w:t xml:space="preserve">Nature and purpose</w:t>
            </w:r>
          </w:p>
        </w:tc>
        <w:tc>
          <w:tcPr>
            <w:tcW w:w="7952" w:type="dxa"/>
          </w:tcPr>
          <w:p>
            <w:pPr>
              <w:pStyle w:val="Compact"/>
              <w:spacing w:after="40"/>
              <w:jc w:val="left"/>
            </w:pPr>
            <w:r>
              <w:rPr>
                <w:sz w:val="18"/>
              </w:rPr>
              <w:t xml:space="preserve">Recording, storage, retrieval, use, structuring, sharing through Company-authorised integrations, restriction and erasure (s.2(x)) for origination, servicing, accounting, collections, recovery, reporting, grievance, compliance and audit, each on a lawful basis recorded by the Company (consent under s.6, legitimate use under s.7, or exemption under s.17(1))</w:t>
            </w:r>
          </w:p>
        </w:tc>
      </w:tr>
      <w:tr>
        <w:tc>
          <w:tcPr>
            <w:tcW w:w="1686" w:type="dxa"/>
          </w:tcPr>
          <w:p>
            <w:pPr>
              <w:pStyle w:val="Compact"/>
              <w:spacing w:after="40"/>
              <w:jc w:val="left"/>
            </w:pPr>
            <w:r>
              <w:rPr>
                <w:sz w:val="18"/>
              </w:rPr>
              <w:t xml:space="preserve">Data Principals</w:t>
            </w:r>
          </w:p>
        </w:tc>
        <w:tc>
          <w:tcPr>
            <w:tcW w:w="7952" w:type="dxa"/>
          </w:tcPr>
          <w:p>
            <w:pPr>
              <w:pStyle w:val="Compact"/>
              <w:spacing w:after="40"/>
              <w:jc w:val="left"/>
            </w:pPr>
            <w:r>
              <w:rPr>
                <w:sz w:val="18"/>
              </w:rPr>
              <w:t xml:space="preserve">Applicants, borrowers, co-borrowers, guarantors; directors, partners, signatories and beneficial owners of non-individual borrowers; nominees and legal heirs; depositors (NBFC-D); complainants; Company employees and Authorised Users; DSAs, dealers, agency personnel and vendors; children only where unavoidable (Part H)</w:t>
            </w:r>
          </w:p>
        </w:tc>
      </w:tr>
      <w:tr>
        <w:tc>
          <w:tcPr>
            <w:tcW w:w="1686" w:type="dxa"/>
          </w:tcPr>
          <w:p>
            <w:pPr>
              <w:pStyle w:val="Compact"/>
              <w:spacing w:after="40"/>
              <w:jc w:val="left"/>
            </w:pPr>
            <w:r>
              <w:rPr>
                <w:sz w:val="18"/>
              </w:rPr>
              <w:t xml:space="preserve">Personal Data</w:t>
            </w:r>
          </w:p>
        </w:tc>
        <w:tc>
          <w:tcPr>
            <w:tcW w:w="7952" w:type="dxa"/>
          </w:tcPr>
          <w:p>
            <w:pPr>
              <w:pStyle w:val="Compact"/>
              <w:spacing w:after="40"/>
              <w:jc w:val="left"/>
            </w:pPr>
            <w:r>
              <w:rPr>
                <w:sz w:val="18"/>
              </w:rPr>
              <w:t xml:space="preserve">Identity and KYC data (PAN, OVD details, photograph, masked Aadhaar or reference key, CKYC identifier, V-CIP recordings); contact and demographic data; income, bank-statement, Account Aggregator, GST and tax data; credit reports; loan, transaction and collateral data; one-time device and location data for onboarding or KYC with explicit consent (CF para 13(1)); communications and call recordings; grievance records; consent artefacts; access logs</w:t>
            </w:r>
          </w:p>
        </w:tc>
      </w:tr>
      <w:tr>
        <w:tc>
          <w:tcPr>
            <w:tcW w:w="1686" w:type="dxa"/>
          </w:tcPr>
          <w:p>
            <w:pPr>
              <w:pStyle w:val="Compact"/>
              <w:spacing w:after="40"/>
              <w:jc w:val="left"/>
            </w:pPr>
            <w:r>
              <w:rPr>
                <w:sz w:val="18"/>
              </w:rPr>
              <w:t xml:space="preserve">Prohibited</w:t>
            </w:r>
          </w:p>
        </w:tc>
        <w:tc>
          <w:tcPr>
            <w:tcW w:w="7952" w:type="dxa"/>
          </w:tcPr>
          <w:p>
            <w:pPr>
              <w:pStyle w:val="Compact"/>
              <w:spacing w:after="40"/>
              <w:jc w:val="left"/>
            </w:pPr>
            <w:r>
              <w:rPr>
                <w:sz w:val="18"/>
              </w:rPr>
              <w:t xml:space="preserve">Biometric data unless statute permits (CF para 14(3); Clause 10.12); full Aadhaar numbers outside a compliant vault; plain-text card data; phone file and media, contacts, call logs and telephony functions (CF para 13(1); Clause 11.12)</w:t>
            </w:r>
          </w:p>
        </w:tc>
      </w:tr>
      <w:tr>
        <w:tc>
          <w:tcPr>
            <w:tcW w:w="1686" w:type="dxa"/>
          </w:tcPr>
          <w:p>
            <w:pPr>
              <w:pStyle w:val="Compact"/>
              <w:spacing w:after="40"/>
              <w:jc w:val="left"/>
            </w:pPr>
            <w:r>
              <w:rPr>
                <w:sz w:val="18"/>
              </w:rPr>
              <w:t xml:space="preserve">Locations</w:t>
            </w:r>
          </w:p>
        </w:tc>
        <w:tc>
          <w:tcPr>
            <w:tcW w:w="7952" w:type="dxa"/>
          </w:tcPr>
          <w:p>
            <w:pPr>
              <w:pStyle w:val="Compact"/>
              <w:spacing w:after="40"/>
              <w:jc w:val="left"/>
            </w:pPr>
            <w:r>
              <w:rPr>
                <w:sz w:val="18"/>
              </w:rPr>
              <w:t xml:space="preserve">India only: the regions and Sub-processors in Schedule 10</w:t>
            </w:r>
          </w:p>
        </w:tc>
      </w:tr>
      <w:tr>
        <w:tc>
          <w:tcPr>
            <w:tcW w:w="1686" w:type="dxa"/>
          </w:tcPr>
          <w:p>
            <w:pPr>
              <w:pStyle w:val="Compact"/>
              <w:spacing w:after="40"/>
              <w:jc w:val="left"/>
            </w:pPr>
            <w:r>
              <w:rPr>
                <w:sz w:val="18"/>
              </w:rPr>
              <w:t xml:space="preserve">Duration</w:t>
            </w:r>
          </w:p>
        </w:tc>
        <w:tc>
          <w:tcPr>
            <w:tcW w:w="7952" w:type="dxa"/>
          </w:tcPr>
          <w:p>
            <w:pPr>
              <w:pStyle w:val="Compact"/>
              <w:spacing w:after="40"/>
              <w:jc w:val="left"/>
            </w:pPr>
            <w:r>
              <w:rPr>
                <w:sz w:val="18"/>
              </w:rPr>
              <w:t xml:space="preserve">Term, Exit Period and the retention periods in Part F</w:t>
            </w:r>
          </w:p>
        </w:tc>
      </w:tr>
    </w:tbl>
    <w:bookmarkEnd w:id="86"/>
    <w:bookmarkStart w:id="87" w:name="part-c-instructions"/>
    <w:p>
      <w:pPr>
        <w:pStyle w:val="Heading2"/>
      </w:pPr>
      <w:r>
        <w:t xml:space="preserve">Part C — Instructions</w:t>
      </w:r>
    </w:p>
    <w:p>
      <w:pPr>
        <w:pStyle w:val="FirstParagraph"/>
      </w:pPr>
      <w:r>
        <w:t xml:space="preserve">The Agreement, the Order Form, the Company’s Platform configuration (including retention and consent settings) and written instructions of its authorised representatives are the complete instructions (Clause 10.3). The Service Provider shall promptly flag an instruction it considers unlawful. Requests from Governmental Authorities follow Clause 10.13 and requests of Supervisory Authorities Clause 9.4 (KYC para 61(3)); no disclosure to a foreign authority or court (Clause 9.13; OUT para 53(vi)–(vii)).</w:t>
      </w:r>
    </w:p>
    <w:bookmarkEnd w:id="87"/>
    <w:bookmarkStart w:id="88" w:name="part-d-security-safeguards-clause-10.14"/>
    <w:p>
      <w:pPr>
        <w:pStyle w:val="Heading2"/>
      </w:pPr>
      <w:r>
        <w:t xml:space="preserve">Part D — Security Safeguards (Clause 10.14)</w:t>
      </w:r>
    </w:p>
    <w:p>
      <w:pPr>
        <w:pStyle w:val="FirstParagraph"/>
      </w:pPr>
      <w:r>
        <w:t xml:space="preserve">The Service Provider implements the reasonable security safeguards required by DPDP Act s.8(5) and Rule 6 of the DPDP Rules (Rule 6(1)(a)–(g); this Schedule is the contractual provision for security safeguards required by Rule 6(1)(f)) through Article 11 and Schedule 5: encryption, obfuscation, masking or virtual tokens (Schedule 5, rows 7–9); access control to computer resources (rows 4–6); visibility of access through logs, monitoring and review (rows 14–16); continued processing through backups and DR (row 17; Schedule 8); retention of logs and personal data for at least one year for detection, investigation and remediation unless law requires otherwise (row 15; Clause 11.5(c)(iii)); contractual safeguards with Sub-processors (Part J); and technical and organisational measures under an ISO/IEC 27001 ISMS (rows 1–3) [Mandatory — Law].</w:t>
      </w:r>
    </w:p>
    <w:bookmarkEnd w:id="88"/>
    <w:bookmarkStart w:id="89" w:name="X36ae946f51771396d7ff2462d2f1f9d40e0f32f"/>
    <w:p>
      <w:pPr>
        <w:pStyle w:val="Heading2"/>
      </w:pPr>
      <w:r>
        <w:t xml:space="preserve">Part E — Localisation and Permitted Sharing</w:t>
      </w:r>
    </w:p>
    <w:p>
      <w:pPr>
        <w:numPr>
          <w:ilvl w:val="0"/>
          <w:numId w:val="1035"/>
        </w:numPr>
        <w:pStyle w:val="Compact"/>
      </w:pPr>
      <w:r>
        <w:rPr>
          <w:bCs/>
          <w:b/>
        </w:rPr>
        <w:t xml:space="preserve">India only</w:t>
      </w:r>
      <w:r>
        <w:t xml:space="preserve"> </w:t>
      </w:r>
      <w:r>
        <w:t xml:space="preserve">[Mandatory — RBI]. All Company Data, including backups, DR copies, logs, audit trails, analytics stores, support artefacts and AI inference data, is stored and processed only in India (Clause 10.4; OUT paras 53(viii), 74(vi); CF para 14(4)). No access from outside India, including remote support, without the Company’s prior written consent for a named person and purpose through an India-hosted virtual desktop with no download and full session logging [Option: prohibited absolutely]; data processed outside India is deleted there and brought back within 24 hours (CF para 14(4)). Any permitted transfer remains subject to DPDP Act s.16 and Rule 15 (transfer subject to requirements the Central Government specifies by order for making personal data available to a foreign State; in force from 13 May 2027).</w:t>
      </w:r>
    </w:p>
    <w:p>
      <w:pPr>
        <w:numPr>
          <w:ilvl w:val="0"/>
          <w:numId w:val="1035"/>
        </w:numPr>
        <w:pStyle w:val="Compact"/>
      </w:pPr>
      <w:r>
        <w:rPr>
          <w:bCs/>
          <w:b/>
        </w:rPr>
        <w:t xml:space="preserve">Data inventory</w:t>
      </w:r>
      <w:r>
        <w:t xml:space="preserve">: delivered at go-live and updated at least annually and on any change (Clause 8.14; OUT para 74(vii)).</w:t>
      </w:r>
    </w:p>
    <w:p>
      <w:pPr>
        <w:numPr>
          <w:ilvl w:val="0"/>
          <w:numId w:val="1035"/>
        </w:numPr>
        <w:pStyle w:val="Compact"/>
      </w:pPr>
      <w:r>
        <w:rPr>
          <w:bCs/>
          <w:b/>
        </w:rPr>
        <w:t xml:space="preserve">Permitted sharing</w:t>
      </w:r>
      <w:r>
        <w:t xml:space="preserve"> </w:t>
      </w:r>
      <w:r>
        <w:t xml:space="preserve">(Clause 10.7(b); OUT para 74(viii)): with the Company’s customers, only their own records through Company-approved channels and content (Clause 3.9); with Company Third-Party Providers, the minimum data configured by the Company, with a consent reference where required (CF para 13(4)); with Approved Sub-contractors under Part J; with Supervisory Authorities and Governmental Authorities under Clauses 9.4, 9.6 and 10.13; with the Company’s auditors on the Company’s request.</w:t>
      </w:r>
    </w:p>
    <w:bookmarkEnd w:id="89"/>
    <w:bookmarkStart w:id="90" w:name="Xb4e2b779e295183c97fa26e27f2713a4b4f3bb1"/>
    <w:p>
      <w:pPr>
        <w:pStyle w:val="Heading2"/>
      </w:pPr>
      <w:r>
        <w:t xml:space="preserve">Part F — Retention Classes, Backup Cycle and Erasure (Clauses 4.6, 10.9, 10.10)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77"/>
        <w:gridCol w:w="4703"/>
        <w:gridCol w:w="2458"/>
      </w:tblGrid>
      <w:tr>
        <w:trPr>
          <w:tblHeader w:val="true"/>
          <w:tblHeader w:val="true"/>
        </w:trPr>
        <w:tc>
          <w:tcPr>
            <w:tcW w:w="2477" w:type="dxa"/>
            <w:shd w:val="clear" w:color="auto" w:fill="1F3A5F"/>
          </w:tcPr>
          <w:p>
            <w:pPr>
              <w:pStyle w:val="Compact"/>
              <w:spacing w:after="40"/>
              <w:jc w:val="left"/>
            </w:pPr>
            <w:r>
              <w:rPr>
                <w:b/>
                <w:color w:val="FFFFFF"/>
                <w:sz w:val="18"/>
              </w:rPr>
              <w:t xml:space="preserve">Retention class</w:t>
            </w:r>
          </w:p>
        </w:tc>
        <w:tc>
          <w:tcPr>
            <w:tcW w:w="4703" w:type="dxa"/>
            <w:shd w:val="clear" w:color="auto" w:fill="1F3A5F"/>
          </w:tcPr>
          <w:p>
            <w:pPr>
              <w:pStyle w:val="Compact"/>
              <w:spacing w:after="40"/>
              <w:jc w:val="left"/>
            </w:pPr>
            <w:r>
              <w:rPr>
                <w:b/>
                <w:color w:val="FFFFFF"/>
                <w:sz w:val="18"/>
              </w:rPr>
              <w:t xml:space="preserve">Minimum retention (Company’s Board schedule prevails if longer)</w:t>
            </w:r>
          </w:p>
        </w:tc>
        <w:tc>
          <w:tcPr>
            <w:tcW w:w="2458" w:type="dxa"/>
            <w:shd w:val="clear" w:color="auto" w:fill="1F3A5F"/>
          </w:tcPr>
          <w:p>
            <w:pPr>
              <w:pStyle w:val="Compact"/>
              <w:spacing w:after="40"/>
              <w:jc w:val="left"/>
            </w:pPr>
            <w:r>
              <w:rPr>
                <w:b/>
                <w:color w:val="FFFFFF"/>
                <w:sz w:val="18"/>
              </w:rPr>
              <w:t xml:space="preserve">Basis</w:t>
            </w:r>
          </w:p>
        </w:tc>
      </w:tr>
      <w:tr>
        <w:tc>
          <w:tcPr>
            <w:tcW w:w="2477" w:type="dxa"/>
          </w:tcPr>
          <w:p>
            <w:pPr>
              <w:pStyle w:val="Compact"/>
              <w:spacing w:after="40"/>
              <w:jc w:val="left"/>
            </w:pPr>
            <w:r>
              <w:rPr>
                <w:sz w:val="18"/>
              </w:rPr>
              <w:t xml:space="preserve">KYC and identification records</w:t>
            </w:r>
          </w:p>
        </w:tc>
        <w:tc>
          <w:tcPr>
            <w:tcW w:w="4703" w:type="dxa"/>
          </w:tcPr>
          <w:p>
            <w:pPr>
              <w:pStyle w:val="Compact"/>
              <w:spacing w:after="40"/>
              <w:jc w:val="left"/>
            </w:pPr>
            <w:r>
              <w:rPr>
                <w:sz w:val="18"/>
              </w:rPr>
              <w:t xml:space="preserve">5 years after the business relationship ends</w:t>
            </w:r>
          </w:p>
        </w:tc>
        <w:tc>
          <w:tcPr>
            <w:tcW w:w="2458" w:type="dxa"/>
          </w:tcPr>
          <w:p>
            <w:pPr>
              <w:pStyle w:val="Compact"/>
              <w:spacing w:after="40"/>
              <w:jc w:val="left"/>
            </w:pPr>
            <w:r>
              <w:rPr>
                <w:sz w:val="18"/>
              </w:rPr>
              <w:t xml:space="preserve">KYC para 47(2); PMLA</w:t>
            </w:r>
          </w:p>
        </w:tc>
      </w:tr>
      <w:tr>
        <w:tc>
          <w:tcPr>
            <w:tcW w:w="2477" w:type="dxa"/>
          </w:tcPr>
          <w:p>
            <w:pPr>
              <w:pStyle w:val="Compact"/>
              <w:spacing w:after="40"/>
              <w:jc w:val="left"/>
            </w:pPr>
            <w:r>
              <w:rPr>
                <w:sz w:val="18"/>
              </w:rPr>
              <w:t xml:space="preserve">Transaction records</w:t>
            </w:r>
          </w:p>
        </w:tc>
        <w:tc>
          <w:tcPr>
            <w:tcW w:w="4703" w:type="dxa"/>
          </w:tcPr>
          <w:p>
            <w:pPr>
              <w:pStyle w:val="Compact"/>
              <w:spacing w:after="40"/>
              <w:jc w:val="left"/>
            </w:pPr>
            <w:r>
              <w:rPr>
                <w:sz w:val="18"/>
              </w:rPr>
              <w:t xml:space="preserve">5 years from the transaction</w:t>
            </w:r>
          </w:p>
        </w:tc>
        <w:tc>
          <w:tcPr>
            <w:tcW w:w="2458" w:type="dxa"/>
          </w:tcPr>
          <w:p>
            <w:pPr>
              <w:pStyle w:val="Compact"/>
              <w:spacing w:after="40"/>
              <w:jc w:val="left"/>
            </w:pPr>
            <w:r>
              <w:rPr>
                <w:sz w:val="18"/>
              </w:rPr>
              <w:t xml:space="preserve">KYC para 47(1)</w:t>
            </w:r>
          </w:p>
        </w:tc>
      </w:tr>
      <w:tr>
        <w:tc>
          <w:tcPr>
            <w:tcW w:w="2477" w:type="dxa"/>
          </w:tcPr>
          <w:p>
            <w:pPr>
              <w:pStyle w:val="Compact"/>
              <w:spacing w:after="40"/>
              <w:jc w:val="left"/>
            </w:pPr>
            <w:r>
              <w:rPr>
                <w:sz w:val="18"/>
              </w:rPr>
              <w:t xml:space="preserve">V-CIP data and recordings</w:t>
            </w:r>
          </w:p>
        </w:tc>
        <w:tc>
          <w:tcPr>
            <w:tcW w:w="4703" w:type="dxa"/>
          </w:tcPr>
          <w:p>
            <w:pPr>
              <w:pStyle w:val="Compact"/>
              <w:spacing w:after="40"/>
              <w:jc w:val="left"/>
            </w:pPr>
            <w:r>
              <w:rPr>
                <w:sz w:val="18"/>
              </w:rPr>
              <w:t xml:space="preserve">As KYC records; stored in India with date and time stamps</w:t>
            </w:r>
          </w:p>
        </w:tc>
        <w:tc>
          <w:tcPr>
            <w:tcW w:w="2458" w:type="dxa"/>
          </w:tcPr>
          <w:p>
            <w:pPr>
              <w:pStyle w:val="Compact"/>
              <w:spacing w:after="40"/>
              <w:jc w:val="left"/>
            </w:pPr>
            <w:r>
              <w:rPr>
                <w:sz w:val="18"/>
              </w:rPr>
              <w:t xml:space="preserve">KYC para 27(3)(i)</w:t>
            </w:r>
          </w:p>
        </w:tc>
      </w:tr>
      <w:tr>
        <w:tc>
          <w:tcPr>
            <w:tcW w:w="2477" w:type="dxa"/>
          </w:tcPr>
          <w:p>
            <w:pPr>
              <w:pStyle w:val="Compact"/>
              <w:spacing w:after="40"/>
              <w:jc w:val="left"/>
            </w:pPr>
            <w:r>
              <w:rPr>
                <w:sz w:val="18"/>
              </w:rPr>
              <w:t xml:space="preserve">Loan, ledger, classification and regulatory return records</w:t>
            </w:r>
          </w:p>
        </w:tc>
        <w:tc>
          <w:tcPr>
            <w:tcW w:w="4703" w:type="dxa"/>
          </w:tcPr>
          <w:p>
            <w:pPr>
              <w:pStyle w:val="Compact"/>
              <w:spacing w:after="40"/>
              <w:jc w:val="left"/>
            </w:pPr>
            <w:r>
              <w:rPr>
                <w:sz w:val="18"/>
              </w:rPr>
              <w:t xml:space="preserve">[8] years after closure, or longer if required</w:t>
            </w:r>
          </w:p>
        </w:tc>
        <w:tc>
          <w:tcPr>
            <w:tcW w:w="2458" w:type="dxa"/>
          </w:tcPr>
          <w:p>
            <w:pPr>
              <w:pStyle w:val="Compact"/>
              <w:spacing w:after="40"/>
              <w:jc w:val="left"/>
            </w:pPr>
            <w:r>
              <w:rPr>
                <w:sz w:val="18"/>
              </w:rPr>
              <w:t xml:space="preserve">Clause 11.5(c)(iv) [Option]; Companies Act, 2013 s.128(5)</w:t>
            </w:r>
          </w:p>
        </w:tc>
      </w:tr>
      <w:tr>
        <w:tc>
          <w:tcPr>
            <w:tcW w:w="2477" w:type="dxa"/>
          </w:tcPr>
          <w:p>
            <w:pPr>
              <w:pStyle w:val="Compact"/>
              <w:spacing w:after="40"/>
              <w:jc w:val="left"/>
            </w:pPr>
            <w:r>
              <w:rPr>
                <w:sz w:val="18"/>
              </w:rPr>
              <w:t xml:space="preserve">Recovery call recordings</w:t>
            </w:r>
          </w:p>
        </w:tc>
        <w:tc>
          <w:tcPr>
            <w:tcW w:w="4703" w:type="dxa"/>
          </w:tcPr>
          <w:p>
            <w:pPr>
              <w:pStyle w:val="Compact"/>
              <w:spacing w:after="40"/>
              <w:jc w:val="left"/>
            </w:pPr>
            <w:r>
              <w:rPr>
                <w:sz w:val="18"/>
              </w:rPr>
              <w:t xml:space="preserve">Per RBC Third Amendment (RBI/2026-27/230, effective 1 January 2027) and until disposal if sub judice</w:t>
            </w:r>
          </w:p>
        </w:tc>
        <w:tc>
          <w:tcPr>
            <w:tcW w:w="2458" w:type="dxa"/>
          </w:tcPr>
          <w:p>
            <w:pPr>
              <w:pStyle w:val="Compact"/>
              <w:spacing w:after="40"/>
              <w:jc w:val="left"/>
            </w:pPr>
            <w:r>
              <w:rPr>
                <w:sz w:val="18"/>
              </w:rPr>
              <w:t xml:space="preserve">[VERIFY: text not supplied]</w:t>
            </w:r>
          </w:p>
        </w:tc>
      </w:tr>
      <w:tr>
        <w:tc>
          <w:tcPr>
            <w:tcW w:w="2477" w:type="dxa"/>
          </w:tcPr>
          <w:p>
            <w:pPr>
              <w:pStyle w:val="Compact"/>
              <w:spacing w:after="40"/>
              <w:jc w:val="left"/>
            </w:pPr>
            <w:r>
              <w:rPr>
                <w:sz w:val="18"/>
              </w:rPr>
              <w:t xml:space="preserve">Case files, notices, orders, awards</w:t>
            </w:r>
          </w:p>
        </w:tc>
        <w:tc>
          <w:tcPr>
            <w:tcW w:w="4703" w:type="dxa"/>
          </w:tcPr>
          <w:p>
            <w:pPr>
              <w:pStyle w:val="Compact"/>
              <w:spacing w:after="40"/>
              <w:jc w:val="left"/>
            </w:pPr>
            <w:r>
              <w:rPr>
                <w:sz w:val="18"/>
              </w:rPr>
              <w:t xml:space="preserve">Closure of last proceeding plus applicable limitation period (up to 12 years)</w:t>
            </w:r>
          </w:p>
        </w:tc>
        <w:tc>
          <w:tcPr>
            <w:tcW w:w="2458" w:type="dxa"/>
          </w:tcPr>
          <w:p>
            <w:pPr>
              <w:pStyle w:val="Compact"/>
              <w:spacing w:after="40"/>
              <w:jc w:val="left"/>
            </w:pPr>
            <w:r>
              <w:rPr>
                <w:sz w:val="18"/>
              </w:rPr>
              <w:t xml:space="preserve">Limitation Act, 1963 [Recommended]</w:t>
            </w:r>
          </w:p>
        </w:tc>
      </w:tr>
      <w:tr>
        <w:tc>
          <w:tcPr>
            <w:tcW w:w="2477" w:type="dxa"/>
          </w:tcPr>
          <w:p>
            <w:pPr>
              <w:pStyle w:val="Compact"/>
              <w:spacing w:after="40"/>
              <w:jc w:val="left"/>
            </w:pPr>
            <w:r>
              <w:rPr>
                <w:sz w:val="18"/>
              </w:rPr>
              <w:t xml:space="preserve">Security and access logs; personal data and traffic data</w:t>
            </w:r>
          </w:p>
        </w:tc>
        <w:tc>
          <w:tcPr>
            <w:tcW w:w="4703" w:type="dxa"/>
          </w:tcPr>
          <w:p>
            <w:pPr>
              <w:pStyle w:val="Compact"/>
              <w:spacing w:after="40"/>
              <w:jc w:val="left"/>
            </w:pPr>
            <w:r>
              <w:rPr>
                <w:sz w:val="18"/>
              </w:rPr>
              <w:t xml:space="preserve">180 days rolling (all ICT logs, in India); not less than 1 year from the date of processing for Personal Data, associated traffic data and processing logs, including after an erasure request or account closure</w:t>
            </w:r>
          </w:p>
        </w:tc>
        <w:tc>
          <w:tcPr>
            <w:tcW w:w="2458" w:type="dxa"/>
          </w:tcPr>
          <w:p>
            <w:pPr>
              <w:pStyle w:val="Compact"/>
              <w:spacing w:after="40"/>
              <w:jc w:val="left"/>
            </w:pPr>
            <w:r>
              <w:rPr>
                <w:sz w:val="18"/>
              </w:rPr>
              <w:t xml:space="preserve">CERT-In Directions; DPDP Rules, Rules 6(1)(e) and 8(3)</w:t>
            </w:r>
          </w:p>
        </w:tc>
      </w:tr>
      <w:tr>
        <w:tc>
          <w:tcPr>
            <w:tcW w:w="2477" w:type="dxa"/>
          </w:tcPr>
          <w:p>
            <w:pPr>
              <w:pStyle w:val="Compact"/>
              <w:spacing w:after="40"/>
              <w:jc w:val="left"/>
            </w:pPr>
            <w:r>
              <w:rPr>
                <w:sz w:val="18"/>
              </w:rPr>
              <w:t xml:space="preserve">Records under legal hold</w:t>
            </w:r>
          </w:p>
        </w:tc>
        <w:tc>
          <w:tcPr>
            <w:tcW w:w="4703" w:type="dxa"/>
          </w:tcPr>
          <w:p>
            <w:pPr>
              <w:pStyle w:val="Compact"/>
              <w:spacing w:after="40"/>
              <w:jc w:val="left"/>
            </w:pPr>
            <w:r>
              <w:rPr>
                <w:sz w:val="18"/>
              </w:rPr>
              <w:t xml:space="preserve">Until release by the Company</w:t>
            </w:r>
          </w:p>
        </w:tc>
        <w:tc>
          <w:tcPr>
            <w:tcW w:w="2458" w:type="dxa"/>
          </w:tcPr>
          <w:p>
            <w:pPr>
              <w:pStyle w:val="Compact"/>
              <w:spacing w:after="40"/>
              <w:jc w:val="left"/>
            </w:pPr>
            <w:r>
              <w:rPr>
                <w:sz w:val="18"/>
              </w:rPr>
              <w:t xml:space="preserve">Clause 10.9</w:t>
            </w:r>
          </w:p>
        </w:tc>
      </w:tr>
    </w:tbl>
    <w:p>
      <w:pPr>
        <w:numPr>
          <w:ilvl w:val="0"/>
          <w:numId w:val="1036"/>
        </w:numPr>
        <w:pStyle w:val="Compact"/>
      </w:pPr>
      <w:r>
        <w:t xml:space="preserve">No record in a retention class or under legal hold is deleted, purged, altered or anonymised except on the Company’s documented instruction or by the retention engine as configured by the Company (Clause 10.9). The Company reconciles erasure under DPDP Act s.8(7) with these classes; s.8(7) itself excepts retention necessary for compliance with any law in force, and s.17(1) exemptions apply only where their conditions are met.</w:t>
      </w:r>
    </w:p>
    <w:p>
      <w:pPr>
        <w:numPr>
          <w:ilvl w:val="0"/>
          <w:numId w:val="1036"/>
        </w:numPr>
        <w:pStyle w:val="Compact"/>
      </w:pPr>
      <w:r>
        <w:rPr>
          <w:bCs/>
          <w:b/>
        </w:rPr>
        <w:t xml:space="preserve">Backup cycle</w:t>
      </w:r>
      <w:r>
        <w:t xml:space="preserve">: backups expire on a rolling cycle not exceeding [90] days; on an erasure instruction, and subject to the minimum retention periods in the table above (including the one-year minimum under Rule 8(3)), data is erased from production within [7] days and from backups on expiry of that cycle, with written confirmation; erased data restored in a DR event is re-erased before use.</w:t>
      </w:r>
    </w:p>
    <w:p>
      <w:pPr>
        <w:numPr>
          <w:ilvl w:val="0"/>
          <w:numId w:val="1036"/>
        </w:numPr>
        <w:pStyle w:val="Compact"/>
      </w:pPr>
      <w:r>
        <w:rPr>
          <w:bCs/>
          <w:b/>
        </w:rPr>
        <w:t xml:space="preserve">Exit</w:t>
      </w:r>
      <w:r>
        <w:t xml:space="preserve"> </w:t>
      </w:r>
      <w:r>
        <w:t xml:space="preserve">[Mandatory — RBI]: return and destruction under Clause 10.10 and Schedule 9 after the Company’s written confirmation of receipt and validation, using [NIST SP 800-88] methods, with the certificates in Annexure 4B and independent assurance (OUT paras 42, 87, 97(xvi)(d)). Data is not altered during transition (Clause 25.3).</w:t>
      </w:r>
    </w:p>
    <w:bookmarkEnd w:id="90"/>
    <w:bookmarkStart w:id="91" w:name="part-g-restrictions-on-use"/>
    <w:p>
      <w:pPr>
        <w:pStyle w:val="Heading2"/>
      </w:pPr>
      <w:r>
        <w:t xml:space="preserve">Part G — Restrictions on Use</w:t>
      </w:r>
    </w:p>
    <w:p>
      <w:pPr>
        <w:pStyle w:val="FirstParagraph"/>
      </w:pPr>
      <w:r>
        <w:t xml:space="preserve">Clause 10.8 applies. In addition, the Service Provider shall not commingle the Company’s data with other tenants’ (Clause 10.5; OUT paras 26, 70) or access Company Data except through logged, ticket-referenced break-glass access visible to the Company (Clause 10.6; OUT paras 24, 69(i)).</w:t>
      </w:r>
    </w:p>
    <w:bookmarkEnd w:id="91"/>
    <w:bookmarkStart w:id="92" w:name="X4aa151c9a24a7504a3755a1dee6b81eac417273"/>
    <w:p>
      <w:pPr>
        <w:pStyle w:val="Heading2"/>
      </w:pPr>
      <w:r>
        <w:t xml:space="preserve">Part H — Aadhaar, Biometrics and Children [Mandatory — Law]</w:t>
      </w:r>
    </w:p>
    <w:p>
      <w:pPr>
        <w:numPr>
          <w:ilvl w:val="0"/>
          <w:numId w:val="1037"/>
        </w:numPr>
        <w:pStyle w:val="Compact"/>
      </w:pPr>
      <w:r>
        <w:t xml:space="preserve">The Company decides whether and how Aadhaar is used and is the requesting or offline-verification-seeking entity; the Service Provider is only the technology provider and not a KUA, AUA or ASA unless separately licensed (Aadhaar Act ss.8, 8A; Clause 10.12) [VERIFY].</w:t>
      </w:r>
    </w:p>
    <w:p>
      <w:pPr>
        <w:numPr>
          <w:ilvl w:val="0"/>
          <w:numId w:val="1037"/>
        </w:numPr>
        <w:pStyle w:val="Compact"/>
      </w:pPr>
      <w:r>
        <w:t xml:space="preserve">Default capture is offline verification (Secure QR or XML) or DigiLocker, storing only the last four digits and a reference key; Aadhaar numbers are redacted from proof-of-possession copies (KYC para 23, Explanation 1; para 27(2)(vii)).</w:t>
      </w:r>
    </w:p>
    <w:p>
      <w:pPr>
        <w:numPr>
          <w:ilvl w:val="0"/>
          <w:numId w:val="1037"/>
        </w:numPr>
        <w:pStyle w:val="Compact"/>
      </w:pPr>
      <w:r>
        <w:t xml:space="preserve">Full Aadhaar numbers, if the Company elects, are stored only in an Aadhaar Data Vault meeting UIDAI requirements (HSM encryption, non-reversible reference keys, permitted hosting) under UIDAI Circular No. 14 of 2025 [VERIFY], never in logs, analytics, AI prompts or non-production; sharing only as Aadhaar Act s.29 permits.</w:t>
      </w:r>
    </w:p>
    <w:p>
      <w:pPr>
        <w:numPr>
          <w:ilvl w:val="0"/>
          <w:numId w:val="1037"/>
        </w:numPr>
        <w:pStyle w:val="Compact"/>
      </w:pPr>
      <w:r>
        <w:t xml:space="preserve">No biometric storage unless statute permits (CF para 14(3)); biometric e-KYC only through the Company’s official and licensed devices without retention (KYC para 23, Explanation 2).</w:t>
      </w:r>
    </w:p>
    <w:p>
      <w:pPr>
        <w:numPr>
          <w:ilvl w:val="0"/>
          <w:numId w:val="1037"/>
        </w:numPr>
        <w:pStyle w:val="Compact"/>
      </w:pPr>
      <w:r>
        <w:t xml:space="preserve">Children and persons with disability: the Platform flags such Data Principals and records verifiable parental or guardian consent obtained by the Company (DPDP Act s.9(1); Rules 10–11); no tracking, behavioural monitoring or targeted advertising directed at children, and children’s data is excluded from analytics models and AI features (s.9(2)–(3)).</w:t>
      </w:r>
    </w:p>
    <w:bookmarkEnd w:id="92"/>
    <w:bookmarkStart w:id="93" w:name="part-i-consent-records"/>
    <w:p>
      <w:pPr>
        <w:pStyle w:val="Heading2"/>
      </w:pPr>
      <w:r>
        <w:t xml:space="preserve">Part I — Consent Records</w:t>
      </w:r>
    </w:p>
    <w:p>
      <w:pPr>
        <w:pStyle w:val="FirstParagraph"/>
      </w:pPr>
      <w:r>
        <w:t xml:space="preserve">The Platform records consent and withdrawal with an audit trail, discloses purpose at each configured stage (CF para 13(1)–(3); Clause 7.4), integrates with Consent Managers registered under Rule 4 where the Company elects, and rejects any Personal Data payload to a third party that lacks a recorded consent reference where consent is the basis (Clause 10.7).</w:t>
      </w:r>
    </w:p>
    <w:bookmarkEnd w:id="93"/>
    <w:bookmarkStart w:id="94" w:name="part-j-sub-processors"/>
    <w:p>
      <w:pPr>
        <w:pStyle w:val="Heading2"/>
      </w:pPr>
      <w:r>
        <w:t xml:space="preserve">Part J — Sub-processors</w:t>
      </w:r>
    </w:p>
    <w:p>
      <w:pPr>
        <w:pStyle w:val="FirstParagraph"/>
      </w:pPr>
      <w:r>
        <w:t xml:space="preserve">Only Approved Sub-contractors listed in Schedule 10. New or changed Sub-processors follow Clause 13.2 ([60] days’ notice) with flow-down under Clause 13.3, including India-only processing, audit and RBI inspection rights (OUT para 74(i), (xii)), breach notice in time for Schedule 7, and deletion on exit. The Service Provider is fully liable for its Sub-processors (Clause 13.4; OUT para 74(xiii)) [Mandatory — RBI].</w:t>
      </w:r>
    </w:p>
    <w:bookmarkEnd w:id="94"/>
    <w:bookmarkStart w:id="95" w:name="X624f43819a2d09b677626d798cb640dd3f3f89c"/>
    <w:p>
      <w:pPr>
        <w:pStyle w:val="Heading2"/>
      </w:pPr>
      <w:r>
        <w:t xml:space="preserve">Part K — Personal Data Breach (Clauses 12.2, 12.5)</w:t>
      </w:r>
    </w:p>
    <w:p>
      <w:pPr>
        <w:numPr>
          <w:ilvl w:val="0"/>
          <w:numId w:val="1038"/>
        </w:numPr>
        <w:pStyle w:val="Compact"/>
      </w:pPr>
      <w:r>
        <w:t xml:space="preserve">On a personal data breach (DPDP Act s.2(u)) affecting Company Data, the Service Provider gives: (a) initial notice within [2] hours of Detection (Clause 12.2(a)), in time for the Company to inform RBI immediately (OUT paras 28, 69(iii); Clause 12.6) and report any related Cyber Incident within six hours of Detection (OUT para 61); (b) the regulatory information pack within [4] hours (Clause 12.2(b)); (c) a supplementary report within [24] hours (nature, extent, timing, location, likely impact); and (d) a full report within [48] hours (facts, causes, mitigation, findings on the person responsible, remedial measures, affected Data Principals and contact data for notices), so the Company can intimate the Data Protection Board and affected Data Principals without delay and give its detailed report within 72 hours (DPDP Act s.8(6); Rule 7(1)–(2)). Form and channels: Schedule 7.</w:t>
      </w:r>
    </w:p>
    <w:p>
      <w:pPr>
        <w:numPr>
          <w:ilvl w:val="0"/>
          <w:numId w:val="1038"/>
        </w:numPr>
        <w:pStyle w:val="Compact"/>
      </w:pPr>
      <w:r>
        <w:t xml:space="preserve">The Service Provider does not notify the Data Protection Board, Data Principals or the public on the Company’s behalf except under Clause 12.5; its own CERT-In reports follow Clause 12.4. Costs and indemnity: Clauses 12.10 and 21.1(b), subject to Article 22 (including any Data Super-Cap).</w:t>
      </w:r>
    </w:p>
    <w:bookmarkEnd w:id="95"/>
    <w:bookmarkStart w:id="96" w:name="Xfa63f53d744a9d879ef52fbb8c2c4566606e566"/>
    <w:p>
      <w:pPr>
        <w:pStyle w:val="Heading2"/>
      </w:pPr>
      <w:r>
        <w:t xml:space="preserve">Part L — Data Principal Rights and Grievances (Clauses 10.11, 28.3)</w:t>
      </w:r>
    </w:p>
    <w:p>
      <w:pPr>
        <w:pStyle w:val="FirstParagraph"/>
      </w:pPr>
      <w:r>
        <w:t xml:space="preserve">The Platform provides tooling for access summaries, correction, completion, updating, erasure, nomination, consent withdrawal and grievances (DPDP Act ss.11–14). The Service Provider forwards any request it receives directly within [1] Business Day without substantive response (Clauses 10.11, 28.2), and completes Company-requested assistance within [5] Business Days ([2] where the Company’s deadline is within [7] days), so the Company meets its published period (not exceeding ninety days: Rule 14(3)) and the 30-day RBI complaint timeline where the request is also a customer complaint (OUT para 57(3)–(4); CF para 12(4)). Credit data corrections follow CIR paras 34–35.</w:t>
      </w:r>
    </w:p>
    <w:bookmarkEnd w:id="96"/>
    <w:bookmarkStart w:id="97" w:name="Xc57816304ddc8a16574d07d3cb87cc58acf5c50"/>
    <w:p>
      <w:pPr>
        <w:pStyle w:val="Heading2"/>
      </w:pPr>
      <w:r>
        <w:t xml:space="preserve">Part M — Audit and Significant Data Fiduciary Support</w:t>
      </w:r>
    </w:p>
    <w:p>
      <w:pPr>
        <w:pStyle w:val="FirstParagraph"/>
      </w:pPr>
      <w:r>
        <w:t xml:space="preserve">Information and audits under Article 9 and Schedule 6. If the Company is notified as a Significant Data Fiduciary (s.10), the Service Provider supports its annual DPIA and audit (Rule 13(1)) and its due diligence that technical measures, including algorithmic software, are not likely to pose a risk to Data Principals’ rights (Rule 13(3)).</w:t>
      </w:r>
    </w:p>
    <w:bookmarkEnd w:id="97"/>
    <w:bookmarkStart w:id="98" w:name="annexure-4a-contact-points"/>
    <w:p>
      <w:pPr>
        <w:pStyle w:val="Heading2"/>
      </w:pPr>
      <w:r>
        <w:t xml:space="preserve">Annexure 4A — Contact Points</w:t>
      </w:r>
    </w:p>
    <w:p>
      <w:pPr>
        <w:pStyle w:val="FirstParagraph"/>
      </w:pPr>
      <w:r>
        <w:t xml:space="preserve">Company and Service Provider privacy contact or DPO, Data Principal request desk and the 24 x 7 incident contacts and incident mailbox in Schedule 7, Part D: [●].</w:t>
      </w:r>
    </w:p>
    <w:bookmarkEnd w:id="98"/>
    <w:bookmarkStart w:id="99" w:name="Xed4b665160049b3061c94b9095efece26b332ea"/>
    <w:p>
      <w:pPr>
        <w:pStyle w:val="Heading2"/>
      </w:pPr>
      <w:r>
        <w:t xml:space="preserve">Annexure 4B — Certificates of Return and Destruction (Clause 10.10(c))</w:t>
      </w:r>
    </w:p>
    <w:p>
      <w:pPr>
        <w:pStyle w:val="FirstParagraph"/>
      </w:pPr>
      <w:r>
        <w:t xml:space="preserve">To: [Company]. We, [Service Provider], certify that: (1) all Company Data under the Master Services Agreement dated [●] was returned in the formats of Schedule 9, Part D, manifest hash [●], and the Company confirmed receipt and validation on [●]; (2) all copies in the Tenant Environment, DR, non-production, backup and archive systems, and at each Sub-processor listed below, were securely erased, destroyed or rendered unusable on [dates] by [method conforming to NIST SP 800-88, including cryptographic erasure], identifying the data, systems and media in the attached register; (3) keys under our control were destroyed on [●] and Company-controlled keys were revoked by the Company on [●]; (4) no Company Data is retained except [nil / data Applicable Law requires us to retain, described as ●, with the legal requirement and period], which remains subject to Articles 10, 11 and 18; (5) [independent auditor acceptable to the Company] has given assurance of the purge by report dated [●], attached (OUT para 97(xvi)(d)). Sub-processors covered: [●]. Signed: ________ Director, [Service Provider]. Date [●].</w:t>
      </w:r>
    </w:p>
    <w:p>
      <w:r>
        <w:pict>
          <v:rect style="width:0;height:1.5pt" o:hralign="center" o:hrstd="t" o:hr="t"/>
        </w:pict>
      </w:r>
    </w:p>
    <w:p>
      <w:r>
        <w:br w:type="page"/>
      </w:r>
    </w:p>
    <w:bookmarkEnd w:id="99"/>
    <w:bookmarkEnd w:id="100"/>
    <w:bookmarkStart w:id="107" w:name="Xe19caf1b2fe1cf4b7961ef2288679cf41f80778"/>
    <w:p>
      <w:pPr>
        <w:pStyle w:val="Heading1"/>
      </w:pPr>
      <w:r>
        <w:t xml:space="preserve">SCHEDULE 5 — Information Security and Cyber Resilience Requirements</w:t>
      </w:r>
    </w:p>
    <w:p>
      <w:pPr>
        <w:pStyle w:val="FirstParagraph"/>
      </w:pPr>
      <w:r>
        <w:rPr>
          <w:iCs/>
          <w:i/>
        </w:rPr>
        <w:t xml:space="preserve">Drafting note: Implements Article 11 (Clauses 11.1 to 11.14), Clauses 8.7, 10.5, 10.6 and 19.2. Each row is a Service Provider obligation that enables the Company to meet the cited paragraph of the CYB chapter for its layer and, for Middle Layer and higher Companies, OUT Chapter IV (especially para 97 on cloud services). Rows are [Mandatory — RBI] to the extent the cited provisions apply to the Company and [Recommended] otherwise; the Service Provider delivers all rows to every Company under the Uniform Standard (Clause 1.5(b)).</w:t>
      </w:r>
    </w:p>
    <w:bookmarkStart w:id="101" w:name="part-a-general-obligations"/>
    <w:p>
      <w:pPr>
        <w:pStyle w:val="Heading2"/>
      </w:pPr>
      <w:r>
        <w:t xml:space="preserve">Part A — General Obligations</w:t>
      </w:r>
    </w:p>
    <w:p>
      <w:pPr>
        <w:numPr>
          <w:ilvl w:val="0"/>
          <w:numId w:val="1039"/>
        </w:numPr>
        <w:pStyle w:val="Compact"/>
      </w:pPr>
      <w:r>
        <w:t xml:space="preserve">The Service Provider maintains adequate systems and procedures to protect the Company’s data and application (CYB para 62(1)(ii)) with the standard of care the Company would apply itself (OUT para 18(v)), and its personnel and Sub-contractors comply with the Company Policies on information security and acceptable use (Clause 8.13; CYB para 97), the stricter rule prevailing.</w:t>
      </w:r>
    </w:p>
    <w:p>
      <w:pPr>
        <w:numPr>
          <w:ilvl w:val="0"/>
          <w:numId w:val="1039"/>
        </w:numPr>
        <w:pStyle w:val="Compact"/>
      </w:pPr>
      <w:r>
        <w:t xml:space="preserve">Cloud controls achieve control objectives similar to or higher than on-premises (OUT para 97(ix)) under the shared responsibility model in Part F, with reference to NIST SP 800-210 (OUT para 97(iv)); the Service Provider maintains a security policy framework commensurate with its exposure, keeps capability current with threats, tests controls commensurate with materiality and assesses sub-contractors for confidentiality, integrity and availability (OUT para 97(x)(a)–(d)).</w:t>
      </w:r>
    </w:p>
    <w:bookmarkEnd w:id="101"/>
    <w:bookmarkStart w:id="102" w:name="part-b-control-requirements"/>
    <w:p>
      <w:pPr>
        <w:pStyle w:val="Heading2"/>
      </w:pPr>
      <w:r>
        <w:t xml:space="preserve">Part B — Control Requirements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32"/>
        <w:gridCol w:w="1098"/>
        <w:gridCol w:w="4308"/>
        <w:gridCol w:w="1914"/>
        <w:gridCol w:w="1586"/>
      </w:tblGrid>
      <w:tr>
        <w:trPr>
          <w:tblHeader w:val="true"/>
          <w:tblHeader w:val="true"/>
        </w:trPr>
        <w:tc>
          <w:tcPr>
            <w:tcW w:w="732" w:type="dxa"/>
            <w:shd w:val="clear" w:color="auto" w:fill="1F3A5F"/>
          </w:tcPr>
          <w:p>
            <w:pPr>
              <w:pStyle w:val="Compact"/>
              <w:spacing w:after="40"/>
              <w:jc w:val="left"/>
            </w:pPr>
            <w:r>
              <w:rPr>
                <w:b/>
                <w:color w:val="FFFFFF"/>
                <w:sz w:val="18"/>
              </w:rPr>
              <w:t xml:space="preserve">#</w:t>
            </w:r>
          </w:p>
        </w:tc>
        <w:tc>
          <w:tcPr>
            <w:tcW w:w="1098" w:type="dxa"/>
            <w:shd w:val="clear" w:color="auto" w:fill="1F3A5F"/>
          </w:tcPr>
          <w:p>
            <w:pPr>
              <w:pStyle w:val="Compact"/>
              <w:spacing w:after="40"/>
              <w:jc w:val="left"/>
            </w:pPr>
            <w:r>
              <w:rPr>
                <w:b/>
                <w:color w:val="FFFFFF"/>
                <w:sz w:val="18"/>
              </w:rPr>
              <w:t xml:space="preserve">Domain</w:t>
            </w:r>
          </w:p>
        </w:tc>
        <w:tc>
          <w:tcPr>
            <w:tcW w:w="4308" w:type="dxa"/>
            <w:shd w:val="clear" w:color="auto" w:fill="1F3A5F"/>
          </w:tcPr>
          <w:p>
            <w:pPr>
              <w:pStyle w:val="Compact"/>
              <w:spacing w:after="40"/>
              <w:jc w:val="left"/>
            </w:pPr>
            <w:r>
              <w:rPr>
                <w:b/>
                <w:color w:val="FFFFFF"/>
                <w:sz w:val="18"/>
              </w:rPr>
              <w:t xml:space="preserve">Requirement</w:t>
            </w:r>
          </w:p>
        </w:tc>
        <w:tc>
          <w:tcPr>
            <w:tcW w:w="1914" w:type="dxa"/>
            <w:shd w:val="clear" w:color="auto" w:fill="1F3A5F"/>
          </w:tcPr>
          <w:p>
            <w:pPr>
              <w:pStyle w:val="Compact"/>
              <w:spacing w:after="40"/>
              <w:jc w:val="left"/>
            </w:pPr>
            <w:r>
              <w:rPr>
                <w:b/>
                <w:color w:val="FFFFFF"/>
                <w:sz w:val="18"/>
              </w:rPr>
              <w:t xml:space="preserve">CYB (Ch III / IV / V)</w:t>
            </w:r>
          </w:p>
        </w:tc>
        <w:tc>
          <w:tcPr>
            <w:tcW w:w="1586" w:type="dxa"/>
            <w:shd w:val="clear" w:color="auto" w:fill="1F3A5F"/>
          </w:tcPr>
          <w:p>
            <w:pPr>
              <w:pStyle w:val="Compact"/>
              <w:spacing w:after="40"/>
              <w:jc w:val="left"/>
            </w:pPr>
            <w:r>
              <w:rPr>
                <w:b/>
                <w:color w:val="FFFFFF"/>
                <w:sz w:val="18"/>
              </w:rPr>
              <w:t xml:space="preserve">OUT</w:t>
            </w:r>
          </w:p>
        </w:tc>
      </w:tr>
      <w:tr>
        <w:tc>
          <w:tcPr>
            <w:tcW w:w="732" w:type="dxa"/>
          </w:tcPr>
          <w:p>
            <w:pPr>
              <w:pStyle w:val="Compact"/>
              <w:spacing w:after="40"/>
              <w:jc w:val="left"/>
            </w:pPr>
            <w:r>
              <w:rPr>
                <w:sz w:val="18"/>
              </w:rPr>
              <w:t xml:space="preserve">1</w:t>
            </w:r>
          </w:p>
        </w:tc>
        <w:tc>
          <w:tcPr>
            <w:tcW w:w="1098" w:type="dxa"/>
          </w:tcPr>
          <w:p>
            <w:pPr>
              <w:pStyle w:val="Compact"/>
              <w:spacing w:after="40"/>
              <w:jc w:val="left"/>
            </w:pPr>
            <w:r>
              <w:rPr>
                <w:sz w:val="18"/>
              </w:rPr>
              <w:t xml:space="preserve">Governance</w:t>
            </w:r>
          </w:p>
        </w:tc>
        <w:tc>
          <w:tcPr>
            <w:tcW w:w="4308" w:type="dxa"/>
          </w:tcPr>
          <w:p>
            <w:pPr>
              <w:pStyle w:val="Compact"/>
              <w:spacing w:after="40"/>
              <w:jc w:val="left"/>
            </w:pPr>
            <w:r>
              <w:rPr>
                <w:sz w:val="18"/>
              </w:rPr>
              <w:t xml:space="preserve">CISO independent of IT delivery; resourced security function; segregation of IT and security functions; quarterly security report</w:t>
            </w:r>
          </w:p>
        </w:tc>
        <w:tc>
          <w:tcPr>
            <w:tcW w:w="1914" w:type="dxa"/>
          </w:tcPr>
          <w:p>
            <w:pPr>
              <w:pStyle w:val="Compact"/>
              <w:spacing w:after="40"/>
              <w:jc w:val="left"/>
            </w:pPr>
            <w:r>
              <w:rPr>
                <w:sz w:val="18"/>
              </w:rPr>
              <w:t xml:space="preserve">III 8(4); IV 19, 21(2); V 95(2)</w:t>
            </w:r>
          </w:p>
        </w:tc>
        <w:tc>
          <w:tcPr>
            <w:tcW w:w="1586" w:type="dxa"/>
          </w:tcPr>
          <w:p>
            <w:pPr>
              <w:pStyle w:val="Compact"/>
              <w:spacing w:after="40"/>
              <w:jc w:val="left"/>
            </w:pPr>
            <w:r>
              <w:rPr>
                <w:sz w:val="18"/>
              </w:rPr>
              <w:t xml:space="preserve">97(x)(a)</w:t>
            </w:r>
          </w:p>
        </w:tc>
      </w:tr>
      <w:tr>
        <w:tc>
          <w:tcPr>
            <w:tcW w:w="732" w:type="dxa"/>
          </w:tcPr>
          <w:p>
            <w:pPr>
              <w:pStyle w:val="Compact"/>
              <w:spacing w:after="40"/>
              <w:jc w:val="left"/>
            </w:pPr>
            <w:r>
              <w:rPr>
                <w:sz w:val="18"/>
              </w:rPr>
              <w:t xml:space="preserve">2</w:t>
            </w:r>
          </w:p>
        </w:tc>
        <w:tc>
          <w:tcPr>
            <w:tcW w:w="1098" w:type="dxa"/>
          </w:tcPr>
          <w:p>
            <w:pPr>
              <w:pStyle w:val="Compact"/>
              <w:spacing w:after="40"/>
              <w:jc w:val="left"/>
            </w:pPr>
            <w:r>
              <w:rPr>
                <w:sz w:val="18"/>
              </w:rPr>
              <w:t xml:space="preserve">ISMS and certification</w:t>
            </w:r>
          </w:p>
        </w:tc>
        <w:tc>
          <w:tcPr>
            <w:tcW w:w="4308" w:type="dxa"/>
          </w:tcPr>
          <w:p>
            <w:pPr>
              <w:pStyle w:val="Compact"/>
              <w:spacing w:after="40"/>
              <w:jc w:val="left"/>
            </w:pPr>
            <w:r>
              <w:rPr>
                <w:sz w:val="18"/>
              </w:rPr>
              <w:t xml:space="preserve">ISO/IEC 27001:2022 covering Platform, hosting, support and development; annual SOC 2 Type II (security, availability, confidentiality) with scope covering cloud governance, access, network, configuration, monitoring, encryption, log review, change, incident response and resilience; ISO 22301 [Recommended]</w:t>
            </w:r>
          </w:p>
        </w:tc>
        <w:tc>
          <w:tcPr>
            <w:tcW w:w="1914" w:type="dxa"/>
          </w:tcPr>
          <w:p>
            <w:pPr>
              <w:pStyle w:val="Compact"/>
              <w:spacing w:after="40"/>
              <w:jc w:val="left"/>
            </w:pPr>
            <w:r>
              <w:rPr>
                <w:sz w:val="18"/>
              </w:rPr>
              <w:t xml:space="preserve">IV 24; V 95(1), 96</w:t>
            </w:r>
          </w:p>
        </w:tc>
        <w:tc>
          <w:tcPr>
            <w:tcW w:w="1586" w:type="dxa"/>
          </w:tcPr>
          <w:p>
            <w:pPr>
              <w:pStyle w:val="Compact"/>
              <w:spacing w:after="40"/>
              <w:jc w:val="left"/>
            </w:pPr>
            <w:r>
              <w:rPr>
                <w:sz w:val="18"/>
              </w:rPr>
              <w:t xml:space="preserve">79, 97(xvii)</w:t>
            </w:r>
          </w:p>
        </w:tc>
      </w:tr>
      <w:tr>
        <w:tc>
          <w:tcPr>
            <w:tcW w:w="732" w:type="dxa"/>
          </w:tcPr>
          <w:p>
            <w:pPr>
              <w:pStyle w:val="Compact"/>
              <w:spacing w:after="40"/>
              <w:jc w:val="left"/>
            </w:pPr>
            <w:r>
              <w:rPr>
                <w:sz w:val="18"/>
              </w:rPr>
              <w:t xml:space="preserve">3</w:t>
            </w:r>
          </w:p>
        </w:tc>
        <w:tc>
          <w:tcPr>
            <w:tcW w:w="1098" w:type="dxa"/>
          </w:tcPr>
          <w:p>
            <w:pPr>
              <w:pStyle w:val="Compact"/>
              <w:spacing w:after="40"/>
              <w:jc w:val="left"/>
            </w:pPr>
            <w:r>
              <w:rPr>
                <w:sz w:val="18"/>
              </w:rPr>
              <w:t xml:space="preserve">Awareness and training</w:t>
            </w:r>
          </w:p>
        </w:tc>
        <w:tc>
          <w:tcPr>
            <w:tcW w:w="4308" w:type="dxa"/>
          </w:tcPr>
          <w:p>
            <w:pPr>
              <w:pStyle w:val="Compact"/>
              <w:spacing w:after="40"/>
              <w:jc w:val="left"/>
            </w:pPr>
            <w:r>
              <w:rPr>
                <w:sz w:val="18"/>
              </w:rPr>
              <w:t xml:space="preserve">Annual security and privacy training with tracked completion; phishing simulations; promotion of the Company’s cyber resilience objectives</w:t>
            </w:r>
          </w:p>
        </w:tc>
        <w:tc>
          <w:tcPr>
            <w:tcW w:w="1914" w:type="dxa"/>
          </w:tcPr>
          <w:p>
            <w:pPr>
              <w:pStyle w:val="Compact"/>
              <w:spacing w:after="40"/>
              <w:jc w:val="left"/>
            </w:pPr>
            <w:r>
              <w:rPr>
                <w:sz w:val="18"/>
              </w:rPr>
              <w:t xml:space="preserve">IV 30, 35–36; V 98</w:t>
            </w:r>
          </w:p>
        </w:tc>
        <w:tc>
          <w:tcPr>
            <w:tcW w:w="1586" w:type="dxa"/>
          </w:tcPr>
          <w:p>
            <w:pPr>
              <w:pStyle w:val="Compact"/>
              <w:spacing w:after="40"/>
              <w:jc w:val="left"/>
            </w:pPr>
            <w:r>
              <w:rPr>
                <w:sz w:val="18"/>
              </w:rPr>
              <w:t xml:space="preserve">—</w:t>
            </w:r>
          </w:p>
        </w:tc>
      </w:tr>
      <w:tr>
        <w:tc>
          <w:tcPr>
            <w:tcW w:w="732" w:type="dxa"/>
          </w:tcPr>
          <w:p>
            <w:pPr>
              <w:pStyle w:val="Compact"/>
              <w:spacing w:after="40"/>
              <w:jc w:val="left"/>
            </w:pPr>
            <w:r>
              <w:rPr>
                <w:sz w:val="18"/>
              </w:rPr>
              <w:t xml:space="preserve">4</w:t>
            </w:r>
          </w:p>
        </w:tc>
        <w:tc>
          <w:tcPr>
            <w:tcW w:w="1098" w:type="dxa"/>
          </w:tcPr>
          <w:p>
            <w:pPr>
              <w:pStyle w:val="Compact"/>
              <w:spacing w:after="40"/>
              <w:jc w:val="left"/>
            </w:pPr>
            <w:r>
              <w:rPr>
                <w:sz w:val="18"/>
              </w:rPr>
              <w:t xml:space="preserve">Identity and MFA</w:t>
            </w:r>
          </w:p>
        </w:tc>
        <w:tc>
          <w:tcPr>
            <w:tcW w:w="4308" w:type="dxa"/>
          </w:tcPr>
          <w:p>
            <w:pPr>
              <w:pStyle w:val="Compact"/>
              <w:spacing w:after="40"/>
              <w:jc w:val="left"/>
            </w:pPr>
            <w:r>
              <w:rPr>
                <w:sz w:val="18"/>
              </w:rPr>
              <w:t xml:space="preserve">Unique IDs; SSO with the Company’s IdP where elected; MFA for all users and all Service Provider personnel, and for critical activities (disbursement approval, rate or parameter change, user-rights change, bulk export); session time-outs; IP and device restrictions</w:t>
            </w:r>
          </w:p>
        </w:tc>
        <w:tc>
          <w:tcPr>
            <w:tcW w:w="1914" w:type="dxa"/>
          </w:tcPr>
          <w:p>
            <w:pPr>
              <w:pStyle w:val="Compact"/>
              <w:spacing w:after="40"/>
              <w:jc w:val="left"/>
            </w:pPr>
            <w:r>
              <w:rPr>
                <w:sz w:val="18"/>
              </w:rPr>
              <w:t xml:space="preserve">III 8(1)–(2); IV 21(3); V 113, 115, 116(2)</w:t>
            </w:r>
          </w:p>
        </w:tc>
        <w:tc>
          <w:tcPr>
            <w:tcW w:w="1586" w:type="dxa"/>
          </w:tcPr>
          <w:p>
            <w:pPr>
              <w:pStyle w:val="Compact"/>
              <w:spacing w:after="40"/>
              <w:jc w:val="left"/>
            </w:pPr>
            <w:r>
              <w:rPr>
                <w:sz w:val="18"/>
              </w:rPr>
              <w:t xml:space="preserve">97(viii)(a), (d)</w:t>
            </w:r>
          </w:p>
        </w:tc>
      </w:tr>
      <w:tr>
        <w:tc>
          <w:tcPr>
            <w:tcW w:w="732" w:type="dxa"/>
          </w:tcPr>
          <w:p>
            <w:pPr>
              <w:pStyle w:val="Compact"/>
              <w:spacing w:after="40"/>
              <w:jc w:val="left"/>
            </w:pPr>
            <w:r>
              <w:rPr>
                <w:sz w:val="18"/>
              </w:rPr>
              <w:t xml:space="preserve">5</w:t>
            </w:r>
          </w:p>
        </w:tc>
        <w:tc>
          <w:tcPr>
            <w:tcW w:w="1098" w:type="dxa"/>
          </w:tcPr>
          <w:p>
            <w:pPr>
              <w:pStyle w:val="Compact"/>
              <w:spacing w:after="40"/>
              <w:jc w:val="left"/>
            </w:pPr>
            <w:r>
              <w:rPr>
                <w:sz w:val="18"/>
              </w:rPr>
              <w:t xml:space="preserve">Privileged access and SoD</w:t>
            </w:r>
          </w:p>
        </w:tc>
        <w:tc>
          <w:tcPr>
            <w:tcW w:w="4308" w:type="dxa"/>
          </w:tcPr>
          <w:p>
            <w:pPr>
              <w:pStyle w:val="Compact"/>
              <w:spacing w:after="40"/>
              <w:jc w:val="left"/>
            </w:pPr>
            <w:r>
              <w:rPr>
                <w:sz w:val="18"/>
              </w:rPr>
              <w:t xml:space="preserve">PAM with just-in-time elevation and session recording; break-glass access to Company data only on a Company-approved ticket or declared S1, logged and visible to the Company in real time; role-conflict matrix; segregation of system administration, database administration and transaction processing; no shared accounts</w:t>
            </w:r>
          </w:p>
        </w:tc>
        <w:tc>
          <w:tcPr>
            <w:tcW w:w="1914" w:type="dxa"/>
          </w:tcPr>
          <w:p>
            <w:pPr>
              <w:pStyle w:val="Compact"/>
              <w:spacing w:after="40"/>
              <w:jc w:val="left"/>
            </w:pPr>
            <w:r>
              <w:rPr>
                <w:sz w:val="18"/>
              </w:rPr>
              <w:t xml:space="preserve">IV 21(2)–(3); V 114</w:t>
            </w:r>
          </w:p>
        </w:tc>
        <w:tc>
          <w:tcPr>
            <w:tcW w:w="1586" w:type="dxa"/>
          </w:tcPr>
          <w:p>
            <w:pPr>
              <w:pStyle w:val="Compact"/>
              <w:spacing w:after="40"/>
              <w:jc w:val="left"/>
            </w:pPr>
            <w:r>
              <w:rPr>
                <w:sz w:val="18"/>
              </w:rPr>
              <w:t xml:space="preserve">24, 69(i), 97(viii)(b)–(c)</w:t>
            </w:r>
          </w:p>
        </w:tc>
      </w:tr>
      <w:tr>
        <w:tc>
          <w:tcPr>
            <w:tcW w:w="732" w:type="dxa"/>
          </w:tcPr>
          <w:p>
            <w:pPr>
              <w:pStyle w:val="Compact"/>
              <w:spacing w:after="40"/>
              <w:jc w:val="left"/>
            </w:pPr>
            <w:r>
              <w:rPr>
                <w:sz w:val="18"/>
              </w:rPr>
              <w:t xml:space="preserve">6</w:t>
            </w:r>
          </w:p>
        </w:tc>
        <w:tc>
          <w:tcPr>
            <w:tcW w:w="1098" w:type="dxa"/>
          </w:tcPr>
          <w:p>
            <w:pPr>
              <w:pStyle w:val="Compact"/>
              <w:spacing w:after="40"/>
              <w:jc w:val="left"/>
            </w:pPr>
            <w:r>
              <w:rPr>
                <w:sz w:val="18"/>
              </w:rPr>
              <w:t xml:space="preserve">Access lifecycle</w:t>
            </w:r>
          </w:p>
        </w:tc>
        <w:tc>
          <w:tcPr>
            <w:tcW w:w="4308" w:type="dxa"/>
          </w:tcPr>
          <w:p>
            <w:pPr>
              <w:pStyle w:val="Compact"/>
              <w:spacing w:after="40"/>
              <w:jc w:val="left"/>
            </w:pPr>
            <w:r>
              <w:rPr>
                <w:sz w:val="18"/>
              </w:rPr>
              <w:t xml:space="preserve">Leaver access removed within [4] hours; quarterly review of Service Provider accounts; tooling for the Company’s quarterly user access review</w:t>
            </w:r>
          </w:p>
        </w:tc>
        <w:tc>
          <w:tcPr>
            <w:tcW w:w="1914" w:type="dxa"/>
          </w:tcPr>
          <w:p>
            <w:pPr>
              <w:pStyle w:val="Compact"/>
              <w:spacing w:after="40"/>
              <w:jc w:val="left"/>
            </w:pPr>
            <w:r>
              <w:rPr>
                <w:sz w:val="18"/>
              </w:rPr>
              <w:t xml:space="preserve">IV 21(3); V 73(8), 113</w:t>
            </w:r>
          </w:p>
        </w:tc>
        <w:tc>
          <w:tcPr>
            <w:tcW w:w="1586" w:type="dxa"/>
          </w:tcPr>
          <w:p>
            <w:pPr>
              <w:pStyle w:val="Compact"/>
              <w:spacing w:after="40"/>
              <w:jc w:val="left"/>
            </w:pPr>
            <w:r>
              <w:rPr>
                <w:sz w:val="18"/>
              </w:rPr>
              <w:t xml:space="preserve">97(viii)(c)</w:t>
            </w:r>
          </w:p>
        </w:tc>
      </w:tr>
      <w:tr>
        <w:tc>
          <w:tcPr>
            <w:tcW w:w="732" w:type="dxa"/>
          </w:tcPr>
          <w:p>
            <w:pPr>
              <w:pStyle w:val="Compact"/>
              <w:spacing w:after="40"/>
              <w:jc w:val="left"/>
            </w:pPr>
            <w:r>
              <w:rPr>
                <w:sz w:val="18"/>
              </w:rPr>
              <w:t xml:space="preserve">7</w:t>
            </w:r>
          </w:p>
        </w:tc>
        <w:tc>
          <w:tcPr>
            <w:tcW w:w="1098" w:type="dxa"/>
          </w:tcPr>
          <w:p>
            <w:pPr>
              <w:pStyle w:val="Compact"/>
              <w:spacing w:after="40"/>
              <w:jc w:val="left"/>
            </w:pPr>
            <w:r>
              <w:rPr>
                <w:sz w:val="18"/>
              </w:rPr>
              <w:t xml:space="preserve">Cryptography</w:t>
            </w:r>
          </w:p>
        </w:tc>
        <w:tc>
          <w:tcPr>
            <w:tcW w:w="4308" w:type="dxa"/>
          </w:tcPr>
          <w:p>
            <w:pPr>
              <w:pStyle w:val="Compact"/>
              <w:spacing w:after="40"/>
              <w:jc w:val="left"/>
            </w:pPr>
            <w:r>
              <w:rPr>
                <w:sz w:val="18"/>
              </w:rPr>
              <w:t xml:space="preserve">AES-256 at rest (databases, files, backups, logs); TLS 1.2+ (1.3 preferred) in transit including internal traffic; field-level encryption of PAN, Aadhaar reference, account numbers and date of birth; no deprecated algorithms or protocols; end-to-end encryption for mobile</w:t>
            </w:r>
          </w:p>
        </w:tc>
        <w:tc>
          <w:tcPr>
            <w:tcW w:w="1914" w:type="dxa"/>
          </w:tcPr>
          <w:p>
            <w:pPr>
              <w:pStyle w:val="Compact"/>
              <w:spacing w:after="40"/>
              <w:jc w:val="left"/>
            </w:pPr>
            <w:r>
              <w:rPr>
                <w:sz w:val="18"/>
              </w:rPr>
              <w:t xml:space="preserve">IV 21(9), 33; V 118</w:t>
            </w:r>
          </w:p>
        </w:tc>
        <w:tc>
          <w:tcPr>
            <w:tcW w:w="1586" w:type="dxa"/>
          </w:tcPr>
          <w:p>
            <w:pPr>
              <w:pStyle w:val="Compact"/>
              <w:spacing w:after="40"/>
              <w:jc w:val="left"/>
            </w:pPr>
            <w:r>
              <w:rPr>
                <w:sz w:val="18"/>
              </w:rPr>
              <w:t xml:space="preserve">97(vii)(b)</w:t>
            </w:r>
          </w:p>
        </w:tc>
      </w:tr>
      <w:tr>
        <w:tc>
          <w:tcPr>
            <w:tcW w:w="732" w:type="dxa"/>
          </w:tcPr>
          <w:p>
            <w:pPr>
              <w:pStyle w:val="Compact"/>
              <w:spacing w:after="40"/>
              <w:jc w:val="left"/>
            </w:pPr>
            <w:r>
              <w:rPr>
                <w:sz w:val="18"/>
              </w:rPr>
              <w:t xml:space="preserve">8</w:t>
            </w:r>
          </w:p>
        </w:tc>
        <w:tc>
          <w:tcPr>
            <w:tcW w:w="1098" w:type="dxa"/>
          </w:tcPr>
          <w:p>
            <w:pPr>
              <w:pStyle w:val="Compact"/>
              <w:spacing w:after="40"/>
              <w:jc w:val="left"/>
            </w:pPr>
            <w:r>
              <w:rPr>
                <w:sz w:val="18"/>
              </w:rPr>
              <w:t xml:space="preserve">Key management</w:t>
            </w:r>
          </w:p>
        </w:tc>
        <w:tc>
          <w:tcPr>
            <w:tcW w:w="4308" w:type="dxa"/>
          </w:tcPr>
          <w:p>
            <w:pPr>
              <w:pStyle w:val="Compact"/>
              <w:spacing w:after="40"/>
              <w:jc w:val="left"/>
            </w:pPr>
            <w:r>
              <w:rPr>
                <w:sz w:val="18"/>
              </w:rPr>
              <w:t xml:space="preserve">Per-tenant KMS envelope keys; FIPS 140-2 or FIPS 140-3 Level 3 (FIPS 140-3 for any HSM procured or replaced after 21 September 2026) HSM for signing and vault keys; annual rotation; dual control;</w:t>
            </w:r>
            <w:r>
              <w:rPr>
                <w:sz w:val="18"/>
              </w:rPr>
              <w:t xml:space="preserve"> </w:t>
            </w:r>
            <w:r>
              <w:rPr>
                <w:bCs/>
                <w:b/>
                <w:sz w:val="18"/>
              </w:rPr>
              <w:t xml:space="preserve">Company-controlled keys (BYOK/HYOK) with revocation, mandatory for a Middle Layer or higher Company on a cloud deployment</w:t>
            </w:r>
          </w:p>
        </w:tc>
        <w:tc>
          <w:tcPr>
            <w:tcW w:w="1914" w:type="dxa"/>
          </w:tcPr>
          <w:p>
            <w:pPr>
              <w:pStyle w:val="Compact"/>
              <w:spacing w:after="40"/>
              <w:jc w:val="left"/>
            </w:pPr>
            <w:r>
              <w:rPr>
                <w:sz w:val="18"/>
              </w:rPr>
              <w:t xml:space="preserve">V 118</w:t>
            </w:r>
          </w:p>
        </w:tc>
        <w:tc>
          <w:tcPr>
            <w:tcW w:w="1586" w:type="dxa"/>
          </w:tcPr>
          <w:p>
            <w:pPr>
              <w:pStyle w:val="Compact"/>
              <w:spacing w:after="40"/>
              <w:jc w:val="left"/>
            </w:pPr>
            <w:r>
              <w:rPr>
                <w:sz w:val="18"/>
              </w:rPr>
              <w:t xml:space="preserve">97(vii)(b)</w:t>
            </w:r>
          </w:p>
        </w:tc>
      </w:tr>
      <w:tr>
        <w:tc>
          <w:tcPr>
            <w:tcW w:w="732" w:type="dxa"/>
          </w:tcPr>
          <w:p>
            <w:pPr>
              <w:pStyle w:val="Compact"/>
              <w:spacing w:after="40"/>
              <w:jc w:val="left"/>
            </w:pPr>
            <w:r>
              <w:rPr>
                <w:sz w:val="18"/>
              </w:rPr>
              <w:t xml:space="preserve">9</w:t>
            </w:r>
          </w:p>
        </w:tc>
        <w:tc>
          <w:tcPr>
            <w:tcW w:w="1098" w:type="dxa"/>
          </w:tcPr>
          <w:p>
            <w:pPr>
              <w:pStyle w:val="Compact"/>
              <w:spacing w:after="40"/>
              <w:jc w:val="left"/>
            </w:pPr>
            <w:r>
              <w:rPr>
                <w:sz w:val="18"/>
              </w:rPr>
              <w:t xml:space="preserve">Masking and non-production</w:t>
            </w:r>
          </w:p>
        </w:tc>
        <w:tc>
          <w:tcPr>
            <w:tcW w:w="4308" w:type="dxa"/>
          </w:tcPr>
          <w:p>
            <w:pPr>
              <w:pStyle w:val="Compact"/>
              <w:spacing w:after="40"/>
              <w:jc w:val="left"/>
            </w:pPr>
            <w:r>
              <w:rPr>
                <w:sz w:val="18"/>
              </w:rPr>
              <w:t xml:space="preserve">Role-based masking in UI and exports; no production Personal Data in non-production except under Schedule 1, Part D; no Aadhaar, PAN, OTP, account numbers or sensitive data in logs</w:t>
            </w:r>
          </w:p>
        </w:tc>
        <w:tc>
          <w:tcPr>
            <w:tcW w:w="1914" w:type="dxa"/>
          </w:tcPr>
          <w:p>
            <w:pPr>
              <w:pStyle w:val="Compact"/>
              <w:spacing w:after="40"/>
              <w:jc w:val="left"/>
            </w:pPr>
            <w:r>
              <w:rPr>
                <w:sz w:val="18"/>
              </w:rPr>
              <w:t xml:space="preserve">V 113</w:t>
            </w:r>
          </w:p>
        </w:tc>
        <w:tc>
          <w:tcPr>
            <w:tcW w:w="1586" w:type="dxa"/>
          </w:tcPr>
          <w:p>
            <w:pPr>
              <w:pStyle w:val="Compact"/>
              <w:spacing w:after="40"/>
              <w:jc w:val="left"/>
            </w:pPr>
            <w:r>
              <w:rPr>
                <w:sz w:val="18"/>
              </w:rPr>
              <w:t xml:space="preserve">24, 69(i)</w:t>
            </w:r>
          </w:p>
        </w:tc>
      </w:tr>
      <w:tr>
        <w:tc>
          <w:tcPr>
            <w:tcW w:w="732" w:type="dxa"/>
          </w:tcPr>
          <w:p>
            <w:pPr>
              <w:pStyle w:val="Compact"/>
              <w:spacing w:after="40"/>
              <w:jc w:val="left"/>
            </w:pPr>
            <w:r>
              <w:rPr>
                <w:sz w:val="18"/>
              </w:rPr>
              <w:t xml:space="preserve">10</w:t>
            </w:r>
          </w:p>
        </w:tc>
        <w:tc>
          <w:tcPr>
            <w:tcW w:w="1098" w:type="dxa"/>
          </w:tcPr>
          <w:p>
            <w:pPr>
              <w:pStyle w:val="Compact"/>
              <w:spacing w:after="40"/>
              <w:jc w:val="left"/>
            </w:pPr>
            <w:r>
              <w:rPr>
                <w:sz w:val="18"/>
              </w:rPr>
              <w:t xml:space="preserve">Multi-tenant segregation</w:t>
            </w:r>
          </w:p>
        </w:tc>
        <w:tc>
          <w:tcPr>
            <w:tcW w:w="4308" w:type="dxa"/>
          </w:tcPr>
          <w:p>
            <w:pPr>
              <w:pStyle w:val="Compact"/>
              <w:spacing w:after="40"/>
              <w:jc w:val="left"/>
            </w:pPr>
            <w:r>
              <w:rPr>
                <w:sz w:val="18"/>
              </w:rPr>
              <w:t xml:space="preserve">Tenant and entity isolation in API, service layer and database (row-level security); tenant-scoped keys; only Company-authorised personnel access its data; cross-tenant tests in every release; annual independent isolation PT; ability to isolate and identify all Company data and assets</w:t>
            </w:r>
          </w:p>
        </w:tc>
        <w:tc>
          <w:tcPr>
            <w:tcW w:w="1914" w:type="dxa"/>
          </w:tcPr>
          <w:p>
            <w:pPr>
              <w:pStyle w:val="Compact"/>
              <w:spacing w:after="40"/>
              <w:jc w:val="left"/>
            </w:pPr>
            <w:r>
              <w:rPr>
                <w:sz w:val="18"/>
              </w:rPr>
              <w:t xml:space="preserve">—</w:t>
            </w:r>
          </w:p>
        </w:tc>
        <w:tc>
          <w:tcPr>
            <w:tcW w:w="1586" w:type="dxa"/>
          </w:tcPr>
          <w:p>
            <w:pPr>
              <w:pStyle w:val="Compact"/>
              <w:spacing w:after="40"/>
              <w:jc w:val="left"/>
            </w:pPr>
            <w:r>
              <w:rPr>
                <w:sz w:val="18"/>
              </w:rPr>
              <w:t xml:space="preserve">26–27, 42, 70, 97(iii), 97(vii)(c)</w:t>
            </w:r>
          </w:p>
        </w:tc>
      </w:tr>
      <w:tr>
        <w:tc>
          <w:tcPr>
            <w:tcW w:w="732" w:type="dxa"/>
          </w:tcPr>
          <w:p>
            <w:pPr>
              <w:pStyle w:val="Compact"/>
              <w:spacing w:after="40"/>
              <w:jc w:val="left"/>
            </w:pPr>
            <w:r>
              <w:rPr>
                <w:sz w:val="18"/>
              </w:rPr>
              <w:t xml:space="preserve">11</w:t>
            </w:r>
          </w:p>
        </w:tc>
        <w:tc>
          <w:tcPr>
            <w:tcW w:w="1098" w:type="dxa"/>
          </w:tcPr>
          <w:p>
            <w:pPr>
              <w:pStyle w:val="Compact"/>
              <w:spacing w:after="40"/>
              <w:jc w:val="left"/>
            </w:pPr>
            <w:r>
              <w:rPr>
                <w:sz w:val="18"/>
              </w:rPr>
              <w:t xml:space="preserve">Secure SDLC</w:t>
            </w:r>
          </w:p>
        </w:tc>
        <w:tc>
          <w:tcPr>
            <w:tcW w:w="4308" w:type="dxa"/>
          </w:tcPr>
          <w:p>
            <w:pPr>
              <w:pStyle w:val="Compact"/>
              <w:spacing w:after="40"/>
              <w:jc w:val="left"/>
            </w:pPr>
            <w:r>
              <w:rPr>
                <w:sz w:val="18"/>
              </w:rPr>
              <w:t xml:space="preserve">Threat models; OWASP ASVS Level 2; peer review; SAST, DAST, SCA and secret scanning in CI; signed builds; pinned dependencies; defects remediated in design, development and testing; new or changed applications pass the Company’s product approval and QA</w:t>
            </w:r>
          </w:p>
        </w:tc>
        <w:tc>
          <w:tcPr>
            <w:tcW w:w="1914" w:type="dxa"/>
          </w:tcPr>
          <w:p>
            <w:pPr>
              <w:pStyle w:val="Compact"/>
              <w:spacing w:after="40"/>
              <w:jc w:val="left"/>
            </w:pPr>
            <w:r>
              <w:rPr>
                <w:sz w:val="18"/>
              </w:rPr>
              <w:t xml:space="preserve">IV 39; V 86–88, 104</w:t>
            </w:r>
          </w:p>
        </w:tc>
        <w:tc>
          <w:tcPr>
            <w:tcW w:w="1586" w:type="dxa"/>
          </w:tcPr>
          <w:p>
            <w:pPr>
              <w:pStyle w:val="Compact"/>
              <w:spacing w:after="40"/>
              <w:jc w:val="left"/>
            </w:pPr>
            <w:r>
              <w:rPr>
                <w:sz w:val="18"/>
              </w:rPr>
              <w:t xml:space="preserve">97(vii)(a)</w:t>
            </w:r>
          </w:p>
        </w:tc>
      </w:tr>
      <w:tr>
        <w:tc>
          <w:tcPr>
            <w:tcW w:w="732" w:type="dxa"/>
          </w:tcPr>
          <w:p>
            <w:pPr>
              <w:pStyle w:val="Compact"/>
              <w:spacing w:after="40"/>
              <w:jc w:val="left"/>
            </w:pPr>
            <w:r>
              <w:rPr>
                <w:sz w:val="18"/>
              </w:rPr>
              <w:t xml:space="preserve">12</w:t>
            </w:r>
          </w:p>
        </w:tc>
        <w:tc>
          <w:tcPr>
            <w:tcW w:w="1098" w:type="dxa"/>
          </w:tcPr>
          <w:p>
            <w:pPr>
              <w:pStyle w:val="Compact"/>
              <w:spacing w:after="40"/>
              <w:jc w:val="left"/>
            </w:pPr>
            <w:r>
              <w:rPr>
                <w:sz w:val="18"/>
              </w:rPr>
              <w:t xml:space="preserve">Code assurance</w:t>
            </w:r>
          </w:p>
        </w:tc>
        <w:tc>
          <w:tcPr>
            <w:tcW w:w="4308" w:type="dxa"/>
          </w:tcPr>
          <w:p>
            <w:pPr>
              <w:pStyle w:val="Compact"/>
              <w:spacing w:after="40"/>
              <w:jc w:val="left"/>
            </w:pPr>
            <w:r>
              <w:rPr>
                <w:sz w:val="18"/>
              </w:rPr>
              <w:t xml:space="preserve">Certificate of freedom from known vulnerabilities, malware and covert channels at onboarding and each Material Change (Form 15F); SBOM per release; end-of-support register and refresh plan</w:t>
            </w:r>
          </w:p>
        </w:tc>
        <w:tc>
          <w:tcPr>
            <w:tcW w:w="1914" w:type="dxa"/>
          </w:tcPr>
          <w:p>
            <w:pPr>
              <w:pStyle w:val="Compact"/>
              <w:spacing w:after="40"/>
              <w:jc w:val="left"/>
            </w:pPr>
            <w:r>
              <w:rPr>
                <w:sz w:val="18"/>
              </w:rPr>
              <w:t xml:space="preserve">V 92–93, 106</w:t>
            </w:r>
          </w:p>
        </w:tc>
        <w:tc>
          <w:tcPr>
            <w:tcW w:w="1586" w:type="dxa"/>
          </w:tcPr>
          <w:p>
            <w:pPr>
              <w:pStyle w:val="Compact"/>
              <w:spacing w:after="40"/>
              <w:jc w:val="left"/>
            </w:pPr>
            <w:r>
              <w:rPr>
                <w:sz w:val="18"/>
              </w:rPr>
              <w:t xml:space="preserve">74(xi), 82</w:t>
            </w:r>
          </w:p>
        </w:tc>
      </w:tr>
      <w:tr>
        <w:tc>
          <w:tcPr>
            <w:tcW w:w="732" w:type="dxa"/>
          </w:tcPr>
          <w:p>
            <w:pPr>
              <w:pStyle w:val="Compact"/>
              <w:spacing w:after="40"/>
              <w:jc w:val="left"/>
            </w:pPr>
            <w:r>
              <w:rPr>
                <w:sz w:val="18"/>
              </w:rPr>
              <w:t xml:space="preserve">13</w:t>
            </w:r>
          </w:p>
        </w:tc>
        <w:tc>
          <w:tcPr>
            <w:tcW w:w="1098" w:type="dxa"/>
          </w:tcPr>
          <w:p>
            <w:pPr>
              <w:pStyle w:val="Compact"/>
              <w:spacing w:after="40"/>
              <w:jc w:val="left"/>
            </w:pPr>
            <w:r>
              <w:rPr>
                <w:sz w:val="18"/>
              </w:rPr>
              <w:t xml:space="preserve">VA and PT</w:t>
            </w:r>
          </w:p>
        </w:tc>
        <w:tc>
          <w:tcPr>
            <w:tcW w:w="4308" w:type="dxa"/>
          </w:tcPr>
          <w:p>
            <w:pPr>
              <w:pStyle w:val="Compact"/>
              <w:spacing w:after="40"/>
              <w:jc w:val="left"/>
            </w:pPr>
            <w:r>
              <w:rPr>
                <w:sz w:val="18"/>
              </w:rPr>
              <w:t xml:space="preserve">VA at least six-monthly and PT at least annually for critical and DMZ systems, plus pre- and post-implementation and after Material Changes; on production (or a documented production-equivalent approved by the Company’s ISC); by appropriately trained and independent testers (CYB para 122) who are, as a contractual requirement, CERT-In-empanelled; documented approach with CVSS scoring; reports and remediation status to the Company within [10] Business Days</w:t>
            </w:r>
          </w:p>
        </w:tc>
        <w:tc>
          <w:tcPr>
            <w:tcW w:w="1914" w:type="dxa"/>
          </w:tcPr>
          <w:p>
            <w:pPr>
              <w:pStyle w:val="Compact"/>
              <w:spacing w:after="40"/>
              <w:jc w:val="left"/>
            </w:pPr>
            <w:r>
              <w:rPr>
                <w:sz w:val="18"/>
              </w:rPr>
              <w:t xml:space="preserve">V 121–124, 126</w:t>
            </w:r>
          </w:p>
        </w:tc>
        <w:tc>
          <w:tcPr>
            <w:tcW w:w="1586" w:type="dxa"/>
          </w:tcPr>
          <w:p>
            <w:pPr>
              <w:pStyle w:val="Compact"/>
              <w:spacing w:after="40"/>
              <w:jc w:val="left"/>
            </w:pPr>
            <w:r>
              <w:rPr>
                <w:sz w:val="18"/>
              </w:rPr>
              <w:t xml:space="preserve">97(x)(c)</w:t>
            </w:r>
          </w:p>
        </w:tc>
      </w:tr>
      <w:tr>
        <w:tc>
          <w:tcPr>
            <w:tcW w:w="732" w:type="dxa"/>
          </w:tcPr>
          <w:p>
            <w:pPr>
              <w:pStyle w:val="Compact"/>
              <w:spacing w:after="40"/>
              <w:jc w:val="left"/>
            </w:pPr>
            <w:r>
              <w:rPr>
                <w:sz w:val="18"/>
              </w:rPr>
              <w:t xml:space="preserve">14</w:t>
            </w:r>
          </w:p>
        </w:tc>
        <w:tc>
          <w:tcPr>
            <w:tcW w:w="1098" w:type="dxa"/>
          </w:tcPr>
          <w:p>
            <w:pPr>
              <w:pStyle w:val="Compact"/>
              <w:spacing w:after="40"/>
              <w:jc w:val="left"/>
            </w:pPr>
            <w:r>
              <w:rPr>
                <w:sz w:val="18"/>
              </w:rPr>
              <w:t xml:space="preserve">Audit trails</w:t>
            </w:r>
          </w:p>
        </w:tc>
        <w:tc>
          <w:tcPr>
            <w:tcW w:w="4308" w:type="dxa"/>
          </w:tcPr>
          <w:p>
            <w:pPr>
              <w:pStyle w:val="Compact"/>
              <w:spacing w:after="40"/>
              <w:jc w:val="left"/>
            </w:pPr>
            <w:r>
              <w:rPr>
                <w:sz w:val="18"/>
              </w:rPr>
              <w:t xml:space="preserve">Hash-chained trail of every create, change, approval, sensitive view, export and admin action (user, role, time, source, before and after); sufficient for audit, forensics, dispute resolution and non-repudiation; unauthorised activity recorded; administrative trails and logs retained and accessible on approved request</w:t>
            </w:r>
          </w:p>
        </w:tc>
        <w:tc>
          <w:tcPr>
            <w:tcW w:w="1914" w:type="dxa"/>
          </w:tcPr>
          <w:p>
            <w:pPr>
              <w:pStyle w:val="Compact"/>
              <w:spacing w:after="40"/>
              <w:jc w:val="left"/>
            </w:pPr>
            <w:r>
              <w:rPr>
                <w:sz w:val="18"/>
              </w:rPr>
              <w:t xml:space="preserve">III 8(3); IV 21(8), 62(2)(i); V 109–111</w:t>
            </w:r>
          </w:p>
        </w:tc>
        <w:tc>
          <w:tcPr>
            <w:tcW w:w="1586" w:type="dxa"/>
          </w:tcPr>
          <w:p>
            <w:pPr>
              <w:pStyle w:val="Compact"/>
              <w:spacing w:after="40"/>
              <w:jc w:val="left"/>
            </w:pPr>
            <w:r>
              <w:rPr>
                <w:sz w:val="18"/>
              </w:rPr>
              <w:t xml:space="preserve">74(ii)</w:t>
            </w:r>
          </w:p>
        </w:tc>
      </w:tr>
      <w:tr>
        <w:tc>
          <w:tcPr>
            <w:tcW w:w="732" w:type="dxa"/>
          </w:tcPr>
          <w:p>
            <w:pPr>
              <w:pStyle w:val="Compact"/>
              <w:spacing w:after="40"/>
              <w:jc w:val="left"/>
            </w:pPr>
            <w:r>
              <w:rPr>
                <w:sz w:val="18"/>
              </w:rPr>
              <w:t xml:space="preserve">15</w:t>
            </w:r>
          </w:p>
        </w:tc>
        <w:tc>
          <w:tcPr>
            <w:tcW w:w="1098" w:type="dxa"/>
          </w:tcPr>
          <w:p>
            <w:pPr>
              <w:pStyle w:val="Compact"/>
              <w:spacing w:after="40"/>
              <w:jc w:val="left"/>
            </w:pPr>
            <w:r>
              <w:rPr>
                <w:sz w:val="18"/>
              </w:rPr>
              <w:t xml:space="preserve">Log retention and time</w:t>
            </w:r>
          </w:p>
        </w:tc>
        <w:tc>
          <w:tcPr>
            <w:tcW w:w="4308" w:type="dxa"/>
          </w:tcPr>
          <w:p>
            <w:pPr>
              <w:pStyle w:val="Compact"/>
              <w:spacing w:after="40"/>
              <w:jc w:val="left"/>
            </w:pPr>
            <w:r>
              <w:rPr>
                <w:sz w:val="18"/>
              </w:rPr>
              <w:t xml:space="preserve">Per Clause 11.5(c): administrative audit trails accessible on approved request; all ICT logs kept securely in India for a rolling 180 days (CERT-In Directions); Personal Data processing logs at least one year (DPDP Rules, Rule 6); transaction audit trails for the record’s retention class (Schedule 4, Part F) and not less than [8] years [Option]; tamper protection and NIC or NPL NTP synchronisation (Clause 11.5(e)) [Mandatory — Law]</w:t>
            </w:r>
          </w:p>
        </w:tc>
        <w:tc>
          <w:tcPr>
            <w:tcW w:w="1914" w:type="dxa"/>
          </w:tcPr>
          <w:p>
            <w:pPr>
              <w:pStyle w:val="Compact"/>
              <w:spacing w:after="40"/>
              <w:jc w:val="left"/>
            </w:pPr>
            <w:r>
              <w:rPr>
                <w:sz w:val="18"/>
              </w:rPr>
              <w:t xml:space="preserve">IV 62(2)(i); V 110</w:t>
            </w:r>
          </w:p>
        </w:tc>
        <w:tc>
          <w:tcPr>
            <w:tcW w:w="1586" w:type="dxa"/>
          </w:tcPr>
          <w:p>
            <w:pPr>
              <w:pStyle w:val="Compact"/>
              <w:spacing w:after="40"/>
              <w:jc w:val="left"/>
            </w:pPr>
            <w:r>
              <w:rPr>
                <w:sz w:val="18"/>
              </w:rPr>
              <w:t xml:space="preserve">97(xi)</w:t>
            </w:r>
          </w:p>
        </w:tc>
      </w:tr>
      <w:tr>
        <w:tc>
          <w:tcPr>
            <w:tcW w:w="732" w:type="dxa"/>
          </w:tcPr>
          <w:p>
            <w:pPr>
              <w:pStyle w:val="Compact"/>
              <w:spacing w:after="40"/>
              <w:jc w:val="left"/>
            </w:pPr>
            <w:r>
              <w:rPr>
                <w:sz w:val="18"/>
              </w:rPr>
              <w:t xml:space="preserve">16</w:t>
            </w:r>
          </w:p>
        </w:tc>
        <w:tc>
          <w:tcPr>
            <w:tcW w:w="1098" w:type="dxa"/>
          </w:tcPr>
          <w:p>
            <w:pPr>
              <w:pStyle w:val="Compact"/>
              <w:spacing w:after="40"/>
              <w:jc w:val="left"/>
            </w:pPr>
            <w:r>
              <w:rPr>
                <w:sz w:val="18"/>
              </w:rPr>
              <w:t xml:space="preserve">SOC and monitoring</w:t>
            </w:r>
          </w:p>
        </w:tc>
        <w:tc>
          <w:tcPr>
            <w:tcW w:w="4308" w:type="dxa"/>
          </w:tcPr>
          <w:p>
            <w:pPr>
              <w:pStyle w:val="Compact"/>
              <w:spacing w:after="40"/>
              <w:jc w:val="left"/>
            </w:pPr>
            <w:r>
              <w:rPr>
                <w:sz w:val="18"/>
              </w:rPr>
              <w:t xml:space="preserve">24 x 7 SIEM monitoring; alerts for bulk export, off-hours privileged access and mass status changes; near-real-time log feed to the Company’s SOC (Clause 11.5(d)) in [syslog over TLS / CEF / JSON via HTTPS or a cloud-native log subscription] with fields for tenant, user, role, action, object, source IP, timestamp and outcome; sector threat intelligence; if SOC services are provided to the Company, the Company owns its rules, logs, metadata and analytics and escalation integrates with its incident response</w:t>
            </w:r>
          </w:p>
        </w:tc>
        <w:tc>
          <w:tcPr>
            <w:tcW w:w="1914" w:type="dxa"/>
          </w:tcPr>
          <w:p>
            <w:pPr>
              <w:pStyle w:val="Compact"/>
              <w:spacing w:after="40"/>
              <w:jc w:val="left"/>
            </w:pPr>
            <w:r>
              <w:rPr>
                <w:sz w:val="18"/>
              </w:rPr>
              <w:t xml:space="preserve">IV 26; V 111</w:t>
            </w:r>
          </w:p>
        </w:tc>
        <w:tc>
          <w:tcPr>
            <w:tcW w:w="1586" w:type="dxa"/>
          </w:tcPr>
          <w:p>
            <w:pPr>
              <w:pStyle w:val="Compact"/>
              <w:spacing w:after="40"/>
              <w:jc w:val="left"/>
            </w:pPr>
            <w:r>
              <w:rPr>
                <w:sz w:val="18"/>
              </w:rPr>
              <w:t xml:space="preserve">95, 97(xi), 97(xiii)</w:t>
            </w:r>
          </w:p>
        </w:tc>
      </w:tr>
      <w:tr>
        <w:tc>
          <w:tcPr>
            <w:tcW w:w="732" w:type="dxa"/>
          </w:tcPr>
          <w:p>
            <w:pPr>
              <w:pStyle w:val="Compact"/>
              <w:spacing w:after="40"/>
              <w:jc w:val="left"/>
            </w:pPr>
            <w:r>
              <w:rPr>
                <w:sz w:val="18"/>
              </w:rPr>
              <w:t xml:space="preserve">17</w:t>
            </w:r>
          </w:p>
        </w:tc>
        <w:tc>
          <w:tcPr>
            <w:tcW w:w="1098" w:type="dxa"/>
          </w:tcPr>
          <w:p>
            <w:pPr>
              <w:pStyle w:val="Compact"/>
              <w:spacing w:after="40"/>
              <w:jc w:val="left"/>
            </w:pPr>
            <w:r>
              <w:rPr>
                <w:sz w:val="18"/>
              </w:rPr>
              <w:t xml:space="preserve">Backup</w:t>
            </w:r>
          </w:p>
        </w:tc>
        <w:tc>
          <w:tcPr>
            <w:tcW w:w="4308" w:type="dxa"/>
          </w:tcPr>
          <w:p>
            <w:pPr>
              <w:pStyle w:val="Compact"/>
              <w:spacing w:after="40"/>
              <w:jc w:val="left"/>
            </w:pPr>
            <w:r>
              <w:rPr>
                <w:sz w:val="18"/>
              </w:rPr>
              <w:t xml:space="preserve">Encrypted, immutable India backups in a separate account; daily full plus point-in-time recovery; quarterly restore tests; half-yearly recovery test without loss of transactions or audit trails</w:t>
            </w:r>
          </w:p>
        </w:tc>
        <w:tc>
          <w:tcPr>
            <w:tcW w:w="1914" w:type="dxa"/>
          </w:tcPr>
          <w:p>
            <w:pPr>
              <w:pStyle w:val="Compact"/>
              <w:spacing w:after="40"/>
              <w:jc w:val="left"/>
            </w:pPr>
            <w:r>
              <w:rPr>
                <w:sz w:val="18"/>
              </w:rPr>
              <w:t xml:space="preserve">III 8(9); IV 59(3); V 133</w:t>
            </w:r>
          </w:p>
        </w:tc>
        <w:tc>
          <w:tcPr>
            <w:tcW w:w="1586" w:type="dxa"/>
          </w:tcPr>
          <w:p>
            <w:pPr>
              <w:pStyle w:val="Compact"/>
              <w:spacing w:after="40"/>
              <w:jc w:val="left"/>
            </w:pPr>
            <w:r>
              <w:rPr>
                <w:sz w:val="18"/>
              </w:rPr>
              <w:t xml:space="preserve">97(xiv)</w:t>
            </w:r>
          </w:p>
        </w:tc>
      </w:tr>
      <w:tr>
        <w:tc>
          <w:tcPr>
            <w:tcW w:w="732" w:type="dxa"/>
          </w:tcPr>
          <w:p>
            <w:pPr>
              <w:pStyle w:val="Compact"/>
              <w:spacing w:after="40"/>
              <w:jc w:val="left"/>
            </w:pPr>
            <w:r>
              <w:rPr>
                <w:sz w:val="18"/>
              </w:rPr>
              <w:t xml:space="preserve">18</w:t>
            </w:r>
          </w:p>
        </w:tc>
        <w:tc>
          <w:tcPr>
            <w:tcW w:w="1098" w:type="dxa"/>
          </w:tcPr>
          <w:p>
            <w:pPr>
              <w:pStyle w:val="Compact"/>
              <w:spacing w:after="40"/>
              <w:jc w:val="left"/>
            </w:pPr>
            <w:r>
              <w:rPr>
                <w:sz w:val="18"/>
              </w:rPr>
              <w:t xml:space="preserve">Change and patching</w:t>
            </w:r>
          </w:p>
        </w:tc>
        <w:tc>
          <w:tcPr>
            <w:tcW w:w="4308" w:type="dxa"/>
          </w:tcPr>
          <w:p>
            <w:pPr>
              <w:pStyle w:val="Compact"/>
              <w:spacing w:after="40"/>
              <w:jc w:val="left"/>
            </w:pPr>
            <w:r>
              <w:rPr>
                <w:sz w:val="18"/>
              </w:rPr>
              <w:t xml:space="preserve">Impact-assessed, approved, timely patches and changes with rollback; DC and DR configuration identical via infrastructure-as-code with drift detection</w:t>
            </w:r>
          </w:p>
        </w:tc>
        <w:tc>
          <w:tcPr>
            <w:tcW w:w="1914" w:type="dxa"/>
          </w:tcPr>
          <w:p>
            <w:pPr>
              <w:pStyle w:val="Compact"/>
              <w:spacing w:after="40"/>
              <w:jc w:val="left"/>
            </w:pPr>
            <w:r>
              <w:rPr>
                <w:sz w:val="18"/>
              </w:rPr>
              <w:t xml:space="preserve">IV 41–42; V 112, 137</w:t>
            </w:r>
          </w:p>
        </w:tc>
        <w:tc>
          <w:tcPr>
            <w:tcW w:w="1586" w:type="dxa"/>
          </w:tcPr>
          <w:p>
            <w:pPr>
              <w:pStyle w:val="Compact"/>
              <w:spacing w:after="40"/>
              <w:jc w:val="left"/>
            </w:pPr>
            <w:r>
              <w:rPr>
                <w:sz w:val="18"/>
              </w:rPr>
              <w:t xml:space="preserve">97(ix), (xii)</w:t>
            </w:r>
          </w:p>
        </w:tc>
      </w:tr>
      <w:tr>
        <w:tc>
          <w:tcPr>
            <w:tcW w:w="732" w:type="dxa"/>
          </w:tcPr>
          <w:p>
            <w:pPr>
              <w:pStyle w:val="Compact"/>
              <w:spacing w:after="40"/>
              <w:jc w:val="left"/>
            </w:pPr>
            <w:r>
              <w:rPr>
                <w:sz w:val="18"/>
              </w:rPr>
              <w:t xml:space="preserve">19</w:t>
            </w:r>
          </w:p>
        </w:tc>
        <w:tc>
          <w:tcPr>
            <w:tcW w:w="1098" w:type="dxa"/>
          </w:tcPr>
          <w:p>
            <w:pPr>
              <w:pStyle w:val="Compact"/>
              <w:spacing w:after="40"/>
              <w:jc w:val="left"/>
            </w:pPr>
            <w:r>
              <w:rPr>
                <w:sz w:val="18"/>
              </w:rPr>
              <w:t xml:space="preserve">Network and cloud</w:t>
            </w:r>
          </w:p>
        </w:tc>
        <w:tc>
          <w:tcPr>
            <w:tcW w:w="4308" w:type="dxa"/>
          </w:tcPr>
          <w:p>
            <w:pPr>
              <w:pStyle w:val="Compact"/>
              <w:spacing w:after="40"/>
              <w:jc w:val="left"/>
            </w:pPr>
            <w:r>
              <w:rPr>
                <w:sz w:val="18"/>
              </w:rPr>
              <w:t xml:space="preserve">Segmentation; WAF and DDoS protection on all internet endpoints; CIS baselines; posture management; dual-stack IPv4 and IPv6 public endpoints; no direct database exposure</w:t>
            </w:r>
          </w:p>
        </w:tc>
        <w:tc>
          <w:tcPr>
            <w:tcW w:w="1914" w:type="dxa"/>
          </w:tcPr>
          <w:p>
            <w:pPr>
              <w:pStyle w:val="Compact"/>
              <w:spacing w:after="40"/>
              <w:jc w:val="left"/>
            </w:pPr>
            <w:r>
              <w:rPr>
                <w:sz w:val="18"/>
              </w:rPr>
              <w:t xml:space="preserve">IV 18(4), 27; V 101</w:t>
            </w:r>
          </w:p>
        </w:tc>
        <w:tc>
          <w:tcPr>
            <w:tcW w:w="1586" w:type="dxa"/>
          </w:tcPr>
          <w:p>
            <w:pPr>
              <w:pStyle w:val="Compact"/>
              <w:spacing w:after="40"/>
              <w:jc w:val="left"/>
            </w:pPr>
            <w:r>
              <w:rPr>
                <w:sz w:val="18"/>
              </w:rPr>
              <w:t xml:space="preserve">97(ix), (xii)</w:t>
            </w:r>
          </w:p>
        </w:tc>
      </w:tr>
      <w:tr>
        <w:tc>
          <w:tcPr>
            <w:tcW w:w="732" w:type="dxa"/>
          </w:tcPr>
          <w:p>
            <w:pPr>
              <w:pStyle w:val="Compact"/>
              <w:spacing w:after="40"/>
              <w:jc w:val="left"/>
            </w:pPr>
            <w:r>
              <w:rPr>
                <w:sz w:val="18"/>
              </w:rPr>
              <w:t xml:space="preserve">20</w:t>
            </w:r>
          </w:p>
        </w:tc>
        <w:tc>
          <w:tcPr>
            <w:tcW w:w="1098" w:type="dxa"/>
          </w:tcPr>
          <w:p>
            <w:pPr>
              <w:pStyle w:val="Compact"/>
              <w:spacing w:after="40"/>
              <w:jc w:val="left"/>
            </w:pPr>
            <w:r>
              <w:rPr>
                <w:sz w:val="18"/>
              </w:rPr>
              <w:t xml:space="preserve">Endpoints and teleworking</w:t>
            </w:r>
          </w:p>
        </w:tc>
        <w:tc>
          <w:tcPr>
            <w:tcW w:w="4308" w:type="dxa"/>
          </w:tcPr>
          <w:p>
            <w:pPr>
              <w:pStyle w:val="Compact"/>
              <w:spacing w:after="40"/>
              <w:jc w:val="left"/>
            </w:pPr>
            <w:r>
              <w:rPr>
                <w:sz w:val="18"/>
              </w:rPr>
              <w:t xml:space="preserve">Managed encrypted devices with EDR; removable media blocked; DLP; no personal devices; MFA and identification of all remote-access devices</w:t>
            </w:r>
          </w:p>
        </w:tc>
        <w:tc>
          <w:tcPr>
            <w:tcW w:w="1914" w:type="dxa"/>
          </w:tcPr>
          <w:p>
            <w:pPr>
              <w:pStyle w:val="Compact"/>
              <w:spacing w:after="40"/>
              <w:jc w:val="left"/>
            </w:pPr>
            <w:r>
              <w:rPr>
                <w:sz w:val="18"/>
              </w:rPr>
              <w:t xml:space="preserve">V 116</w:t>
            </w:r>
          </w:p>
        </w:tc>
        <w:tc>
          <w:tcPr>
            <w:tcW w:w="1586" w:type="dxa"/>
          </w:tcPr>
          <w:p>
            <w:pPr>
              <w:pStyle w:val="Compact"/>
              <w:spacing w:after="40"/>
              <w:jc w:val="left"/>
            </w:pPr>
            <w:r>
              <w:rPr>
                <w:sz w:val="18"/>
              </w:rPr>
              <w:t xml:space="preserve">69(i)</w:t>
            </w:r>
          </w:p>
        </w:tc>
      </w:tr>
      <w:tr>
        <w:tc>
          <w:tcPr>
            <w:tcW w:w="732" w:type="dxa"/>
          </w:tcPr>
          <w:p>
            <w:pPr>
              <w:pStyle w:val="Compact"/>
              <w:spacing w:after="40"/>
              <w:jc w:val="left"/>
            </w:pPr>
            <w:r>
              <w:rPr>
                <w:sz w:val="18"/>
              </w:rPr>
              <w:t xml:space="preserve">21</w:t>
            </w:r>
          </w:p>
        </w:tc>
        <w:tc>
          <w:tcPr>
            <w:tcW w:w="1098" w:type="dxa"/>
          </w:tcPr>
          <w:p>
            <w:pPr>
              <w:pStyle w:val="Compact"/>
              <w:spacing w:after="40"/>
              <w:jc w:val="left"/>
            </w:pPr>
            <w:r>
              <w:rPr>
                <w:sz w:val="18"/>
              </w:rPr>
              <w:t xml:space="preserve">Mobile and field app</w:t>
            </w:r>
          </w:p>
        </w:tc>
        <w:tc>
          <w:tcPr>
            <w:tcW w:w="4308" w:type="dxa"/>
          </w:tcPr>
          <w:p>
            <w:pPr>
              <w:pStyle w:val="Compact"/>
              <w:spacing w:after="40"/>
              <w:jc w:val="left"/>
            </w:pPr>
            <w:r>
              <w:rPr>
                <w:sz w:val="18"/>
              </w:rPr>
              <w:t xml:space="preserve">Device binding; root and jailbreak detection; certificate pinning; encrypted storage with remote wipe; one-time camera, microphone and location only for onboarding or KYC with consent; no access to file and media, contacts, call logs or telephony (CF para 13(1))</w:t>
            </w:r>
          </w:p>
        </w:tc>
        <w:tc>
          <w:tcPr>
            <w:tcW w:w="1914" w:type="dxa"/>
          </w:tcPr>
          <w:p>
            <w:pPr>
              <w:pStyle w:val="Compact"/>
              <w:spacing w:after="40"/>
              <w:jc w:val="left"/>
            </w:pPr>
            <w:r>
              <w:rPr>
                <w:sz w:val="18"/>
              </w:rPr>
              <w:t xml:space="preserve">IV 33; V 118</w:t>
            </w:r>
          </w:p>
        </w:tc>
        <w:tc>
          <w:tcPr>
            <w:tcW w:w="1586" w:type="dxa"/>
          </w:tcPr>
          <w:p>
            <w:pPr>
              <w:pStyle w:val="Compact"/>
              <w:spacing w:after="40"/>
              <w:jc w:val="left"/>
            </w:pPr>
            <w:r>
              <w:rPr>
                <w:sz w:val="18"/>
              </w:rPr>
              <w:t xml:space="preserve">—</w:t>
            </w:r>
          </w:p>
        </w:tc>
      </w:tr>
      <w:tr>
        <w:tc>
          <w:tcPr>
            <w:tcW w:w="732" w:type="dxa"/>
          </w:tcPr>
          <w:p>
            <w:pPr>
              <w:pStyle w:val="Compact"/>
              <w:spacing w:after="40"/>
              <w:jc w:val="left"/>
            </w:pPr>
            <w:r>
              <w:rPr>
                <w:sz w:val="18"/>
              </w:rPr>
              <w:t xml:space="preserve">22</w:t>
            </w:r>
          </w:p>
        </w:tc>
        <w:tc>
          <w:tcPr>
            <w:tcW w:w="1098" w:type="dxa"/>
          </w:tcPr>
          <w:p>
            <w:pPr>
              <w:pStyle w:val="Compact"/>
              <w:spacing w:after="40"/>
              <w:jc w:val="left"/>
            </w:pPr>
            <w:r>
              <w:rPr>
                <w:sz w:val="18"/>
              </w:rPr>
              <w:t xml:space="preserve">Data integrity and STP</w:t>
            </w:r>
          </w:p>
        </w:tc>
        <w:tc>
          <w:tcPr>
            <w:tcW w:w="4308" w:type="dxa"/>
          </w:tcPr>
          <w:p>
            <w:pPr>
              <w:pStyle w:val="Compact"/>
              <w:spacing w:after="40"/>
              <w:jc w:val="left"/>
            </w:pPr>
            <w:r>
              <w:rPr>
                <w:sz w:val="18"/>
              </w:rPr>
              <w:t xml:space="preserve">No manual modification of data between processes or applications for critical applications; tested automated transfers with checks and audit trails; CIC, CIMS, GL and partner files hashed and signed; maker-checker on sensitive actions</w:t>
            </w:r>
          </w:p>
        </w:tc>
        <w:tc>
          <w:tcPr>
            <w:tcW w:w="1914" w:type="dxa"/>
          </w:tcPr>
          <w:p>
            <w:pPr>
              <w:pStyle w:val="Compact"/>
              <w:spacing w:after="40"/>
              <w:jc w:val="left"/>
            </w:pPr>
            <w:r>
              <w:rPr>
                <w:sz w:val="18"/>
              </w:rPr>
              <w:t xml:space="preserve">III 8(3); IV 21(6); V 119–120</w:t>
            </w:r>
          </w:p>
        </w:tc>
        <w:tc>
          <w:tcPr>
            <w:tcW w:w="1586" w:type="dxa"/>
          </w:tcPr>
          <w:p>
            <w:pPr>
              <w:pStyle w:val="Compact"/>
              <w:spacing w:after="40"/>
              <w:jc w:val="left"/>
            </w:pPr>
            <w:r>
              <w:rPr>
                <w:sz w:val="18"/>
              </w:rPr>
              <w:t xml:space="preserve">—</w:t>
            </w:r>
          </w:p>
        </w:tc>
      </w:tr>
      <w:tr>
        <w:tc>
          <w:tcPr>
            <w:tcW w:w="732" w:type="dxa"/>
          </w:tcPr>
          <w:p>
            <w:pPr>
              <w:pStyle w:val="Compact"/>
              <w:spacing w:after="40"/>
              <w:jc w:val="left"/>
            </w:pPr>
            <w:r>
              <w:rPr>
                <w:sz w:val="18"/>
              </w:rPr>
              <w:t xml:space="preserve">23</w:t>
            </w:r>
          </w:p>
        </w:tc>
        <w:tc>
          <w:tcPr>
            <w:tcW w:w="1098" w:type="dxa"/>
          </w:tcPr>
          <w:p>
            <w:pPr>
              <w:pStyle w:val="Compact"/>
              <w:spacing w:after="40"/>
              <w:jc w:val="left"/>
            </w:pPr>
            <w:r>
              <w:rPr>
                <w:sz w:val="18"/>
              </w:rPr>
              <w:t xml:space="preserve">Supply chain</w:t>
            </w:r>
          </w:p>
        </w:tc>
        <w:tc>
          <w:tcPr>
            <w:tcW w:w="4308" w:type="dxa"/>
          </w:tcPr>
          <w:p>
            <w:pPr>
              <w:pStyle w:val="Compact"/>
              <w:spacing w:after="40"/>
              <w:jc w:val="left"/>
            </w:pPr>
            <w:r>
              <w:rPr>
                <w:sz w:val="18"/>
              </w:rPr>
              <w:t xml:space="preserve">Due diligence and annual assessment of sub-contractors; back-to-back terms with OEMs and CSPs; supply-chain disclosure; concentration and single-point-of-failure analysis</w:t>
            </w:r>
          </w:p>
        </w:tc>
        <w:tc>
          <w:tcPr>
            <w:tcW w:w="1914" w:type="dxa"/>
          </w:tcPr>
          <w:p>
            <w:pPr>
              <w:pStyle w:val="Compact"/>
              <w:spacing w:after="40"/>
              <w:jc w:val="left"/>
            </w:pPr>
            <w:r>
              <w:rPr>
                <w:sz w:val="18"/>
              </w:rPr>
              <w:t xml:space="preserve">V 117 (contractual standard only: para 117 applies to arrangements outside OUT)</w:t>
            </w:r>
          </w:p>
        </w:tc>
        <w:tc>
          <w:tcPr>
            <w:tcW w:w="1586" w:type="dxa"/>
          </w:tcPr>
          <w:p>
            <w:pPr>
              <w:pStyle w:val="Compact"/>
              <w:spacing w:after="40"/>
              <w:jc w:val="left"/>
            </w:pPr>
            <w:r>
              <w:rPr>
                <w:sz w:val="18"/>
              </w:rPr>
              <w:t xml:space="preserve">67, 71(ii), 74(i), (xi), (xiii), (xviii), 82, 97(x)(d)</w:t>
            </w:r>
          </w:p>
        </w:tc>
      </w:tr>
      <w:tr>
        <w:tc>
          <w:tcPr>
            <w:tcW w:w="732" w:type="dxa"/>
          </w:tcPr>
          <w:p>
            <w:pPr>
              <w:pStyle w:val="Compact"/>
              <w:spacing w:after="40"/>
              <w:jc w:val="left"/>
            </w:pPr>
            <w:r>
              <w:rPr>
                <w:sz w:val="18"/>
              </w:rPr>
              <w:t xml:space="preserve">24</w:t>
            </w:r>
          </w:p>
        </w:tc>
        <w:tc>
          <w:tcPr>
            <w:tcW w:w="1098" w:type="dxa"/>
          </w:tcPr>
          <w:p>
            <w:pPr>
              <w:pStyle w:val="Compact"/>
              <w:spacing w:after="40"/>
              <w:jc w:val="left"/>
            </w:pPr>
            <w:r>
              <w:rPr>
                <w:sz w:val="18"/>
              </w:rPr>
              <w:t xml:space="preserve">AI and LLM</w:t>
            </w:r>
          </w:p>
        </w:tc>
        <w:tc>
          <w:tcPr>
            <w:tcW w:w="4308" w:type="dxa"/>
          </w:tcPr>
          <w:p>
            <w:pPr>
              <w:pStyle w:val="Compact"/>
              <w:spacing w:after="40"/>
              <w:jc w:val="left"/>
            </w:pPr>
            <w:r>
              <w:rPr>
                <w:sz w:val="18"/>
              </w:rPr>
              <w:t xml:space="preserve">India-region inference only; no training on Company Data; zero retention of prompts and outputs by the model provider (Clause 4.12); AI never approves, rejects or prices loans, executes transactions, alters terms, rejects complaints or sends unapproved communications; human approval for consequential actions; model inventory; PII-redacted prompt logs; explainability; bias tests for credit-adjacent models; prompt-injection and leakage tests; alignment with the RBI FREE-AI framework (August 2025) [VERIFY]</w:t>
            </w:r>
          </w:p>
        </w:tc>
        <w:tc>
          <w:tcPr>
            <w:tcW w:w="1914" w:type="dxa"/>
          </w:tcPr>
          <w:p>
            <w:pPr>
              <w:pStyle w:val="Compact"/>
              <w:spacing w:after="40"/>
              <w:jc w:val="left"/>
            </w:pPr>
            <w:r>
              <w:rPr>
                <w:sz w:val="18"/>
              </w:rPr>
              <w:t xml:space="preserve">V 87</w:t>
            </w:r>
          </w:p>
        </w:tc>
        <w:tc>
          <w:tcPr>
            <w:tcW w:w="1586" w:type="dxa"/>
          </w:tcPr>
          <w:p>
            <w:pPr>
              <w:pStyle w:val="Compact"/>
              <w:spacing w:after="40"/>
              <w:jc w:val="left"/>
            </w:pPr>
            <w:r>
              <w:rPr>
                <w:sz w:val="18"/>
              </w:rPr>
              <w:t xml:space="preserve">15</w:t>
            </w:r>
          </w:p>
        </w:tc>
      </w:tr>
      <w:tr>
        <w:tc>
          <w:tcPr>
            <w:tcW w:w="732" w:type="dxa"/>
          </w:tcPr>
          <w:p>
            <w:pPr>
              <w:pStyle w:val="Compact"/>
              <w:spacing w:after="40"/>
              <w:jc w:val="left"/>
            </w:pPr>
            <w:r>
              <w:rPr>
                <w:sz w:val="18"/>
              </w:rPr>
              <w:t xml:space="preserve">25</w:t>
            </w:r>
          </w:p>
        </w:tc>
        <w:tc>
          <w:tcPr>
            <w:tcW w:w="1098" w:type="dxa"/>
          </w:tcPr>
          <w:p>
            <w:pPr>
              <w:pStyle w:val="Compact"/>
              <w:spacing w:after="40"/>
              <w:jc w:val="left"/>
            </w:pPr>
            <w:r>
              <w:rPr>
                <w:sz w:val="18"/>
              </w:rPr>
              <w:t xml:space="preserve">Personnel security</w:t>
            </w:r>
          </w:p>
        </w:tc>
        <w:tc>
          <w:tcPr>
            <w:tcW w:w="4308" w:type="dxa"/>
          </w:tcPr>
          <w:p>
            <w:pPr>
              <w:pStyle w:val="Compact"/>
              <w:spacing w:after="40"/>
              <w:jc w:val="left"/>
            </w:pPr>
            <w:r>
              <w:rPr>
                <w:sz w:val="18"/>
              </w:rPr>
              <w:t xml:space="preserve">Background verification for all personnel with Company data access; rigorous screening for privileged access; re-verification every [3] years; Form 15B undertakings</w:t>
            </w:r>
          </w:p>
        </w:tc>
        <w:tc>
          <w:tcPr>
            <w:tcW w:w="1914" w:type="dxa"/>
          </w:tcPr>
          <w:p>
            <w:pPr>
              <w:pStyle w:val="Compact"/>
              <w:spacing w:after="40"/>
              <w:jc w:val="left"/>
            </w:pPr>
            <w:r>
              <w:rPr>
                <w:sz w:val="18"/>
              </w:rPr>
              <w:t xml:space="preserve">IV 21(4); V 95(2)</w:t>
            </w:r>
          </w:p>
        </w:tc>
        <w:tc>
          <w:tcPr>
            <w:tcW w:w="1586" w:type="dxa"/>
          </w:tcPr>
          <w:p>
            <w:pPr>
              <w:pStyle w:val="Compact"/>
              <w:spacing w:after="40"/>
              <w:jc w:val="left"/>
            </w:pPr>
            <w:r>
              <w:rPr>
                <w:sz w:val="18"/>
              </w:rPr>
              <w:t xml:space="preserve">30(vi)</w:t>
            </w:r>
          </w:p>
        </w:tc>
      </w:tr>
      <w:tr>
        <w:tc>
          <w:tcPr>
            <w:tcW w:w="732" w:type="dxa"/>
          </w:tcPr>
          <w:p>
            <w:pPr>
              <w:pStyle w:val="Compact"/>
              <w:spacing w:after="40"/>
              <w:jc w:val="left"/>
            </w:pPr>
            <w:r>
              <w:rPr>
                <w:sz w:val="18"/>
              </w:rPr>
              <w:t xml:space="preserve">26</w:t>
            </w:r>
          </w:p>
        </w:tc>
        <w:tc>
          <w:tcPr>
            <w:tcW w:w="1098" w:type="dxa"/>
          </w:tcPr>
          <w:p>
            <w:pPr>
              <w:pStyle w:val="Compact"/>
              <w:spacing w:after="40"/>
              <w:jc w:val="left"/>
            </w:pPr>
            <w:r>
              <w:rPr>
                <w:sz w:val="18"/>
              </w:rPr>
              <w:t xml:space="preserve">Physical security</w:t>
            </w:r>
          </w:p>
        </w:tc>
        <w:tc>
          <w:tcPr>
            <w:tcW w:w="4308" w:type="dxa"/>
          </w:tcPr>
          <w:p>
            <w:pPr>
              <w:pStyle w:val="Compact"/>
              <w:spacing w:after="40"/>
              <w:jc w:val="left"/>
            </w:pPr>
            <w:r>
              <w:rPr>
                <w:sz w:val="18"/>
              </w:rPr>
              <w:t xml:space="preserve">DC and DR physical, environmental and e-surveillance controls evidenced by CSP certifications</w:t>
            </w:r>
          </w:p>
        </w:tc>
        <w:tc>
          <w:tcPr>
            <w:tcW w:w="1914" w:type="dxa"/>
          </w:tcPr>
          <w:p>
            <w:pPr>
              <w:pStyle w:val="Compact"/>
              <w:spacing w:after="40"/>
              <w:jc w:val="left"/>
            </w:pPr>
            <w:r>
              <w:rPr>
                <w:sz w:val="18"/>
              </w:rPr>
              <w:t xml:space="preserve">IV 21(5); V 101–103</w:t>
            </w:r>
          </w:p>
        </w:tc>
        <w:tc>
          <w:tcPr>
            <w:tcW w:w="1586" w:type="dxa"/>
          </w:tcPr>
          <w:p>
            <w:pPr>
              <w:pStyle w:val="Compact"/>
              <w:spacing w:after="40"/>
              <w:jc w:val="left"/>
            </w:pPr>
            <w:r>
              <w:rPr>
                <w:sz w:val="18"/>
              </w:rPr>
              <w:t xml:space="preserve">97(x)</w:t>
            </w:r>
          </w:p>
        </w:tc>
      </w:tr>
      <w:tr>
        <w:tc>
          <w:tcPr>
            <w:tcW w:w="732" w:type="dxa"/>
          </w:tcPr>
          <w:p>
            <w:pPr>
              <w:pStyle w:val="Compact"/>
              <w:spacing w:after="40"/>
              <w:jc w:val="left"/>
            </w:pPr>
            <w:r>
              <w:rPr>
                <w:sz w:val="18"/>
              </w:rPr>
              <w:t xml:space="preserve">27</w:t>
            </w:r>
          </w:p>
        </w:tc>
        <w:tc>
          <w:tcPr>
            <w:tcW w:w="1098" w:type="dxa"/>
          </w:tcPr>
          <w:p>
            <w:pPr>
              <w:pStyle w:val="Compact"/>
              <w:spacing w:after="40"/>
              <w:jc w:val="left"/>
            </w:pPr>
            <w:r>
              <w:rPr>
                <w:sz w:val="18"/>
              </w:rPr>
              <w:t xml:space="preserve">Capacity</w:t>
            </w:r>
          </w:p>
        </w:tc>
        <w:tc>
          <w:tcPr>
            <w:tcW w:w="4308" w:type="dxa"/>
          </w:tcPr>
          <w:p>
            <w:pPr>
              <w:pStyle w:val="Compact"/>
              <w:spacing w:after="40"/>
              <w:jc w:val="left"/>
            </w:pPr>
            <w:r>
              <w:rPr>
                <w:sz w:val="18"/>
              </w:rPr>
              <w:t xml:space="preserve">Annual (and pre-onboarding) capacity planning against peak usage and Company projections; alert at [70]% utilisation</w:t>
            </w:r>
          </w:p>
        </w:tc>
        <w:tc>
          <w:tcPr>
            <w:tcW w:w="1914" w:type="dxa"/>
          </w:tcPr>
          <w:p>
            <w:pPr>
              <w:pStyle w:val="Compact"/>
              <w:spacing w:after="40"/>
              <w:jc w:val="left"/>
            </w:pPr>
            <w:r>
              <w:rPr>
                <w:sz w:val="18"/>
              </w:rPr>
              <w:t xml:space="preserve">V 107–108</w:t>
            </w:r>
          </w:p>
        </w:tc>
        <w:tc>
          <w:tcPr>
            <w:tcW w:w="1586" w:type="dxa"/>
          </w:tcPr>
          <w:p>
            <w:pPr>
              <w:pStyle w:val="Compact"/>
              <w:spacing w:after="40"/>
              <w:jc w:val="left"/>
            </w:pPr>
            <w:r>
              <w:rPr>
                <w:sz w:val="18"/>
              </w:rPr>
              <w:t xml:space="preserve">—</w:t>
            </w:r>
          </w:p>
        </w:tc>
      </w:tr>
      <w:tr>
        <w:tc>
          <w:tcPr>
            <w:tcW w:w="732" w:type="dxa"/>
          </w:tcPr>
          <w:p>
            <w:pPr>
              <w:pStyle w:val="Compact"/>
              <w:spacing w:after="40"/>
              <w:jc w:val="left"/>
            </w:pPr>
            <w:r>
              <w:rPr>
                <w:sz w:val="18"/>
              </w:rPr>
              <w:t xml:space="preserve">28</w:t>
            </w:r>
          </w:p>
        </w:tc>
        <w:tc>
          <w:tcPr>
            <w:tcW w:w="1098" w:type="dxa"/>
          </w:tcPr>
          <w:p>
            <w:pPr>
              <w:pStyle w:val="Compact"/>
              <w:spacing w:after="40"/>
              <w:jc w:val="left"/>
            </w:pPr>
            <w:r>
              <w:rPr>
                <w:sz w:val="18"/>
              </w:rPr>
              <w:t xml:space="preserve">Data migration</w:t>
            </w:r>
          </w:p>
        </w:tc>
        <w:tc>
          <w:tcPr>
            <w:tcW w:w="4308" w:type="dxa"/>
          </w:tcPr>
          <w:p>
            <w:pPr>
              <w:pStyle w:val="Compact"/>
              <w:spacing w:after="40"/>
              <w:jc w:val="left"/>
            </w:pPr>
            <w:r>
              <w:rPr>
                <w:sz w:val="18"/>
              </w:rPr>
              <w:t xml:space="preserve">Integrity, completeness and consistency checks, migration audit trail and stage sign-offs by Company users and application owners</w:t>
            </w:r>
          </w:p>
        </w:tc>
        <w:tc>
          <w:tcPr>
            <w:tcW w:w="1914" w:type="dxa"/>
          </w:tcPr>
          <w:p>
            <w:pPr>
              <w:pStyle w:val="Compact"/>
              <w:spacing w:after="40"/>
              <w:jc w:val="left"/>
            </w:pPr>
            <w:r>
              <w:rPr>
                <w:sz w:val="18"/>
              </w:rPr>
              <w:t xml:space="preserve">V 99</w:t>
            </w:r>
          </w:p>
        </w:tc>
        <w:tc>
          <w:tcPr>
            <w:tcW w:w="1586" w:type="dxa"/>
          </w:tcPr>
          <w:p>
            <w:pPr>
              <w:pStyle w:val="Compact"/>
              <w:spacing w:after="40"/>
              <w:jc w:val="left"/>
            </w:pPr>
            <w:r>
              <w:rPr>
                <w:sz w:val="18"/>
              </w:rPr>
              <w:t xml:space="preserve">—</w:t>
            </w:r>
          </w:p>
        </w:tc>
      </w:tr>
      <w:tr>
        <w:tc>
          <w:tcPr>
            <w:tcW w:w="732" w:type="dxa"/>
          </w:tcPr>
          <w:p>
            <w:pPr>
              <w:pStyle w:val="Compact"/>
              <w:spacing w:after="40"/>
              <w:jc w:val="left"/>
            </w:pPr>
            <w:r>
              <w:rPr>
                <w:sz w:val="18"/>
              </w:rPr>
              <w:t xml:space="preserve">29</w:t>
            </w:r>
          </w:p>
        </w:tc>
        <w:tc>
          <w:tcPr>
            <w:tcW w:w="1098" w:type="dxa"/>
          </w:tcPr>
          <w:p>
            <w:pPr>
              <w:pStyle w:val="Compact"/>
              <w:spacing w:after="40"/>
              <w:jc w:val="left"/>
            </w:pPr>
            <w:r>
              <w:rPr>
                <w:sz w:val="18"/>
              </w:rPr>
              <w:t xml:space="preserve">Asset inventory</w:t>
            </w:r>
          </w:p>
        </w:tc>
        <w:tc>
          <w:tcPr>
            <w:tcW w:w="4308" w:type="dxa"/>
          </w:tcPr>
          <w:p>
            <w:pPr>
              <w:pStyle w:val="Compact"/>
              <w:spacing w:after="40"/>
              <w:jc w:val="left"/>
            </w:pPr>
            <w:r>
              <w:rPr>
                <w:sz w:val="18"/>
              </w:rPr>
              <w:t xml:space="preserve">Inventory and CIA classification of assets used for the Services, shared half-yearly</w:t>
            </w:r>
          </w:p>
        </w:tc>
        <w:tc>
          <w:tcPr>
            <w:tcW w:w="1914" w:type="dxa"/>
          </w:tcPr>
          <w:p>
            <w:pPr>
              <w:pStyle w:val="Compact"/>
              <w:spacing w:after="40"/>
              <w:jc w:val="left"/>
            </w:pPr>
            <w:r>
              <w:rPr>
                <w:sz w:val="18"/>
              </w:rPr>
              <w:t xml:space="preserve">IV 21(1); V 91</w:t>
            </w:r>
          </w:p>
        </w:tc>
        <w:tc>
          <w:tcPr>
            <w:tcW w:w="1586" w:type="dxa"/>
          </w:tcPr>
          <w:p>
            <w:pPr>
              <w:pStyle w:val="Compact"/>
              <w:spacing w:after="40"/>
              <w:jc w:val="left"/>
            </w:pPr>
            <w:r>
              <w:rPr>
                <w:sz w:val="18"/>
              </w:rPr>
              <w:t xml:space="preserve">82</w:t>
            </w:r>
          </w:p>
        </w:tc>
      </w:tr>
      <w:tr>
        <w:tc>
          <w:tcPr>
            <w:tcW w:w="732" w:type="dxa"/>
          </w:tcPr>
          <w:p>
            <w:pPr>
              <w:pStyle w:val="Compact"/>
              <w:spacing w:after="40"/>
              <w:jc w:val="left"/>
            </w:pPr>
            <w:r>
              <w:rPr>
                <w:sz w:val="18"/>
              </w:rPr>
              <w:t xml:space="preserve">30</w:t>
            </w:r>
          </w:p>
        </w:tc>
        <w:tc>
          <w:tcPr>
            <w:tcW w:w="1098" w:type="dxa"/>
          </w:tcPr>
          <w:p>
            <w:pPr>
              <w:pStyle w:val="Compact"/>
              <w:spacing w:after="40"/>
              <w:jc w:val="left"/>
            </w:pPr>
            <w:r>
              <w:rPr>
                <w:sz w:val="18"/>
              </w:rPr>
              <w:t xml:space="preserve">Crisis management</w:t>
            </w:r>
          </w:p>
        </w:tc>
        <w:tc>
          <w:tcPr>
            <w:tcW w:w="4308" w:type="dxa"/>
          </w:tcPr>
          <w:p>
            <w:pPr>
              <w:pStyle w:val="Compact"/>
              <w:spacing w:after="40"/>
              <w:jc w:val="left"/>
            </w:pPr>
            <w:r>
              <w:rPr>
                <w:sz w:val="18"/>
              </w:rPr>
              <w:t xml:space="preserve">Incident response procedures with named roles; participation in the Company’s CCMP and drills at least annually; lessons learnt</w:t>
            </w:r>
          </w:p>
        </w:tc>
        <w:tc>
          <w:tcPr>
            <w:tcW w:w="1914" w:type="dxa"/>
          </w:tcPr>
          <w:p>
            <w:pPr>
              <w:pStyle w:val="Compact"/>
              <w:spacing w:after="40"/>
              <w:jc w:val="left"/>
            </w:pPr>
            <w:r>
              <w:rPr>
                <w:sz w:val="18"/>
              </w:rPr>
              <w:t xml:space="preserve">IV 25–27; V 139–146</w:t>
            </w:r>
          </w:p>
        </w:tc>
        <w:tc>
          <w:tcPr>
            <w:tcW w:w="1586" w:type="dxa"/>
          </w:tcPr>
          <w:p>
            <w:pPr>
              <w:pStyle w:val="Compact"/>
              <w:spacing w:after="40"/>
              <w:jc w:val="left"/>
            </w:pPr>
            <w:r>
              <w:rPr>
                <w:sz w:val="18"/>
              </w:rPr>
              <w:t xml:space="preserve">97(xv)</w:t>
            </w:r>
          </w:p>
        </w:tc>
      </w:tr>
      <w:tr>
        <w:tc>
          <w:tcPr>
            <w:tcW w:w="732" w:type="dxa"/>
          </w:tcPr>
          <w:p>
            <w:pPr>
              <w:pStyle w:val="Compact"/>
              <w:spacing w:after="40"/>
              <w:jc w:val="left"/>
            </w:pPr>
            <w:r>
              <w:rPr>
                <w:sz w:val="18"/>
              </w:rPr>
              <w:t xml:space="preserve">31</w:t>
            </w:r>
          </w:p>
        </w:tc>
        <w:tc>
          <w:tcPr>
            <w:tcW w:w="1098" w:type="dxa"/>
          </w:tcPr>
          <w:p>
            <w:pPr>
              <w:pStyle w:val="Compact"/>
              <w:spacing w:after="40"/>
              <w:jc w:val="left"/>
            </w:pPr>
            <w:r>
              <w:rPr>
                <w:sz w:val="18"/>
              </w:rPr>
              <w:t xml:space="preserve">PKI</w:t>
            </w:r>
          </w:p>
        </w:tc>
        <w:tc>
          <w:tcPr>
            <w:tcW w:w="4308" w:type="dxa"/>
          </w:tcPr>
          <w:p>
            <w:pPr>
              <w:pStyle w:val="Compact"/>
              <w:spacing w:after="40"/>
              <w:jc w:val="left"/>
            </w:pPr>
            <w:r>
              <w:rPr>
                <w:sz w:val="18"/>
              </w:rPr>
              <w:t xml:space="preserve">Support for the Company’s digital signature certificates; signed regulatory files</w:t>
            </w:r>
          </w:p>
        </w:tc>
        <w:tc>
          <w:tcPr>
            <w:tcW w:w="1914" w:type="dxa"/>
          </w:tcPr>
          <w:p>
            <w:pPr>
              <w:pStyle w:val="Compact"/>
              <w:spacing w:after="40"/>
              <w:jc w:val="left"/>
            </w:pPr>
            <w:r>
              <w:rPr>
                <w:sz w:val="18"/>
              </w:rPr>
              <w:t xml:space="preserve">IV 21(9), 31</w:t>
            </w:r>
          </w:p>
        </w:tc>
        <w:tc>
          <w:tcPr>
            <w:tcW w:w="1586" w:type="dxa"/>
          </w:tcPr>
          <w:p>
            <w:pPr>
              <w:pStyle w:val="Compact"/>
              <w:spacing w:after="40"/>
              <w:jc w:val="left"/>
            </w:pPr>
            <w:r>
              <w:rPr>
                <w:sz w:val="18"/>
              </w:rPr>
              <w:t xml:space="preserve">—</w:t>
            </w:r>
          </w:p>
        </w:tc>
      </w:tr>
      <w:tr>
        <w:tc>
          <w:tcPr>
            <w:tcW w:w="732" w:type="dxa"/>
          </w:tcPr>
          <w:p>
            <w:pPr>
              <w:pStyle w:val="Compact"/>
              <w:spacing w:after="40"/>
              <w:jc w:val="left"/>
            </w:pPr>
            <w:r>
              <w:rPr>
                <w:sz w:val="18"/>
              </w:rPr>
              <w:t xml:space="preserve">32</w:t>
            </w:r>
          </w:p>
        </w:tc>
        <w:tc>
          <w:tcPr>
            <w:tcW w:w="1098" w:type="dxa"/>
          </w:tcPr>
          <w:p>
            <w:pPr>
              <w:pStyle w:val="Compact"/>
              <w:spacing w:after="40"/>
              <w:jc w:val="left"/>
            </w:pPr>
            <w:r>
              <w:rPr>
                <w:sz w:val="18"/>
              </w:rPr>
              <w:t xml:space="preserve">MIS and supervisory access</w:t>
            </w:r>
          </w:p>
        </w:tc>
        <w:tc>
          <w:tcPr>
            <w:tcW w:w="4308" w:type="dxa"/>
          </w:tcPr>
          <w:p>
            <w:pPr>
              <w:pStyle w:val="Compact"/>
              <w:spacing w:after="40"/>
              <w:jc w:val="left"/>
            </w:pPr>
            <w:r>
              <w:rPr>
                <w:sz w:val="18"/>
              </w:rPr>
              <w:t xml:space="preserve">System-driven MIS and returns; read-only RBI access to MIS; audit-mode access for auditors</w:t>
            </w:r>
          </w:p>
        </w:tc>
        <w:tc>
          <w:tcPr>
            <w:tcW w:w="1914" w:type="dxa"/>
          </w:tcPr>
          <w:p>
            <w:pPr>
              <w:pStyle w:val="Compact"/>
              <w:spacing w:after="40"/>
              <w:jc w:val="left"/>
            </w:pPr>
            <w:r>
              <w:rPr>
                <w:sz w:val="18"/>
              </w:rPr>
              <w:t xml:space="preserve">III 8(6)–(7); IV 44–46, 57</w:t>
            </w:r>
          </w:p>
        </w:tc>
        <w:tc>
          <w:tcPr>
            <w:tcW w:w="1586" w:type="dxa"/>
          </w:tcPr>
          <w:p>
            <w:pPr>
              <w:pStyle w:val="Compact"/>
              <w:spacing w:after="40"/>
              <w:jc w:val="left"/>
            </w:pPr>
            <w:r>
              <w:rPr>
                <w:sz w:val="18"/>
              </w:rPr>
              <w:t xml:space="preserve">34(viii)</w:t>
            </w:r>
          </w:p>
        </w:tc>
      </w:tr>
    </w:tbl>
    <w:bookmarkEnd w:id="102"/>
    <w:bookmarkStart w:id="103" w:name="X37dfc22a10770833076aaf25d51774e3603545a"/>
    <w:p>
      <w:pPr>
        <w:pStyle w:val="Heading2"/>
      </w:pPr>
      <w:r>
        <w:t xml:space="preserve">Part C — Vulnerability Remediation (Clause 11.6(c))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932"/>
        <w:gridCol w:w="5706"/>
      </w:tblGrid>
      <w:tr>
        <w:trPr>
          <w:tblHeader w:val="true"/>
          <w:tblHeader w:val="true"/>
        </w:trPr>
        <w:tc>
          <w:tcPr>
            <w:tcW w:w="3932" w:type="dxa"/>
            <w:shd w:val="clear" w:color="auto" w:fill="1F3A5F"/>
          </w:tcPr>
          <w:p>
            <w:pPr>
              <w:pStyle w:val="Compact"/>
              <w:spacing w:after="40"/>
              <w:jc w:val="left"/>
            </w:pPr>
            <w:r>
              <w:rPr>
                <w:b/>
                <w:color w:val="FFFFFF"/>
                <w:sz w:val="18"/>
              </w:rPr>
              <w:t xml:space="preserve">Severity (CVSS, adjusted for exploitability and exposure)</w:t>
            </w:r>
          </w:p>
        </w:tc>
        <w:tc>
          <w:tcPr>
            <w:tcW w:w="5706" w:type="dxa"/>
            <w:shd w:val="clear" w:color="auto" w:fill="1F3A5F"/>
          </w:tcPr>
          <w:p>
            <w:pPr>
              <w:pStyle w:val="Compact"/>
              <w:spacing w:after="40"/>
              <w:jc w:val="left"/>
            </w:pPr>
            <w:r>
              <w:rPr>
                <w:b/>
                <w:color w:val="FFFFFF"/>
                <w:sz w:val="18"/>
              </w:rPr>
              <w:t xml:space="preserve">Remediation</w:t>
            </w:r>
          </w:p>
        </w:tc>
      </w:tr>
      <w:tr>
        <w:tc>
          <w:tcPr>
            <w:tcW w:w="3932" w:type="dxa"/>
          </w:tcPr>
          <w:p>
            <w:pPr>
              <w:pStyle w:val="Compact"/>
              <w:spacing w:after="40"/>
              <w:jc w:val="left"/>
            </w:pPr>
            <w:r>
              <w:rPr>
                <w:sz w:val="18"/>
              </w:rPr>
              <w:t xml:space="preserve">Critical</w:t>
            </w:r>
          </w:p>
        </w:tc>
        <w:tc>
          <w:tcPr>
            <w:tcW w:w="5706" w:type="dxa"/>
          </w:tcPr>
          <w:p>
            <w:pPr>
              <w:pStyle w:val="Compact"/>
              <w:spacing w:after="40"/>
              <w:jc w:val="left"/>
            </w:pPr>
            <w:r>
              <w:rPr>
                <w:sz w:val="18"/>
              </w:rPr>
              <w:t xml:space="preserve">[7] days; where actively exploited (CISA KEV catalogue or a CERT-In advisory), compensating mitigation within [48] hours</w:t>
            </w:r>
          </w:p>
        </w:tc>
      </w:tr>
      <w:tr>
        <w:tc>
          <w:tcPr>
            <w:tcW w:w="3932" w:type="dxa"/>
          </w:tcPr>
          <w:p>
            <w:pPr>
              <w:pStyle w:val="Compact"/>
              <w:spacing w:after="40"/>
              <w:jc w:val="left"/>
            </w:pPr>
            <w:r>
              <w:rPr>
                <w:sz w:val="18"/>
              </w:rPr>
              <w:t xml:space="preserve">High</w:t>
            </w:r>
          </w:p>
        </w:tc>
        <w:tc>
          <w:tcPr>
            <w:tcW w:w="5706" w:type="dxa"/>
          </w:tcPr>
          <w:p>
            <w:pPr>
              <w:pStyle w:val="Compact"/>
              <w:spacing w:after="40"/>
              <w:jc w:val="left"/>
            </w:pPr>
            <w:r>
              <w:rPr>
                <w:sz w:val="18"/>
              </w:rPr>
              <w:t xml:space="preserve">[15] days</w:t>
            </w:r>
          </w:p>
        </w:tc>
      </w:tr>
      <w:tr>
        <w:tc>
          <w:tcPr>
            <w:tcW w:w="3932" w:type="dxa"/>
          </w:tcPr>
          <w:p>
            <w:pPr>
              <w:pStyle w:val="Compact"/>
              <w:spacing w:after="40"/>
              <w:jc w:val="left"/>
            </w:pPr>
            <w:r>
              <w:rPr>
                <w:sz w:val="18"/>
              </w:rPr>
              <w:t xml:space="preserve">Medium</w:t>
            </w:r>
          </w:p>
        </w:tc>
        <w:tc>
          <w:tcPr>
            <w:tcW w:w="5706" w:type="dxa"/>
          </w:tcPr>
          <w:p>
            <w:pPr>
              <w:pStyle w:val="Compact"/>
              <w:spacing w:after="40"/>
              <w:jc w:val="left"/>
            </w:pPr>
            <w:r>
              <w:rPr>
                <w:sz w:val="18"/>
              </w:rPr>
              <w:t xml:space="preserve">[45] days</w:t>
            </w:r>
          </w:p>
        </w:tc>
      </w:tr>
      <w:tr>
        <w:tc>
          <w:tcPr>
            <w:tcW w:w="3932" w:type="dxa"/>
          </w:tcPr>
          <w:p>
            <w:pPr>
              <w:pStyle w:val="Compact"/>
              <w:spacing w:after="40"/>
              <w:jc w:val="left"/>
            </w:pPr>
            <w:r>
              <w:rPr>
                <w:sz w:val="18"/>
              </w:rPr>
              <w:t xml:space="preserve">Low</w:t>
            </w:r>
          </w:p>
        </w:tc>
        <w:tc>
          <w:tcPr>
            <w:tcW w:w="5706" w:type="dxa"/>
          </w:tcPr>
          <w:p>
            <w:pPr>
              <w:pStyle w:val="Compact"/>
              <w:spacing w:after="40"/>
              <w:jc w:val="left"/>
            </w:pPr>
            <w:r>
              <w:rPr>
                <w:sz w:val="18"/>
              </w:rPr>
              <w:t xml:space="preserve">[90] days</w:t>
            </w:r>
          </w:p>
        </w:tc>
      </w:tr>
    </w:tbl>
    <w:p>
      <w:pPr>
        <w:pStyle w:val="BodyText"/>
      </w:pPr>
      <w:r>
        <w:t xml:space="preserve">Fixes are time-bound and recurrence of known CVEs is prevented (CYB para 125). Exceptions need compensating controls and the Company CISO’s approval with an expiry date; overdue Critical and High items are escalated under Schedule 12.</w:t>
      </w:r>
    </w:p>
    <w:bookmarkEnd w:id="103"/>
    <w:bookmarkStart w:id="104" w:name="X8af48161394ef1fd5e6bbf3e10394c4a765f15d"/>
    <w:p>
      <w:pPr>
        <w:pStyle w:val="Heading2"/>
      </w:pPr>
      <w:r>
        <w:t xml:space="preserve">Part D — Security Metrics and Quarterly Security Report (Clause 11.14)</w:t>
      </w:r>
    </w:p>
    <w:p>
      <w:pPr>
        <w:pStyle w:val="FirstParagraph"/>
      </w:pPr>
      <w:r>
        <w:t xml:space="preserve">Monthly metrics (in the Schedule 3 report) and the quarterly security and risk report cover: patch compliance; open vulnerabilities by age and severity; MFA coverage; privileged and break-glass sessions; phishing results; backup and restore results; incidents by category; DDoS events; certificate expiries; EOS components and refresh plan (Clause 6.8); Sub-contractor changes; access reviews; threat intelligence relevant to the Company; status of audit findings.</w:t>
      </w:r>
    </w:p>
    <w:bookmarkEnd w:id="104"/>
    <w:bookmarkStart w:id="105" w:name="part-e-companys-right-to-test"/>
    <w:p>
      <w:pPr>
        <w:pStyle w:val="Heading2"/>
      </w:pPr>
      <w:r>
        <w:t xml:space="preserve">Part E — Company’s Right to Test</w:t>
      </w:r>
    </w:p>
    <w:p>
      <w:pPr>
        <w:pStyle w:val="FirstParagraph"/>
      </w:pPr>
      <w:r>
        <w:t xml:space="preserve">The Company, itself or through an independent CERT-In-empanelled auditor, may test its Tenant Environment, APIs and integrations (Clause 11.6(e)) on [10] Business Days’ notice under these rules of engagement: agreed scope, test window and source IPs; no denial-of-service, social engineering of Service Provider staff or testing of other tenants; immediate notice of any critical finding; findings treated as Confidential Information (OUT paras 74(ii), 76; CYB paras 121–122). Shared-infrastructure testing is done by the Service Provider’s independent tester with a Company observer, or as a pooled test (OUT para 77). [Option: joint red-team exercise every [2] years.] Each Party bears its costs, except that the Service Provider bears re-tests for its Critical or High findings.</w:t>
      </w:r>
    </w:p>
    <w:bookmarkEnd w:id="105"/>
    <w:bookmarkStart w:id="106" w:name="X0bfa69b4d7f33448b60d9fa99abaaccffe23ac3"/>
    <w:p>
      <w:pPr>
        <w:pStyle w:val="Heading2"/>
      </w:pPr>
      <w:r>
        <w:t xml:space="preserve">Part F — Shared Responsibility Model (Clause 11.2; OUT para 97(iv))</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79"/>
        <w:gridCol w:w="1604"/>
        <w:gridCol w:w="2693"/>
        <w:gridCol w:w="2562"/>
      </w:tblGrid>
      <w:tr>
        <w:trPr>
          <w:tblHeader w:val="true"/>
          <w:tblHeader w:val="true"/>
        </w:trPr>
        <w:tc>
          <w:tcPr>
            <w:tcW w:w="2779" w:type="dxa"/>
            <w:shd w:val="clear" w:color="auto" w:fill="1F3A5F"/>
          </w:tcPr>
          <w:p>
            <w:pPr>
              <w:pStyle w:val="Compact"/>
              <w:spacing w:after="40"/>
              <w:jc w:val="left"/>
            </w:pPr>
            <w:r>
              <w:rPr>
                <w:b/>
                <w:color w:val="FFFFFF"/>
                <w:sz w:val="18"/>
              </w:rPr>
              <w:t xml:space="preserve">Control area</w:t>
            </w:r>
          </w:p>
        </w:tc>
        <w:tc>
          <w:tcPr>
            <w:tcW w:w="1604" w:type="dxa"/>
            <w:shd w:val="clear" w:color="auto" w:fill="1F3A5F"/>
          </w:tcPr>
          <w:p>
            <w:pPr>
              <w:pStyle w:val="Compact"/>
              <w:spacing w:after="40"/>
              <w:jc w:val="left"/>
            </w:pPr>
            <w:r>
              <w:rPr>
                <w:b/>
                <w:color w:val="FFFFFF"/>
                <w:sz w:val="18"/>
              </w:rPr>
              <w:t xml:space="preserve">Cloud service provider</w:t>
            </w:r>
          </w:p>
        </w:tc>
        <w:tc>
          <w:tcPr>
            <w:tcW w:w="2693" w:type="dxa"/>
            <w:shd w:val="clear" w:color="auto" w:fill="1F3A5F"/>
          </w:tcPr>
          <w:p>
            <w:pPr>
              <w:pStyle w:val="Compact"/>
              <w:spacing w:after="40"/>
              <w:jc w:val="left"/>
            </w:pPr>
            <w:r>
              <w:rPr>
                <w:b/>
                <w:color w:val="FFFFFF"/>
                <w:sz w:val="18"/>
              </w:rPr>
              <w:t xml:space="preserve">Service Provider</w:t>
            </w:r>
          </w:p>
        </w:tc>
        <w:tc>
          <w:tcPr>
            <w:tcW w:w="2562" w:type="dxa"/>
            <w:shd w:val="clear" w:color="auto" w:fill="1F3A5F"/>
          </w:tcPr>
          <w:p>
            <w:pPr>
              <w:pStyle w:val="Compact"/>
              <w:spacing w:after="40"/>
              <w:jc w:val="left"/>
            </w:pPr>
            <w:r>
              <w:rPr>
                <w:b/>
                <w:color w:val="FFFFFF"/>
                <w:sz w:val="18"/>
              </w:rPr>
              <w:t xml:space="preserve">Company</w:t>
            </w:r>
          </w:p>
        </w:tc>
      </w:tr>
      <w:tr>
        <w:tc>
          <w:tcPr>
            <w:tcW w:w="2779" w:type="dxa"/>
          </w:tcPr>
          <w:p>
            <w:pPr>
              <w:pStyle w:val="Compact"/>
              <w:spacing w:after="40"/>
              <w:jc w:val="left"/>
            </w:pPr>
            <w:r>
              <w:rPr>
                <w:sz w:val="18"/>
              </w:rPr>
              <w:t xml:space="preserve">Physical data centre, hardware, hypervisor</w:t>
            </w:r>
          </w:p>
        </w:tc>
        <w:tc>
          <w:tcPr>
            <w:tcW w:w="1604" w:type="dxa"/>
          </w:tcPr>
          <w:p>
            <w:pPr>
              <w:pStyle w:val="Compact"/>
              <w:spacing w:after="40"/>
              <w:jc w:val="left"/>
            </w:pPr>
            <w:r>
              <w:rPr>
                <w:sz w:val="18"/>
              </w:rPr>
              <w:t xml:space="preserve">Operates</w:t>
            </w:r>
          </w:p>
        </w:tc>
        <w:tc>
          <w:tcPr>
            <w:tcW w:w="2693" w:type="dxa"/>
          </w:tcPr>
          <w:p>
            <w:pPr>
              <w:pStyle w:val="Compact"/>
              <w:spacing w:after="40"/>
              <w:jc w:val="left"/>
            </w:pPr>
            <w:r>
              <w:rPr>
                <w:sz w:val="18"/>
              </w:rPr>
              <w:t xml:space="preserve">Assures through CSP certifications and contract (Schedule 10)</w:t>
            </w:r>
          </w:p>
        </w:tc>
        <w:tc>
          <w:tcPr>
            <w:tcW w:w="2562" w:type="dxa"/>
          </w:tcPr>
          <w:p>
            <w:pPr>
              <w:pStyle w:val="Compact"/>
              <w:spacing w:after="40"/>
              <w:jc w:val="left"/>
            </w:pPr>
            <w:r>
              <w:rPr>
                <w:sz w:val="18"/>
              </w:rPr>
              <w:t xml:space="preserve">Reviews assurance</w:t>
            </w:r>
          </w:p>
        </w:tc>
      </w:tr>
      <w:tr>
        <w:tc>
          <w:tcPr>
            <w:tcW w:w="2779" w:type="dxa"/>
          </w:tcPr>
          <w:p>
            <w:pPr>
              <w:pStyle w:val="Compact"/>
              <w:spacing w:after="40"/>
              <w:jc w:val="left"/>
            </w:pPr>
            <w:r>
              <w:rPr>
                <w:sz w:val="18"/>
              </w:rPr>
              <w:t xml:space="preserve">Network, operating systems, containers, databases, keys (KMS/HSM)</w:t>
            </w:r>
          </w:p>
        </w:tc>
        <w:tc>
          <w:tcPr>
            <w:tcW w:w="1604" w:type="dxa"/>
          </w:tcPr>
          <w:p>
            <w:pPr>
              <w:pStyle w:val="Compact"/>
              <w:spacing w:after="40"/>
              <w:jc w:val="left"/>
            </w:pPr>
            <w:r>
              <w:rPr>
                <w:sz w:val="18"/>
              </w:rPr>
              <w:t xml:space="preserve">Provides services</w:t>
            </w:r>
          </w:p>
        </w:tc>
        <w:tc>
          <w:tcPr>
            <w:tcW w:w="2693" w:type="dxa"/>
          </w:tcPr>
          <w:p>
            <w:pPr>
              <w:pStyle w:val="Compact"/>
              <w:spacing w:after="40"/>
              <w:jc w:val="left"/>
            </w:pPr>
            <w:r>
              <w:rPr>
                <w:sz w:val="18"/>
              </w:rPr>
              <w:t xml:space="preserve">Configures, patches, monitors, encrypts; BYOK/HYOK integration</w:t>
            </w:r>
          </w:p>
        </w:tc>
        <w:tc>
          <w:tcPr>
            <w:tcW w:w="2562" w:type="dxa"/>
          </w:tcPr>
          <w:p>
            <w:pPr>
              <w:pStyle w:val="Compact"/>
              <w:spacing w:after="40"/>
              <w:jc w:val="left"/>
            </w:pPr>
            <w:r>
              <w:rPr>
                <w:sz w:val="18"/>
              </w:rPr>
              <w:t xml:space="preserve">Holds and controls keys where BYOK/HYOK selected (row 8)</w:t>
            </w:r>
          </w:p>
        </w:tc>
      </w:tr>
      <w:tr>
        <w:tc>
          <w:tcPr>
            <w:tcW w:w="2779" w:type="dxa"/>
          </w:tcPr>
          <w:p>
            <w:pPr>
              <w:pStyle w:val="Compact"/>
              <w:spacing w:after="40"/>
              <w:jc w:val="left"/>
            </w:pPr>
            <w:r>
              <w:rPr>
                <w:sz w:val="18"/>
              </w:rPr>
              <w:t xml:space="preserve">Application security, tenant isolation, logging, backups, DR</w:t>
            </w:r>
          </w:p>
        </w:tc>
        <w:tc>
          <w:tcPr>
            <w:tcW w:w="1604" w:type="dxa"/>
          </w:tcPr>
          <w:p>
            <w:pPr>
              <w:pStyle w:val="Compact"/>
              <w:spacing w:after="40"/>
              <w:jc w:val="left"/>
            </w:pPr>
            <w:r>
              <w:rPr>
                <w:sz w:val="18"/>
              </w:rPr>
              <w:t xml:space="preserve">—</w:t>
            </w:r>
          </w:p>
        </w:tc>
        <w:tc>
          <w:tcPr>
            <w:tcW w:w="2693" w:type="dxa"/>
          </w:tcPr>
          <w:p>
            <w:pPr>
              <w:pStyle w:val="Compact"/>
              <w:spacing w:after="40"/>
              <w:jc w:val="left"/>
            </w:pPr>
            <w:r>
              <w:rPr>
                <w:sz w:val="18"/>
              </w:rPr>
              <w:t xml:space="preserve">Responsible</w:t>
            </w:r>
          </w:p>
        </w:tc>
        <w:tc>
          <w:tcPr>
            <w:tcW w:w="2562" w:type="dxa"/>
          </w:tcPr>
          <w:p>
            <w:pPr>
              <w:pStyle w:val="Compact"/>
              <w:spacing w:after="40"/>
              <w:jc w:val="left"/>
            </w:pPr>
            <w:r>
              <w:rPr>
                <w:sz w:val="18"/>
              </w:rPr>
              <w:t xml:space="preserve">Tests and reviews</w:t>
            </w:r>
          </w:p>
        </w:tc>
      </w:tr>
      <w:tr>
        <w:tc>
          <w:tcPr>
            <w:tcW w:w="2779" w:type="dxa"/>
          </w:tcPr>
          <w:p>
            <w:pPr>
              <w:pStyle w:val="Compact"/>
              <w:spacing w:after="40"/>
              <w:jc w:val="left"/>
            </w:pPr>
            <w:r>
              <w:rPr>
                <w:sz w:val="18"/>
              </w:rPr>
              <w:t xml:space="preserve">Users, roles, maker-checker, business configuration, rule versions</w:t>
            </w:r>
          </w:p>
        </w:tc>
        <w:tc>
          <w:tcPr>
            <w:tcW w:w="1604" w:type="dxa"/>
          </w:tcPr>
          <w:p>
            <w:pPr>
              <w:pStyle w:val="Compact"/>
              <w:spacing w:after="40"/>
              <w:jc w:val="left"/>
            </w:pPr>
            <w:r>
              <w:rPr>
                <w:sz w:val="18"/>
              </w:rPr>
              <w:t xml:space="preserve">—</w:t>
            </w:r>
          </w:p>
        </w:tc>
        <w:tc>
          <w:tcPr>
            <w:tcW w:w="2693" w:type="dxa"/>
          </w:tcPr>
          <w:p>
            <w:pPr>
              <w:pStyle w:val="Compact"/>
              <w:spacing w:after="40"/>
              <w:jc w:val="left"/>
            </w:pPr>
            <w:r>
              <w:rPr>
                <w:sz w:val="18"/>
              </w:rPr>
              <w:t xml:space="preserve">Provides controls</w:t>
            </w:r>
          </w:p>
        </w:tc>
        <w:tc>
          <w:tcPr>
            <w:tcW w:w="2562" w:type="dxa"/>
          </w:tcPr>
          <w:p>
            <w:pPr>
              <w:pStyle w:val="Compact"/>
              <w:spacing w:after="40"/>
              <w:jc w:val="left"/>
            </w:pPr>
            <w:r>
              <w:rPr>
                <w:sz w:val="18"/>
              </w:rPr>
              <w:t xml:space="preserve">Administers and approves (Clauses 7.2, 7.3)</w:t>
            </w:r>
          </w:p>
        </w:tc>
      </w:tr>
      <w:tr>
        <w:tc>
          <w:tcPr>
            <w:tcW w:w="2779" w:type="dxa"/>
          </w:tcPr>
          <w:p>
            <w:pPr>
              <w:pStyle w:val="Compact"/>
              <w:spacing w:after="40"/>
              <w:jc w:val="left"/>
            </w:pPr>
            <w:r>
              <w:rPr>
                <w:sz w:val="18"/>
              </w:rPr>
              <w:t xml:space="preserve">Regulatory decisions and filings</w:t>
            </w:r>
          </w:p>
        </w:tc>
        <w:tc>
          <w:tcPr>
            <w:tcW w:w="1604" w:type="dxa"/>
          </w:tcPr>
          <w:p>
            <w:pPr>
              <w:pStyle w:val="Compact"/>
              <w:spacing w:after="40"/>
              <w:jc w:val="left"/>
            </w:pPr>
            <w:r>
              <w:rPr>
                <w:sz w:val="18"/>
              </w:rPr>
              <w:t xml:space="preserve">—</w:t>
            </w:r>
          </w:p>
        </w:tc>
        <w:tc>
          <w:tcPr>
            <w:tcW w:w="2693" w:type="dxa"/>
          </w:tcPr>
          <w:p>
            <w:pPr>
              <w:pStyle w:val="Compact"/>
              <w:spacing w:after="40"/>
              <w:jc w:val="left"/>
            </w:pPr>
            <w:r>
              <w:rPr>
                <w:sz w:val="18"/>
              </w:rPr>
              <w:t xml:space="preserve">None</w:t>
            </w:r>
          </w:p>
        </w:tc>
        <w:tc>
          <w:tcPr>
            <w:tcW w:w="2562" w:type="dxa"/>
          </w:tcPr>
          <w:p>
            <w:pPr>
              <w:pStyle w:val="Compact"/>
              <w:spacing w:after="40"/>
              <w:jc w:val="left"/>
            </w:pPr>
            <w:r>
              <w:rPr>
                <w:sz w:val="18"/>
              </w:rPr>
              <w:t xml:space="preserve">Responsible (Clause 7.1)</w:t>
            </w:r>
          </w:p>
        </w:tc>
      </w:tr>
    </w:tbl>
    <w:p>
      <w:r>
        <w:pict>
          <v:rect style="width:0;height:1.5pt" o:hralign="center" o:hrstd="t" o:hr="t"/>
        </w:pict>
      </w:r>
    </w:p>
    <w:p>
      <w:r>
        <w:br w:type="page"/>
      </w:r>
    </w:p>
    <w:bookmarkEnd w:id="106"/>
    <w:bookmarkEnd w:id="107"/>
    <w:bookmarkStart w:id="113" w:name="Xcf462ae2aa57dfdc141f350d79ea19d6bc7963f"/>
    <w:p>
      <w:pPr>
        <w:pStyle w:val="Heading1"/>
      </w:pPr>
      <w:r>
        <w:t xml:space="preserve">SCHEDULE 6 — Audit, Inspection and Regulatory Access Protocol</w:t>
      </w:r>
    </w:p>
    <w:p>
      <w:pPr>
        <w:pStyle w:val="FirstParagraph"/>
      </w:pPr>
      <w:r>
        <w:rPr>
          <w:iCs/>
          <w:i/>
        </w:rPr>
        <w:t xml:space="preserve">Drafting note: Sets out the audit procedure referred to in Clause 9.2 and supports Clauses 9.1 to 9.14 (OUT paras 34(ii), (vii)–(ix), 74(i)–(ii), (xii), 76–81; CYB paras 46, 57, 62(2); IAF paras 39–40; AUD paras 6 and 11). Rights of RBI and other Supervisory Authorities are [Mandatory — RBI] and are not conditioned by notice, cost, scope or confidentiality terms (Clauses 9.13, 33.7).</w:t>
      </w:r>
    </w:p>
    <w:bookmarkStart w:id="108" w:name="part-a-who-may-audit-or-inspect"/>
    <w:p>
      <w:pPr>
        <w:pStyle w:val="Heading2"/>
      </w:pPr>
      <w:r>
        <w:t xml:space="preserve">Part A — Who May Audit or Inspect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03"/>
        <w:gridCol w:w="3475"/>
        <w:gridCol w:w="3360"/>
      </w:tblGrid>
      <w:tr>
        <w:trPr>
          <w:tblHeader w:val="true"/>
          <w:tblHeader w:val="true"/>
        </w:trPr>
        <w:tc>
          <w:tcPr>
            <w:tcW w:w="2803" w:type="dxa"/>
            <w:shd w:val="clear" w:color="auto" w:fill="1F3A5F"/>
          </w:tcPr>
          <w:p>
            <w:pPr>
              <w:pStyle w:val="Compact"/>
              <w:spacing w:after="40"/>
              <w:jc w:val="left"/>
            </w:pPr>
            <w:r>
              <w:rPr>
                <w:b/>
                <w:color w:val="FFFFFF"/>
                <w:sz w:val="18"/>
              </w:rPr>
              <w:t xml:space="preserve">Person</w:t>
            </w:r>
          </w:p>
        </w:tc>
        <w:tc>
          <w:tcPr>
            <w:tcW w:w="3475" w:type="dxa"/>
            <w:shd w:val="clear" w:color="auto" w:fill="1F3A5F"/>
          </w:tcPr>
          <w:p>
            <w:pPr>
              <w:pStyle w:val="Compact"/>
              <w:spacing w:after="40"/>
              <w:jc w:val="left"/>
            </w:pPr>
            <w:r>
              <w:rPr>
                <w:b/>
                <w:color w:val="FFFFFF"/>
                <w:sz w:val="18"/>
              </w:rPr>
              <w:t xml:space="preserve">Basis</w:t>
            </w:r>
          </w:p>
        </w:tc>
        <w:tc>
          <w:tcPr>
            <w:tcW w:w="3360" w:type="dxa"/>
            <w:shd w:val="clear" w:color="auto" w:fill="1F3A5F"/>
          </w:tcPr>
          <w:p>
            <w:pPr>
              <w:pStyle w:val="Compact"/>
              <w:spacing w:after="40"/>
              <w:jc w:val="left"/>
            </w:pPr>
            <w:r>
              <w:rPr>
                <w:b/>
                <w:color w:val="FFFFFF"/>
                <w:sz w:val="18"/>
              </w:rPr>
              <w:t xml:space="preserve">Notice</w:t>
            </w:r>
          </w:p>
        </w:tc>
      </w:tr>
      <w:tr>
        <w:tc>
          <w:tcPr>
            <w:tcW w:w="2803" w:type="dxa"/>
          </w:tcPr>
          <w:p>
            <w:pPr>
              <w:pStyle w:val="Compact"/>
              <w:spacing w:after="40"/>
              <w:jc w:val="left"/>
            </w:pPr>
            <w:r>
              <w:rPr>
                <w:sz w:val="18"/>
              </w:rPr>
              <w:t xml:space="preserve">RBI or persons authorised by it; NHB for an HFC</w:t>
            </w:r>
          </w:p>
        </w:tc>
        <w:tc>
          <w:tcPr>
            <w:tcW w:w="3475" w:type="dxa"/>
          </w:tcPr>
          <w:p>
            <w:pPr>
              <w:pStyle w:val="Compact"/>
              <w:spacing w:after="40"/>
              <w:jc w:val="left"/>
            </w:pPr>
            <w:r>
              <w:rPr>
                <w:sz w:val="18"/>
              </w:rPr>
              <w:t xml:space="preserve">Inspection of the Service Provider, its Sub-contractors and their books; access to the Company’s IT infrastructure, applications, data and documents (Clauses 9.4, 9.5; OUT paras 34(viii)–(ix), 74(xii), 81; CYB para 62(2)(iii))</w:t>
            </w:r>
          </w:p>
        </w:tc>
        <w:tc>
          <w:tcPr>
            <w:tcW w:w="3360" w:type="dxa"/>
          </w:tcPr>
          <w:p>
            <w:pPr>
              <w:pStyle w:val="Compact"/>
              <w:spacing w:after="40"/>
              <w:jc w:val="left"/>
            </w:pPr>
            <w:r>
              <w:rPr>
                <w:sz w:val="18"/>
              </w:rPr>
              <w:t xml:space="preserve">None; on demand</w:t>
            </w:r>
          </w:p>
        </w:tc>
      </w:tr>
      <w:tr>
        <w:tc>
          <w:tcPr>
            <w:tcW w:w="2803" w:type="dxa"/>
          </w:tcPr>
          <w:p>
            <w:pPr>
              <w:pStyle w:val="Compact"/>
              <w:spacing w:after="40"/>
              <w:jc w:val="left"/>
            </w:pPr>
            <w:r>
              <w:rPr>
                <w:sz w:val="18"/>
              </w:rPr>
              <w:t xml:space="preserve">Other Supervisory Authorities (FIU-IND, CERT-In, Data Protection Board) and any administrator, resolution professional or liquidator of the Company</w:t>
            </w:r>
          </w:p>
        </w:tc>
        <w:tc>
          <w:tcPr>
            <w:tcW w:w="3475" w:type="dxa"/>
          </w:tcPr>
          <w:p>
            <w:pPr>
              <w:pStyle w:val="Compact"/>
              <w:spacing w:after="40"/>
              <w:jc w:val="left"/>
            </w:pPr>
            <w:r>
              <w:rPr>
                <w:sz w:val="18"/>
              </w:rPr>
              <w:t xml:space="preserve">Clauses 8.8, 9.6; OUT para 74(xvi); KYC para 47(3)</w:t>
            </w:r>
          </w:p>
        </w:tc>
        <w:tc>
          <w:tcPr>
            <w:tcW w:w="3360" w:type="dxa"/>
          </w:tcPr>
          <w:p>
            <w:pPr>
              <w:pStyle w:val="Compact"/>
              <w:spacing w:after="40"/>
              <w:jc w:val="left"/>
            </w:pPr>
            <w:r>
              <w:rPr>
                <w:sz w:val="18"/>
              </w:rPr>
              <w:t xml:space="preserve">As specified by law</w:t>
            </w:r>
          </w:p>
        </w:tc>
      </w:tr>
      <w:tr>
        <w:tc>
          <w:tcPr>
            <w:tcW w:w="2803" w:type="dxa"/>
          </w:tcPr>
          <w:p>
            <w:pPr>
              <w:pStyle w:val="Compact"/>
              <w:spacing w:after="40"/>
              <w:jc w:val="left"/>
            </w:pPr>
            <w:r>
              <w:rPr>
                <w:sz w:val="18"/>
              </w:rPr>
              <w:t xml:space="preserve">The Company (risk, compliance, IT, security, vendor management)</w:t>
            </w:r>
          </w:p>
        </w:tc>
        <w:tc>
          <w:tcPr>
            <w:tcW w:w="3475" w:type="dxa"/>
          </w:tcPr>
          <w:p>
            <w:pPr>
              <w:pStyle w:val="Compact"/>
              <w:spacing w:after="40"/>
              <w:jc w:val="left"/>
            </w:pPr>
            <w:r>
              <w:rPr>
                <w:sz w:val="18"/>
              </w:rPr>
              <w:t xml:space="preserve">Continuous monitoring and audit (Clauses 6.2, 9.2; OUT paras 34(iii), 75; CYB para 62(1)(i))</w:t>
            </w:r>
          </w:p>
        </w:tc>
        <w:tc>
          <w:tcPr>
            <w:tcW w:w="3360" w:type="dxa"/>
          </w:tcPr>
          <w:p>
            <w:pPr>
              <w:pStyle w:val="Compact"/>
              <w:spacing w:after="40"/>
              <w:jc w:val="left"/>
            </w:pPr>
            <w:r>
              <w:rPr>
                <w:sz w:val="18"/>
              </w:rPr>
              <w:t xml:space="preserve">Routine: at least [10] Business Days. None (or as practicable) after an Incident, a Persistent Service Failure, a Supervisory Authority request, or a reasonable suspicion of fraud or material breach (Clause 9.2)</w:t>
            </w:r>
          </w:p>
        </w:tc>
      </w:tr>
      <w:tr>
        <w:tc>
          <w:tcPr>
            <w:tcW w:w="2803" w:type="dxa"/>
          </w:tcPr>
          <w:p>
            <w:pPr>
              <w:pStyle w:val="Compact"/>
              <w:spacing w:after="40"/>
              <w:jc w:val="left"/>
            </w:pPr>
            <w:r>
              <w:rPr>
                <w:sz w:val="18"/>
              </w:rPr>
              <w:t xml:space="preserve">Internal, IS and concurrent auditors; Head of Internal Audit</w:t>
            </w:r>
          </w:p>
        </w:tc>
        <w:tc>
          <w:tcPr>
            <w:tcW w:w="3475" w:type="dxa"/>
          </w:tcPr>
          <w:p>
            <w:pPr>
              <w:pStyle w:val="Compact"/>
              <w:spacing w:after="40"/>
              <w:jc w:val="left"/>
            </w:pPr>
            <w:r>
              <w:rPr>
                <w:sz w:val="18"/>
              </w:rPr>
              <w:t xml:space="preserve">Clauses 9.2, 9.10; OUT paras 34(vii), 37, 76; CYB paras 47–58, 149–154; IAF para 40</w:t>
            </w:r>
          </w:p>
        </w:tc>
        <w:tc>
          <w:tcPr>
            <w:tcW w:w="3360" w:type="dxa"/>
          </w:tcPr>
          <w:p>
            <w:pPr>
              <w:pStyle w:val="Compact"/>
              <w:spacing w:after="40"/>
              <w:jc w:val="left"/>
            </w:pPr>
            <w:r>
              <w:rPr>
                <w:sz w:val="18"/>
              </w:rPr>
              <w:t xml:space="preserve">As for the Company</w:t>
            </w:r>
          </w:p>
        </w:tc>
      </w:tr>
      <w:tr>
        <w:tc>
          <w:tcPr>
            <w:tcW w:w="2803" w:type="dxa"/>
          </w:tcPr>
          <w:p>
            <w:pPr>
              <w:pStyle w:val="Compact"/>
              <w:spacing w:after="40"/>
              <w:jc w:val="left"/>
            </w:pPr>
            <w:r>
              <w:rPr>
                <w:sz w:val="18"/>
              </w:rPr>
              <w:t xml:space="preserve">Statutory and central auditors</w:t>
            </w:r>
          </w:p>
        </w:tc>
        <w:tc>
          <w:tcPr>
            <w:tcW w:w="3475" w:type="dxa"/>
          </w:tcPr>
          <w:p>
            <w:pPr>
              <w:pStyle w:val="Compact"/>
              <w:spacing w:after="40"/>
              <w:jc w:val="left"/>
            </w:pPr>
            <w:r>
              <w:rPr>
                <w:sz w:val="18"/>
              </w:rPr>
              <w:t xml:space="preserve">Clause 9.10; AUD paras 5–6 and exception reporting under para 11</w:t>
            </w:r>
          </w:p>
        </w:tc>
        <w:tc>
          <w:tcPr>
            <w:tcW w:w="3360" w:type="dxa"/>
          </w:tcPr>
          <w:p>
            <w:pPr>
              <w:pStyle w:val="Compact"/>
              <w:spacing w:after="40"/>
              <w:jc w:val="left"/>
            </w:pPr>
            <w:r>
              <w:rPr>
                <w:sz w:val="18"/>
              </w:rPr>
              <w:t xml:space="preserve">As for the Company</w:t>
            </w:r>
          </w:p>
        </w:tc>
      </w:tr>
      <w:tr>
        <w:tc>
          <w:tcPr>
            <w:tcW w:w="2803" w:type="dxa"/>
          </w:tcPr>
          <w:p>
            <w:pPr>
              <w:pStyle w:val="Compact"/>
              <w:spacing w:after="40"/>
              <w:jc w:val="left"/>
            </w:pPr>
            <w:r>
              <w:rPr>
                <w:sz w:val="18"/>
              </w:rPr>
              <w:t xml:space="preserve">Company-appointed specialists and pooled auditors</w:t>
            </w:r>
          </w:p>
        </w:tc>
        <w:tc>
          <w:tcPr>
            <w:tcW w:w="3475" w:type="dxa"/>
          </w:tcPr>
          <w:p>
            <w:pPr>
              <w:pStyle w:val="Compact"/>
              <w:spacing w:after="40"/>
              <w:jc w:val="left"/>
            </w:pPr>
            <w:r>
              <w:rPr>
                <w:sz w:val="18"/>
              </w:rPr>
              <w:t xml:space="preserve">Clause 9.9; OUT paras 34(vii), 76–77; CYB para 62(2)(ii)</w:t>
            </w:r>
          </w:p>
        </w:tc>
        <w:tc>
          <w:tcPr>
            <w:tcW w:w="3360" w:type="dxa"/>
          </w:tcPr>
          <w:p>
            <w:pPr>
              <w:pStyle w:val="Compact"/>
              <w:spacing w:after="40"/>
              <w:jc w:val="left"/>
            </w:pPr>
            <w:r>
              <w:rPr>
                <w:sz w:val="18"/>
              </w:rPr>
              <w:t xml:space="preserve">As for the Company</w:t>
            </w:r>
          </w:p>
        </w:tc>
      </w:tr>
    </w:tbl>
    <w:bookmarkEnd w:id="108"/>
    <w:bookmarkStart w:id="109" w:name="part-b-scope-and-modes"/>
    <w:p>
      <w:pPr>
        <w:pStyle w:val="Heading2"/>
      </w:pPr>
      <w:r>
        <w:t xml:space="preserve">Part B — Scope and Modes</w:t>
      </w:r>
    </w:p>
    <w:p>
      <w:pPr>
        <w:numPr>
          <w:ilvl w:val="0"/>
          <w:numId w:val="1040"/>
        </w:numPr>
        <w:pStyle w:val="Compact"/>
      </w:pPr>
      <w:r>
        <w:t xml:space="preserve">Scope: all data, books, records, information, logs, alerts, audit trails, policies, test reports, personnel and business premises relevant to the Services, including those of Sub-contractors, in paper and electronic form (Clauses 9.1, 9.5), covering performance, risk management, security, BCP and DR, segregation, legal and regulatory compliance, the OUT para 97(xvii) heads, and financial and operational condition (OUT paras 37–38, 78, 80).</w:t>
      </w:r>
    </w:p>
    <w:p>
      <w:pPr>
        <w:numPr>
          <w:ilvl w:val="0"/>
          <w:numId w:val="1040"/>
        </w:numPr>
        <w:pStyle w:val="Compact"/>
      </w:pPr>
      <w:r>
        <w:t xml:space="preserve">Modes: (a) read-only</w:t>
      </w:r>
      <w:r>
        <w:t xml:space="preserve"> </w:t>
      </w:r>
      <w:r>
        <w:t xml:space="preserve">“</w:t>
      </w:r>
      <w:r>
        <w:t xml:space="preserve">supervisor</w:t>
      </w:r>
      <w:r>
        <w:t xml:space="preserve">”</w:t>
      </w:r>
      <w:r>
        <w:t xml:space="preserve"> </w:t>
      </w:r>
      <w:r>
        <w:t xml:space="preserve">and</w:t>
      </w:r>
      <w:r>
        <w:t xml:space="preserve"> </w:t>
      </w:r>
      <w:r>
        <w:t xml:space="preserve">“</w:t>
      </w:r>
      <w:r>
        <w:t xml:space="preserve">audit-mode</w:t>
      </w:r>
      <w:r>
        <w:t xml:space="preserve">”</w:t>
      </w:r>
      <w:r>
        <w:t xml:space="preserve"> </w:t>
      </w:r>
      <w:r>
        <w:t xml:space="preserve">roles provisioned within [1] Business Day, logged and not counted against user limits (Clause 9.7; CYB paras 46, 57); (b) an evidence portal (certificates, policies, SOC 2 and ISO reports, VA/PT and DR reports, BCP, Sub-contractor list, SBOM, vendor assurance pack); (c) on-site access to Service Provider premises in India and, through its rights, to Sub-contractors, with CSP audit artefacts for cloud facilities; (d) interviews, walkthroughs, system-generated reports and computer-assisted audit technique extracts (Clause 9.10).</w:t>
      </w:r>
    </w:p>
    <w:p>
      <w:pPr>
        <w:numPr>
          <w:ilvl w:val="0"/>
          <w:numId w:val="1040"/>
        </w:numPr>
        <w:pStyle w:val="Compact"/>
      </w:pPr>
      <w:r>
        <w:t xml:space="preserve">Auditors do not access other tenants’ data. Non-regulator auditors may be asked to sign a confidentiality undertaking and follow site security protocols (OUT para 81), which may not delay or restrict an audit.</w:t>
      </w:r>
    </w:p>
    <w:bookmarkEnd w:id="109"/>
    <w:bookmarkStart w:id="110" w:name="part-c-information-request-timelines"/>
    <w:p>
      <w:pPr>
        <w:pStyle w:val="Heading2"/>
      </w:pPr>
      <w:r>
        <w:t xml:space="preserve">Part C — Information Request Timelines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303"/>
        <w:gridCol w:w="5335"/>
      </w:tblGrid>
      <w:tr>
        <w:trPr>
          <w:tblHeader w:val="true"/>
          <w:tblHeader w:val="true"/>
        </w:trPr>
        <w:tc>
          <w:tcPr>
            <w:tcW w:w="4303" w:type="dxa"/>
            <w:shd w:val="clear" w:color="auto" w:fill="1F3A5F"/>
          </w:tcPr>
          <w:p>
            <w:pPr>
              <w:pStyle w:val="Compact"/>
              <w:spacing w:after="40"/>
              <w:jc w:val="left"/>
            </w:pPr>
            <w:r>
              <w:rPr>
                <w:b/>
                <w:color w:val="FFFFFF"/>
                <w:sz w:val="18"/>
              </w:rPr>
              <w:t xml:space="preserve">Request</w:t>
            </w:r>
          </w:p>
        </w:tc>
        <w:tc>
          <w:tcPr>
            <w:tcW w:w="5335" w:type="dxa"/>
            <w:shd w:val="clear" w:color="auto" w:fill="1F3A5F"/>
          </w:tcPr>
          <w:p>
            <w:pPr>
              <w:pStyle w:val="Compact"/>
              <w:spacing w:after="40"/>
              <w:jc w:val="left"/>
            </w:pPr>
            <w:r>
              <w:rPr>
                <w:b/>
                <w:color w:val="FFFFFF"/>
                <w:sz w:val="18"/>
              </w:rPr>
              <w:t xml:space="preserve">Timeline</w:t>
            </w:r>
          </w:p>
        </w:tc>
      </w:tr>
      <w:tr>
        <w:tc>
          <w:tcPr>
            <w:tcW w:w="4303" w:type="dxa"/>
          </w:tcPr>
          <w:p>
            <w:pPr>
              <w:pStyle w:val="Compact"/>
              <w:spacing w:after="40"/>
              <w:jc w:val="left"/>
            </w:pPr>
            <w:r>
              <w:rPr>
                <w:sz w:val="18"/>
              </w:rPr>
              <w:t xml:space="preserve">Supervisory Authority request for Company Data</w:t>
            </w:r>
          </w:p>
        </w:tc>
        <w:tc>
          <w:tcPr>
            <w:tcW w:w="5335" w:type="dxa"/>
          </w:tcPr>
          <w:p>
            <w:pPr>
              <w:pStyle w:val="Compact"/>
              <w:spacing w:after="40"/>
              <w:jc w:val="left"/>
            </w:pPr>
            <w:r>
              <w:rPr>
                <w:sz w:val="18"/>
              </w:rPr>
              <w:t xml:space="preserve">As specified by the authority; if none, [2] Business Days, informing the Company simultaneously unless prohibited (Clause 9.4)</w:t>
            </w:r>
          </w:p>
        </w:tc>
      </w:tr>
      <w:tr>
        <w:tc>
          <w:tcPr>
            <w:tcW w:w="4303" w:type="dxa"/>
          </w:tcPr>
          <w:p>
            <w:pPr>
              <w:pStyle w:val="Compact"/>
              <w:spacing w:after="40"/>
              <w:jc w:val="left"/>
            </w:pPr>
            <w:r>
              <w:rPr>
                <w:sz w:val="18"/>
              </w:rPr>
              <w:t xml:space="preserve">Information relating to an Incident</w:t>
            </w:r>
          </w:p>
        </w:tc>
        <w:tc>
          <w:tcPr>
            <w:tcW w:w="5335" w:type="dxa"/>
          </w:tcPr>
          <w:p>
            <w:pPr>
              <w:pStyle w:val="Compact"/>
              <w:spacing w:after="40"/>
              <w:jc w:val="left"/>
            </w:pPr>
            <w:r>
              <w:rPr>
                <w:sz w:val="18"/>
              </w:rPr>
              <w:t xml:space="preserve">[24] hours (Clause 9.8); regulatory information pack within [4] hours of Detection (Clause 12.2(b))</w:t>
            </w:r>
          </w:p>
        </w:tc>
      </w:tr>
      <w:tr>
        <w:tc>
          <w:tcPr>
            <w:tcW w:w="4303" w:type="dxa"/>
          </w:tcPr>
          <w:p>
            <w:pPr>
              <w:pStyle w:val="Compact"/>
              <w:spacing w:after="40"/>
              <w:jc w:val="left"/>
            </w:pPr>
            <w:r>
              <w:rPr>
                <w:sz w:val="18"/>
              </w:rPr>
              <w:t xml:space="preserve">Customer or transaction records for a competent authority</w:t>
            </w:r>
          </w:p>
        </w:tc>
        <w:tc>
          <w:tcPr>
            <w:tcW w:w="5335" w:type="dxa"/>
          </w:tcPr>
          <w:p>
            <w:pPr>
              <w:pStyle w:val="Compact"/>
              <w:spacing w:after="40"/>
              <w:jc w:val="left"/>
            </w:pPr>
            <w:r>
              <w:rPr>
                <w:sz w:val="18"/>
              </w:rPr>
              <w:t xml:space="preserve">[1] Business Day (KYC para 47(3), (6))</w:t>
            </w:r>
          </w:p>
        </w:tc>
      </w:tr>
      <w:tr>
        <w:tc>
          <w:tcPr>
            <w:tcW w:w="4303" w:type="dxa"/>
          </w:tcPr>
          <w:p>
            <w:pPr>
              <w:pStyle w:val="Compact"/>
              <w:spacing w:after="40"/>
              <w:jc w:val="left"/>
            </w:pPr>
            <w:r>
              <w:rPr>
                <w:sz w:val="18"/>
              </w:rPr>
              <w:t xml:space="preserve">Other regulatory, audit, supervisory or legal information</w:t>
            </w:r>
          </w:p>
        </w:tc>
        <w:tc>
          <w:tcPr>
            <w:tcW w:w="5335" w:type="dxa"/>
          </w:tcPr>
          <w:p>
            <w:pPr>
              <w:pStyle w:val="Compact"/>
              <w:spacing w:after="40"/>
              <w:jc w:val="left"/>
            </w:pPr>
            <w:r>
              <w:rPr>
                <w:sz w:val="18"/>
              </w:rPr>
              <w:t xml:space="preserve">[5] Business Days, or the shorter period a Supervisory Authority has specified to the Company (Clause 9.8)</w:t>
            </w:r>
          </w:p>
        </w:tc>
      </w:tr>
      <w:tr>
        <w:tc>
          <w:tcPr>
            <w:tcW w:w="4303" w:type="dxa"/>
          </w:tcPr>
          <w:p>
            <w:pPr>
              <w:pStyle w:val="Compact"/>
              <w:spacing w:after="40"/>
              <w:jc w:val="left"/>
            </w:pPr>
            <w:r>
              <w:rPr>
                <w:sz w:val="18"/>
              </w:rPr>
              <w:t xml:space="preserve">Copies of audit or review reports on the Service Provider relating to the Services</w:t>
            </w:r>
          </w:p>
        </w:tc>
        <w:tc>
          <w:tcPr>
            <w:tcW w:w="5335" w:type="dxa"/>
          </w:tcPr>
          <w:p>
            <w:pPr>
              <w:pStyle w:val="Compact"/>
              <w:spacing w:after="40"/>
              <w:jc w:val="left"/>
            </w:pPr>
            <w:r>
              <w:rPr>
                <w:sz w:val="18"/>
              </w:rPr>
              <w:t xml:space="preserve">[10] Business Days of issue (Clause 9.3; OUT para 34(vii); CYB para 62(2)(ii))</w:t>
            </w:r>
          </w:p>
        </w:tc>
      </w:tr>
      <w:tr>
        <w:tc>
          <w:tcPr>
            <w:tcW w:w="4303" w:type="dxa"/>
          </w:tcPr>
          <w:p>
            <w:pPr>
              <w:pStyle w:val="Compact"/>
              <w:spacing w:after="40"/>
              <w:jc w:val="left"/>
            </w:pPr>
            <w:r>
              <w:rPr>
                <w:sz w:val="18"/>
              </w:rPr>
              <w:t xml:space="preserve">VA/PT reports</w:t>
            </w:r>
          </w:p>
        </w:tc>
        <w:tc>
          <w:tcPr>
            <w:tcW w:w="5335" w:type="dxa"/>
          </w:tcPr>
          <w:p>
            <w:pPr>
              <w:pStyle w:val="Compact"/>
              <w:spacing w:after="40"/>
              <w:jc w:val="left"/>
            </w:pPr>
            <w:r>
              <w:rPr>
                <w:sz w:val="18"/>
              </w:rPr>
              <w:t xml:space="preserve">[10] Business Days of each report (Clause 11.6(d))</w:t>
            </w:r>
          </w:p>
        </w:tc>
      </w:tr>
      <w:tr>
        <w:tc>
          <w:tcPr>
            <w:tcW w:w="4303" w:type="dxa"/>
          </w:tcPr>
          <w:p>
            <w:pPr>
              <w:pStyle w:val="Compact"/>
              <w:spacing w:after="40"/>
              <w:jc w:val="left"/>
            </w:pPr>
            <w:r>
              <w:rPr>
                <w:sz w:val="18"/>
              </w:rPr>
              <w:t xml:space="preserve">Vendor assurance pack</w:t>
            </w:r>
          </w:p>
        </w:tc>
        <w:tc>
          <w:tcPr>
            <w:tcW w:w="5335" w:type="dxa"/>
          </w:tcPr>
          <w:p>
            <w:pPr>
              <w:pStyle w:val="Compact"/>
              <w:spacing w:after="40"/>
              <w:jc w:val="left"/>
            </w:pPr>
            <w:r>
              <w:rPr>
                <w:sz w:val="18"/>
              </w:rPr>
              <w:t xml:space="preserve">Within [30] days of each anniversary of the Effective Date (Clause 8.5)</w:t>
            </w:r>
          </w:p>
        </w:tc>
      </w:tr>
    </w:tbl>
    <w:bookmarkEnd w:id="110"/>
    <w:bookmarkStart w:id="111" w:name="X84ee674eed879db6887b2abcf96a027dc9050d0"/>
    <w:p>
      <w:pPr>
        <w:pStyle w:val="Heading2"/>
      </w:pPr>
      <w:r>
        <w:t xml:space="preserve">Part D — Certifications, Pooled Audits, Findings and Costs</w:t>
      </w:r>
    </w:p>
    <w:p>
      <w:pPr>
        <w:numPr>
          <w:ilvl w:val="0"/>
          <w:numId w:val="1041"/>
        </w:numPr>
        <w:pStyle w:val="Compact"/>
      </w:pPr>
      <w:r>
        <w:t xml:space="preserve">The Company may, on its risk assessment, rely on ISO/IEC 27001 and SOC 2 Type II reports (with bridge letters) instead of its own audit, without being absolved of its responsibility (Clause 9.9; OUT para 79). Certifications and pooled audits (OUT para 77) never restrict Clauses 9.1 to 9.6.</w:t>
      </w:r>
    </w:p>
    <w:p>
      <w:pPr>
        <w:numPr>
          <w:ilvl w:val="0"/>
          <w:numId w:val="1041"/>
        </w:numPr>
        <w:pStyle w:val="Compact"/>
      </w:pPr>
      <w:r>
        <w:t xml:space="preserve">Findings are rated High, Medium or Low. A remediation plan is agreed within [30] days of the report or any shorter period a Supervisory Authority requires (Clause 9.11), with target closure of High findings in [30] days, Medium in [90] and Low in [180] (security findings: Schedule 5, Part C), tracked in the risk register and reported to the governance committees (Article 27); adverse developments go to the Company’s Board (OUT para 78).</w:t>
      </w:r>
    </w:p>
    <w:p>
      <w:pPr>
        <w:numPr>
          <w:ilvl w:val="0"/>
          <w:numId w:val="1041"/>
        </w:numPr>
        <w:pStyle w:val="Compact"/>
      </w:pPr>
      <w:r>
        <w:t xml:space="preserve">Costs: each Party bears its own; no fee for Supervisory Authority access; the Service Provider bears the reasonable costs of an audit that reveals a material breach (Clause 9.12).</w:t>
      </w:r>
    </w:p>
    <w:bookmarkEnd w:id="111"/>
    <w:bookmarkStart w:id="112" w:name="part-e-supervisory-co-operation"/>
    <w:p>
      <w:pPr>
        <w:pStyle w:val="Heading2"/>
      </w:pPr>
      <w:r>
        <w:t xml:space="preserve">Part E — Supervisory Co-operation</w:t>
      </w:r>
    </w:p>
    <w:p>
      <w:pPr>
        <w:pStyle w:val="FirstParagraph"/>
      </w:pPr>
      <w:r>
        <w:t xml:space="preserve">The Service Provider co-operates fully in inspections of the Company, complies with RBI directions on the Services (Clause 3.10; OUT paras 47(v), 74(xiv)), co-operates in the Company’s insolvency or resolution (Clause 8.8; OUT para 74(xvi)), keeps records available even on its own liquidation (Clause 9.14; OUT para 53(iii)), and does nothing that impedes RBI supervision or the Company’s obligations to RBI (Clause 8.3; OUT para 18(ii)–(iii)).</w:t>
      </w:r>
    </w:p>
    <w:p>
      <w:r>
        <w:pict>
          <v:rect style="width:0;height:1.5pt" o:hralign="center" o:hrstd="t" o:hr="t"/>
        </w:pict>
      </w:r>
    </w:p>
    <w:p>
      <w:r>
        <w:br w:type="page"/>
      </w:r>
    </w:p>
    <w:bookmarkEnd w:id="112"/>
    <w:bookmarkEnd w:id="113"/>
    <w:bookmarkStart w:id="120" w:name="Xb2763556ec0dd62d716974a98b32967b7997e18"/>
    <w:p>
      <w:pPr>
        <w:pStyle w:val="Heading1"/>
      </w:pPr>
      <w:r>
        <w:t xml:space="preserve">SCHEDULE 7 — Incident Notification Protocol</w:t>
      </w:r>
    </w:p>
    <w:p>
      <w:pPr>
        <w:pStyle w:val="FirstParagraph"/>
      </w:pPr>
      <w:r>
        <w:rPr>
          <w:iCs/>
          <w:i/>
        </w:rPr>
        <w:t xml:space="preserve">Drafting note: Supports Article 12. The Company reports cyber incidents on DAKSH within six hours of detection (CYB paras 28, 141; HFCs to NHB), measured from Detection by the Service Provider (Clause 12.2; OUT para 61); notifies RBI immediately of a breach of security and leakage of customer information (Clause 12.6; OUT paras 28, 69(iii)); notifies CERT-In (CYB para 141); and intimates the Data Protection Board and Data Principals (Clause 12.5; DPDP Act s.8(6); Rule 7). The Service Provider has its own six-hour CERT-In duty (Clause 12.4). The [2]-hour target leaves the Company four hours to assess and file.</w:t>
      </w:r>
    </w:p>
    <w:bookmarkStart w:id="114" w:name="X9fca0f59c32171e4c81fe0a91e1b62058eab91c"/>
    <w:p>
      <w:pPr>
        <w:pStyle w:val="Heading2"/>
      </w:pPr>
      <w:r>
        <w:t xml:space="preserve">Part A — Material Adverse Events (Clause 1.1; OUT para 74(iii)) [Mandatory — RBI]</w:t>
      </w:r>
    </w:p>
    <w:p>
      <w:pPr>
        <w:numPr>
          <w:ilvl w:val="0"/>
          <w:numId w:val="1042"/>
        </w:numPr>
        <w:pStyle w:val="Compact"/>
      </w:pPr>
      <w:r>
        <w:t xml:space="preserve">Data breaches, Security Breaches and personal data breaches, and any leakage of customer information (OUT paras 25, 28).</w:t>
      </w:r>
    </w:p>
    <w:p>
      <w:pPr>
        <w:numPr>
          <w:ilvl w:val="0"/>
          <w:numId w:val="1042"/>
        </w:numPr>
        <w:pStyle w:val="Compact"/>
      </w:pPr>
      <w:r>
        <w:t xml:space="preserve">Cyber Incidents affecting the Platform, the Tenant Environment, integrations or Company Data, including ransomware or malware infection, denial or distributed denial of service, unauthorised access to or exfiltration of Company Data, account takeover, insider misuse, and compromise of credentials or cryptographic keys.</w:t>
      </w:r>
    </w:p>
    <w:p>
      <w:pPr>
        <w:numPr>
          <w:ilvl w:val="0"/>
          <w:numId w:val="1042"/>
        </w:numPr>
        <w:pStyle w:val="Compact"/>
      </w:pPr>
      <w:r>
        <w:t xml:space="preserve">Service unavailability of Tier 1 or a Critical Application for more than [15] minutes, and any RTO or RPO breach.</w:t>
      </w:r>
    </w:p>
    <w:p>
      <w:pPr>
        <w:numPr>
          <w:ilvl w:val="0"/>
          <w:numId w:val="1042"/>
        </w:numPr>
        <w:pStyle w:val="Compact"/>
      </w:pPr>
      <w:r>
        <w:t xml:space="preserve">Loss of integrity of ledger or loan data (balance, classification or schedule corruption, erroneous bulk updates, failed COB, duplicated or missed disbursement, mandate or collection files).</w:t>
      </w:r>
    </w:p>
    <w:p>
      <w:pPr>
        <w:numPr>
          <w:ilvl w:val="0"/>
          <w:numId w:val="1042"/>
        </w:numPr>
        <w:pStyle w:val="Compact"/>
      </w:pPr>
      <w:r>
        <w:t xml:space="preserve">Failure of backup or disaster recovery, including a failed restore test or DR drill.</w:t>
      </w:r>
    </w:p>
    <w:p>
      <w:pPr>
        <w:numPr>
          <w:ilvl w:val="0"/>
          <w:numId w:val="1042"/>
        </w:numPr>
        <w:pStyle w:val="Compact"/>
      </w:pPr>
      <w:r>
        <w:t xml:space="preserve">Incidents at a Sub-contractor that affect or may affect the Services.</w:t>
      </w:r>
    </w:p>
    <w:p>
      <w:pPr>
        <w:numPr>
          <w:ilvl w:val="0"/>
          <w:numId w:val="1042"/>
        </w:numPr>
        <w:pStyle w:val="Compact"/>
      </w:pPr>
      <w:r>
        <w:t xml:space="preserve">Actively exploited vulnerabilities in Platform components not mitigated within Schedule 5, Part C.</w:t>
      </w:r>
    </w:p>
    <w:p>
      <w:pPr>
        <w:numPr>
          <w:ilvl w:val="0"/>
          <w:numId w:val="1042"/>
        </w:numPr>
        <w:pStyle w:val="Compact"/>
      </w:pPr>
      <w:r>
        <w:t xml:space="preserve">Fraud through the Platform or by Service Provider personnel (Clause 8.11).</w:t>
      </w:r>
    </w:p>
    <w:p>
      <w:pPr>
        <w:numPr>
          <w:ilvl w:val="0"/>
          <w:numId w:val="1042"/>
        </w:numPr>
        <w:pStyle w:val="Compact"/>
      </w:pPr>
      <w:r>
        <w:t xml:space="preserve">Insolvency events, change of control, regulatory action, investigation or adverse order affecting the Service Provider or a Sub-contractor, and loss or suspension of a certification under Clause 8.5 (Clause 8.6).</w:t>
      </w:r>
    </w:p>
    <w:p>
      <w:pPr>
        <w:numPr>
          <w:ilvl w:val="0"/>
          <w:numId w:val="1042"/>
        </w:numPr>
        <w:pStyle w:val="Compact"/>
      </w:pPr>
      <w:r>
        <w:t xml:space="preserve">Any other event the Company notifies in writing as required for its risk-mitigation or regulatory compliance.</w:t>
      </w:r>
    </w:p>
    <w:bookmarkEnd w:id="114"/>
    <w:bookmarkStart w:id="115" w:name="Xe5f56f771e4cbde02228016a2b2e8f6c5f1d093"/>
    <w:p>
      <w:pPr>
        <w:pStyle w:val="Heading2"/>
      </w:pPr>
      <w:r>
        <w:t xml:space="preserve">Part B — Severity and Notification Timelines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60"/>
        <w:gridCol w:w="2660"/>
        <w:gridCol w:w="2500"/>
        <w:gridCol w:w="1330"/>
        <w:gridCol w:w="1088"/>
      </w:tblGrid>
      <w:tr>
        <w:trPr>
          <w:tblHeader w:val="true"/>
          <w:tblHeader w:val="true"/>
        </w:trPr>
        <w:tc>
          <w:tcPr>
            <w:tcW w:w="2060" w:type="dxa"/>
            <w:shd w:val="clear" w:color="auto" w:fill="1F3A5F"/>
          </w:tcPr>
          <w:p>
            <w:pPr>
              <w:pStyle w:val="Compact"/>
              <w:spacing w:after="40"/>
              <w:jc w:val="left"/>
            </w:pPr>
            <w:r>
              <w:rPr>
                <w:b/>
                <w:color w:val="FFFFFF"/>
                <w:sz w:val="18"/>
              </w:rPr>
              <w:t xml:space="preserve">Severity</w:t>
            </w:r>
          </w:p>
        </w:tc>
        <w:tc>
          <w:tcPr>
            <w:tcW w:w="2660" w:type="dxa"/>
            <w:shd w:val="clear" w:color="auto" w:fill="1F3A5F"/>
          </w:tcPr>
          <w:p>
            <w:pPr>
              <w:pStyle w:val="Compact"/>
              <w:spacing w:after="40"/>
              <w:jc w:val="left"/>
            </w:pPr>
            <w:r>
              <w:rPr>
                <w:b/>
                <w:color w:val="FFFFFF"/>
                <w:sz w:val="18"/>
              </w:rPr>
              <w:t xml:space="preserve">Criteria</w:t>
            </w:r>
          </w:p>
        </w:tc>
        <w:tc>
          <w:tcPr>
            <w:tcW w:w="2500" w:type="dxa"/>
            <w:shd w:val="clear" w:color="auto" w:fill="1F3A5F"/>
          </w:tcPr>
          <w:p>
            <w:pPr>
              <w:pStyle w:val="Compact"/>
              <w:spacing w:after="40"/>
              <w:jc w:val="left"/>
            </w:pPr>
            <w:r>
              <w:rPr>
                <w:b/>
                <w:color w:val="FFFFFF"/>
                <w:sz w:val="18"/>
              </w:rPr>
              <w:t xml:space="preserve">Initial notice (Clause 12.2)</w:t>
            </w:r>
          </w:p>
        </w:tc>
        <w:tc>
          <w:tcPr>
            <w:tcW w:w="1330" w:type="dxa"/>
            <w:shd w:val="clear" w:color="auto" w:fill="1F3A5F"/>
          </w:tcPr>
          <w:p>
            <w:pPr>
              <w:pStyle w:val="Compact"/>
              <w:spacing w:after="40"/>
              <w:jc w:val="left"/>
            </w:pPr>
            <w:r>
              <w:rPr>
                <w:b/>
                <w:color w:val="FFFFFF"/>
                <w:sz w:val="18"/>
              </w:rPr>
              <w:t xml:space="preserve">Regulatory information pack</w:t>
            </w:r>
          </w:p>
        </w:tc>
        <w:tc>
          <w:tcPr>
            <w:tcW w:w="1088" w:type="dxa"/>
            <w:shd w:val="clear" w:color="auto" w:fill="1F3A5F"/>
          </w:tcPr>
          <w:p>
            <w:pPr>
              <w:pStyle w:val="Compact"/>
              <w:spacing w:after="40"/>
              <w:jc w:val="left"/>
            </w:pPr>
            <w:r>
              <w:rPr>
                <w:b/>
                <w:color w:val="FFFFFF"/>
                <w:sz w:val="18"/>
              </w:rPr>
              <w:t xml:space="preserve">RCA (Clause 12.9)</w:t>
            </w:r>
          </w:p>
        </w:tc>
      </w:tr>
      <w:tr>
        <w:tc>
          <w:tcPr>
            <w:tcW w:w="2060" w:type="dxa"/>
          </w:tcPr>
          <w:p>
            <w:pPr>
              <w:pStyle w:val="Compact"/>
              <w:spacing w:after="40"/>
              <w:jc w:val="left"/>
            </w:pPr>
            <w:r>
              <w:rPr>
                <w:sz w:val="18"/>
              </w:rPr>
              <w:t xml:space="preserve">Severity 1</w:t>
            </w:r>
          </w:p>
        </w:tc>
        <w:tc>
          <w:tcPr>
            <w:tcW w:w="2660" w:type="dxa"/>
          </w:tcPr>
          <w:p>
            <w:pPr>
              <w:pStyle w:val="Compact"/>
              <w:spacing w:after="40"/>
              <w:jc w:val="left"/>
            </w:pPr>
            <w:r>
              <w:rPr>
                <w:sz w:val="18"/>
              </w:rPr>
              <w:t xml:space="preserve">Any confirmed or suspected Cyber Incident, Security Breach or personal data breach involving Company Data; ransomware; Tier 1 or Critical Application outage; ledger integrity event</w:t>
            </w:r>
          </w:p>
        </w:tc>
        <w:tc>
          <w:tcPr>
            <w:tcW w:w="2500" w:type="dxa"/>
          </w:tcPr>
          <w:p>
            <w:pPr>
              <w:pStyle w:val="Compact"/>
              <w:spacing w:after="40"/>
              <w:jc w:val="left"/>
            </w:pPr>
            <w:r>
              <w:rPr>
                <w:sz w:val="18"/>
              </w:rPr>
              <w:t xml:space="preserve">Within [2] hours of Detection, by telephone and email, even if incomplete</w:t>
            </w:r>
          </w:p>
        </w:tc>
        <w:tc>
          <w:tcPr>
            <w:tcW w:w="1330" w:type="dxa"/>
          </w:tcPr>
          <w:p>
            <w:pPr>
              <w:pStyle w:val="Compact"/>
              <w:spacing w:after="40"/>
              <w:jc w:val="left"/>
            </w:pPr>
            <w:r>
              <w:rPr>
                <w:sz w:val="18"/>
              </w:rPr>
              <w:t xml:space="preserve">Within [4] hours of Detection</w:t>
            </w:r>
          </w:p>
        </w:tc>
        <w:tc>
          <w:tcPr>
            <w:tcW w:w="1088" w:type="dxa"/>
          </w:tcPr>
          <w:p>
            <w:pPr>
              <w:pStyle w:val="Compact"/>
              <w:spacing w:after="40"/>
              <w:jc w:val="left"/>
            </w:pPr>
            <w:r>
              <w:rPr>
                <w:sz w:val="18"/>
              </w:rPr>
              <w:t xml:space="preserve">Within [7] days of containment</w:t>
            </w:r>
          </w:p>
        </w:tc>
      </w:tr>
      <w:tr>
        <w:tc>
          <w:tcPr>
            <w:tcW w:w="2060" w:type="dxa"/>
          </w:tcPr>
          <w:p>
            <w:pPr>
              <w:pStyle w:val="Compact"/>
              <w:spacing w:after="40"/>
              <w:jc w:val="left"/>
            </w:pPr>
            <w:r>
              <w:rPr>
                <w:sz w:val="18"/>
              </w:rPr>
              <w:t xml:space="preserve">Severity 2</w:t>
            </w:r>
          </w:p>
        </w:tc>
        <w:tc>
          <w:tcPr>
            <w:tcW w:w="2660" w:type="dxa"/>
          </w:tcPr>
          <w:p>
            <w:pPr>
              <w:pStyle w:val="Compact"/>
              <w:spacing w:after="40"/>
              <w:jc w:val="left"/>
            </w:pPr>
            <w:r>
              <w:rPr>
                <w:sz w:val="18"/>
              </w:rPr>
              <w:t xml:space="preserve">Security event without evidence of compromise; non-critical outage; limited integrity event; Sub-contractor incident that may affect the Services</w:t>
            </w:r>
          </w:p>
        </w:tc>
        <w:tc>
          <w:tcPr>
            <w:tcW w:w="2500" w:type="dxa"/>
          </w:tcPr>
          <w:p>
            <w:pPr>
              <w:pStyle w:val="Compact"/>
              <w:spacing w:after="40"/>
              <w:jc w:val="left"/>
            </w:pPr>
            <w:r>
              <w:rPr>
                <w:sz w:val="18"/>
              </w:rPr>
              <w:t xml:space="preserve">Within [2] hours of Detection</w:t>
            </w:r>
          </w:p>
        </w:tc>
        <w:tc>
          <w:tcPr>
            <w:tcW w:w="1330" w:type="dxa"/>
          </w:tcPr>
          <w:p>
            <w:pPr>
              <w:pStyle w:val="Compact"/>
              <w:spacing w:after="40"/>
              <w:jc w:val="left"/>
            </w:pPr>
            <w:r>
              <w:rPr>
                <w:sz w:val="18"/>
              </w:rPr>
              <w:t xml:space="preserve">Within [4] hours if reportable by the Company</w:t>
            </w:r>
          </w:p>
        </w:tc>
        <w:tc>
          <w:tcPr>
            <w:tcW w:w="1088" w:type="dxa"/>
          </w:tcPr>
          <w:p>
            <w:pPr>
              <w:pStyle w:val="Compact"/>
              <w:spacing w:after="40"/>
              <w:jc w:val="left"/>
            </w:pPr>
            <w:r>
              <w:rPr>
                <w:sz w:val="18"/>
              </w:rPr>
              <w:t xml:space="preserve">Within [7] days of containment</w:t>
            </w:r>
          </w:p>
        </w:tc>
      </w:tr>
      <w:tr>
        <w:tc>
          <w:tcPr>
            <w:tcW w:w="2060" w:type="dxa"/>
          </w:tcPr>
          <w:p>
            <w:pPr>
              <w:pStyle w:val="Compact"/>
              <w:spacing w:after="40"/>
              <w:jc w:val="left"/>
            </w:pPr>
            <w:r>
              <w:rPr>
                <w:sz w:val="18"/>
              </w:rPr>
              <w:t xml:space="preserve">Severity 3</w:t>
            </w:r>
          </w:p>
        </w:tc>
        <w:tc>
          <w:tcPr>
            <w:tcW w:w="2660" w:type="dxa"/>
          </w:tcPr>
          <w:p>
            <w:pPr>
              <w:pStyle w:val="Compact"/>
              <w:spacing w:after="40"/>
              <w:jc w:val="left"/>
            </w:pPr>
            <w:r>
              <w:rPr>
                <w:sz w:val="18"/>
              </w:rPr>
              <w:t xml:space="preserve">Degradation with workaround; blocked attack with no impact</w:t>
            </w:r>
          </w:p>
        </w:tc>
        <w:tc>
          <w:tcPr>
            <w:tcW w:w="2500" w:type="dxa"/>
          </w:tcPr>
          <w:p>
            <w:pPr>
              <w:pStyle w:val="Compact"/>
              <w:spacing w:after="40"/>
              <w:jc w:val="left"/>
            </w:pPr>
            <w:r>
              <w:rPr>
                <w:sz w:val="18"/>
              </w:rPr>
              <w:t xml:space="preserve">Within [24] hours</w:t>
            </w:r>
          </w:p>
        </w:tc>
        <w:tc>
          <w:tcPr>
            <w:tcW w:w="1330" w:type="dxa"/>
          </w:tcPr>
          <w:p>
            <w:pPr>
              <w:pStyle w:val="Compact"/>
              <w:spacing w:after="40"/>
              <w:jc w:val="left"/>
            </w:pPr>
            <w:r>
              <w:rPr>
                <w:sz w:val="18"/>
              </w:rPr>
              <w:t xml:space="preserve">—</w:t>
            </w:r>
          </w:p>
        </w:tc>
        <w:tc>
          <w:tcPr>
            <w:tcW w:w="1088" w:type="dxa"/>
          </w:tcPr>
          <w:p>
            <w:pPr>
              <w:pStyle w:val="Compact"/>
              <w:spacing w:after="40"/>
              <w:jc w:val="left"/>
            </w:pPr>
            <w:r>
              <w:rPr>
                <w:sz w:val="18"/>
              </w:rPr>
              <w:t xml:space="preserve">On request</w:t>
            </w:r>
          </w:p>
        </w:tc>
      </w:tr>
      <w:tr>
        <w:tc>
          <w:tcPr>
            <w:tcW w:w="2060" w:type="dxa"/>
          </w:tcPr>
          <w:p>
            <w:pPr>
              <w:pStyle w:val="Compact"/>
              <w:spacing w:after="40"/>
              <w:jc w:val="left"/>
            </w:pPr>
            <w:r>
              <w:rPr>
                <w:sz w:val="18"/>
              </w:rPr>
              <w:t xml:space="preserve">Other Material Adverse Event (Part A items 5 and 8–10, and any other Part A item not within Severity 1 to 3)</w:t>
            </w:r>
          </w:p>
        </w:tc>
        <w:tc>
          <w:tcPr>
            <w:tcW w:w="2660" w:type="dxa"/>
          </w:tcPr>
          <w:p>
            <w:pPr>
              <w:pStyle w:val="Compact"/>
              <w:spacing w:after="40"/>
              <w:jc w:val="left"/>
            </w:pPr>
            <w:r>
              <w:rPr>
                <w:sz w:val="18"/>
              </w:rPr>
              <w:t xml:space="preserve">—</w:t>
            </w:r>
          </w:p>
        </w:tc>
        <w:tc>
          <w:tcPr>
            <w:tcW w:w="2500" w:type="dxa"/>
          </w:tcPr>
          <w:p>
            <w:pPr>
              <w:pStyle w:val="Compact"/>
              <w:spacing w:after="40"/>
              <w:jc w:val="left"/>
            </w:pPr>
            <w:r>
              <w:rPr>
                <w:sz w:val="18"/>
              </w:rPr>
              <w:t xml:space="preserve">Within [24] hours of becoming aware (Clause 12.2(d)); including the events in Clause 8.6(a), (b) and (e), which are Material Adverse Events under Part A item 9</w:t>
            </w:r>
          </w:p>
        </w:tc>
        <w:tc>
          <w:tcPr>
            <w:tcW w:w="1330" w:type="dxa"/>
          </w:tcPr>
          <w:p>
            <w:pPr>
              <w:pStyle w:val="Compact"/>
              <w:spacing w:after="40"/>
              <w:jc w:val="left"/>
            </w:pPr>
            <w:r>
              <w:rPr>
                <w:sz w:val="18"/>
              </w:rPr>
              <w:t xml:space="preserve">—</w:t>
            </w:r>
          </w:p>
        </w:tc>
        <w:tc>
          <w:tcPr>
            <w:tcW w:w="1088" w:type="dxa"/>
          </w:tcPr>
          <w:p>
            <w:pPr>
              <w:pStyle w:val="Compact"/>
              <w:spacing w:after="40"/>
              <w:jc w:val="left"/>
            </w:pPr>
            <w:r>
              <w:rPr>
                <w:sz w:val="18"/>
              </w:rPr>
              <w:t xml:space="preserve">—</w:t>
            </w:r>
          </w:p>
        </w:tc>
      </w:tr>
      <w:tr>
        <w:tc>
          <w:tcPr>
            <w:tcW w:w="2060" w:type="dxa"/>
          </w:tcPr>
          <w:p>
            <w:pPr>
              <w:pStyle w:val="Compact"/>
              <w:spacing w:after="40"/>
              <w:jc w:val="left"/>
            </w:pPr>
            <w:r>
              <w:rPr>
                <w:sz w:val="18"/>
              </w:rPr>
              <w:t xml:space="preserve">Informational</w:t>
            </w:r>
          </w:p>
        </w:tc>
        <w:tc>
          <w:tcPr>
            <w:tcW w:w="2660" w:type="dxa"/>
          </w:tcPr>
          <w:p>
            <w:pPr>
              <w:pStyle w:val="Compact"/>
              <w:spacing w:after="40"/>
              <w:jc w:val="left"/>
            </w:pPr>
            <w:r>
              <w:rPr>
                <w:sz w:val="18"/>
              </w:rPr>
              <w:t xml:space="preserve">—</w:t>
            </w:r>
          </w:p>
        </w:tc>
        <w:tc>
          <w:tcPr>
            <w:tcW w:w="2500" w:type="dxa"/>
          </w:tcPr>
          <w:p>
            <w:pPr>
              <w:pStyle w:val="Compact"/>
              <w:spacing w:after="40"/>
              <w:jc w:val="left"/>
            </w:pPr>
            <w:r>
              <w:rPr>
                <w:sz w:val="18"/>
              </w:rPr>
              <w:t xml:space="preserve">Monthly report</w:t>
            </w:r>
          </w:p>
        </w:tc>
        <w:tc>
          <w:tcPr>
            <w:tcW w:w="1330" w:type="dxa"/>
          </w:tcPr>
          <w:p>
            <w:pPr>
              <w:pStyle w:val="Compact"/>
              <w:spacing w:after="40"/>
              <w:jc w:val="left"/>
            </w:pPr>
            <w:r>
              <w:rPr>
                <w:sz w:val="18"/>
              </w:rPr>
              <w:t xml:space="preserve">—</w:t>
            </w:r>
          </w:p>
        </w:tc>
        <w:tc>
          <w:tcPr>
            <w:tcW w:w="1088" w:type="dxa"/>
          </w:tcPr>
          <w:p>
            <w:pPr>
              <w:pStyle w:val="Compact"/>
              <w:spacing w:after="40"/>
              <w:jc w:val="left"/>
            </w:pPr>
            <w:r>
              <w:rPr>
                <w:sz w:val="18"/>
              </w:rPr>
              <w:t xml:space="preserve">—</w:t>
            </w:r>
          </w:p>
        </w:tc>
      </w:tr>
    </w:tbl>
    <w:p>
      <w:pPr>
        <w:pStyle w:val="BodyText"/>
      </w:pPr>
      <w:r>
        <w:t xml:space="preserve">Uncertain cases are treated at the higher severity; the Company may reclassify. Updates: at least every [4] hours until containment, then daily until closure (Clause 12.2(c)).</w:t>
      </w:r>
    </w:p>
    <w:bookmarkEnd w:id="115"/>
    <w:bookmarkStart w:id="116" w:name="X437032faaf25aaed7e96e3bbfcafc747642957e"/>
    <w:p>
      <w:pPr>
        <w:pStyle w:val="Heading2"/>
      </w:pPr>
      <w:r>
        <w:t xml:space="preserve">Part C — Form of Initial Notification and Information Pack</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43"/>
        <w:gridCol w:w="6795"/>
      </w:tblGrid>
      <w:tr>
        <w:trPr>
          <w:tblHeader w:val="true"/>
          <w:tblHeader w:val="true"/>
        </w:trPr>
        <w:tc>
          <w:tcPr>
            <w:tcW w:w="2843" w:type="dxa"/>
            <w:shd w:val="clear" w:color="auto" w:fill="1F3A5F"/>
          </w:tcPr>
          <w:p>
            <w:pPr>
              <w:pStyle w:val="Compact"/>
              <w:spacing w:after="40"/>
              <w:jc w:val="left"/>
            </w:pPr>
            <w:r>
              <w:rPr>
                <w:b/>
                <w:color w:val="FFFFFF"/>
                <w:sz w:val="18"/>
              </w:rPr>
              <w:t xml:space="preserve">Field</w:t>
            </w:r>
          </w:p>
        </w:tc>
        <w:tc>
          <w:tcPr>
            <w:tcW w:w="6795" w:type="dxa"/>
            <w:shd w:val="clear" w:color="auto" w:fill="1F3A5F"/>
          </w:tcPr>
          <w:p>
            <w:pPr>
              <w:pStyle w:val="Compact"/>
              <w:spacing w:after="40"/>
              <w:jc w:val="left"/>
            </w:pPr>
            <w:r>
              <w:rPr>
                <w:b/>
                <w:color w:val="FFFFFF"/>
                <w:sz w:val="18"/>
              </w:rPr>
              <w:t xml:space="preserve">Content</w:t>
            </w:r>
          </w:p>
        </w:tc>
      </w:tr>
      <w:tr>
        <w:tc>
          <w:tcPr>
            <w:tcW w:w="2843" w:type="dxa"/>
          </w:tcPr>
          <w:p>
            <w:pPr>
              <w:pStyle w:val="Compact"/>
              <w:spacing w:after="40"/>
              <w:jc w:val="left"/>
            </w:pPr>
            <w:r>
              <w:rPr>
                <w:sz w:val="18"/>
              </w:rPr>
              <w:t xml:space="preserve">Reference and reporter</w:t>
            </w:r>
          </w:p>
        </w:tc>
        <w:tc>
          <w:tcPr>
            <w:tcW w:w="6795" w:type="dxa"/>
          </w:tcPr>
          <w:p>
            <w:pPr>
              <w:pStyle w:val="Compact"/>
              <w:spacing w:after="40"/>
              <w:jc w:val="left"/>
            </w:pPr>
            <w:r>
              <w:rPr>
                <w:sz w:val="18"/>
              </w:rPr>
              <w:t xml:space="preserve">Incident ID; Tenant Environment; incident lead’s name, mobile and email (Clause 12.3)</w:t>
            </w:r>
          </w:p>
        </w:tc>
      </w:tr>
      <w:tr>
        <w:tc>
          <w:tcPr>
            <w:tcW w:w="2843" w:type="dxa"/>
          </w:tcPr>
          <w:p>
            <w:pPr>
              <w:pStyle w:val="Compact"/>
              <w:spacing w:after="40"/>
              <w:jc w:val="left"/>
            </w:pPr>
            <w:r>
              <w:rPr>
                <w:sz w:val="18"/>
              </w:rPr>
              <w:t xml:space="preserve">Times</w:t>
            </w:r>
          </w:p>
        </w:tc>
        <w:tc>
          <w:tcPr>
            <w:tcW w:w="6795" w:type="dxa"/>
          </w:tcPr>
          <w:p>
            <w:pPr>
              <w:pStyle w:val="Compact"/>
              <w:spacing w:after="40"/>
              <w:jc w:val="left"/>
            </w:pPr>
            <w:r>
              <w:rPr>
                <w:sz w:val="18"/>
              </w:rPr>
              <w:t xml:space="preserve">Detection time (IST, NTP-synchronised) and how detected; known or estimated start time</w:t>
            </w:r>
          </w:p>
        </w:tc>
      </w:tr>
      <w:tr>
        <w:tc>
          <w:tcPr>
            <w:tcW w:w="2843" w:type="dxa"/>
          </w:tcPr>
          <w:p>
            <w:pPr>
              <w:pStyle w:val="Compact"/>
              <w:spacing w:after="40"/>
              <w:jc w:val="left"/>
            </w:pPr>
            <w:r>
              <w:rPr>
                <w:sz w:val="18"/>
              </w:rPr>
              <w:t xml:space="preserve">Classification</w:t>
            </w:r>
          </w:p>
        </w:tc>
        <w:tc>
          <w:tcPr>
            <w:tcW w:w="6795" w:type="dxa"/>
          </w:tcPr>
          <w:p>
            <w:pPr>
              <w:pStyle w:val="Compact"/>
              <w:spacing w:after="40"/>
              <w:jc w:val="left"/>
            </w:pPr>
            <w:r>
              <w:rPr>
                <w:sz w:val="18"/>
              </w:rPr>
              <w:t xml:space="preserve">Material Adverse Event category (Part A) and severity (Part B)</w:t>
            </w:r>
          </w:p>
        </w:tc>
      </w:tr>
      <w:tr>
        <w:tc>
          <w:tcPr>
            <w:tcW w:w="2843" w:type="dxa"/>
          </w:tcPr>
          <w:p>
            <w:pPr>
              <w:pStyle w:val="Compact"/>
              <w:spacing w:after="40"/>
              <w:jc w:val="left"/>
            </w:pPr>
            <w:r>
              <w:rPr>
                <w:sz w:val="18"/>
              </w:rPr>
              <w:t xml:space="preserve">Description</w:t>
            </w:r>
          </w:p>
        </w:tc>
        <w:tc>
          <w:tcPr>
            <w:tcW w:w="6795" w:type="dxa"/>
          </w:tcPr>
          <w:p>
            <w:pPr>
              <w:pStyle w:val="Compact"/>
              <w:spacing w:after="40"/>
              <w:jc w:val="left"/>
            </w:pPr>
            <w:r>
              <w:rPr>
                <w:sz w:val="18"/>
              </w:rPr>
              <w:t xml:space="preserve">Plain-language account of the nature of the Incident</w:t>
            </w:r>
          </w:p>
        </w:tc>
      </w:tr>
      <w:tr>
        <w:tc>
          <w:tcPr>
            <w:tcW w:w="2843" w:type="dxa"/>
          </w:tcPr>
          <w:p>
            <w:pPr>
              <w:pStyle w:val="Compact"/>
              <w:spacing w:after="40"/>
              <w:jc w:val="left"/>
            </w:pPr>
            <w:r>
              <w:rPr>
                <w:sz w:val="18"/>
              </w:rPr>
              <w:t xml:space="preserve">Systems affected</w:t>
            </w:r>
          </w:p>
        </w:tc>
        <w:tc>
          <w:tcPr>
            <w:tcW w:w="6795" w:type="dxa"/>
          </w:tcPr>
          <w:p>
            <w:pPr>
              <w:pStyle w:val="Compact"/>
              <w:spacing w:after="40"/>
              <w:jc w:val="left"/>
            </w:pPr>
            <w:r>
              <w:rPr>
                <w:sz w:val="18"/>
              </w:rPr>
              <w:t xml:space="preserve">Modules, Tenant Environments, integrations, regions, Sub-contractors</w:t>
            </w:r>
          </w:p>
        </w:tc>
      </w:tr>
      <w:tr>
        <w:tc>
          <w:tcPr>
            <w:tcW w:w="2843" w:type="dxa"/>
          </w:tcPr>
          <w:p>
            <w:pPr>
              <w:pStyle w:val="Compact"/>
              <w:spacing w:after="40"/>
              <w:jc w:val="left"/>
            </w:pPr>
            <w:r>
              <w:rPr>
                <w:sz w:val="18"/>
              </w:rPr>
              <w:t xml:space="preserve">Data affected</w:t>
            </w:r>
          </w:p>
        </w:tc>
        <w:tc>
          <w:tcPr>
            <w:tcW w:w="6795" w:type="dxa"/>
          </w:tcPr>
          <w:p>
            <w:pPr>
              <w:pStyle w:val="Compact"/>
              <w:spacing w:after="40"/>
              <w:jc w:val="left"/>
            </w:pPr>
            <w:r>
              <w:rPr>
                <w:sz w:val="18"/>
              </w:rPr>
              <w:t xml:space="preserve">Categories and approximate numbers of Data Principals and records; whether accessed, exfiltrated, altered or destroyed; encryption status</w:t>
            </w:r>
          </w:p>
        </w:tc>
      </w:tr>
      <w:tr>
        <w:tc>
          <w:tcPr>
            <w:tcW w:w="2843" w:type="dxa"/>
          </w:tcPr>
          <w:p>
            <w:pPr>
              <w:pStyle w:val="Compact"/>
              <w:spacing w:after="40"/>
              <w:jc w:val="left"/>
            </w:pPr>
            <w:r>
              <w:rPr>
                <w:sz w:val="18"/>
              </w:rPr>
              <w:t xml:space="preserve">Business impact</w:t>
            </w:r>
          </w:p>
        </w:tc>
        <w:tc>
          <w:tcPr>
            <w:tcW w:w="6795" w:type="dxa"/>
          </w:tcPr>
          <w:p>
            <w:pPr>
              <w:pStyle w:val="Compact"/>
              <w:spacing w:after="40"/>
              <w:jc w:val="left"/>
            </w:pPr>
            <w:r>
              <w:rPr>
                <w:sz w:val="18"/>
              </w:rPr>
              <w:t xml:space="preserve">Functions unavailable; customers and transactions affected; likely consequences</w:t>
            </w:r>
          </w:p>
        </w:tc>
      </w:tr>
      <w:tr>
        <w:tc>
          <w:tcPr>
            <w:tcW w:w="2843" w:type="dxa"/>
          </w:tcPr>
          <w:p>
            <w:pPr>
              <w:pStyle w:val="Compact"/>
              <w:spacing w:after="40"/>
              <w:jc w:val="left"/>
            </w:pPr>
            <w:r>
              <w:rPr>
                <w:sz w:val="18"/>
              </w:rPr>
              <w:t xml:space="preserve">Containment</w:t>
            </w:r>
          </w:p>
        </w:tc>
        <w:tc>
          <w:tcPr>
            <w:tcW w:w="6795" w:type="dxa"/>
          </w:tcPr>
          <w:p>
            <w:pPr>
              <w:pStyle w:val="Compact"/>
              <w:spacing w:after="40"/>
              <w:jc w:val="left"/>
            </w:pPr>
            <w:r>
              <w:rPr>
                <w:sz w:val="18"/>
              </w:rPr>
              <w:t xml:space="preserve">Measures taken or proposed</w:t>
            </w:r>
          </w:p>
        </w:tc>
      </w:tr>
      <w:tr>
        <w:tc>
          <w:tcPr>
            <w:tcW w:w="2843" w:type="dxa"/>
          </w:tcPr>
          <w:p>
            <w:pPr>
              <w:pStyle w:val="Compact"/>
              <w:spacing w:after="40"/>
              <w:jc w:val="left"/>
            </w:pPr>
            <w:r>
              <w:rPr>
                <w:sz w:val="18"/>
              </w:rPr>
              <w:t xml:space="preserve">Indicators of compromise</w:t>
            </w:r>
          </w:p>
        </w:tc>
        <w:tc>
          <w:tcPr>
            <w:tcW w:w="6795" w:type="dxa"/>
          </w:tcPr>
          <w:p>
            <w:pPr>
              <w:pStyle w:val="Compact"/>
              <w:spacing w:after="40"/>
              <w:jc w:val="left"/>
            </w:pPr>
            <w:r>
              <w:rPr>
                <w:sz w:val="18"/>
              </w:rPr>
              <w:t xml:space="preserve">IPs, hashes, domains, accounts (if known)</w:t>
            </w:r>
          </w:p>
        </w:tc>
      </w:tr>
      <w:tr>
        <w:tc>
          <w:tcPr>
            <w:tcW w:w="2843" w:type="dxa"/>
          </w:tcPr>
          <w:p>
            <w:pPr>
              <w:pStyle w:val="Compact"/>
              <w:spacing w:after="40"/>
              <w:jc w:val="left"/>
            </w:pPr>
            <w:r>
              <w:rPr>
                <w:sz w:val="18"/>
              </w:rPr>
              <w:t xml:space="preserve">External reporting</w:t>
            </w:r>
          </w:p>
        </w:tc>
        <w:tc>
          <w:tcPr>
            <w:tcW w:w="6795" w:type="dxa"/>
          </w:tcPr>
          <w:p>
            <w:pPr>
              <w:pStyle w:val="Compact"/>
              <w:spacing w:after="40"/>
              <w:jc w:val="left"/>
            </w:pPr>
            <w:r>
              <w:rPr>
                <w:sz w:val="18"/>
              </w:rPr>
              <w:t xml:space="preserve">Whether the Service Provider has reported or will report to CERT-In, with reference (Clause 12.4)</w:t>
            </w:r>
          </w:p>
        </w:tc>
      </w:tr>
      <w:tr>
        <w:tc>
          <w:tcPr>
            <w:tcW w:w="2843" w:type="dxa"/>
          </w:tcPr>
          <w:p>
            <w:pPr>
              <w:pStyle w:val="Compact"/>
              <w:spacing w:after="40"/>
              <w:jc w:val="left"/>
            </w:pPr>
            <w:r>
              <w:rPr>
                <w:sz w:val="18"/>
              </w:rPr>
              <w:t xml:space="preserve">Requests to the Company</w:t>
            </w:r>
          </w:p>
        </w:tc>
        <w:tc>
          <w:tcPr>
            <w:tcW w:w="6795" w:type="dxa"/>
          </w:tcPr>
          <w:p>
            <w:pPr>
              <w:pStyle w:val="Compact"/>
              <w:spacing w:after="40"/>
              <w:jc w:val="left"/>
            </w:pPr>
            <w:r>
              <w:rPr>
                <w:sz w:val="18"/>
              </w:rPr>
              <w:t xml:space="preserve">Actions required (for example credential resets, blocking an integration)</w:t>
            </w:r>
          </w:p>
        </w:tc>
      </w:tr>
      <w:tr>
        <w:tc>
          <w:tcPr>
            <w:tcW w:w="2843" w:type="dxa"/>
          </w:tcPr>
          <w:p>
            <w:pPr>
              <w:pStyle w:val="Compact"/>
              <w:spacing w:after="40"/>
              <w:jc w:val="left"/>
            </w:pPr>
            <w:r>
              <w:rPr>
                <w:sz w:val="18"/>
              </w:rPr>
              <w:t xml:space="preserve">Next update</w:t>
            </w:r>
          </w:p>
        </w:tc>
        <w:tc>
          <w:tcPr>
            <w:tcW w:w="6795" w:type="dxa"/>
          </w:tcPr>
          <w:p>
            <w:pPr>
              <w:pStyle w:val="Compact"/>
              <w:spacing w:after="40"/>
              <w:jc w:val="left"/>
            </w:pPr>
            <w:r>
              <w:rPr>
                <w:sz w:val="18"/>
              </w:rPr>
              <w:t xml:space="preserve">Time</w:t>
            </w:r>
          </w:p>
        </w:tc>
      </w:tr>
    </w:tbl>
    <w:p>
      <w:pPr>
        <w:pStyle w:val="BodyText"/>
      </w:pPr>
      <w:r>
        <w:t xml:space="preserve">The information pack under Clause 12.2(b) is mapped to the fields of the RBI DAKSH incident report, the CERT-In incident reporting form and the Data Protection Board intimation [VERIFY: current DAKSH template and CERT-In form fields].</w:t>
      </w:r>
    </w:p>
    <w:bookmarkEnd w:id="116"/>
    <w:bookmarkStart w:id="117" w:name="part-d-channels-and-contacts"/>
    <w:p>
      <w:pPr>
        <w:pStyle w:val="Heading2"/>
      </w:pPr>
      <w:r>
        <w:t xml:space="preserve">Part D — Channels and Contacts</w:t>
      </w:r>
    </w:p>
    <w:p>
      <w:pPr>
        <w:numPr>
          <w:ilvl w:val="0"/>
          <w:numId w:val="1043"/>
        </w:numPr>
        <w:pStyle w:val="Compact"/>
      </w:pPr>
      <w:r>
        <w:t xml:space="preserve">Initial notice by telephone to the Company’s designated incident contacts [names, 24 x 7 numbers] and by email to the incident mailbox [●@●], followed by an entry on the secure incident portal; an agreed out-of-band channel if email or the Platform may be compromised. Notifications take effect when made through these channels (Clause 32.3).</w:t>
      </w:r>
    </w:p>
    <w:p>
      <w:pPr>
        <w:numPr>
          <w:ilvl w:val="0"/>
          <w:numId w:val="1043"/>
        </w:numPr>
        <w:pStyle w:val="Compact"/>
      </w:pPr>
      <w:r>
        <w:t xml:space="preserve">Service Provider incident lead and CERT-In point of contact (Clause 12.4(d)): [●].</w:t>
      </w:r>
    </w:p>
    <w:bookmarkEnd w:id="117"/>
    <w:bookmarkStart w:id="118" w:name="part-e-response-evidence-and-reports"/>
    <w:p>
      <w:pPr>
        <w:pStyle w:val="Heading2"/>
      </w:pPr>
      <w:r>
        <w:t xml:space="preserve">Part E — Response, Evidence and Reports</w:t>
      </w:r>
    </w:p>
    <w:p>
      <w:pPr>
        <w:numPr>
          <w:ilvl w:val="0"/>
          <w:numId w:val="1044"/>
        </w:numPr>
        <w:pStyle w:val="Compact"/>
      </w:pPr>
      <w:r>
        <w:t xml:space="preserve">Containment, evidence preservation with chain of custody, forensic analysis (by the Service Provider or the Company’s investigator) and access for the Company and Supervisory Authorities (Clause 12.7; CYB para 140).</w:t>
      </w:r>
    </w:p>
    <w:p>
      <w:pPr>
        <w:numPr>
          <w:ilvl w:val="0"/>
          <w:numId w:val="1044"/>
        </w:numPr>
        <w:pStyle w:val="Compact"/>
      </w:pPr>
      <w:r>
        <w:t xml:space="preserve">Root-cause analysis and post-incident report for Severity 1 and 2 within [7] days of containment: timeline, root cause, impact, data affected, corrective and preventive actions, lessons learnt (Clause 12.9; CYB para 145; ORM para 99). For personal data breaches, the supplementary report within [24] hours and the full report within [48] hours of Detection (Schedule 4, Part K). Closure only on the Company’s written confirmation.</w:t>
      </w:r>
    </w:p>
    <w:p>
      <w:pPr>
        <w:numPr>
          <w:ilvl w:val="0"/>
          <w:numId w:val="1044"/>
        </w:numPr>
        <w:pStyle w:val="Compact"/>
      </w:pPr>
      <w:r>
        <w:t xml:space="preserve">The Company makes all reports to RBI, NHB, the Data Protection Board and customers; the Service Provider makes its own CERT-In report without awaiting the Company and copies it to the Company at filing (Clauses 12.4, 12.5). No public statements without the Company’s approval (Clause 12.8). Costs: Clause 12.10.</w:t>
      </w:r>
    </w:p>
    <w:p>
      <w:pPr>
        <w:numPr>
          <w:ilvl w:val="0"/>
          <w:numId w:val="1044"/>
        </w:numPr>
        <w:pStyle w:val="Compact"/>
      </w:pPr>
      <w:r>
        <w:t xml:space="preserve">Participation in the Company’s cyber crisis and crisis-communication drills at least annually (Clause 11.13; CYB para 146).</w:t>
      </w:r>
    </w:p>
    <w:bookmarkEnd w:id="118"/>
    <w:bookmarkStart w:id="119" w:name="part-f-clock-illustration-severity-1"/>
    <w:p>
      <w:pPr>
        <w:pStyle w:val="Heading2"/>
      </w:pPr>
      <w:r>
        <w:t xml:space="preserve">Part F — Clock Illustration (Severity 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43"/>
        <w:gridCol w:w="2756"/>
        <w:gridCol w:w="4739"/>
      </w:tblGrid>
      <w:tr>
        <w:trPr>
          <w:tblHeader w:val="true"/>
          <w:tblHeader w:val="true"/>
        </w:trPr>
        <w:tc>
          <w:tcPr>
            <w:tcW w:w="2143" w:type="dxa"/>
            <w:shd w:val="clear" w:color="auto" w:fill="1F3A5F"/>
          </w:tcPr>
          <w:p>
            <w:pPr>
              <w:pStyle w:val="Compact"/>
              <w:spacing w:after="40"/>
              <w:jc w:val="left"/>
            </w:pPr>
            <w:r>
              <w:rPr>
                <w:b/>
                <w:color w:val="FFFFFF"/>
                <w:sz w:val="18"/>
              </w:rPr>
              <w:t xml:space="preserve">From Detection</w:t>
            </w:r>
          </w:p>
        </w:tc>
        <w:tc>
          <w:tcPr>
            <w:tcW w:w="2756" w:type="dxa"/>
            <w:shd w:val="clear" w:color="auto" w:fill="1F3A5F"/>
          </w:tcPr>
          <w:p>
            <w:pPr>
              <w:pStyle w:val="Compact"/>
              <w:spacing w:after="40"/>
              <w:jc w:val="left"/>
            </w:pPr>
            <w:r>
              <w:rPr>
                <w:b/>
                <w:color w:val="FFFFFF"/>
                <w:sz w:val="18"/>
              </w:rPr>
              <w:t xml:space="preserve">Service Provider</w:t>
            </w:r>
          </w:p>
        </w:tc>
        <w:tc>
          <w:tcPr>
            <w:tcW w:w="4739" w:type="dxa"/>
            <w:shd w:val="clear" w:color="auto" w:fill="1F3A5F"/>
          </w:tcPr>
          <w:p>
            <w:pPr>
              <w:pStyle w:val="Compact"/>
              <w:spacing w:after="40"/>
              <w:jc w:val="left"/>
            </w:pPr>
            <w:r>
              <w:rPr>
                <w:b/>
                <w:color w:val="FFFFFF"/>
                <w:sz w:val="18"/>
              </w:rPr>
              <w:t xml:space="preserve">Company</w:t>
            </w:r>
          </w:p>
        </w:tc>
      </w:tr>
      <w:tr>
        <w:tc>
          <w:tcPr>
            <w:tcW w:w="2143" w:type="dxa"/>
          </w:tcPr>
          <w:p>
            <w:pPr>
              <w:pStyle w:val="Compact"/>
              <w:spacing w:after="40"/>
              <w:jc w:val="left"/>
            </w:pPr>
            <w:r>
              <w:rPr>
                <w:sz w:val="18"/>
              </w:rPr>
              <w:t xml:space="preserve">≤ 2 hours</w:t>
            </w:r>
          </w:p>
        </w:tc>
        <w:tc>
          <w:tcPr>
            <w:tcW w:w="2756" w:type="dxa"/>
          </w:tcPr>
          <w:p>
            <w:pPr>
              <w:pStyle w:val="Compact"/>
              <w:spacing w:after="40"/>
              <w:jc w:val="left"/>
            </w:pPr>
            <w:r>
              <w:rPr>
                <w:sz w:val="18"/>
              </w:rPr>
              <w:t xml:space="preserve">Initial notification (Part C)</w:t>
            </w:r>
          </w:p>
        </w:tc>
        <w:tc>
          <w:tcPr>
            <w:tcW w:w="4739" w:type="dxa"/>
          </w:tcPr>
          <w:p>
            <w:pPr>
              <w:pStyle w:val="Compact"/>
              <w:spacing w:after="40"/>
              <w:jc w:val="left"/>
            </w:pPr>
            <w:r>
              <w:rPr>
                <w:sz w:val="18"/>
              </w:rPr>
              <w:t xml:space="preserve">Assessment and containment instructions</w:t>
            </w:r>
          </w:p>
        </w:tc>
      </w:tr>
      <w:tr>
        <w:tc>
          <w:tcPr>
            <w:tcW w:w="2143" w:type="dxa"/>
          </w:tcPr>
          <w:p>
            <w:pPr>
              <w:pStyle w:val="Compact"/>
              <w:spacing w:after="40"/>
              <w:jc w:val="left"/>
            </w:pPr>
            <w:r>
              <w:rPr>
                <w:sz w:val="18"/>
              </w:rPr>
              <w:t xml:space="preserve">≤ 4 hours</w:t>
            </w:r>
          </w:p>
        </w:tc>
        <w:tc>
          <w:tcPr>
            <w:tcW w:w="2756" w:type="dxa"/>
          </w:tcPr>
          <w:p>
            <w:pPr>
              <w:pStyle w:val="Compact"/>
              <w:spacing w:after="40"/>
              <w:jc w:val="left"/>
            </w:pPr>
            <w:r>
              <w:rPr>
                <w:sz w:val="18"/>
              </w:rPr>
              <w:t xml:space="preserve">Regulatory information pack</w:t>
            </w:r>
          </w:p>
        </w:tc>
        <w:tc>
          <w:tcPr>
            <w:tcW w:w="4739" w:type="dxa"/>
          </w:tcPr>
          <w:p>
            <w:pPr>
              <w:pStyle w:val="Compact"/>
              <w:spacing w:after="40"/>
              <w:jc w:val="left"/>
            </w:pPr>
            <w:r>
              <w:rPr>
                <w:sz w:val="18"/>
              </w:rPr>
              <w:t xml:space="preserve">Prepares filings</w:t>
            </w:r>
          </w:p>
        </w:tc>
      </w:tr>
      <w:tr>
        <w:tc>
          <w:tcPr>
            <w:tcW w:w="2143" w:type="dxa"/>
          </w:tcPr>
          <w:p>
            <w:pPr>
              <w:pStyle w:val="Compact"/>
              <w:spacing w:after="40"/>
              <w:jc w:val="left"/>
            </w:pPr>
            <w:r>
              <w:rPr>
                <w:sz w:val="18"/>
              </w:rPr>
              <w:t xml:space="preserve">≤ 6 hours</w:t>
            </w:r>
          </w:p>
        </w:tc>
        <w:tc>
          <w:tcPr>
            <w:tcW w:w="2756" w:type="dxa"/>
          </w:tcPr>
          <w:p>
            <w:pPr>
              <w:pStyle w:val="Compact"/>
              <w:spacing w:after="40"/>
              <w:jc w:val="left"/>
            </w:pPr>
            <w:r>
              <w:rPr>
                <w:sz w:val="18"/>
              </w:rPr>
              <w:t xml:space="preserve">Updates; own CERT-In report (Clause 12.4)</w:t>
            </w:r>
          </w:p>
        </w:tc>
        <w:tc>
          <w:tcPr>
            <w:tcW w:w="4739" w:type="dxa"/>
          </w:tcPr>
          <w:p>
            <w:pPr>
              <w:pStyle w:val="Compact"/>
              <w:spacing w:after="40"/>
              <w:jc w:val="left"/>
            </w:pPr>
            <w:r>
              <w:rPr>
                <w:sz w:val="18"/>
              </w:rPr>
              <w:t xml:space="preserve">DAKSH report (CYB paras 28, 141; OUT para 61); CERT-In notification; immediate RBI notice of customer-data breach (OUT para 28)</w:t>
            </w:r>
          </w:p>
        </w:tc>
      </w:tr>
      <w:tr>
        <w:tc>
          <w:tcPr>
            <w:tcW w:w="2143" w:type="dxa"/>
          </w:tcPr>
          <w:p>
            <w:pPr>
              <w:pStyle w:val="Compact"/>
              <w:spacing w:after="40"/>
              <w:jc w:val="left"/>
            </w:pPr>
            <w:r>
              <w:rPr>
                <w:sz w:val="18"/>
              </w:rPr>
              <w:t xml:space="preserve">Without delay; ≤ 24 hours</w:t>
            </w:r>
          </w:p>
        </w:tc>
        <w:tc>
          <w:tcPr>
            <w:tcW w:w="2756" w:type="dxa"/>
          </w:tcPr>
          <w:p>
            <w:pPr>
              <w:pStyle w:val="Compact"/>
              <w:spacing w:after="40"/>
              <w:jc w:val="left"/>
            </w:pPr>
            <w:r>
              <w:rPr>
                <w:sz w:val="18"/>
              </w:rPr>
              <w:t xml:space="preserve">Supplementary breach report</w:t>
            </w:r>
          </w:p>
        </w:tc>
        <w:tc>
          <w:tcPr>
            <w:tcW w:w="4739" w:type="dxa"/>
          </w:tcPr>
          <w:p>
            <w:pPr>
              <w:pStyle w:val="Compact"/>
              <w:spacing w:after="40"/>
              <w:jc w:val="left"/>
            </w:pPr>
            <w:r>
              <w:rPr>
                <w:sz w:val="18"/>
              </w:rPr>
              <w:t xml:space="preserve">Intimation to the Data Protection Board and Data Principals (DPDP Act s.8(6))</w:t>
            </w:r>
          </w:p>
        </w:tc>
      </w:tr>
      <w:tr>
        <w:tc>
          <w:tcPr>
            <w:tcW w:w="2143" w:type="dxa"/>
          </w:tcPr>
          <w:p>
            <w:pPr>
              <w:pStyle w:val="Compact"/>
              <w:spacing w:after="40"/>
              <w:jc w:val="left"/>
            </w:pPr>
            <w:r>
              <w:rPr>
                <w:sz w:val="18"/>
              </w:rPr>
              <w:t xml:space="preserve">≤ 48 hours / ≤ 72 hours</w:t>
            </w:r>
          </w:p>
        </w:tc>
        <w:tc>
          <w:tcPr>
            <w:tcW w:w="2756" w:type="dxa"/>
          </w:tcPr>
          <w:p>
            <w:pPr>
              <w:pStyle w:val="Compact"/>
              <w:spacing w:after="40"/>
              <w:jc w:val="left"/>
            </w:pPr>
            <w:r>
              <w:rPr>
                <w:sz w:val="18"/>
              </w:rPr>
              <w:t xml:space="preserve">Full breach report (Schedule 4, Part K) / —</w:t>
            </w:r>
          </w:p>
        </w:tc>
        <w:tc>
          <w:tcPr>
            <w:tcW w:w="4739" w:type="dxa"/>
          </w:tcPr>
          <w:p>
            <w:pPr>
              <w:pStyle w:val="Compact"/>
              <w:spacing w:after="40"/>
              <w:jc w:val="left"/>
            </w:pPr>
            <w:r>
              <w:rPr>
                <w:sz w:val="18"/>
              </w:rPr>
              <w:t xml:space="preserve">— / Detailed report to the Data Protection Board within 72 hours of becoming aware (Rule 7(2)(b)) unless extended</w:t>
            </w:r>
          </w:p>
        </w:tc>
      </w:tr>
      <w:tr>
        <w:tc>
          <w:tcPr>
            <w:tcW w:w="2143" w:type="dxa"/>
          </w:tcPr>
          <w:p>
            <w:pPr>
              <w:pStyle w:val="Compact"/>
              <w:spacing w:after="40"/>
              <w:jc w:val="left"/>
            </w:pPr>
            <w:r>
              <w:rPr>
                <w:sz w:val="18"/>
              </w:rPr>
              <w:t xml:space="preserve">≤ 7 days after containment</w:t>
            </w:r>
          </w:p>
        </w:tc>
        <w:tc>
          <w:tcPr>
            <w:tcW w:w="2756" w:type="dxa"/>
          </w:tcPr>
          <w:p>
            <w:pPr>
              <w:pStyle w:val="Compact"/>
              <w:spacing w:after="40"/>
              <w:jc w:val="left"/>
            </w:pPr>
            <w:r>
              <w:rPr>
                <w:sz w:val="18"/>
              </w:rPr>
              <w:t xml:space="preserve">RCA and post-incident report</w:t>
            </w:r>
          </w:p>
        </w:tc>
        <w:tc>
          <w:tcPr>
            <w:tcW w:w="4739" w:type="dxa"/>
          </w:tcPr>
          <w:p>
            <w:pPr>
              <w:pStyle w:val="Compact"/>
              <w:spacing w:after="40"/>
              <w:jc w:val="left"/>
            </w:pPr>
            <w:r>
              <w:rPr>
                <w:sz w:val="18"/>
              </w:rPr>
              <w:t xml:space="preserve">Board and Senior Management reporting (CYB para 143)</w:t>
            </w:r>
          </w:p>
        </w:tc>
      </w:tr>
    </w:tbl>
    <w:p>
      <w:r>
        <w:pict>
          <v:rect style="width:0;height:1.5pt" o:hralign="center" o:hrstd="t" o:hr="t"/>
        </w:pict>
      </w:r>
    </w:p>
    <w:p>
      <w:r>
        <w:br w:type="page"/>
      </w:r>
    </w:p>
    <w:bookmarkEnd w:id="119"/>
    <w:bookmarkEnd w:id="120"/>
    <w:bookmarkStart w:id="127" w:name="Xae468092b765dc79166d40a2fad58c2a93e0e9f"/>
    <w:p>
      <w:pPr>
        <w:pStyle w:val="Heading1"/>
      </w:pPr>
      <w:r>
        <w:t xml:space="preserve">SCHEDULE 8 — Business Continuity and Disaster Recovery Requirements</w:t>
      </w:r>
    </w:p>
    <w:p>
      <w:pPr>
        <w:pStyle w:val="FirstParagraph"/>
      </w:pPr>
      <w:r>
        <w:rPr>
          <w:iCs/>
          <w:i/>
        </w:rPr>
        <w:t xml:space="preserve">Drafting note: Supports Article 14. The Company must require its service provider to document, maintain and periodically test business continuity and recovery procedures and should consider joint testing (OUT paras 40, 83); its own continuity must not be compromised by outsourcing (CYB para 64); and Chapter V Companies must ensure BCP and DR on critical interconnected vendor systems through collaborative testing that meets the Company’s RTO (CYB para 138).</w:t>
      </w:r>
    </w:p>
    <w:bookmarkStart w:id="121" w:name="part-a-framework"/>
    <w:p>
      <w:pPr>
        <w:pStyle w:val="Heading2"/>
      </w:pPr>
      <w:r>
        <w:t xml:space="preserve">Part A — Framework</w:t>
      </w:r>
    </w:p>
    <w:p>
      <w:pPr>
        <w:numPr>
          <w:ilvl w:val="0"/>
          <w:numId w:val="1045"/>
        </w:numPr>
        <w:pStyle w:val="Compact"/>
      </w:pPr>
      <w:r>
        <w:t xml:space="preserve">A business continuity management system aligned with ISO 22301 (Clause 14.1; CYB para 127), covering business impact analysis, recovery strategies, crisis management and communication, and loss of people, premises, technology, the cloud region, the cloud service provider, a key Sub-contractor or key personnel; realistic and worst-case scenarios including ransomware with destruction of primary data (OUT paras 63(iv), 97(xiv); CYB paras 59(4), 132). Reviewed at least annually and after any major Incident or change; summary shared with the Company.</w:t>
      </w:r>
    </w:p>
    <w:p>
      <w:pPr>
        <w:numPr>
          <w:ilvl w:val="0"/>
          <w:numId w:val="1045"/>
        </w:numPr>
        <w:pStyle w:val="Compact"/>
      </w:pPr>
      <w:r>
        <w:t xml:space="preserve">Essential personnel with back-up arrangements for on-site operation during exigencies are listed in Schedule 12, Part B (Clause 8.9; OUT para 74(xvii)) [Mandatory — RBI].</w:t>
      </w:r>
    </w:p>
    <w:p>
      <w:pPr>
        <w:numPr>
          <w:ilvl w:val="0"/>
          <w:numId w:val="1045"/>
        </w:numPr>
        <w:pStyle w:val="Compact"/>
      </w:pPr>
      <w:r>
        <w:t xml:space="preserve">Sub-contractors critical to the Services maintain back-to-back BCP and DR arrangements (Clause 8.10; OUT para 74(xviii)).</w:t>
      </w:r>
    </w:p>
    <w:bookmarkEnd w:id="121"/>
    <w:bookmarkStart w:id="122" w:name="Xd8bc4cc0a357c4d0ca3ad89a24c19a36ceee2af"/>
    <w:p>
      <w:pPr>
        <w:pStyle w:val="Heading2"/>
      </w:pPr>
      <w:r>
        <w:t xml:space="preserve">Part B — Recovery Objectives and Architecture (Clauses 14.2, 14.3)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00"/>
        <w:gridCol w:w="3778"/>
        <w:gridCol w:w="3260"/>
      </w:tblGrid>
      <w:tr>
        <w:trPr>
          <w:tblHeader w:val="true"/>
          <w:tblHeader w:val="true"/>
        </w:trPr>
        <w:tc>
          <w:tcPr>
            <w:tcW w:w="2600" w:type="dxa"/>
            <w:shd w:val="clear" w:color="auto" w:fill="1F3A5F"/>
          </w:tcPr>
          <w:p>
            <w:pPr>
              <w:pStyle w:val="Compact"/>
              <w:spacing w:after="40"/>
              <w:jc w:val="left"/>
            </w:pPr>
            <w:r>
              <w:rPr>
                <w:b/>
                <w:color w:val="FFFFFF"/>
                <w:sz w:val="18"/>
              </w:rPr>
              <w:t xml:space="preserve">Service</w:t>
            </w:r>
          </w:p>
        </w:tc>
        <w:tc>
          <w:tcPr>
            <w:tcW w:w="3778" w:type="dxa"/>
            <w:shd w:val="clear" w:color="auto" w:fill="1F3A5F"/>
          </w:tcPr>
          <w:p>
            <w:pPr>
              <w:pStyle w:val="Compact"/>
              <w:spacing w:after="40"/>
              <w:jc w:val="left"/>
            </w:pPr>
            <w:r>
              <w:rPr>
                <w:b/>
                <w:color w:val="FFFFFF"/>
                <w:sz w:val="18"/>
              </w:rPr>
              <w:t xml:space="preserve">RTO</w:t>
            </w:r>
          </w:p>
        </w:tc>
        <w:tc>
          <w:tcPr>
            <w:tcW w:w="3260" w:type="dxa"/>
            <w:shd w:val="clear" w:color="auto" w:fill="1F3A5F"/>
          </w:tcPr>
          <w:p>
            <w:pPr>
              <w:pStyle w:val="Compact"/>
              <w:spacing w:after="40"/>
              <w:jc w:val="left"/>
            </w:pPr>
            <w:r>
              <w:rPr>
                <w:b/>
                <w:color w:val="FFFFFF"/>
                <w:sz w:val="18"/>
              </w:rPr>
              <w:t xml:space="preserve">RPO</w:t>
            </w:r>
          </w:p>
        </w:tc>
      </w:tr>
      <w:tr>
        <w:tc>
          <w:tcPr>
            <w:tcW w:w="2600" w:type="dxa"/>
          </w:tcPr>
          <w:p>
            <w:pPr>
              <w:pStyle w:val="Compact"/>
              <w:spacing w:after="40"/>
              <w:jc w:val="left"/>
            </w:pPr>
            <w:r>
              <w:rPr>
                <w:sz w:val="18"/>
              </w:rPr>
              <w:t xml:space="preserve">Critical Applications (default M4, M6, M7, M10, M13) and Tier 1</w:t>
            </w:r>
          </w:p>
        </w:tc>
        <w:tc>
          <w:tcPr>
            <w:tcW w:w="3778" w:type="dxa"/>
          </w:tcPr>
          <w:p>
            <w:pPr>
              <w:pStyle w:val="Compact"/>
              <w:spacing w:after="40"/>
              <w:jc w:val="left"/>
            </w:pPr>
            <w:r>
              <w:rPr>
                <w:sz w:val="18"/>
              </w:rPr>
              <w:t xml:space="preserve">≤ [2] hours</w:t>
            </w:r>
          </w:p>
        </w:tc>
        <w:tc>
          <w:tcPr>
            <w:tcW w:w="3260" w:type="dxa"/>
          </w:tcPr>
          <w:p>
            <w:pPr>
              <w:pStyle w:val="Compact"/>
              <w:spacing w:after="40"/>
              <w:jc w:val="left"/>
            </w:pPr>
            <w:r>
              <w:rPr>
                <w:sz w:val="18"/>
              </w:rPr>
              <w:t xml:space="preserve">≤ [15] minutes; near zero for ledger and payment data (no loss of committed financial transactions)</w:t>
            </w:r>
          </w:p>
        </w:tc>
      </w:tr>
      <w:tr>
        <w:tc>
          <w:tcPr>
            <w:tcW w:w="2600" w:type="dxa"/>
          </w:tcPr>
          <w:p>
            <w:pPr>
              <w:pStyle w:val="Compact"/>
              <w:spacing w:after="40"/>
              <w:jc w:val="left"/>
            </w:pPr>
            <w:r>
              <w:rPr>
                <w:sz w:val="18"/>
              </w:rPr>
              <w:t xml:space="preserve">Other production Modules</w:t>
            </w:r>
          </w:p>
        </w:tc>
        <w:tc>
          <w:tcPr>
            <w:tcW w:w="3778" w:type="dxa"/>
          </w:tcPr>
          <w:p>
            <w:pPr>
              <w:pStyle w:val="Compact"/>
              <w:spacing w:after="40"/>
              <w:jc w:val="left"/>
            </w:pPr>
            <w:r>
              <w:rPr>
                <w:sz w:val="18"/>
              </w:rPr>
              <w:t xml:space="preserve">≤ [4] hours</w:t>
            </w:r>
          </w:p>
        </w:tc>
        <w:tc>
          <w:tcPr>
            <w:tcW w:w="3260" w:type="dxa"/>
          </w:tcPr>
          <w:p>
            <w:pPr>
              <w:pStyle w:val="Compact"/>
              <w:spacing w:after="40"/>
              <w:jc w:val="left"/>
            </w:pPr>
            <w:r>
              <w:rPr>
                <w:sz w:val="18"/>
              </w:rPr>
              <w:t xml:space="preserve">≤ [1] hour</w:t>
            </w:r>
          </w:p>
        </w:tc>
      </w:tr>
      <w:tr>
        <w:tc>
          <w:tcPr>
            <w:tcW w:w="2600" w:type="dxa"/>
          </w:tcPr>
          <w:p>
            <w:pPr>
              <w:pStyle w:val="Compact"/>
              <w:spacing w:after="40"/>
              <w:jc w:val="left"/>
            </w:pPr>
            <w:r>
              <w:rPr>
                <w:sz w:val="18"/>
              </w:rPr>
              <w:t xml:space="preserve">Analytics and non-production</w:t>
            </w:r>
          </w:p>
        </w:tc>
        <w:tc>
          <w:tcPr>
            <w:tcW w:w="3778" w:type="dxa"/>
          </w:tcPr>
          <w:p>
            <w:pPr>
              <w:pStyle w:val="Compact"/>
              <w:spacing w:after="40"/>
              <w:jc w:val="left"/>
            </w:pPr>
            <w:r>
              <w:rPr>
                <w:sz w:val="18"/>
              </w:rPr>
              <w:t xml:space="preserve">≤ [24] hours</w:t>
            </w:r>
          </w:p>
        </w:tc>
        <w:tc>
          <w:tcPr>
            <w:tcW w:w="3260" w:type="dxa"/>
          </w:tcPr>
          <w:p>
            <w:pPr>
              <w:pStyle w:val="Compact"/>
              <w:spacing w:after="40"/>
              <w:jc w:val="left"/>
            </w:pPr>
            <w:r>
              <w:rPr>
                <w:sz w:val="18"/>
              </w:rPr>
              <w:t xml:space="preserve">≤ [24] hours</w:t>
            </w:r>
          </w:p>
        </w:tc>
      </w:tr>
      <w:tr>
        <w:tc>
          <w:tcPr>
            <w:tcW w:w="2600" w:type="dxa"/>
          </w:tcPr>
          <w:p>
            <w:pPr>
              <w:pStyle w:val="Compact"/>
              <w:spacing w:after="40"/>
              <w:jc w:val="left"/>
            </w:pPr>
            <w:r>
              <w:rPr>
                <w:sz w:val="18"/>
              </w:rPr>
              <w:t xml:space="preserve">Chapter V Company</w:t>
            </w:r>
          </w:p>
        </w:tc>
        <w:tc>
          <w:tcPr>
            <w:tcW w:w="3778" w:type="dxa"/>
          </w:tcPr>
          <w:p>
            <w:pPr>
              <w:pStyle w:val="Compact"/>
              <w:spacing w:after="40"/>
              <w:jc w:val="left"/>
            </w:pPr>
            <w:r>
              <w:rPr>
                <w:sz w:val="18"/>
              </w:rPr>
              <w:t xml:space="preserve">Any tighter RTO approved by the Company’s IT Strategy Committee and recorded in the Order Form (CYB paras 135, 138) [Mandatory — RBI]</w:t>
            </w:r>
          </w:p>
        </w:tc>
        <w:tc>
          <w:tcPr>
            <w:tcW w:w="3260" w:type="dxa"/>
          </w:tcPr>
          <w:p>
            <w:pPr>
              <w:pStyle w:val="Compact"/>
              <w:spacing w:after="40"/>
              <w:jc w:val="left"/>
            </w:pPr>
            <w:r>
              <w:rPr>
                <w:sz w:val="18"/>
              </w:rPr>
              <w:t xml:space="preserve">As above</w:t>
            </w:r>
          </w:p>
        </w:tc>
      </w:tr>
    </w:tbl>
    <w:p>
      <w:pPr>
        <w:pStyle w:val="BodyText"/>
      </w:pPr>
      <w:r>
        <w:t xml:space="preserve">Architecture: primary and DR in separate, geographically well-separated India regions (CYB para 102); identical configuration and patches via infrastructure-as-code with drift detection (CYB para 137); resilience to failure of any component with minimal security impact and no single point of failure for Critical Applications (OUT para 97(vii)(d)); encrypted, immutable backups in India with at least one logically isolated copy (CYB para 133). A single-region production deployment is not permitted under the Uniform Standard.</w:t>
      </w:r>
    </w:p>
    <w:bookmarkEnd w:id="122"/>
    <w:bookmarkStart w:id="123" w:name="part-c-testing-clause-14.4"/>
    <w:p>
      <w:pPr>
        <w:pStyle w:val="Heading2"/>
      </w:pPr>
      <w:r>
        <w:t xml:space="preserve">Part C — Testing (Clause 14.4)</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24"/>
        <w:gridCol w:w="2450"/>
        <w:gridCol w:w="4864"/>
      </w:tblGrid>
      <w:tr>
        <w:trPr>
          <w:tblHeader w:val="true"/>
          <w:tblHeader w:val="true"/>
        </w:trPr>
        <w:tc>
          <w:tcPr>
            <w:tcW w:w="2324" w:type="dxa"/>
            <w:shd w:val="clear" w:color="auto" w:fill="1F3A5F"/>
          </w:tcPr>
          <w:p>
            <w:pPr>
              <w:pStyle w:val="Compact"/>
              <w:spacing w:after="40"/>
              <w:jc w:val="left"/>
            </w:pPr>
            <w:r>
              <w:rPr>
                <w:b/>
                <w:color w:val="FFFFFF"/>
                <w:sz w:val="18"/>
              </w:rPr>
              <w:t xml:space="preserve">Test</w:t>
            </w:r>
          </w:p>
        </w:tc>
        <w:tc>
          <w:tcPr>
            <w:tcW w:w="2450" w:type="dxa"/>
            <w:shd w:val="clear" w:color="auto" w:fill="1F3A5F"/>
          </w:tcPr>
          <w:p>
            <w:pPr>
              <w:pStyle w:val="Compact"/>
              <w:spacing w:after="40"/>
              <w:jc w:val="left"/>
            </w:pPr>
            <w:r>
              <w:rPr>
                <w:b/>
                <w:color w:val="FFFFFF"/>
                <w:sz w:val="18"/>
              </w:rPr>
              <w:t xml:space="preserve">Frequency</w:t>
            </w:r>
          </w:p>
        </w:tc>
        <w:tc>
          <w:tcPr>
            <w:tcW w:w="4864" w:type="dxa"/>
            <w:shd w:val="clear" w:color="auto" w:fill="1F3A5F"/>
          </w:tcPr>
          <w:p>
            <w:pPr>
              <w:pStyle w:val="Compact"/>
              <w:spacing w:after="40"/>
              <w:jc w:val="left"/>
            </w:pPr>
            <w:r>
              <w:rPr>
                <w:b/>
                <w:color w:val="FFFFFF"/>
                <w:sz w:val="18"/>
              </w:rPr>
              <w:t xml:space="preserve">Content</w:t>
            </w:r>
          </w:p>
        </w:tc>
      </w:tr>
      <w:tr>
        <w:tc>
          <w:tcPr>
            <w:tcW w:w="2324" w:type="dxa"/>
          </w:tcPr>
          <w:p>
            <w:pPr>
              <w:pStyle w:val="Compact"/>
              <w:spacing w:after="40"/>
              <w:jc w:val="left"/>
            </w:pPr>
            <w:r>
              <w:rPr>
                <w:sz w:val="18"/>
              </w:rPr>
              <w:t xml:space="preserve">DR drill for Critical Applications</w:t>
            </w:r>
          </w:p>
        </w:tc>
        <w:tc>
          <w:tcPr>
            <w:tcW w:w="2450" w:type="dxa"/>
          </w:tcPr>
          <w:p>
            <w:pPr>
              <w:pStyle w:val="Compact"/>
              <w:spacing w:after="40"/>
              <w:jc w:val="left"/>
            </w:pPr>
            <w:r>
              <w:rPr>
                <w:sz w:val="18"/>
              </w:rPr>
              <w:t xml:space="preserve">At least every six months</w:t>
            </w:r>
          </w:p>
        </w:tc>
        <w:tc>
          <w:tcPr>
            <w:tcW w:w="4864" w:type="dxa"/>
          </w:tcPr>
          <w:p>
            <w:pPr>
              <w:pStyle w:val="Compact"/>
              <w:spacing w:after="40"/>
              <w:jc w:val="left"/>
            </w:pPr>
            <w:r>
              <w:rPr>
                <w:sz w:val="18"/>
              </w:rPr>
              <w:t xml:space="preserve">Switch over to DR and run as primary for at least one full working day, beginning-of-day to end-of-day including COB; major issues fixed and drill repeated before the next cycle (CYB paras 129–131)</w:t>
            </w:r>
          </w:p>
        </w:tc>
      </w:tr>
      <w:tr>
        <w:tc>
          <w:tcPr>
            <w:tcW w:w="2324" w:type="dxa"/>
          </w:tcPr>
          <w:p>
            <w:pPr>
              <w:pStyle w:val="Compact"/>
              <w:spacing w:after="40"/>
              <w:jc w:val="left"/>
            </w:pPr>
            <w:r>
              <w:rPr>
                <w:sz w:val="18"/>
              </w:rPr>
              <w:t xml:space="preserve">BCP scenario tests</w:t>
            </w:r>
          </w:p>
        </w:tc>
        <w:tc>
          <w:tcPr>
            <w:tcW w:w="2450" w:type="dxa"/>
          </w:tcPr>
          <w:p>
            <w:pPr>
              <w:pStyle w:val="Compact"/>
              <w:spacing w:after="40"/>
              <w:jc w:val="left"/>
            </w:pPr>
            <w:r>
              <w:rPr>
                <w:sz w:val="18"/>
              </w:rPr>
              <w:t xml:space="preserve">At least annually and on significant change</w:t>
            </w:r>
          </w:p>
        </w:tc>
        <w:tc>
          <w:tcPr>
            <w:tcW w:w="4864" w:type="dxa"/>
          </w:tcPr>
          <w:p>
            <w:pPr>
              <w:pStyle w:val="Compact"/>
              <w:spacing w:after="40"/>
              <w:jc w:val="left"/>
            </w:pPr>
            <w:r>
              <w:rPr>
                <w:sz w:val="18"/>
              </w:rPr>
              <w:t xml:space="preserve">Different contingencies including worst-case and cyber-attack (CYB paras 59(4), 132)</w:t>
            </w:r>
          </w:p>
        </w:tc>
      </w:tr>
      <w:tr>
        <w:tc>
          <w:tcPr>
            <w:tcW w:w="2324" w:type="dxa"/>
          </w:tcPr>
          <w:p>
            <w:pPr>
              <w:pStyle w:val="Compact"/>
              <w:spacing w:after="40"/>
              <w:jc w:val="left"/>
            </w:pPr>
            <w:r>
              <w:rPr>
                <w:sz w:val="18"/>
              </w:rPr>
              <w:t xml:space="preserve">Backup restore</w:t>
            </w:r>
          </w:p>
        </w:tc>
        <w:tc>
          <w:tcPr>
            <w:tcW w:w="2450" w:type="dxa"/>
          </w:tcPr>
          <w:p>
            <w:pPr>
              <w:pStyle w:val="Compact"/>
              <w:spacing w:after="40"/>
              <w:jc w:val="left"/>
            </w:pPr>
            <w:r>
              <w:rPr>
                <w:sz w:val="18"/>
              </w:rPr>
              <w:t xml:space="preserve">At least quarterly; full recovery test half-yearly</w:t>
            </w:r>
          </w:p>
        </w:tc>
        <w:tc>
          <w:tcPr>
            <w:tcW w:w="4864" w:type="dxa"/>
          </w:tcPr>
          <w:p>
            <w:pPr>
              <w:pStyle w:val="Compact"/>
              <w:spacing w:after="40"/>
              <w:jc w:val="left"/>
            </w:pPr>
            <w:r>
              <w:rPr>
                <w:sz w:val="18"/>
              </w:rPr>
              <w:t xml:space="preserve">Usability and integrity of restored data (CYB para 133)</w:t>
            </w:r>
          </w:p>
        </w:tc>
      </w:tr>
      <w:tr>
        <w:tc>
          <w:tcPr>
            <w:tcW w:w="2324" w:type="dxa"/>
          </w:tcPr>
          <w:p>
            <w:pPr>
              <w:pStyle w:val="Compact"/>
              <w:spacing w:after="40"/>
              <w:jc w:val="left"/>
            </w:pPr>
            <w:r>
              <w:rPr>
                <w:sz w:val="18"/>
              </w:rPr>
              <w:t xml:space="preserve">Cloud service provider drills</w:t>
            </w:r>
          </w:p>
        </w:tc>
        <w:tc>
          <w:tcPr>
            <w:tcW w:w="2450" w:type="dxa"/>
          </w:tcPr>
          <w:p>
            <w:pPr>
              <w:pStyle w:val="Compact"/>
              <w:spacing w:after="40"/>
              <w:jc w:val="left"/>
            </w:pPr>
            <w:r>
              <w:rPr>
                <w:sz w:val="18"/>
              </w:rPr>
              <w:t xml:space="preserve">At least annually</w:t>
            </w:r>
          </w:p>
        </w:tc>
        <w:tc>
          <w:tcPr>
            <w:tcW w:w="4864" w:type="dxa"/>
          </w:tcPr>
          <w:p>
            <w:pPr>
              <w:pStyle w:val="Compact"/>
              <w:spacing w:after="40"/>
              <w:jc w:val="left"/>
            </w:pPr>
            <w:r>
              <w:rPr>
                <w:sz w:val="18"/>
              </w:rPr>
              <w:t xml:space="preserve">CSP-level DR with stakeholders (OUT para 97(xv))</w:t>
            </w:r>
          </w:p>
        </w:tc>
      </w:tr>
      <w:tr>
        <w:tc>
          <w:tcPr>
            <w:tcW w:w="2324" w:type="dxa"/>
          </w:tcPr>
          <w:p>
            <w:pPr>
              <w:pStyle w:val="Compact"/>
              <w:spacing w:after="40"/>
              <w:jc w:val="left"/>
            </w:pPr>
            <w:r>
              <w:rPr>
                <w:sz w:val="18"/>
              </w:rPr>
              <w:t xml:space="preserve">Joint and collaborative test with the Company</w:t>
            </w:r>
          </w:p>
        </w:tc>
        <w:tc>
          <w:tcPr>
            <w:tcW w:w="2450" w:type="dxa"/>
          </w:tcPr>
          <w:p>
            <w:pPr>
              <w:pStyle w:val="Compact"/>
              <w:spacing w:after="40"/>
              <w:jc w:val="left"/>
            </w:pPr>
            <w:r>
              <w:rPr>
                <w:sz w:val="18"/>
              </w:rPr>
              <w:t xml:space="preserve">At least annually and on request</w:t>
            </w:r>
          </w:p>
        </w:tc>
        <w:tc>
          <w:tcPr>
            <w:tcW w:w="4864" w:type="dxa"/>
          </w:tcPr>
          <w:p>
            <w:pPr>
              <w:pStyle w:val="Compact"/>
              <w:spacing w:after="40"/>
              <w:jc w:val="left"/>
            </w:pPr>
            <w:r>
              <w:rPr>
                <w:sz w:val="18"/>
              </w:rPr>
              <w:t xml:space="preserve">Against the Company’s RTO, including integrations (OUT para 40; CYB para 138; ORM para 79)</w:t>
            </w:r>
          </w:p>
        </w:tc>
      </w:tr>
    </w:tbl>
    <w:p>
      <w:pPr>
        <w:pStyle w:val="BodyText"/>
      </w:pPr>
      <w:r>
        <w:t xml:space="preserve">Notice of each drill at least [10] Business Days before; written report of results, RTO and RPO achieved, gaps and remediation within [10] Business Days after, for the Company’s senior management and Board (Clause 14.5; CYB para 59(4); ORM para 82). Results also feed the half-yearly BCP and DR report (Clause 27.2).</w:t>
      </w:r>
    </w:p>
    <w:bookmarkEnd w:id="123"/>
    <w:bookmarkStart w:id="124" w:name="part-d-invocation-clause-14.6"/>
    <w:p>
      <w:pPr>
        <w:pStyle w:val="Heading2"/>
      </w:pPr>
      <w:r>
        <w:t xml:space="preserve">Part D — Invocation (Clause 14.6)</w:t>
      </w:r>
    </w:p>
    <w:p>
      <w:pPr>
        <w:pStyle w:val="FirstParagraph"/>
      </w:pPr>
      <w:r>
        <w:t xml:space="preserve">The Service Provider invokes DR if a Critical Application is unavailable for more than [1] hour without a credible restoration estimate within the RTO, on any regional or CSP failure, on a ransomware event affecting production integrity, or when the Company reasonably requires. It notifies the Company under Schedule 7, restores Tier 1 and ledger services first, and plans failback with the Company outside blackout dates where possible.</w:t>
      </w:r>
    </w:p>
    <w:bookmarkEnd w:id="124"/>
    <w:bookmarkStart w:id="125" w:name="X169efcd4834047b84c02acdb515e33db74991e5"/>
    <w:p>
      <w:pPr>
        <w:pStyle w:val="Heading2"/>
      </w:pPr>
      <w:r>
        <w:t xml:space="preserve">Part E — Reconciliation Methodology (Clause 14.2; CYB para 136)</w:t>
      </w:r>
    </w:p>
    <w:p>
      <w:pPr>
        <w:pStyle w:val="FirstParagraph"/>
      </w:pPr>
      <w:r>
        <w:t xml:space="preserve">Where operations resume with a non-zero RPO: (a) identify the recovery point; (b) list transactions and events after it from inbound queues, partner feeds, bank and NACH files and audit logs; (c) re-apply them idempotently or route them to the Company for maker-checker re-entry; (d) reconcile ledger balances, loan counts and GL totals against the last known good position and bank statements; (e) obtain the Company’s sign-off before releasing the business date.</w:t>
      </w:r>
    </w:p>
    <w:bookmarkEnd w:id="125"/>
    <w:bookmarkStart w:id="126" w:name="part-f-contingency-support-and-metrics"/>
    <w:p>
      <w:pPr>
        <w:pStyle w:val="Heading2"/>
      </w:pPr>
      <w:r>
        <w:t xml:space="preserve">Part F — Contingency Support and Metrics</w:t>
      </w:r>
    </w:p>
    <w:p>
      <w:pPr>
        <w:numPr>
          <w:ilvl w:val="0"/>
          <w:numId w:val="1046"/>
        </w:numPr>
        <w:pStyle w:val="Compact"/>
      </w:pPr>
      <w:r>
        <w:t xml:space="preserve">Information for the Company’s contingency plan, including alternative providers or in-house operation and associated cost, time and resources (Clause 14.7; OUT para 41).</w:t>
      </w:r>
    </w:p>
    <w:p>
      <w:pPr>
        <w:numPr>
          <w:ilvl w:val="0"/>
          <w:numId w:val="1046"/>
        </w:numPr>
        <w:pStyle w:val="Compact"/>
      </w:pPr>
      <w:r>
        <w:t xml:space="preserve">[Option — continuity data copy: a complete, encrypted, schema-documented export of Company Data to Company-controlled storage in India [weekly / monthly] (OUT para 43).]</w:t>
      </w:r>
    </w:p>
    <w:p>
      <w:pPr>
        <w:numPr>
          <w:ilvl w:val="0"/>
          <w:numId w:val="1046"/>
        </w:numPr>
        <w:pStyle w:val="Compact"/>
      </w:pPr>
      <w:r>
        <w:t xml:space="preserve">RTO, RPO, data-loss and service-level metrics for each Critical Service, for the Company’s impact tolerances (Clause 14.8; CYB para 147; ORM para 33).</w:t>
      </w:r>
    </w:p>
    <w:p>
      <w:r>
        <w:pict>
          <v:rect style="width:0;height:1.5pt" o:hralign="center" o:hrstd="t" o:hr="t"/>
        </w:pict>
      </w:r>
    </w:p>
    <w:p>
      <w:r>
        <w:br w:type="page"/>
      </w:r>
    </w:p>
    <w:bookmarkEnd w:id="126"/>
    <w:bookmarkEnd w:id="127"/>
    <w:bookmarkStart w:id="135" w:name="Xd47099536279dbf080a2bb23e6ac4e1bab08c2b"/>
    <w:p>
      <w:pPr>
        <w:pStyle w:val="Heading1"/>
      </w:pPr>
      <w:r>
        <w:t xml:space="preserve">SCHEDULE 9 — Exit Management and Transition Plan</w:t>
      </w:r>
    </w:p>
    <w:p>
      <w:pPr>
        <w:pStyle w:val="FirstParagraph"/>
      </w:pPr>
      <w:r>
        <w:rPr>
          <w:iCs/>
          <w:i/>
        </w:rPr>
        <w:t xml:space="preserve">Drafting note: Supports Article 25 and Clause 10.10. It gives effect to orderly transfer (OUT para 74(xv)), the bar on erasing or altering data during transition (OUT para 87), full co-operation with the Successor Provider (OUT para 88) and cloud exit requirements (OUT para 97(xvi)). [Mandatory — RBI].</w:t>
      </w:r>
    </w:p>
    <w:bookmarkStart w:id="128" w:name="part-a-exit-plan-clause-25.1"/>
    <w:p>
      <w:pPr>
        <w:pStyle w:val="Heading2"/>
      </w:pPr>
      <w:r>
        <w:t xml:space="preserve">Part A — Exit Plan (Clause 25.1)</w:t>
      </w:r>
    </w:p>
    <w:p>
      <w:pPr>
        <w:pStyle w:val="FirstParagraph"/>
      </w:pPr>
      <w:r>
        <w:t xml:space="preserve">Draft within [90] days of the Effective Date; reviewed at least annually and on any material Change; aligned with the Platform’s design and technology stack (OUT para 97(xvi)(b)); tested by an annual dry-run export of a full copy of Company Data. Contents: exit scenarios (expiry, termination for convenience, for cause, regulatory direction, insolvency of either Party, cloud service provider exit, partial exit of a Module) with minimum periods (OUT para 85); the Company’s alternative arrangement (Successor Provider or in-house: OUT para 86); inventory of data, documents, configuration and integrations; export formats and turnaround times (Part D); roles; parallel-run approach; knowledge transfer; risks; acceptance criteria; deletion and assurance steps; step-in arrangements (Part F).</w:t>
      </w:r>
    </w:p>
    <w:bookmarkEnd w:id="128"/>
    <w:bookmarkStart w:id="129" w:name="part-b-exit-period-and-continuity"/>
    <w:p>
      <w:pPr>
        <w:pStyle w:val="Heading2"/>
      </w:pPr>
      <w:r>
        <w:t xml:space="preserve">Part B — Exit Period and Continuity</w:t>
      </w:r>
    </w:p>
    <w:p>
      <w:pPr>
        <w:numPr>
          <w:ilvl w:val="0"/>
          <w:numId w:val="1047"/>
        </w:numPr>
        <w:pStyle w:val="Compact"/>
      </w:pPr>
      <w:r>
        <w:t xml:space="preserve">The Exit Period (Clause 1.1) runs until the Company confirms completion and is not shorter than the Minimum Exit Period of [12] months unless the Company specifies otherwise; termination takes effect only at its end (Clauses 24.5, 24.7; OUT paras 34(x), 85).</w:t>
      </w:r>
    </w:p>
    <w:p>
      <w:pPr>
        <w:numPr>
          <w:ilvl w:val="0"/>
          <w:numId w:val="1047"/>
        </w:numPr>
        <w:pStyle w:val="Compact"/>
      </w:pPr>
      <w:r>
        <w:t xml:space="preserve">The Services continue in full, at the service levels and the Fees then applicable, without degradation (Clause 25.2(a)).</w:t>
      </w:r>
    </w:p>
    <w:p>
      <w:pPr>
        <w:numPr>
          <w:ilvl w:val="0"/>
          <w:numId w:val="1047"/>
        </w:numPr>
        <w:pStyle w:val="Compact"/>
      </w:pPr>
      <w:r>
        <w:t xml:space="preserve">Charges: no additional charge where the Company terminates under Clause 24.3 or 24.4 (other than a Clause 24.4(a) direction not attributable to the Service Provider); otherwise at the Order Form rates; data exports and continued Services at the applicable Fees are always available (Clause 25.5).</w:t>
      </w:r>
    </w:p>
    <w:bookmarkEnd w:id="129"/>
    <w:bookmarkStart w:id="130" w:name="part-c-no-hostage-and-no-alteration"/>
    <w:p>
      <w:pPr>
        <w:pStyle w:val="Heading2"/>
      </w:pPr>
      <w:r>
        <w:t xml:space="preserve">Part C — No Hostage and No Alteration</w:t>
      </w:r>
    </w:p>
    <w:p>
      <w:pPr>
        <w:pStyle w:val="FirstParagraph"/>
      </w:pPr>
      <w:r>
        <w:t xml:space="preserve">No suspension, degradation, withholding or conditioning of Services, Company Data, exports or co-operation for any reason, including disputed Fees (Clauses 16.4, 24.6, 25.5, 30.8); no lien, retention or set-off over Company Data (Clause 10.1); no erasure, purge, revocation, alteration or change of Company Data during transition unless specifically advised by the Regulator or the Company (Clause 25.3; OUT para 87).</w:t>
      </w:r>
    </w:p>
    <w:bookmarkEnd w:id="130"/>
    <w:bookmarkStart w:id="131" w:name="X0dbdf10444d62035676e35f487df7bfb60c3c21"/>
    <w:p>
      <w:pPr>
        <w:pStyle w:val="Heading2"/>
      </w:pPr>
      <w:r>
        <w:t xml:space="preserve">Part D — Data Export Formats, Completeness and Turnaround (Clause 25.2(c))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719"/>
        <w:gridCol w:w="3344"/>
        <w:gridCol w:w="2575"/>
      </w:tblGrid>
      <w:tr>
        <w:trPr>
          <w:tblHeader w:val="true"/>
          <w:tblHeader w:val="true"/>
        </w:trPr>
        <w:tc>
          <w:tcPr>
            <w:tcW w:w="3719" w:type="dxa"/>
            <w:shd w:val="clear" w:color="auto" w:fill="1F3A5F"/>
          </w:tcPr>
          <w:p>
            <w:pPr>
              <w:pStyle w:val="Compact"/>
              <w:spacing w:after="40"/>
              <w:jc w:val="left"/>
            </w:pPr>
            <w:r>
              <w:rPr>
                <w:b/>
                <w:color w:val="FFFFFF"/>
                <w:sz w:val="18"/>
              </w:rPr>
              <w:t xml:space="preserve">Data set</w:t>
            </w:r>
          </w:p>
        </w:tc>
        <w:tc>
          <w:tcPr>
            <w:tcW w:w="3344" w:type="dxa"/>
            <w:shd w:val="clear" w:color="auto" w:fill="1F3A5F"/>
          </w:tcPr>
          <w:p>
            <w:pPr>
              <w:pStyle w:val="Compact"/>
              <w:spacing w:after="40"/>
              <w:jc w:val="left"/>
            </w:pPr>
            <w:r>
              <w:rPr>
                <w:b/>
                <w:color w:val="FFFFFF"/>
                <w:sz w:val="18"/>
              </w:rPr>
              <w:t xml:space="preserve">Format</w:t>
            </w:r>
          </w:p>
        </w:tc>
        <w:tc>
          <w:tcPr>
            <w:tcW w:w="2575" w:type="dxa"/>
            <w:shd w:val="clear" w:color="auto" w:fill="1F3A5F"/>
          </w:tcPr>
          <w:p>
            <w:pPr>
              <w:pStyle w:val="Compact"/>
              <w:spacing w:after="40"/>
              <w:jc w:val="left"/>
            </w:pPr>
            <w:r>
              <w:rPr>
                <w:b/>
                <w:color w:val="FFFFFF"/>
                <w:sz w:val="18"/>
              </w:rPr>
              <w:t xml:space="preserve">Completeness check</w:t>
            </w:r>
          </w:p>
        </w:tc>
      </w:tr>
      <w:tr>
        <w:tc>
          <w:tcPr>
            <w:tcW w:w="3719" w:type="dxa"/>
          </w:tcPr>
          <w:p>
            <w:pPr>
              <w:pStyle w:val="Compact"/>
              <w:spacing w:after="40"/>
              <w:jc w:val="left"/>
            </w:pPr>
            <w:r>
              <w:rPr>
                <w:sz w:val="18"/>
              </w:rPr>
              <w:t xml:space="preserve">All entities (customers, applications, loans, schedules, transactions, classification and provisioning histories, collateral, collections, recovery and legal records, complaints, consents)</w:t>
            </w:r>
          </w:p>
        </w:tc>
        <w:tc>
          <w:tcPr>
            <w:tcW w:w="3344" w:type="dxa"/>
          </w:tcPr>
          <w:p>
            <w:pPr>
              <w:pStyle w:val="Compact"/>
              <w:spacing w:after="40"/>
              <w:jc w:val="left"/>
            </w:pPr>
            <w:r>
              <w:rPr>
                <w:sz w:val="18"/>
              </w:rPr>
              <w:t xml:space="preserve">Schema-versioned JSON and CSV or Parquet per entity, with data dictionary and entity-relationship model; [Option: native PostgreSQL dump]</w:t>
            </w:r>
          </w:p>
        </w:tc>
        <w:tc>
          <w:tcPr>
            <w:tcW w:w="2575" w:type="dxa"/>
          </w:tcPr>
          <w:p>
            <w:pPr>
              <w:pStyle w:val="Compact"/>
              <w:spacing w:after="40"/>
              <w:jc w:val="left"/>
            </w:pPr>
            <w:r>
              <w:rPr>
                <w:sz w:val="18"/>
              </w:rPr>
              <w:t xml:space="preserve">Record counts and checksums per entity</w:t>
            </w:r>
          </w:p>
        </w:tc>
      </w:tr>
      <w:tr>
        <w:tc>
          <w:tcPr>
            <w:tcW w:w="3719" w:type="dxa"/>
          </w:tcPr>
          <w:p>
            <w:pPr>
              <w:pStyle w:val="Compact"/>
              <w:spacing w:after="40"/>
              <w:jc w:val="left"/>
            </w:pPr>
            <w:r>
              <w:rPr>
                <w:sz w:val="18"/>
              </w:rPr>
              <w:t xml:space="preserve">General ledger and sub-ledgers</w:t>
            </w:r>
          </w:p>
        </w:tc>
        <w:tc>
          <w:tcPr>
            <w:tcW w:w="3344" w:type="dxa"/>
          </w:tcPr>
          <w:p>
            <w:pPr>
              <w:pStyle w:val="Compact"/>
              <w:spacing w:after="40"/>
              <w:jc w:val="left"/>
            </w:pPr>
            <w:r>
              <w:rPr>
                <w:sz w:val="18"/>
              </w:rPr>
              <w:t xml:space="preserve">Journal-level CSV with trial balances at cut-off and each month-end in the retention period</w:t>
            </w:r>
          </w:p>
        </w:tc>
        <w:tc>
          <w:tcPr>
            <w:tcW w:w="2575" w:type="dxa"/>
          </w:tcPr>
          <w:p>
            <w:pPr>
              <w:pStyle w:val="Compact"/>
              <w:spacing w:after="40"/>
              <w:jc w:val="left"/>
            </w:pPr>
            <w:r>
              <w:rPr>
                <w:sz w:val="18"/>
              </w:rPr>
              <w:t xml:space="preserve">Trial balance ties to the last approved balance sheet; sub-ledgers tie to control accounts</w:t>
            </w:r>
          </w:p>
        </w:tc>
      </w:tr>
      <w:tr>
        <w:tc>
          <w:tcPr>
            <w:tcW w:w="3719" w:type="dxa"/>
          </w:tcPr>
          <w:p>
            <w:pPr>
              <w:pStyle w:val="Compact"/>
              <w:spacing w:after="40"/>
              <w:jc w:val="left"/>
            </w:pPr>
            <w:r>
              <w:rPr>
                <w:sz w:val="18"/>
              </w:rPr>
              <w:t xml:space="preserve">Loan balances by component</w:t>
            </w:r>
          </w:p>
        </w:tc>
        <w:tc>
          <w:tcPr>
            <w:tcW w:w="3344" w:type="dxa"/>
          </w:tcPr>
          <w:p>
            <w:pPr>
              <w:pStyle w:val="Compact"/>
              <w:spacing w:after="40"/>
              <w:jc w:val="left"/>
            </w:pPr>
            <w:r>
              <w:rPr>
                <w:sz w:val="18"/>
              </w:rPr>
              <w:t xml:space="preserve">CSV per loan at cut-off</w:t>
            </w:r>
          </w:p>
        </w:tc>
        <w:tc>
          <w:tcPr>
            <w:tcW w:w="2575" w:type="dxa"/>
          </w:tcPr>
          <w:p>
            <w:pPr>
              <w:pStyle w:val="Compact"/>
              <w:spacing w:after="40"/>
              <w:jc w:val="left"/>
            </w:pPr>
            <w:r>
              <w:rPr>
                <w:sz w:val="18"/>
              </w:rPr>
              <w:t xml:space="preserve">Principal, interest, charges and DPD reconcile to ledger</w:t>
            </w:r>
          </w:p>
        </w:tc>
      </w:tr>
      <w:tr>
        <w:tc>
          <w:tcPr>
            <w:tcW w:w="3719" w:type="dxa"/>
          </w:tcPr>
          <w:p>
            <w:pPr>
              <w:pStyle w:val="Compact"/>
              <w:spacing w:after="40"/>
              <w:jc w:val="left"/>
            </w:pPr>
            <w:r>
              <w:rPr>
                <w:sz w:val="18"/>
              </w:rPr>
              <w:t xml:space="preserve">Documents, communications and recordings</w:t>
            </w:r>
          </w:p>
        </w:tc>
        <w:tc>
          <w:tcPr>
            <w:tcW w:w="3344" w:type="dxa"/>
          </w:tcPr>
          <w:p>
            <w:pPr>
              <w:pStyle w:val="Compact"/>
              <w:spacing w:after="40"/>
              <w:jc w:val="left"/>
            </w:pPr>
            <w:r>
              <w:rPr>
                <w:sz w:val="18"/>
              </w:rPr>
              <w:t xml:space="preserve">Original files plus PDF/A-2b renditions, with metadata, SHA-256 hashes and index</w:t>
            </w:r>
          </w:p>
        </w:tc>
        <w:tc>
          <w:tcPr>
            <w:tcW w:w="2575" w:type="dxa"/>
          </w:tcPr>
          <w:p>
            <w:pPr>
              <w:pStyle w:val="Compact"/>
              <w:spacing w:after="40"/>
              <w:jc w:val="left"/>
            </w:pPr>
            <w:r>
              <w:rPr>
                <w:sz w:val="18"/>
              </w:rPr>
              <w:t xml:space="preserve">Hash manifest matches stored hashes</w:t>
            </w:r>
          </w:p>
        </w:tc>
      </w:tr>
      <w:tr>
        <w:tc>
          <w:tcPr>
            <w:tcW w:w="3719" w:type="dxa"/>
          </w:tcPr>
          <w:p>
            <w:pPr>
              <w:pStyle w:val="Compact"/>
              <w:spacing w:after="40"/>
              <w:jc w:val="left"/>
            </w:pPr>
            <w:r>
              <w:rPr>
                <w:sz w:val="18"/>
              </w:rPr>
              <w:t xml:space="preserve">Audit trails and logs</w:t>
            </w:r>
          </w:p>
        </w:tc>
        <w:tc>
          <w:tcPr>
            <w:tcW w:w="3344" w:type="dxa"/>
          </w:tcPr>
          <w:p>
            <w:pPr>
              <w:pStyle w:val="Compact"/>
              <w:spacing w:after="40"/>
              <w:jc w:val="left"/>
            </w:pPr>
            <w:r>
              <w:rPr>
                <w:sz w:val="18"/>
              </w:rPr>
              <w:t xml:space="preserve">Hash-chained JSON lines with verification tool</w:t>
            </w:r>
          </w:p>
        </w:tc>
        <w:tc>
          <w:tcPr>
            <w:tcW w:w="2575" w:type="dxa"/>
          </w:tcPr>
          <w:p>
            <w:pPr>
              <w:pStyle w:val="Compact"/>
              <w:spacing w:after="40"/>
              <w:jc w:val="left"/>
            </w:pPr>
            <w:r>
              <w:rPr>
                <w:sz w:val="18"/>
              </w:rPr>
              <w:t xml:space="preserve">Chain verification passes</w:t>
            </w:r>
          </w:p>
        </w:tc>
      </w:tr>
      <w:tr>
        <w:tc>
          <w:tcPr>
            <w:tcW w:w="3719" w:type="dxa"/>
          </w:tcPr>
          <w:p>
            <w:pPr>
              <w:pStyle w:val="Compact"/>
              <w:spacing w:after="40"/>
              <w:jc w:val="left"/>
            </w:pPr>
            <w:r>
              <w:rPr>
                <w:sz w:val="18"/>
              </w:rPr>
              <w:t xml:space="preserve">Configuration</w:t>
            </w:r>
          </w:p>
        </w:tc>
        <w:tc>
          <w:tcPr>
            <w:tcW w:w="3344" w:type="dxa"/>
          </w:tcPr>
          <w:p>
            <w:pPr>
              <w:pStyle w:val="Compact"/>
              <w:spacing w:after="40"/>
              <w:jc w:val="left"/>
            </w:pPr>
            <w:r>
              <w:rPr>
                <w:sz w:val="18"/>
              </w:rPr>
              <w:t xml:space="preserve">Products, charges, rule versions with effective dates, workflows, templates, roles and permissions, approval matrices, integration settings (no secrets)</w:t>
            </w:r>
          </w:p>
        </w:tc>
        <w:tc>
          <w:tcPr>
            <w:tcW w:w="2575" w:type="dxa"/>
          </w:tcPr>
          <w:p>
            <w:pPr>
              <w:pStyle w:val="Compact"/>
              <w:spacing w:after="40"/>
              <w:jc w:val="left"/>
            </w:pPr>
            <w:r>
              <w:rPr>
                <w:sz w:val="18"/>
              </w:rPr>
              <w:t xml:space="preserve">Signed-off configuration report</w:t>
            </w:r>
          </w:p>
        </w:tc>
      </w:tr>
      <w:tr>
        <w:tc>
          <w:tcPr>
            <w:tcW w:w="3719" w:type="dxa"/>
          </w:tcPr>
          <w:p>
            <w:pPr>
              <w:pStyle w:val="Compact"/>
              <w:spacing w:after="40"/>
              <w:jc w:val="left"/>
            </w:pPr>
            <w:r>
              <w:rPr>
                <w:sz w:val="18"/>
              </w:rPr>
              <w:t xml:space="preserve">Regulatory outputs</w:t>
            </w:r>
          </w:p>
        </w:tc>
        <w:tc>
          <w:tcPr>
            <w:tcW w:w="3344" w:type="dxa"/>
          </w:tcPr>
          <w:p>
            <w:pPr>
              <w:pStyle w:val="Compact"/>
              <w:spacing w:after="40"/>
              <w:jc w:val="left"/>
            </w:pPr>
            <w:r>
              <w:rPr>
                <w:sz w:val="18"/>
              </w:rPr>
              <w:t xml:space="preserve">Every return, CIC and CKYCR file generated, with submission evidence where recorded</w:t>
            </w:r>
          </w:p>
        </w:tc>
        <w:tc>
          <w:tcPr>
            <w:tcW w:w="2575" w:type="dxa"/>
          </w:tcPr>
          <w:p>
            <w:pPr>
              <w:pStyle w:val="Compact"/>
              <w:spacing w:after="40"/>
              <w:jc w:val="left"/>
            </w:pPr>
            <w:r>
              <w:rPr>
                <w:sz w:val="18"/>
              </w:rPr>
              <w:t xml:space="preserve">Register of returns</w:t>
            </w:r>
          </w:p>
        </w:tc>
      </w:tr>
    </w:tbl>
    <w:p>
      <w:pPr>
        <w:pStyle w:val="BodyText"/>
      </w:pPr>
      <w:r>
        <w:t xml:space="preserve">Delivered by secure transfer to Company-controlled storage in India with a SHA-256 manifest signed by the Service Provider. Turnaround: up to [2] trial exports, the first within [30] days of the start of the Exit Period (Clause 25.2(d)); final export within [5] Business Days of cut-over; ad hoc extracts within [3] Business Days; gaps remedied within [5] Business Days.</w:t>
      </w:r>
    </w:p>
    <w:bookmarkEnd w:id="131"/>
    <w:bookmarkStart w:id="132" w:name="part-e-transition-assistance-clause-25.2"/>
    <w:p>
      <w:pPr>
        <w:pStyle w:val="Heading2"/>
      </w:pPr>
      <w:r>
        <w:t xml:space="preserve">Part E — Transition Assistance (Clause 25.2)</w:t>
      </w:r>
    </w:p>
    <w:p>
      <w:pPr>
        <w:pStyle w:val="FirstParagraph"/>
      </w:pPr>
      <w:r>
        <w:t xml:space="preserve">Parallel running for up to [3] months with daily deltas; knowledge transfer on configuration, calculations (schedules, accruals, allocation, provisioning), integrations, interfaces and operating procedures (up to [●] person-days, then rate card); answers to the Successor Provider within [3] Business Days and support for its migration testing and reconciliation (OUT para 88); reasonable help to transfer Service Provider-procured third-party services; co-operation in termination publicity where the Service Provider dealt with customers (Clause 24.8; OUT paras 44, 89); read-only access for the Company, its auditors and Supervisory Authorities for [12] months after cut-over (Clause 25.2(f)).</w:t>
      </w:r>
    </w:p>
    <w:bookmarkEnd w:id="132"/>
    <w:bookmarkStart w:id="133" w:name="part-f-step-in-arrangements-clause-25.6"/>
    <w:p>
      <w:pPr>
        <w:pStyle w:val="Heading2"/>
      </w:pPr>
      <w:r>
        <w:t xml:space="preserve">Part F — Step-in Arrangements (Clause 25.6)</w:t>
      </w:r>
    </w:p>
    <w:p>
      <w:pPr>
        <w:pStyle w:val="FirstParagraph"/>
      </w:pPr>
      <w:r>
        <w:t xml:space="preserve">On an insolvency event or cessation of business of the Service Provider: (a) the Escrow Agent releases the Deposit Materials (Article 26; Schedule 13); (b) the Service Provider, and to the extent permitted by law its resolution professional, liquidator or administrator, transfers the Tenant Environment, Company Data and hosting arrangements to the Company or a Successor Provider; (c) the Service Provider procures in its contract with the cloud service provider [a novation or assignment right / a direct agreement] allowing the Company to assume the Tenant Environment account and continue operations for at least [90] days (Clause 26.7 where selected); (d) break-glass administrative credentials for the Tenant Environment are held [by the Escrow Agent / in the Company’s vault] and tested annually [VERIFY: CSP consent and IBC moratorium position].</w:t>
      </w:r>
    </w:p>
    <w:bookmarkEnd w:id="133"/>
    <w:bookmarkStart w:id="134" w:name="part-g-take-over-deletion-and-completion"/>
    <w:p>
      <w:pPr>
        <w:pStyle w:val="Heading2"/>
      </w:pPr>
      <w:r>
        <w:t xml:space="preserve">Part G — Take-over, Deletion and Completion</w:t>
      </w:r>
    </w:p>
    <w:p>
      <w:pPr>
        <w:pStyle w:val="FirstParagraph"/>
      </w:pPr>
      <w:r>
        <w:t xml:space="preserve">Take-over of all records of transactions, customer and operational information and configuration data in a systematic manner, purge at the Service Provider and its cloud service providers, and independent assurance before sign-off (Clause 25.4; OUT para 97(xvi)(d)); then return and destruction certificates under Clause 10.10 and Schedule 4, Annexure 4B. Exit is complete when the Company confirms in writing that the final export is accepted, parallel run and knowledge transfer have ended, third-party transfers are done and the certificates and assurance are received. Partial exit of an Optional Module follows Clause 4.6 and Schedule 2, Part C.</w:t>
      </w:r>
    </w:p>
    <w:p>
      <w:r>
        <w:pict>
          <v:rect style="width:0;height:1.5pt" o:hralign="center" o:hrstd="t" o:hr="t"/>
        </w:pict>
      </w:r>
    </w:p>
    <w:p>
      <w:r>
        <w:br w:type="page"/>
      </w:r>
    </w:p>
    <w:bookmarkEnd w:id="134"/>
    <w:bookmarkEnd w:id="135"/>
    <w:bookmarkStart w:id="139" w:name="X84b4359b144dd6b44baff5ccb420f4606b69f77"/>
    <w:p>
      <w:pPr>
        <w:pStyle w:val="Heading1"/>
      </w:pPr>
      <w:r>
        <w:t xml:space="preserve">SCHEDULE 10 — Approved Sub-contractors and Sub-processors</w:t>
      </w:r>
    </w:p>
    <w:p>
      <w:pPr>
        <w:pStyle w:val="FirstParagraph"/>
      </w:pPr>
      <w:r>
        <w:rPr>
          <w:iCs/>
          <w:i/>
        </w:rPr>
        <w:t xml:space="preserve">Drafting note: Supports Article 13 and Clause 11.10. Approved Sub-contractors require the Company’s prior written consent (Clause 13.1; OUT para 34(iv)); the Service Provider is liable for them (Clause 13.4; OUT para 74(xiii)) and discloses the supply chain (Clause 13.5; OUT paras 74(xi), 82). Company Third-Party Providers (Clause 7.7) are listed in Part B for completeness and are not Sub-contractors. Every entry is a placeholder to be verified for India residency before go-live.</w:t>
      </w:r>
    </w:p>
    <w:bookmarkStart w:id="136" w:name="Xc4a5ccebca12b72324cecfe638fe661118c4839"/>
    <w:p>
      <w:pPr>
        <w:pStyle w:val="Heading2"/>
      </w:pPr>
      <w:r>
        <w:t xml:space="preserve">Part A — Approved Sub-contractors and Sub-processors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56"/>
        <w:gridCol w:w="1925"/>
        <w:gridCol w:w="1750"/>
        <w:gridCol w:w="1750"/>
        <w:gridCol w:w="1540"/>
        <w:gridCol w:w="1111"/>
        <w:gridCol w:w="806"/>
      </w:tblGrid>
      <w:tr>
        <w:trPr>
          <w:tblHeader w:val="true"/>
          <w:tblHeader w:val="true"/>
        </w:trPr>
        <w:tc>
          <w:tcPr>
            <w:tcW w:w="756" w:type="dxa"/>
            <w:shd w:val="clear" w:color="auto" w:fill="1F3A5F"/>
          </w:tcPr>
          <w:p>
            <w:pPr>
              <w:pStyle w:val="Compact"/>
              <w:spacing w:after="40"/>
              <w:jc w:val="left"/>
            </w:pPr>
            <w:r>
              <w:rPr>
                <w:b/>
                <w:color w:val="FFFFFF"/>
                <w:sz w:val="18"/>
              </w:rPr>
              <w:t xml:space="preserve">#</w:t>
            </w:r>
          </w:p>
        </w:tc>
        <w:tc>
          <w:tcPr>
            <w:tcW w:w="1925" w:type="dxa"/>
            <w:shd w:val="clear" w:color="auto" w:fill="1F3A5F"/>
          </w:tcPr>
          <w:p>
            <w:pPr>
              <w:pStyle w:val="Compact"/>
              <w:spacing w:after="40"/>
              <w:jc w:val="left"/>
            </w:pPr>
            <w:r>
              <w:rPr>
                <w:b/>
                <w:color w:val="FFFFFF"/>
                <w:sz w:val="18"/>
              </w:rPr>
              <w:t xml:space="preserve">Entity</w:t>
            </w:r>
          </w:p>
        </w:tc>
        <w:tc>
          <w:tcPr>
            <w:tcW w:w="1750" w:type="dxa"/>
            <w:shd w:val="clear" w:color="auto" w:fill="1F3A5F"/>
          </w:tcPr>
          <w:p>
            <w:pPr>
              <w:pStyle w:val="Compact"/>
              <w:spacing w:after="40"/>
              <w:jc w:val="left"/>
            </w:pPr>
            <w:r>
              <w:rPr>
                <w:b/>
                <w:color w:val="FFFFFF"/>
                <w:sz w:val="18"/>
              </w:rPr>
              <w:t xml:space="preserve">Service</w:t>
            </w:r>
          </w:p>
        </w:tc>
        <w:tc>
          <w:tcPr>
            <w:tcW w:w="1750" w:type="dxa"/>
            <w:shd w:val="clear" w:color="auto" w:fill="1F3A5F"/>
          </w:tcPr>
          <w:p>
            <w:pPr>
              <w:pStyle w:val="Compact"/>
              <w:spacing w:after="40"/>
              <w:jc w:val="left"/>
            </w:pPr>
            <w:r>
              <w:rPr>
                <w:b/>
                <w:color w:val="FFFFFF"/>
                <w:sz w:val="18"/>
              </w:rPr>
              <w:t xml:space="preserve">Data access</w:t>
            </w:r>
          </w:p>
        </w:tc>
        <w:tc>
          <w:tcPr>
            <w:tcW w:w="1540" w:type="dxa"/>
            <w:shd w:val="clear" w:color="auto" w:fill="1F3A5F"/>
          </w:tcPr>
          <w:p>
            <w:pPr>
              <w:pStyle w:val="Compact"/>
              <w:spacing w:after="40"/>
              <w:jc w:val="left"/>
            </w:pPr>
            <w:r>
              <w:rPr>
                <w:b/>
                <w:color w:val="FFFFFF"/>
                <w:sz w:val="18"/>
              </w:rPr>
              <w:t xml:space="preserve">Location</w:t>
            </w:r>
          </w:p>
        </w:tc>
        <w:tc>
          <w:tcPr>
            <w:tcW w:w="1111" w:type="dxa"/>
            <w:shd w:val="clear" w:color="auto" w:fill="1F3A5F"/>
          </w:tcPr>
          <w:p>
            <w:pPr>
              <w:pStyle w:val="Compact"/>
              <w:spacing w:after="40"/>
              <w:jc w:val="left"/>
            </w:pPr>
            <w:r>
              <w:rPr>
                <w:b/>
                <w:color w:val="FFFFFF"/>
                <w:sz w:val="18"/>
              </w:rPr>
              <w:t xml:space="preserve">Material (OUT para 58(4))</w:t>
            </w:r>
          </w:p>
        </w:tc>
        <w:tc>
          <w:tcPr>
            <w:tcW w:w="806" w:type="dxa"/>
            <w:shd w:val="clear" w:color="auto" w:fill="1F3A5F"/>
          </w:tcPr>
          <w:p>
            <w:pPr>
              <w:pStyle w:val="Compact"/>
              <w:spacing w:after="40"/>
              <w:jc w:val="left"/>
            </w:pPr>
            <w:r>
              <w:rPr>
                <w:b/>
                <w:color w:val="FFFFFF"/>
                <w:sz w:val="18"/>
              </w:rPr>
              <w:t xml:space="preserve">Approval date</w:t>
            </w:r>
          </w:p>
        </w:tc>
      </w:tr>
      <w:tr>
        <w:tc>
          <w:tcPr>
            <w:tcW w:w="756" w:type="dxa"/>
          </w:tcPr>
          <w:p>
            <w:pPr>
              <w:pStyle w:val="Compact"/>
              <w:spacing w:after="40"/>
              <w:jc w:val="left"/>
            </w:pPr>
            <w:r>
              <w:rPr>
                <w:sz w:val="18"/>
              </w:rPr>
              <w:t xml:space="preserve">1</w:t>
            </w:r>
          </w:p>
        </w:tc>
        <w:tc>
          <w:tcPr>
            <w:tcW w:w="1925" w:type="dxa"/>
          </w:tcPr>
          <w:p>
            <w:pPr>
              <w:pStyle w:val="Compact"/>
              <w:spacing w:after="40"/>
              <w:jc w:val="left"/>
            </w:pPr>
            <w:r>
              <w:rPr>
                <w:sz w:val="18"/>
              </w:rPr>
              <w:t xml:space="preserve">[Amazon Web Services India / other CSP]</w:t>
            </w:r>
          </w:p>
        </w:tc>
        <w:tc>
          <w:tcPr>
            <w:tcW w:w="1750" w:type="dxa"/>
          </w:tcPr>
          <w:p>
            <w:pPr>
              <w:pStyle w:val="Compact"/>
              <w:spacing w:after="40"/>
              <w:jc w:val="left"/>
            </w:pPr>
            <w:r>
              <w:rPr>
                <w:sz w:val="18"/>
              </w:rPr>
              <w:t xml:space="preserve">IaaS and PaaS hosting, KMS, HSM (Option C: Company-contracted)</w:t>
            </w:r>
          </w:p>
        </w:tc>
        <w:tc>
          <w:tcPr>
            <w:tcW w:w="1750" w:type="dxa"/>
          </w:tcPr>
          <w:p>
            <w:pPr>
              <w:pStyle w:val="Compact"/>
              <w:spacing w:after="40"/>
              <w:jc w:val="left"/>
            </w:pPr>
            <w:r>
              <w:rPr>
                <w:sz w:val="18"/>
              </w:rPr>
              <w:t xml:space="preserve">Encrypted Company Data; no logical access by CSP personnel</w:t>
            </w:r>
          </w:p>
        </w:tc>
        <w:tc>
          <w:tcPr>
            <w:tcW w:w="1540" w:type="dxa"/>
          </w:tcPr>
          <w:p>
            <w:pPr>
              <w:pStyle w:val="Compact"/>
              <w:spacing w:after="40"/>
              <w:jc w:val="left"/>
            </w:pPr>
            <w:r>
              <w:rPr>
                <w:sz w:val="18"/>
              </w:rPr>
              <w:t xml:space="preserve">ap-south-1 Mumbai; ap-south-2 Hyderabad [VERIFY]</w:t>
            </w:r>
          </w:p>
        </w:tc>
        <w:tc>
          <w:tcPr>
            <w:tcW w:w="1111" w:type="dxa"/>
          </w:tcPr>
          <w:p>
            <w:pPr>
              <w:pStyle w:val="Compact"/>
              <w:spacing w:after="40"/>
              <w:jc w:val="left"/>
            </w:pPr>
            <w:r>
              <w:rPr>
                <w:sz w:val="18"/>
              </w:rPr>
              <w:t xml:space="preserve">Yes</w:t>
            </w:r>
          </w:p>
        </w:tc>
        <w:tc>
          <w:tcPr>
            <w:tcW w:w="806" w:type="dxa"/>
          </w:tcPr>
          <w:p>
            <w:pPr>
              <w:pStyle w:val="Compact"/>
              <w:spacing w:after="40"/>
              <w:jc w:val="left"/>
            </w:pPr>
            <w:r>
              <w:rPr>
                <w:sz w:val="18"/>
              </w:rPr>
              <w:t xml:space="preserve">[●]</w:t>
            </w:r>
          </w:p>
        </w:tc>
      </w:tr>
      <w:tr>
        <w:tc>
          <w:tcPr>
            <w:tcW w:w="756" w:type="dxa"/>
          </w:tcPr>
          <w:p>
            <w:pPr>
              <w:pStyle w:val="Compact"/>
              <w:spacing w:after="40"/>
              <w:jc w:val="left"/>
            </w:pPr>
            <w:r>
              <w:rPr>
                <w:sz w:val="18"/>
              </w:rPr>
              <w:t xml:space="preserve">2</w:t>
            </w:r>
          </w:p>
        </w:tc>
        <w:tc>
          <w:tcPr>
            <w:tcW w:w="1925" w:type="dxa"/>
          </w:tcPr>
          <w:p>
            <w:pPr>
              <w:pStyle w:val="Compact"/>
              <w:spacing w:after="40"/>
              <w:jc w:val="left"/>
            </w:pPr>
            <w:r>
              <w:rPr>
                <w:sz w:val="18"/>
              </w:rPr>
              <w:t xml:space="preserve">[Managed PostgreSQL provider, if not self-managed]</w:t>
            </w:r>
          </w:p>
        </w:tc>
        <w:tc>
          <w:tcPr>
            <w:tcW w:w="1750" w:type="dxa"/>
          </w:tcPr>
          <w:p>
            <w:pPr>
              <w:pStyle w:val="Compact"/>
              <w:spacing w:after="40"/>
              <w:jc w:val="left"/>
            </w:pPr>
            <w:r>
              <w:rPr>
                <w:sz w:val="18"/>
              </w:rPr>
              <w:t xml:space="preserve">Database platform</w:t>
            </w:r>
          </w:p>
        </w:tc>
        <w:tc>
          <w:tcPr>
            <w:tcW w:w="1750" w:type="dxa"/>
          </w:tcPr>
          <w:p>
            <w:pPr>
              <w:pStyle w:val="Compact"/>
              <w:spacing w:after="40"/>
              <w:jc w:val="left"/>
            </w:pPr>
            <w:r>
              <w:rPr>
                <w:sz w:val="18"/>
              </w:rPr>
              <w:t xml:space="preserve">Encrypted Company Data</w:t>
            </w:r>
          </w:p>
        </w:tc>
        <w:tc>
          <w:tcPr>
            <w:tcW w:w="1540" w:type="dxa"/>
          </w:tcPr>
          <w:p>
            <w:pPr>
              <w:pStyle w:val="Compact"/>
              <w:spacing w:after="40"/>
              <w:jc w:val="left"/>
            </w:pPr>
            <w:r>
              <w:rPr>
                <w:sz w:val="18"/>
              </w:rPr>
              <w:t xml:space="preserve">India region [VERIFY]</w:t>
            </w:r>
          </w:p>
        </w:tc>
        <w:tc>
          <w:tcPr>
            <w:tcW w:w="1111" w:type="dxa"/>
          </w:tcPr>
          <w:p>
            <w:pPr>
              <w:pStyle w:val="Compact"/>
              <w:spacing w:after="40"/>
              <w:jc w:val="left"/>
            </w:pPr>
            <w:r>
              <w:rPr>
                <w:sz w:val="18"/>
              </w:rPr>
              <w:t xml:space="preserve">Yes</w:t>
            </w:r>
          </w:p>
        </w:tc>
        <w:tc>
          <w:tcPr>
            <w:tcW w:w="806" w:type="dxa"/>
          </w:tcPr>
          <w:p>
            <w:pPr>
              <w:pStyle w:val="Compact"/>
              <w:spacing w:after="40"/>
              <w:jc w:val="left"/>
            </w:pPr>
            <w:r>
              <w:rPr>
                <w:sz w:val="18"/>
              </w:rPr>
              <w:t xml:space="preserve">[●]</w:t>
            </w:r>
          </w:p>
        </w:tc>
      </w:tr>
      <w:tr>
        <w:tc>
          <w:tcPr>
            <w:tcW w:w="756" w:type="dxa"/>
          </w:tcPr>
          <w:p>
            <w:pPr>
              <w:pStyle w:val="Compact"/>
              <w:spacing w:after="40"/>
              <w:jc w:val="left"/>
            </w:pPr>
            <w:r>
              <w:rPr>
                <w:sz w:val="18"/>
              </w:rPr>
              <w:t xml:space="preserve">3</w:t>
            </w:r>
          </w:p>
        </w:tc>
        <w:tc>
          <w:tcPr>
            <w:tcW w:w="1925" w:type="dxa"/>
          </w:tcPr>
          <w:p>
            <w:pPr>
              <w:pStyle w:val="Compact"/>
              <w:spacing w:after="40"/>
              <w:jc w:val="left"/>
            </w:pPr>
            <w:r>
              <w:rPr>
                <w:sz w:val="18"/>
              </w:rPr>
              <w:t xml:space="preserve">[Workflow orchestration (e.g. Temporal Cloud) or self-hosted]</w:t>
            </w:r>
          </w:p>
        </w:tc>
        <w:tc>
          <w:tcPr>
            <w:tcW w:w="1750" w:type="dxa"/>
          </w:tcPr>
          <w:p>
            <w:pPr>
              <w:pStyle w:val="Compact"/>
              <w:spacing w:after="40"/>
              <w:jc w:val="left"/>
            </w:pPr>
            <w:r>
              <w:rPr>
                <w:sz w:val="18"/>
              </w:rPr>
              <w:t xml:space="preserve">Durable workflows</w:t>
            </w:r>
          </w:p>
        </w:tc>
        <w:tc>
          <w:tcPr>
            <w:tcW w:w="1750" w:type="dxa"/>
          </w:tcPr>
          <w:p>
            <w:pPr>
              <w:pStyle w:val="Compact"/>
              <w:spacing w:after="40"/>
              <w:jc w:val="left"/>
            </w:pPr>
            <w:r>
              <w:rPr>
                <w:sz w:val="18"/>
              </w:rPr>
              <w:t xml:space="preserve">Encrypted payloads only</w:t>
            </w:r>
          </w:p>
        </w:tc>
        <w:tc>
          <w:tcPr>
            <w:tcW w:w="1540" w:type="dxa"/>
          </w:tcPr>
          <w:p>
            <w:pPr>
              <w:pStyle w:val="Compact"/>
              <w:spacing w:after="40"/>
              <w:jc w:val="left"/>
            </w:pPr>
            <w:r>
              <w:rPr>
                <w:sz w:val="18"/>
              </w:rPr>
              <w:t xml:space="preserve">India region [VERIFY] or self-hosted</w:t>
            </w:r>
          </w:p>
        </w:tc>
        <w:tc>
          <w:tcPr>
            <w:tcW w:w="1111" w:type="dxa"/>
          </w:tcPr>
          <w:p>
            <w:pPr>
              <w:pStyle w:val="Compact"/>
              <w:spacing w:after="40"/>
              <w:jc w:val="left"/>
            </w:pPr>
            <w:r>
              <w:rPr>
                <w:sz w:val="18"/>
              </w:rPr>
              <w:t xml:space="preserve">Yes, if hosted</w:t>
            </w:r>
          </w:p>
        </w:tc>
        <w:tc>
          <w:tcPr>
            <w:tcW w:w="806" w:type="dxa"/>
          </w:tcPr>
          <w:p>
            <w:pPr>
              <w:pStyle w:val="Compact"/>
              <w:spacing w:after="40"/>
              <w:jc w:val="left"/>
            </w:pPr>
            <w:r>
              <w:rPr>
                <w:sz w:val="18"/>
              </w:rPr>
              <w:t xml:space="preserve">[●]</w:t>
            </w:r>
          </w:p>
        </w:tc>
      </w:tr>
      <w:tr>
        <w:tc>
          <w:tcPr>
            <w:tcW w:w="756" w:type="dxa"/>
          </w:tcPr>
          <w:p>
            <w:pPr>
              <w:pStyle w:val="Compact"/>
              <w:spacing w:after="40"/>
              <w:jc w:val="left"/>
            </w:pPr>
            <w:r>
              <w:rPr>
                <w:sz w:val="18"/>
              </w:rPr>
              <w:t xml:space="preserve">4</w:t>
            </w:r>
          </w:p>
        </w:tc>
        <w:tc>
          <w:tcPr>
            <w:tcW w:w="1925" w:type="dxa"/>
          </w:tcPr>
          <w:p>
            <w:pPr>
              <w:pStyle w:val="Compact"/>
              <w:spacing w:after="40"/>
              <w:jc w:val="left"/>
            </w:pPr>
            <w:r>
              <w:rPr>
                <w:sz w:val="18"/>
              </w:rPr>
              <w:t xml:space="preserve">[Observability and error tracking, self-hosted]</w:t>
            </w:r>
          </w:p>
        </w:tc>
        <w:tc>
          <w:tcPr>
            <w:tcW w:w="1750" w:type="dxa"/>
          </w:tcPr>
          <w:p>
            <w:pPr>
              <w:pStyle w:val="Compact"/>
              <w:spacing w:after="40"/>
              <w:jc w:val="left"/>
            </w:pPr>
            <w:r>
              <w:rPr>
                <w:sz w:val="18"/>
              </w:rPr>
              <w:t xml:space="preserve">Logs, metrics, traces, errors</w:t>
            </w:r>
          </w:p>
        </w:tc>
        <w:tc>
          <w:tcPr>
            <w:tcW w:w="1750" w:type="dxa"/>
          </w:tcPr>
          <w:p>
            <w:pPr>
              <w:pStyle w:val="Compact"/>
              <w:spacing w:after="40"/>
              <w:jc w:val="left"/>
            </w:pPr>
            <w:r>
              <w:rPr>
                <w:sz w:val="18"/>
              </w:rPr>
              <w:t xml:space="preserve">PII-scrubbed telemetry only</w:t>
            </w:r>
          </w:p>
        </w:tc>
        <w:tc>
          <w:tcPr>
            <w:tcW w:w="1540" w:type="dxa"/>
          </w:tcPr>
          <w:p>
            <w:pPr>
              <w:pStyle w:val="Compact"/>
              <w:spacing w:after="40"/>
              <w:jc w:val="left"/>
            </w:pPr>
            <w:r>
              <w:rPr>
                <w:sz w:val="18"/>
              </w:rPr>
              <w:t xml:space="preserve">India</w:t>
            </w:r>
          </w:p>
        </w:tc>
        <w:tc>
          <w:tcPr>
            <w:tcW w:w="1111" w:type="dxa"/>
          </w:tcPr>
          <w:p>
            <w:pPr>
              <w:pStyle w:val="Compact"/>
              <w:spacing w:after="40"/>
              <w:jc w:val="left"/>
            </w:pPr>
            <w:r>
              <w:rPr>
                <w:sz w:val="18"/>
              </w:rPr>
              <w:t xml:space="preserve">No</w:t>
            </w:r>
          </w:p>
        </w:tc>
        <w:tc>
          <w:tcPr>
            <w:tcW w:w="806" w:type="dxa"/>
          </w:tcPr>
          <w:p>
            <w:pPr>
              <w:pStyle w:val="Compact"/>
              <w:spacing w:after="40"/>
              <w:jc w:val="left"/>
            </w:pPr>
            <w:r>
              <w:rPr>
                <w:sz w:val="18"/>
              </w:rPr>
              <w:t xml:space="preserve">[●]</w:t>
            </w:r>
          </w:p>
        </w:tc>
      </w:tr>
      <w:tr>
        <w:tc>
          <w:tcPr>
            <w:tcW w:w="756" w:type="dxa"/>
          </w:tcPr>
          <w:p>
            <w:pPr>
              <w:pStyle w:val="Compact"/>
              <w:spacing w:after="40"/>
              <w:jc w:val="left"/>
            </w:pPr>
            <w:r>
              <w:rPr>
                <w:sz w:val="18"/>
              </w:rPr>
              <w:t xml:space="preserve">5</w:t>
            </w:r>
          </w:p>
        </w:tc>
        <w:tc>
          <w:tcPr>
            <w:tcW w:w="1925" w:type="dxa"/>
          </w:tcPr>
          <w:p>
            <w:pPr>
              <w:pStyle w:val="Compact"/>
              <w:spacing w:after="40"/>
              <w:jc w:val="left"/>
            </w:pPr>
            <w:r>
              <w:rPr>
                <w:sz w:val="18"/>
              </w:rPr>
              <w:t xml:space="preserve">[Email service, e.g. Amazon SES ap-south-1]</w:t>
            </w:r>
          </w:p>
        </w:tc>
        <w:tc>
          <w:tcPr>
            <w:tcW w:w="1750" w:type="dxa"/>
          </w:tcPr>
          <w:p>
            <w:pPr>
              <w:pStyle w:val="Compact"/>
              <w:spacing w:after="40"/>
              <w:jc w:val="left"/>
            </w:pPr>
            <w:r>
              <w:rPr>
                <w:sz w:val="18"/>
              </w:rPr>
              <w:t xml:space="preserve">Transactional email (if Service Provider-procured)</w:t>
            </w:r>
          </w:p>
        </w:tc>
        <w:tc>
          <w:tcPr>
            <w:tcW w:w="1750" w:type="dxa"/>
          </w:tcPr>
          <w:p>
            <w:pPr>
              <w:pStyle w:val="Compact"/>
              <w:spacing w:after="40"/>
              <w:jc w:val="left"/>
            </w:pPr>
            <w:r>
              <w:rPr>
                <w:sz w:val="18"/>
              </w:rPr>
              <w:t xml:space="preserve">Name, email, content</w:t>
            </w:r>
          </w:p>
        </w:tc>
        <w:tc>
          <w:tcPr>
            <w:tcW w:w="1540" w:type="dxa"/>
          </w:tcPr>
          <w:p>
            <w:pPr>
              <w:pStyle w:val="Compact"/>
              <w:spacing w:after="40"/>
              <w:jc w:val="left"/>
            </w:pPr>
            <w:r>
              <w:rPr>
                <w:sz w:val="18"/>
              </w:rPr>
              <w:t xml:space="preserve">India</w:t>
            </w:r>
          </w:p>
        </w:tc>
        <w:tc>
          <w:tcPr>
            <w:tcW w:w="1111" w:type="dxa"/>
          </w:tcPr>
          <w:p>
            <w:pPr>
              <w:pStyle w:val="Compact"/>
              <w:spacing w:after="40"/>
              <w:jc w:val="left"/>
            </w:pPr>
            <w:r>
              <w:rPr>
                <w:sz w:val="18"/>
              </w:rPr>
              <w:t xml:space="preserve">No</w:t>
            </w:r>
          </w:p>
        </w:tc>
        <w:tc>
          <w:tcPr>
            <w:tcW w:w="806" w:type="dxa"/>
          </w:tcPr>
          <w:p>
            <w:pPr>
              <w:pStyle w:val="Compact"/>
              <w:spacing w:after="40"/>
              <w:jc w:val="left"/>
            </w:pPr>
            <w:r>
              <w:rPr>
                <w:sz w:val="18"/>
              </w:rPr>
              <w:t xml:space="preserve">[●]</w:t>
            </w:r>
          </w:p>
        </w:tc>
      </w:tr>
      <w:tr>
        <w:tc>
          <w:tcPr>
            <w:tcW w:w="756" w:type="dxa"/>
          </w:tcPr>
          <w:p>
            <w:pPr>
              <w:pStyle w:val="Compact"/>
              <w:spacing w:after="40"/>
              <w:jc w:val="left"/>
            </w:pPr>
            <w:r>
              <w:rPr>
                <w:sz w:val="18"/>
              </w:rPr>
              <w:t xml:space="preserve">6</w:t>
            </w:r>
          </w:p>
        </w:tc>
        <w:tc>
          <w:tcPr>
            <w:tcW w:w="1925" w:type="dxa"/>
          </w:tcPr>
          <w:p>
            <w:pPr>
              <w:pStyle w:val="Compact"/>
              <w:spacing w:after="40"/>
              <w:jc w:val="left"/>
            </w:pPr>
            <w:r>
              <w:rPr>
                <w:sz w:val="18"/>
              </w:rPr>
              <w:t xml:space="preserve">[KYC and verification API aggregator] (if Service Provider-procured)</w:t>
            </w:r>
          </w:p>
        </w:tc>
        <w:tc>
          <w:tcPr>
            <w:tcW w:w="1750" w:type="dxa"/>
          </w:tcPr>
          <w:p>
            <w:pPr>
              <w:pStyle w:val="Compact"/>
              <w:spacing w:after="40"/>
              <w:jc w:val="left"/>
            </w:pPr>
            <w:r>
              <w:rPr>
                <w:sz w:val="18"/>
              </w:rPr>
              <w:t xml:space="preserve">PAN, bank account, GST, OVD verification</w:t>
            </w:r>
          </w:p>
        </w:tc>
        <w:tc>
          <w:tcPr>
            <w:tcW w:w="1750" w:type="dxa"/>
          </w:tcPr>
          <w:p>
            <w:pPr>
              <w:pStyle w:val="Compact"/>
              <w:spacing w:after="40"/>
              <w:jc w:val="left"/>
            </w:pPr>
            <w:r>
              <w:rPr>
                <w:sz w:val="18"/>
              </w:rPr>
              <w:t xml:space="preserve">Identity data</w:t>
            </w:r>
          </w:p>
        </w:tc>
        <w:tc>
          <w:tcPr>
            <w:tcW w:w="1540" w:type="dxa"/>
          </w:tcPr>
          <w:p>
            <w:pPr>
              <w:pStyle w:val="Compact"/>
              <w:spacing w:after="40"/>
              <w:jc w:val="left"/>
            </w:pPr>
            <w:r>
              <w:rPr>
                <w:sz w:val="18"/>
              </w:rPr>
              <w:t xml:space="preserve">India [VERIFY]</w:t>
            </w:r>
          </w:p>
        </w:tc>
        <w:tc>
          <w:tcPr>
            <w:tcW w:w="1111" w:type="dxa"/>
          </w:tcPr>
          <w:p>
            <w:pPr>
              <w:pStyle w:val="Compact"/>
              <w:spacing w:after="40"/>
              <w:jc w:val="left"/>
            </w:pPr>
            <w:r>
              <w:rPr>
                <w:sz w:val="18"/>
              </w:rPr>
              <w:t xml:space="preserve">Yes</w:t>
            </w:r>
          </w:p>
        </w:tc>
        <w:tc>
          <w:tcPr>
            <w:tcW w:w="806" w:type="dxa"/>
          </w:tcPr>
          <w:p>
            <w:pPr>
              <w:pStyle w:val="Compact"/>
              <w:spacing w:after="40"/>
              <w:jc w:val="left"/>
            </w:pPr>
            <w:r>
              <w:rPr>
                <w:sz w:val="18"/>
              </w:rPr>
              <w:t xml:space="preserve">[●]</w:t>
            </w:r>
          </w:p>
        </w:tc>
      </w:tr>
      <w:tr>
        <w:tc>
          <w:tcPr>
            <w:tcW w:w="756" w:type="dxa"/>
          </w:tcPr>
          <w:p>
            <w:pPr>
              <w:pStyle w:val="Compact"/>
              <w:spacing w:after="40"/>
              <w:jc w:val="left"/>
            </w:pPr>
            <w:r>
              <w:rPr>
                <w:sz w:val="18"/>
              </w:rPr>
              <w:t xml:space="preserve">7</w:t>
            </w:r>
          </w:p>
        </w:tc>
        <w:tc>
          <w:tcPr>
            <w:tcW w:w="1925" w:type="dxa"/>
          </w:tcPr>
          <w:p>
            <w:pPr>
              <w:pStyle w:val="Compact"/>
              <w:spacing w:after="40"/>
              <w:jc w:val="left"/>
            </w:pPr>
            <w:r>
              <w:rPr>
                <w:sz w:val="18"/>
              </w:rPr>
              <w:t xml:space="preserve">[AI inference provider, e.g. AWS Bedrock ap-south-1, in-region models only]</w:t>
            </w:r>
          </w:p>
        </w:tc>
        <w:tc>
          <w:tcPr>
            <w:tcW w:w="1750" w:type="dxa"/>
          </w:tcPr>
          <w:p>
            <w:pPr>
              <w:pStyle w:val="Compact"/>
              <w:spacing w:after="40"/>
              <w:jc w:val="left"/>
            </w:pPr>
            <w:r>
              <w:rPr>
                <w:sz w:val="18"/>
              </w:rPr>
              <w:t xml:space="preserve">Governed AI layer (M20)</w:t>
            </w:r>
          </w:p>
        </w:tc>
        <w:tc>
          <w:tcPr>
            <w:tcW w:w="1750" w:type="dxa"/>
          </w:tcPr>
          <w:p>
            <w:pPr>
              <w:pStyle w:val="Compact"/>
              <w:spacing w:after="40"/>
              <w:jc w:val="left"/>
            </w:pPr>
            <w:r>
              <w:rPr>
                <w:sz w:val="18"/>
              </w:rPr>
              <w:t xml:space="preserve">PII-redacted prompts; documents for extraction; zero retention</w:t>
            </w:r>
          </w:p>
        </w:tc>
        <w:tc>
          <w:tcPr>
            <w:tcW w:w="1540" w:type="dxa"/>
          </w:tcPr>
          <w:p>
            <w:pPr>
              <w:pStyle w:val="Compact"/>
              <w:spacing w:after="40"/>
              <w:jc w:val="left"/>
            </w:pPr>
            <w:r>
              <w:rPr>
                <w:sz w:val="18"/>
              </w:rPr>
              <w:t xml:space="preserve">India only [VERIFY per model]</w:t>
            </w:r>
          </w:p>
        </w:tc>
        <w:tc>
          <w:tcPr>
            <w:tcW w:w="1111" w:type="dxa"/>
          </w:tcPr>
          <w:p>
            <w:pPr>
              <w:pStyle w:val="Compact"/>
              <w:spacing w:after="40"/>
              <w:jc w:val="left"/>
            </w:pPr>
            <w:r>
              <w:rPr>
                <w:sz w:val="18"/>
              </w:rPr>
              <w:t xml:space="preserve">Yes, if M20 attached</w:t>
            </w:r>
          </w:p>
        </w:tc>
        <w:tc>
          <w:tcPr>
            <w:tcW w:w="806" w:type="dxa"/>
          </w:tcPr>
          <w:p>
            <w:pPr>
              <w:pStyle w:val="Compact"/>
              <w:spacing w:after="40"/>
              <w:jc w:val="left"/>
            </w:pPr>
            <w:r>
              <w:rPr>
                <w:sz w:val="18"/>
              </w:rPr>
              <w:t xml:space="preserve">[●]</w:t>
            </w:r>
          </w:p>
        </w:tc>
      </w:tr>
      <w:tr>
        <w:tc>
          <w:tcPr>
            <w:tcW w:w="756" w:type="dxa"/>
          </w:tcPr>
          <w:p>
            <w:pPr>
              <w:pStyle w:val="Compact"/>
              <w:spacing w:after="40"/>
              <w:jc w:val="left"/>
            </w:pPr>
            <w:r>
              <w:rPr>
                <w:sz w:val="18"/>
              </w:rPr>
              <w:t xml:space="preserve">8</w:t>
            </w:r>
          </w:p>
        </w:tc>
        <w:tc>
          <w:tcPr>
            <w:tcW w:w="1925" w:type="dxa"/>
          </w:tcPr>
          <w:p>
            <w:pPr>
              <w:pStyle w:val="Compact"/>
              <w:spacing w:after="40"/>
              <w:jc w:val="left"/>
            </w:pPr>
            <w:r>
              <w:rPr>
                <w:sz w:val="18"/>
              </w:rPr>
              <w:t xml:space="preserve">[Managed security service provider]</w:t>
            </w:r>
          </w:p>
        </w:tc>
        <w:tc>
          <w:tcPr>
            <w:tcW w:w="1750" w:type="dxa"/>
          </w:tcPr>
          <w:p>
            <w:pPr>
              <w:pStyle w:val="Compact"/>
              <w:spacing w:after="40"/>
              <w:jc w:val="left"/>
            </w:pPr>
            <w:r>
              <w:rPr>
                <w:sz w:val="18"/>
              </w:rPr>
              <w:t xml:space="preserve">Service Provider’s SOC</w:t>
            </w:r>
          </w:p>
        </w:tc>
        <w:tc>
          <w:tcPr>
            <w:tcW w:w="1750" w:type="dxa"/>
          </w:tcPr>
          <w:p>
            <w:pPr>
              <w:pStyle w:val="Compact"/>
              <w:spacing w:after="40"/>
              <w:jc w:val="left"/>
            </w:pPr>
            <w:r>
              <w:rPr>
                <w:sz w:val="18"/>
              </w:rPr>
              <w:t xml:space="preserve">Security logs</w:t>
            </w:r>
          </w:p>
        </w:tc>
        <w:tc>
          <w:tcPr>
            <w:tcW w:w="1540" w:type="dxa"/>
          </w:tcPr>
          <w:p>
            <w:pPr>
              <w:pStyle w:val="Compact"/>
              <w:spacing w:after="40"/>
              <w:jc w:val="left"/>
            </w:pPr>
            <w:r>
              <w:rPr>
                <w:sz w:val="18"/>
              </w:rPr>
              <w:t xml:space="preserve">India</w:t>
            </w:r>
          </w:p>
        </w:tc>
        <w:tc>
          <w:tcPr>
            <w:tcW w:w="1111" w:type="dxa"/>
          </w:tcPr>
          <w:p>
            <w:pPr>
              <w:pStyle w:val="Compact"/>
              <w:spacing w:after="40"/>
              <w:jc w:val="left"/>
            </w:pPr>
            <w:r>
              <w:rPr>
                <w:sz w:val="18"/>
              </w:rPr>
              <w:t xml:space="preserve">Yes</w:t>
            </w:r>
          </w:p>
        </w:tc>
        <w:tc>
          <w:tcPr>
            <w:tcW w:w="806" w:type="dxa"/>
          </w:tcPr>
          <w:p>
            <w:pPr>
              <w:pStyle w:val="Compact"/>
              <w:spacing w:after="40"/>
              <w:jc w:val="left"/>
            </w:pPr>
            <w:r>
              <w:rPr>
                <w:sz w:val="18"/>
              </w:rPr>
              <w:t xml:space="preserve">[●]</w:t>
            </w:r>
          </w:p>
        </w:tc>
      </w:tr>
      <w:tr>
        <w:tc>
          <w:tcPr>
            <w:tcW w:w="756" w:type="dxa"/>
          </w:tcPr>
          <w:p>
            <w:pPr>
              <w:pStyle w:val="Compact"/>
              <w:spacing w:after="40"/>
              <w:jc w:val="left"/>
            </w:pPr>
            <w:r>
              <w:rPr>
                <w:sz w:val="18"/>
              </w:rPr>
              <w:t xml:space="preserve">9</w:t>
            </w:r>
          </w:p>
        </w:tc>
        <w:tc>
          <w:tcPr>
            <w:tcW w:w="1925" w:type="dxa"/>
          </w:tcPr>
          <w:p>
            <w:pPr>
              <w:pStyle w:val="Compact"/>
              <w:spacing w:after="40"/>
              <w:jc w:val="left"/>
            </w:pPr>
            <w:r>
              <w:rPr>
                <w:sz w:val="18"/>
              </w:rPr>
              <w:t xml:space="preserve">[Service desk tooling]</w:t>
            </w:r>
          </w:p>
        </w:tc>
        <w:tc>
          <w:tcPr>
            <w:tcW w:w="1750" w:type="dxa"/>
          </w:tcPr>
          <w:p>
            <w:pPr>
              <w:pStyle w:val="Compact"/>
              <w:spacing w:after="40"/>
              <w:jc w:val="left"/>
            </w:pPr>
            <w:r>
              <w:rPr>
                <w:sz w:val="18"/>
              </w:rPr>
              <w:t xml:space="preserve">Ticketing</w:t>
            </w:r>
          </w:p>
        </w:tc>
        <w:tc>
          <w:tcPr>
            <w:tcW w:w="1750" w:type="dxa"/>
          </w:tcPr>
          <w:p>
            <w:pPr>
              <w:pStyle w:val="Compact"/>
              <w:spacing w:after="40"/>
              <w:jc w:val="left"/>
            </w:pPr>
            <w:r>
              <w:rPr>
                <w:sz w:val="18"/>
              </w:rPr>
              <w:t xml:space="preserve">Masked references only</w:t>
            </w:r>
          </w:p>
        </w:tc>
        <w:tc>
          <w:tcPr>
            <w:tcW w:w="1540" w:type="dxa"/>
          </w:tcPr>
          <w:p>
            <w:pPr>
              <w:pStyle w:val="Compact"/>
              <w:spacing w:after="40"/>
              <w:jc w:val="left"/>
            </w:pPr>
            <w:r>
              <w:rPr>
                <w:sz w:val="18"/>
              </w:rPr>
              <w:t xml:space="preserve">[●]</w:t>
            </w:r>
          </w:p>
        </w:tc>
        <w:tc>
          <w:tcPr>
            <w:tcW w:w="1111" w:type="dxa"/>
          </w:tcPr>
          <w:p>
            <w:pPr>
              <w:pStyle w:val="Compact"/>
              <w:spacing w:after="40"/>
              <w:jc w:val="left"/>
            </w:pPr>
            <w:r>
              <w:rPr>
                <w:sz w:val="18"/>
              </w:rPr>
              <w:t xml:space="preserve">No</w:t>
            </w:r>
          </w:p>
        </w:tc>
        <w:tc>
          <w:tcPr>
            <w:tcW w:w="806" w:type="dxa"/>
          </w:tcPr>
          <w:p>
            <w:pPr>
              <w:pStyle w:val="Compact"/>
              <w:spacing w:after="40"/>
              <w:jc w:val="left"/>
            </w:pPr>
            <w:r>
              <w:rPr>
                <w:sz w:val="18"/>
              </w:rPr>
              <w:t xml:space="preserve">[●]</w:t>
            </w:r>
          </w:p>
        </w:tc>
      </w:tr>
      <w:tr>
        <w:tc>
          <w:tcPr>
            <w:tcW w:w="756" w:type="dxa"/>
          </w:tcPr>
          <w:p>
            <w:pPr>
              <w:pStyle w:val="Compact"/>
              <w:spacing w:after="40"/>
              <w:jc w:val="left"/>
            </w:pPr>
            <w:r>
              <w:rPr>
                <w:sz w:val="18"/>
              </w:rPr>
              <w:t xml:space="preserve">10</w:t>
            </w:r>
          </w:p>
        </w:tc>
        <w:tc>
          <w:tcPr>
            <w:tcW w:w="1925" w:type="dxa"/>
          </w:tcPr>
          <w:p>
            <w:pPr>
              <w:pStyle w:val="Compact"/>
              <w:spacing w:after="40"/>
              <w:jc w:val="left"/>
            </w:pPr>
            <w:r>
              <w:rPr>
                <w:sz w:val="18"/>
              </w:rPr>
              <w:t xml:space="preserve">[Escrow Agent]</w:t>
            </w:r>
          </w:p>
        </w:tc>
        <w:tc>
          <w:tcPr>
            <w:tcW w:w="1750" w:type="dxa"/>
          </w:tcPr>
          <w:p>
            <w:pPr>
              <w:pStyle w:val="Compact"/>
              <w:spacing w:after="40"/>
              <w:jc w:val="left"/>
            </w:pPr>
            <w:r>
              <w:rPr>
                <w:sz w:val="18"/>
              </w:rPr>
              <w:t xml:space="preserve">Escrow (Schedule 13)</w:t>
            </w:r>
          </w:p>
        </w:tc>
        <w:tc>
          <w:tcPr>
            <w:tcW w:w="1750" w:type="dxa"/>
          </w:tcPr>
          <w:p>
            <w:pPr>
              <w:pStyle w:val="Compact"/>
              <w:spacing w:after="40"/>
              <w:jc w:val="left"/>
            </w:pPr>
            <w:r>
              <w:rPr>
                <w:sz w:val="18"/>
              </w:rPr>
              <w:t xml:space="preserve">Deposit Materials; no Company Data</w:t>
            </w:r>
          </w:p>
        </w:tc>
        <w:tc>
          <w:tcPr>
            <w:tcW w:w="1540" w:type="dxa"/>
          </w:tcPr>
          <w:p>
            <w:pPr>
              <w:pStyle w:val="Compact"/>
              <w:spacing w:after="40"/>
              <w:jc w:val="left"/>
            </w:pPr>
            <w:r>
              <w:rPr>
                <w:sz w:val="18"/>
              </w:rPr>
              <w:t xml:space="preserve">[●]</w:t>
            </w:r>
          </w:p>
        </w:tc>
        <w:tc>
          <w:tcPr>
            <w:tcW w:w="1111" w:type="dxa"/>
          </w:tcPr>
          <w:p>
            <w:pPr>
              <w:pStyle w:val="Compact"/>
              <w:spacing w:after="40"/>
              <w:jc w:val="left"/>
            </w:pPr>
            <w:r>
              <w:rPr>
                <w:sz w:val="18"/>
              </w:rPr>
              <w:t xml:space="preserve">No</w:t>
            </w:r>
          </w:p>
        </w:tc>
        <w:tc>
          <w:tcPr>
            <w:tcW w:w="806" w:type="dxa"/>
          </w:tcPr>
          <w:p>
            <w:pPr>
              <w:pStyle w:val="Compact"/>
              <w:spacing w:after="40"/>
              <w:jc w:val="left"/>
            </w:pPr>
            <w:r>
              <w:rPr>
                <w:sz w:val="18"/>
              </w:rPr>
              <w:t xml:space="preserve">[●]</w:t>
            </w:r>
          </w:p>
        </w:tc>
      </w:tr>
    </w:tbl>
    <w:p>
      <w:pPr>
        <w:pStyle w:val="BodyText"/>
      </w:pPr>
      <w:r>
        <w:t xml:space="preserve">The independent CERT-In-empanelled VA/PT firm [●] is engaged in its audit role and is not a service provider (OUT para 58(3)(vi)), but is bound by confidentiality and access controls.</w:t>
      </w:r>
    </w:p>
    <w:bookmarkEnd w:id="136"/>
    <w:bookmarkStart w:id="137" w:name="X7334a5e906719fb87266f02e9a572374c7b9901"/>
    <w:p>
      <w:pPr>
        <w:pStyle w:val="Heading2"/>
      </w:pPr>
      <w:r>
        <w:t xml:space="preserve">Part B — Company Third-Party Providers (not Sub-contractors)</w:t>
      </w:r>
    </w:p>
    <w:p>
      <w:pPr>
        <w:pStyle w:val="FirstParagraph"/>
      </w:pPr>
      <w:r>
        <w:t xml:space="preserve">Credit information companies (all four: CIR para 6); CERSAI (CKYCR and security interest registry); Account Aggregator and its technology service provider (Company as FIU); eSign service provider and e-stamp vendor; sponsor bank, payment gateways and payout bank; SMS aggregator under the Company’s DLT registration; WhatsApp Business Solution Provider (opt-in servicing only); notice dispatch, court-data and e-auction vendors; Udofin, Equator Resolution and LawDocsComply (Clause 2.4). [List names and contract references: ●.]</w:t>
      </w:r>
    </w:p>
    <w:bookmarkEnd w:id="137"/>
    <w:bookmarkStart w:id="138" w:name="part-c-conditions"/>
    <w:p>
      <w:pPr>
        <w:pStyle w:val="Heading2"/>
      </w:pPr>
      <w:r>
        <w:t xml:space="preserve">Part C — Conditions</w:t>
      </w:r>
    </w:p>
    <w:p>
      <w:pPr>
        <w:numPr>
          <w:ilvl w:val="0"/>
          <w:numId w:val="1048"/>
        </w:numPr>
        <w:pStyle w:val="Compact"/>
      </w:pPr>
      <w:r>
        <w:t xml:space="preserve">Flow-down terms under Clause 13.3, including India-only storage and processing, confidentiality, audit and RBI inspection rights, incident notification enabling Schedule 7, compliance with RBI directions, BCP, exit co-operation and return and destruction of data.</w:t>
      </w:r>
    </w:p>
    <w:p>
      <w:pPr>
        <w:numPr>
          <w:ilvl w:val="0"/>
          <w:numId w:val="1048"/>
        </w:numPr>
        <w:pStyle w:val="Compact"/>
      </w:pPr>
      <w:r>
        <w:t xml:space="preserve">Assessment before engagement and at least annually (Clause 13.6; OUT para 97(x)(d)), shared with the Company on request.</w:t>
      </w:r>
    </w:p>
    <w:p>
      <w:pPr>
        <w:numPr>
          <w:ilvl w:val="0"/>
          <w:numId w:val="1048"/>
        </w:numPr>
        <w:pStyle w:val="Compact"/>
      </w:pPr>
      <w:r>
        <w:t xml:space="preserve">New or changed Sub-contractors: [60] days’ notice with the information in Part A and due diligence results; the Company may approve, approve with conditions or refuse, including on concentration grounds (OUT para 67); interim emergency replacement only with the Company’s email consent (Clause 13.2).</w:t>
      </w:r>
    </w:p>
    <w:p>
      <w:r>
        <w:pict>
          <v:rect style="width:0;height:1.5pt" o:hralign="center" o:hrstd="t" o:hr="t"/>
        </w:pict>
      </w:r>
    </w:p>
    <w:p>
      <w:r>
        <w:br w:type="page"/>
      </w:r>
    </w:p>
    <w:bookmarkEnd w:id="138"/>
    <w:bookmarkEnd w:id="139"/>
    <w:bookmarkStart w:id="143" w:name="schedule-11-change-control-procedure"/>
    <w:p>
      <w:pPr>
        <w:pStyle w:val="Heading1"/>
      </w:pPr>
      <w:r>
        <w:t xml:space="preserve">SCHEDULE 11 — Change Control Procedure</w:t>
      </w:r>
    </w:p>
    <w:p>
      <w:pPr>
        <w:pStyle w:val="FirstParagraph"/>
      </w:pPr>
      <w:r>
        <w:rPr>
          <w:iCs/>
          <w:i/>
        </w:rPr>
        <w:t xml:space="preserve">Drafting note: The procedure referred to in Clauses 1.1 (</w:t>
      </w:r>
      <w:r>
        <w:rPr>
          <w:iCs/>
          <w:i/>
        </w:rPr>
        <w:t xml:space="preserve">“</w:t>
      </w:r>
      <w:r>
        <w:rPr>
          <w:iCs/>
          <w:i/>
        </w:rPr>
        <w:t xml:space="preserve">Change</w:t>
      </w:r>
      <w:r>
        <w:rPr>
          <w:iCs/>
          <w:i/>
        </w:rPr>
        <w:t xml:space="preserve">”</w:t>
      </w:r>
      <w:r>
        <w:rPr>
          <w:iCs/>
          <w:i/>
        </w:rPr>
        <w:t xml:space="preserve">), 4.10 and 15.1, covering prioritisation, cost-benefit analysis, risk assessment and implementation, monitoring and reporting (CYB para 41) and change and patch management (CYB para 112).</w:t>
      </w:r>
    </w:p>
    <w:bookmarkStart w:id="140" w:name="part-a-categories"/>
    <w:p>
      <w:pPr>
        <w:pStyle w:val="Heading2"/>
      </w:pPr>
      <w:r>
        <w:t xml:space="preserve">Part A — Categories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62"/>
        <w:gridCol w:w="1689"/>
        <w:gridCol w:w="3262"/>
        <w:gridCol w:w="1925"/>
      </w:tblGrid>
      <w:tr>
        <w:trPr>
          <w:tblHeader w:val="true"/>
          <w:tblHeader w:val="true"/>
        </w:trPr>
        <w:tc>
          <w:tcPr>
            <w:tcW w:w="2762" w:type="dxa"/>
            <w:shd w:val="clear" w:color="auto" w:fill="1F3A5F"/>
          </w:tcPr>
          <w:p>
            <w:pPr>
              <w:pStyle w:val="Compact"/>
              <w:spacing w:after="40"/>
              <w:jc w:val="left"/>
            </w:pPr>
            <w:r>
              <w:rPr>
                <w:b/>
                <w:color w:val="FFFFFF"/>
                <w:sz w:val="18"/>
              </w:rPr>
              <w:t xml:space="preserve">Category</w:t>
            </w:r>
          </w:p>
        </w:tc>
        <w:tc>
          <w:tcPr>
            <w:tcW w:w="1689" w:type="dxa"/>
            <w:shd w:val="clear" w:color="auto" w:fill="1F3A5F"/>
          </w:tcPr>
          <w:p>
            <w:pPr>
              <w:pStyle w:val="Compact"/>
              <w:spacing w:after="40"/>
              <w:jc w:val="left"/>
            </w:pPr>
            <w:r>
              <w:rPr>
                <w:b/>
                <w:color w:val="FFFFFF"/>
                <w:sz w:val="18"/>
              </w:rPr>
              <w:t xml:space="preserve">Initiation</w:t>
            </w:r>
          </w:p>
        </w:tc>
        <w:tc>
          <w:tcPr>
            <w:tcW w:w="3262" w:type="dxa"/>
            <w:shd w:val="clear" w:color="auto" w:fill="1F3A5F"/>
          </w:tcPr>
          <w:p>
            <w:pPr>
              <w:pStyle w:val="Compact"/>
              <w:spacing w:after="40"/>
              <w:jc w:val="left"/>
            </w:pPr>
            <w:r>
              <w:rPr>
                <w:b/>
                <w:color w:val="FFFFFF"/>
                <w:sz w:val="18"/>
              </w:rPr>
              <w:t xml:space="preserve">Approval</w:t>
            </w:r>
          </w:p>
        </w:tc>
        <w:tc>
          <w:tcPr>
            <w:tcW w:w="1925" w:type="dxa"/>
            <w:shd w:val="clear" w:color="auto" w:fill="1F3A5F"/>
          </w:tcPr>
          <w:p>
            <w:pPr>
              <w:pStyle w:val="Compact"/>
              <w:spacing w:after="40"/>
              <w:jc w:val="left"/>
            </w:pPr>
            <w:r>
              <w:rPr>
                <w:b/>
                <w:color w:val="FFFFFF"/>
                <w:sz w:val="18"/>
              </w:rPr>
              <w:t xml:space="preserve">Cost</w:t>
            </w:r>
          </w:p>
        </w:tc>
      </w:tr>
      <w:tr>
        <w:tc>
          <w:tcPr>
            <w:tcW w:w="2762" w:type="dxa"/>
          </w:tcPr>
          <w:p>
            <w:pPr>
              <w:pStyle w:val="Compact"/>
              <w:spacing w:after="40"/>
              <w:jc w:val="left"/>
            </w:pPr>
            <w:r>
              <w:rPr>
                <w:sz w:val="18"/>
              </w:rPr>
              <w:t xml:space="preserve">Company configuration (products, charges, workflows, templates, roles)</w:t>
            </w:r>
          </w:p>
        </w:tc>
        <w:tc>
          <w:tcPr>
            <w:tcW w:w="1689" w:type="dxa"/>
          </w:tcPr>
          <w:p>
            <w:pPr>
              <w:pStyle w:val="Compact"/>
              <w:spacing w:after="40"/>
              <w:jc w:val="left"/>
            </w:pPr>
            <w:r>
              <w:rPr>
                <w:sz w:val="18"/>
              </w:rPr>
              <w:t xml:space="preserve">Company</w:t>
            </w:r>
          </w:p>
        </w:tc>
        <w:tc>
          <w:tcPr>
            <w:tcW w:w="3262" w:type="dxa"/>
          </w:tcPr>
          <w:p>
            <w:pPr>
              <w:pStyle w:val="Compact"/>
              <w:spacing w:after="40"/>
              <w:jc w:val="left"/>
            </w:pPr>
            <w:r>
              <w:rPr>
                <w:sz w:val="18"/>
              </w:rPr>
              <w:t xml:space="preserve">Company maker-checker; regulated configuration also by the Chief Compliance Officer; Platform guard-rails validate (Clauses 4.8, 4.9, 7.2)</w:t>
            </w:r>
          </w:p>
        </w:tc>
        <w:tc>
          <w:tcPr>
            <w:tcW w:w="1925" w:type="dxa"/>
          </w:tcPr>
          <w:p>
            <w:pPr>
              <w:pStyle w:val="Compact"/>
              <w:spacing w:after="40"/>
              <w:jc w:val="left"/>
            </w:pPr>
            <w:r>
              <w:rPr>
                <w:sz w:val="18"/>
              </w:rPr>
              <w:t xml:space="preserve">Nil</w:t>
            </w:r>
          </w:p>
        </w:tc>
      </w:tr>
      <w:tr>
        <w:tc>
          <w:tcPr>
            <w:tcW w:w="2762" w:type="dxa"/>
          </w:tcPr>
          <w:p>
            <w:pPr>
              <w:pStyle w:val="Compact"/>
              <w:spacing w:after="40"/>
              <w:jc w:val="left"/>
            </w:pPr>
            <w:r>
              <w:rPr>
                <w:sz w:val="18"/>
              </w:rPr>
              <w:t xml:space="preserve">Standard change (pre-approved catalogue)</w:t>
            </w:r>
          </w:p>
        </w:tc>
        <w:tc>
          <w:tcPr>
            <w:tcW w:w="1689" w:type="dxa"/>
          </w:tcPr>
          <w:p>
            <w:pPr>
              <w:pStyle w:val="Compact"/>
              <w:spacing w:after="40"/>
              <w:jc w:val="left"/>
            </w:pPr>
            <w:r>
              <w:rPr>
                <w:sz w:val="18"/>
              </w:rPr>
              <w:t xml:space="preserve">Either Party</w:t>
            </w:r>
          </w:p>
        </w:tc>
        <w:tc>
          <w:tcPr>
            <w:tcW w:w="3262" w:type="dxa"/>
          </w:tcPr>
          <w:p>
            <w:pPr>
              <w:pStyle w:val="Compact"/>
              <w:spacing w:after="40"/>
              <w:jc w:val="left"/>
            </w:pPr>
            <w:r>
              <w:rPr>
                <w:sz w:val="18"/>
              </w:rPr>
              <w:t xml:space="preserve">Catalogue</w:t>
            </w:r>
          </w:p>
        </w:tc>
        <w:tc>
          <w:tcPr>
            <w:tcW w:w="1925" w:type="dxa"/>
          </w:tcPr>
          <w:p>
            <w:pPr>
              <w:pStyle w:val="Compact"/>
              <w:spacing w:after="40"/>
              <w:jc w:val="left"/>
            </w:pPr>
            <w:r>
              <w:rPr>
                <w:sz w:val="18"/>
              </w:rPr>
              <w:t xml:space="preserve">Nil or catalogue price</w:t>
            </w:r>
          </w:p>
        </w:tc>
      </w:tr>
      <w:tr>
        <w:tc>
          <w:tcPr>
            <w:tcW w:w="2762" w:type="dxa"/>
          </w:tcPr>
          <w:p>
            <w:pPr>
              <w:pStyle w:val="Compact"/>
              <w:spacing w:after="40"/>
              <w:jc w:val="left"/>
            </w:pPr>
            <w:r>
              <w:rPr>
                <w:sz w:val="18"/>
              </w:rPr>
              <w:t xml:space="preserve">Normal Change (scope, Company-specific functionality, integrations, environments, commercial terms)</w:t>
            </w:r>
          </w:p>
        </w:tc>
        <w:tc>
          <w:tcPr>
            <w:tcW w:w="1689" w:type="dxa"/>
          </w:tcPr>
          <w:p>
            <w:pPr>
              <w:pStyle w:val="Compact"/>
              <w:spacing w:after="40"/>
              <w:jc w:val="left"/>
            </w:pPr>
            <w:r>
              <w:rPr>
                <w:sz w:val="18"/>
              </w:rPr>
              <w:t xml:space="preserve">Either Party by change request</w:t>
            </w:r>
          </w:p>
        </w:tc>
        <w:tc>
          <w:tcPr>
            <w:tcW w:w="3262" w:type="dxa"/>
          </w:tcPr>
          <w:p>
            <w:pPr>
              <w:pStyle w:val="Compact"/>
              <w:spacing w:after="40"/>
              <w:jc w:val="left"/>
            </w:pPr>
            <w:r>
              <w:rPr>
                <w:sz w:val="18"/>
              </w:rPr>
              <w:t xml:space="preserve">Change note signed by both Parties (Clause 15.1)</w:t>
            </w:r>
          </w:p>
        </w:tc>
        <w:tc>
          <w:tcPr>
            <w:tcW w:w="1925" w:type="dxa"/>
          </w:tcPr>
          <w:p>
            <w:pPr>
              <w:pStyle w:val="Compact"/>
              <w:spacing w:after="40"/>
              <w:jc w:val="left"/>
            </w:pPr>
            <w:r>
              <w:rPr>
                <w:sz w:val="18"/>
              </w:rPr>
              <w:t xml:space="preserve">Impact assessment at Order Form rates</w:t>
            </w:r>
          </w:p>
        </w:tc>
      </w:tr>
      <w:tr>
        <w:tc>
          <w:tcPr>
            <w:tcW w:w="2762" w:type="dxa"/>
          </w:tcPr>
          <w:p>
            <w:pPr>
              <w:pStyle w:val="Compact"/>
              <w:spacing w:after="40"/>
              <w:jc w:val="left"/>
            </w:pPr>
            <w:r>
              <w:rPr>
                <w:sz w:val="18"/>
              </w:rPr>
              <w:t xml:space="preserve">Emergency change (critical vulnerability or service restoration)</w:t>
            </w:r>
          </w:p>
        </w:tc>
        <w:tc>
          <w:tcPr>
            <w:tcW w:w="1689" w:type="dxa"/>
          </w:tcPr>
          <w:p>
            <w:pPr>
              <w:pStyle w:val="Compact"/>
              <w:spacing w:after="40"/>
              <w:jc w:val="left"/>
            </w:pPr>
            <w:r>
              <w:rPr>
                <w:sz w:val="18"/>
              </w:rPr>
              <w:t xml:space="preserve">Service Provider</w:t>
            </w:r>
          </w:p>
        </w:tc>
        <w:tc>
          <w:tcPr>
            <w:tcW w:w="3262" w:type="dxa"/>
          </w:tcPr>
          <w:p>
            <w:pPr>
              <w:pStyle w:val="Compact"/>
              <w:spacing w:after="40"/>
              <w:jc w:val="left"/>
            </w:pPr>
            <w:r>
              <w:rPr>
                <w:sz w:val="18"/>
              </w:rPr>
              <w:t xml:space="preserve">Notice within [2] hours; retrospective approval within [2] Business Days (Clause 15.5; CYB para 112(2) and (4))</w:t>
            </w:r>
          </w:p>
        </w:tc>
        <w:tc>
          <w:tcPr>
            <w:tcW w:w="1925" w:type="dxa"/>
          </w:tcPr>
          <w:p>
            <w:pPr>
              <w:pStyle w:val="Compact"/>
              <w:spacing w:after="40"/>
              <w:jc w:val="left"/>
            </w:pPr>
            <w:r>
              <w:rPr>
                <w:sz w:val="18"/>
              </w:rPr>
              <w:t xml:space="preserve">Nil</w:t>
            </w:r>
          </w:p>
        </w:tc>
      </w:tr>
      <w:tr>
        <w:tc>
          <w:tcPr>
            <w:tcW w:w="2762" w:type="dxa"/>
          </w:tcPr>
          <w:p>
            <w:pPr>
              <w:pStyle w:val="Compact"/>
              <w:spacing w:after="40"/>
              <w:jc w:val="left"/>
            </w:pPr>
            <w:r>
              <w:rPr>
                <w:sz w:val="18"/>
              </w:rPr>
              <w:t xml:space="preserve">Release (major, minor, patch)</w:t>
            </w:r>
          </w:p>
        </w:tc>
        <w:tc>
          <w:tcPr>
            <w:tcW w:w="1689" w:type="dxa"/>
          </w:tcPr>
          <w:p>
            <w:pPr>
              <w:pStyle w:val="Compact"/>
              <w:spacing w:after="40"/>
              <w:jc w:val="left"/>
            </w:pPr>
            <w:r>
              <w:rPr>
                <w:sz w:val="18"/>
              </w:rPr>
              <w:t xml:space="preserve">Service Provider</w:t>
            </w:r>
          </w:p>
        </w:tc>
        <w:tc>
          <w:tcPr>
            <w:tcW w:w="3262" w:type="dxa"/>
          </w:tcPr>
          <w:p>
            <w:pPr>
              <w:pStyle w:val="Compact"/>
              <w:spacing w:after="40"/>
              <w:jc w:val="left"/>
            </w:pPr>
            <w:r>
              <w:rPr>
                <w:sz w:val="18"/>
              </w:rPr>
              <w:t xml:space="preserve">Part C</w:t>
            </w:r>
          </w:p>
        </w:tc>
        <w:tc>
          <w:tcPr>
            <w:tcW w:w="1925" w:type="dxa"/>
          </w:tcPr>
          <w:p>
            <w:pPr>
              <w:pStyle w:val="Compact"/>
              <w:spacing w:after="40"/>
              <w:jc w:val="left"/>
            </w:pPr>
            <w:r>
              <w:rPr>
                <w:sz w:val="18"/>
              </w:rPr>
              <w:t xml:space="preserve">Included (Clause 4.10)</w:t>
            </w:r>
          </w:p>
        </w:tc>
      </w:tr>
      <w:tr>
        <w:tc>
          <w:tcPr>
            <w:tcW w:w="2762" w:type="dxa"/>
          </w:tcPr>
          <w:p>
            <w:pPr>
              <w:pStyle w:val="Compact"/>
              <w:spacing w:after="40"/>
              <w:jc w:val="left"/>
            </w:pPr>
            <w:r>
              <w:rPr>
                <w:sz w:val="18"/>
              </w:rPr>
              <w:t xml:space="preserve">Regulatory Update</w:t>
            </w:r>
          </w:p>
        </w:tc>
        <w:tc>
          <w:tcPr>
            <w:tcW w:w="1689" w:type="dxa"/>
          </w:tcPr>
          <w:p>
            <w:pPr>
              <w:pStyle w:val="Compact"/>
              <w:spacing w:after="40"/>
              <w:jc w:val="left"/>
            </w:pPr>
            <w:r>
              <w:rPr>
                <w:sz w:val="18"/>
              </w:rPr>
              <w:t xml:space="preserve">Service Provider (or Company request)</w:t>
            </w:r>
          </w:p>
        </w:tc>
        <w:tc>
          <w:tcPr>
            <w:tcW w:w="3262" w:type="dxa"/>
          </w:tcPr>
          <w:p>
            <w:pPr>
              <w:pStyle w:val="Compact"/>
              <w:spacing w:after="40"/>
              <w:jc w:val="left"/>
            </w:pPr>
            <w:r>
              <w:rPr>
                <w:sz w:val="18"/>
              </w:rPr>
              <w:t xml:space="preserve">Part B</w:t>
            </w:r>
          </w:p>
        </w:tc>
        <w:tc>
          <w:tcPr>
            <w:tcW w:w="1925" w:type="dxa"/>
          </w:tcPr>
          <w:p>
            <w:pPr>
              <w:pStyle w:val="Compact"/>
              <w:spacing w:after="40"/>
              <w:jc w:val="left"/>
            </w:pPr>
            <w:r>
              <w:rPr>
                <w:sz w:val="18"/>
              </w:rPr>
              <w:t xml:space="preserve">Included if of general application (Clause 15.2)</w:t>
            </w:r>
          </w:p>
        </w:tc>
      </w:tr>
    </w:tbl>
    <w:bookmarkEnd w:id="140"/>
    <w:bookmarkStart w:id="141" w:name="X5f8e16fe2881c63a58ae81fa335e3ad5ecae101"/>
    <w:p>
      <w:pPr>
        <w:pStyle w:val="Heading2"/>
      </w:pPr>
      <w:r>
        <w:t xml:space="preserve">Part B — Regulatory Updates and Regulatory Change</w:t>
      </w:r>
    </w:p>
    <w:p>
      <w:pPr>
        <w:numPr>
          <w:ilvl w:val="0"/>
          <w:numId w:val="1049"/>
        </w:numPr>
        <w:pStyle w:val="Compact"/>
      </w:pPr>
      <w:r>
        <w:t xml:space="preserve">The Service Provider maintains a register of changes in the RBI Directions and other Applicable Law relevant to the Platform, shared monthly, flagging impacts within [10] Business Days of publication.</w:t>
      </w:r>
    </w:p>
    <w:p>
      <w:pPr>
        <w:numPr>
          <w:ilvl w:val="0"/>
          <w:numId w:val="1049"/>
        </w:numPr>
        <w:pStyle w:val="Compact"/>
      </w:pPr>
      <w:r>
        <w:t xml:space="preserve">Regulatory Updates are available for the Company’s testing at least [30] days before the change takes effect or, where it takes effect within [60] days of publication, as soon as reasonably practicable and before it takes effect, with an interim workaround (Clause 15.2).</w:t>
      </w:r>
    </w:p>
    <w:p>
      <w:pPr>
        <w:numPr>
          <w:ilvl w:val="0"/>
          <w:numId w:val="1049"/>
        </w:numPr>
        <w:pStyle w:val="Compact"/>
      </w:pPr>
      <w:r>
        <w:t xml:space="preserve">Regulatory Updates of general application are within the subscription Fees; Company-specific changes are charged at Order Form rates (Clause 15.2). Changes to the Agreement required by a Regulator follow Clause 15.3 and are not delayed by any cost discussion [Mandatory — RBI].</w:t>
      </w:r>
    </w:p>
    <w:p>
      <w:pPr>
        <w:numPr>
          <w:ilvl w:val="0"/>
          <w:numId w:val="1049"/>
        </w:numPr>
        <w:pStyle w:val="Compact"/>
      </w:pPr>
      <w:r>
        <w:t xml:space="preserve">No Release may remove or weaken a guard-rail or materially reduce regulatory capability except to implement a change in Applicable Law (Clauses 4.8, 4.10).</w:t>
      </w:r>
    </w:p>
    <w:bookmarkEnd w:id="141"/>
    <w:bookmarkStart w:id="142" w:name="X13f219b843329d469c21c991a4449d0f584adeb"/>
    <w:p>
      <w:pPr>
        <w:pStyle w:val="Heading2"/>
      </w:pPr>
      <w:r>
        <w:t xml:space="preserve">Part C — Normal Change and Release Procedure</w:t>
      </w:r>
    </w:p>
    <w:p>
      <w:pPr>
        <w:numPr>
          <w:ilvl w:val="0"/>
          <w:numId w:val="1050"/>
        </w:numPr>
        <w:pStyle w:val="Compact"/>
      </w:pPr>
      <w:r>
        <w:t xml:space="preserve">Change request: description, reason, priority, required date, affected Modules and data.</w:t>
      </w:r>
    </w:p>
    <w:p>
      <w:pPr>
        <w:numPr>
          <w:ilvl w:val="0"/>
          <w:numId w:val="1050"/>
        </w:numPr>
        <w:pStyle w:val="Compact"/>
      </w:pPr>
      <w:r>
        <w:t xml:space="preserve">Impact assessment within [10] Business Days ([3] for priority changes): solution, effort, cost and benefit, timeline, service-level impact, security (including whether it is a material change under Clause 8.7), data protection, Sub-contractors, regulatory compliance and exit.</w:t>
      </w:r>
    </w:p>
    <w:p>
      <w:pPr>
        <w:numPr>
          <w:ilvl w:val="0"/>
          <w:numId w:val="1050"/>
        </w:numPr>
        <w:pStyle w:val="Compact"/>
      </w:pPr>
      <w:r>
        <w:t xml:space="preserve">Company decision within [10] Business Days; no work before a signed change note except emergency changes.</w:t>
      </w:r>
    </w:p>
    <w:p>
      <w:pPr>
        <w:numPr>
          <w:ilvl w:val="0"/>
          <w:numId w:val="1050"/>
        </w:numPr>
        <w:pStyle w:val="Compact"/>
      </w:pPr>
      <w:r>
        <w:t xml:space="preserve">Releases: calendar shared quarterly; notice [30] days (major), [10] Business Days (minor), [2] Business Days (patch); available in the Company’s sandbox at least [10] Business Days before production with release notes, known issues and configuration impact; the Company may defer non-security Releases for up to [30] days (Clause 4.10); new behaviour affecting regulated outcomes behind feature flags off by default.</w:t>
      </w:r>
    </w:p>
    <w:p>
      <w:pPr>
        <w:numPr>
          <w:ilvl w:val="0"/>
          <w:numId w:val="1050"/>
        </w:numPr>
        <w:pStyle w:val="Compact"/>
      </w:pPr>
      <w:r>
        <w:t xml:space="preserve">Pre-release regression including financial calculation tests, tenant-isolation tests and regulatory output tests; documented and tested rollback (CYB para 112(4)).</w:t>
      </w:r>
    </w:p>
    <w:p>
      <w:pPr>
        <w:numPr>
          <w:ilvl w:val="0"/>
          <w:numId w:val="1050"/>
        </w:numPr>
        <w:pStyle w:val="Compact"/>
      </w:pPr>
      <w:r>
        <w:t xml:space="preserve">Each material change is accompanied by release notes, a regulatory impact assessment, updated documentation, the Form 15F certificate (Clauses 8.7, 15.4; CYB para 106), post-change VA/PT (CYB para 121) and an escrow deposit (Clause 26.3).</w:t>
      </w:r>
    </w:p>
    <w:p>
      <w:pPr>
        <w:numPr>
          <w:ilvl w:val="0"/>
          <w:numId w:val="1050"/>
        </w:numPr>
        <w:pStyle w:val="Compact"/>
      </w:pPr>
      <w:r>
        <w:t xml:space="preserve">All changes are recorded with requester, approver, risk assessment, test evidence, implementation time and outcome, available to the Company and its auditors (CYB para 112(3); OUT para 97(ix)).</w:t>
      </w:r>
    </w:p>
    <w:p>
      <w:r>
        <w:pict>
          <v:rect style="width:0;height:1.5pt" o:hralign="center" o:hrstd="t" o:hr="t"/>
        </w:pict>
      </w:r>
    </w:p>
    <w:p>
      <w:r>
        <w:br w:type="page"/>
      </w:r>
    </w:p>
    <w:bookmarkEnd w:id="142"/>
    <w:bookmarkEnd w:id="143"/>
    <w:bookmarkStart w:id="150" w:name="X341939eb7eb5171c91fc919a76d749a2de60e7a"/>
    <w:p>
      <w:pPr>
        <w:pStyle w:val="Heading1"/>
      </w:pPr>
      <w:r>
        <w:t xml:space="preserve">SCHEDULE 12 — Governance Framework and Reporting</w:t>
      </w:r>
    </w:p>
    <w:p>
      <w:pPr>
        <w:pStyle w:val="FirstParagraph"/>
      </w:pPr>
      <w:r>
        <w:rPr>
          <w:iCs/>
          <w:i/>
        </w:rPr>
        <w:t xml:space="preserve">Drafting note: The governance structure, reports, key personnel, essential personnel, key risk indicators and complaint channel referred to in Clauses 6.2, 8.9, 19.3, 27.1 to 27.4, 28.2 and 32.3 (OUT paras 35, 64(4), 75, 78; CYB paras 40, 75).</w:t>
      </w:r>
    </w:p>
    <w:bookmarkStart w:id="144" w:name="part-a-governance-bodies-clause-27.1"/>
    <w:p>
      <w:pPr>
        <w:pStyle w:val="Heading2"/>
      </w:pPr>
      <w:r>
        <w:t xml:space="preserve">Part A — Governance Bodies (Clause 27.1)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27"/>
        <w:gridCol w:w="3090"/>
        <w:gridCol w:w="2085"/>
        <w:gridCol w:w="2836"/>
      </w:tblGrid>
      <w:tr>
        <w:trPr>
          <w:tblHeader w:val="true"/>
          <w:tblHeader w:val="true"/>
        </w:trPr>
        <w:tc>
          <w:tcPr>
            <w:tcW w:w="1627" w:type="dxa"/>
            <w:shd w:val="clear" w:color="auto" w:fill="1F3A5F"/>
          </w:tcPr>
          <w:p>
            <w:pPr>
              <w:pStyle w:val="Compact"/>
              <w:spacing w:after="40"/>
              <w:jc w:val="left"/>
            </w:pPr>
            <w:r>
              <w:rPr>
                <w:b/>
                <w:color w:val="FFFFFF"/>
                <w:sz w:val="18"/>
              </w:rPr>
              <w:t xml:space="preserve">Forum</w:t>
            </w:r>
          </w:p>
        </w:tc>
        <w:tc>
          <w:tcPr>
            <w:tcW w:w="3090" w:type="dxa"/>
            <w:shd w:val="clear" w:color="auto" w:fill="1F3A5F"/>
          </w:tcPr>
          <w:p>
            <w:pPr>
              <w:pStyle w:val="Compact"/>
              <w:spacing w:after="40"/>
              <w:jc w:val="left"/>
            </w:pPr>
            <w:r>
              <w:rPr>
                <w:b/>
                <w:color w:val="FFFFFF"/>
                <w:sz w:val="18"/>
              </w:rPr>
              <w:t xml:space="preserve">Members</w:t>
            </w:r>
          </w:p>
        </w:tc>
        <w:tc>
          <w:tcPr>
            <w:tcW w:w="2085" w:type="dxa"/>
            <w:shd w:val="clear" w:color="auto" w:fill="1F3A5F"/>
          </w:tcPr>
          <w:p>
            <w:pPr>
              <w:pStyle w:val="Compact"/>
              <w:spacing w:after="40"/>
              <w:jc w:val="left"/>
            </w:pPr>
            <w:r>
              <w:rPr>
                <w:b/>
                <w:color w:val="FFFFFF"/>
                <w:sz w:val="18"/>
              </w:rPr>
              <w:t xml:space="preserve">Frequency</w:t>
            </w:r>
          </w:p>
        </w:tc>
        <w:tc>
          <w:tcPr>
            <w:tcW w:w="2836" w:type="dxa"/>
            <w:shd w:val="clear" w:color="auto" w:fill="1F3A5F"/>
          </w:tcPr>
          <w:p>
            <w:pPr>
              <w:pStyle w:val="Compact"/>
              <w:spacing w:after="40"/>
              <w:jc w:val="left"/>
            </w:pPr>
            <w:r>
              <w:rPr>
                <w:b/>
                <w:color w:val="FFFFFF"/>
                <w:sz w:val="18"/>
              </w:rPr>
              <w:t xml:space="preserve">Remit</w:t>
            </w:r>
          </w:p>
        </w:tc>
      </w:tr>
      <w:tr>
        <w:tc>
          <w:tcPr>
            <w:tcW w:w="1627" w:type="dxa"/>
          </w:tcPr>
          <w:p>
            <w:pPr>
              <w:pStyle w:val="Compact"/>
              <w:spacing w:after="40"/>
              <w:jc w:val="left"/>
            </w:pPr>
            <w:r>
              <w:rPr>
                <w:sz w:val="18"/>
              </w:rPr>
              <w:t xml:space="preserve">Relationship managers</w:t>
            </w:r>
          </w:p>
        </w:tc>
        <w:tc>
          <w:tcPr>
            <w:tcW w:w="3090" w:type="dxa"/>
          </w:tcPr>
          <w:p>
            <w:pPr>
              <w:pStyle w:val="Compact"/>
              <w:spacing w:after="40"/>
              <w:jc w:val="left"/>
            </w:pPr>
            <w:r>
              <w:rPr>
                <w:sz w:val="18"/>
              </w:rPr>
              <w:t xml:space="preserve">One per Party</w:t>
            </w:r>
          </w:p>
        </w:tc>
        <w:tc>
          <w:tcPr>
            <w:tcW w:w="2085" w:type="dxa"/>
          </w:tcPr>
          <w:p>
            <w:pPr>
              <w:pStyle w:val="Compact"/>
              <w:spacing w:after="40"/>
              <w:jc w:val="left"/>
            </w:pPr>
            <w:r>
              <w:rPr>
                <w:sz w:val="18"/>
              </w:rPr>
              <w:t xml:space="preserve">Ongoing</w:t>
            </w:r>
          </w:p>
        </w:tc>
        <w:tc>
          <w:tcPr>
            <w:tcW w:w="2836" w:type="dxa"/>
          </w:tcPr>
          <w:p>
            <w:pPr>
              <w:pStyle w:val="Compact"/>
              <w:spacing w:after="40"/>
              <w:jc w:val="left"/>
            </w:pPr>
            <w:r>
              <w:rPr>
                <w:sz w:val="18"/>
              </w:rPr>
              <w:t xml:space="preserve">Day-to-day management; first escalation</w:t>
            </w:r>
          </w:p>
        </w:tc>
      </w:tr>
      <w:tr>
        <w:tc>
          <w:tcPr>
            <w:tcW w:w="1627" w:type="dxa"/>
          </w:tcPr>
          <w:p>
            <w:pPr>
              <w:pStyle w:val="Compact"/>
              <w:spacing w:after="40"/>
              <w:jc w:val="left"/>
            </w:pPr>
            <w:r>
              <w:rPr>
                <w:sz w:val="18"/>
              </w:rPr>
              <w:t xml:space="preserve">Operational review committee</w:t>
            </w:r>
          </w:p>
        </w:tc>
        <w:tc>
          <w:tcPr>
            <w:tcW w:w="3090" w:type="dxa"/>
          </w:tcPr>
          <w:p>
            <w:pPr>
              <w:pStyle w:val="Compact"/>
              <w:spacing w:after="40"/>
              <w:jc w:val="left"/>
            </w:pPr>
            <w:r>
              <w:rPr>
                <w:sz w:val="18"/>
              </w:rPr>
              <w:t xml:space="preserve">Company IT owner, vendor manager, operations head; Service Provider delivery lead and service manager</w:t>
            </w:r>
          </w:p>
        </w:tc>
        <w:tc>
          <w:tcPr>
            <w:tcW w:w="2085" w:type="dxa"/>
          </w:tcPr>
          <w:p>
            <w:pPr>
              <w:pStyle w:val="Compact"/>
              <w:spacing w:after="40"/>
              <w:jc w:val="left"/>
            </w:pPr>
            <w:r>
              <w:rPr>
                <w:sz w:val="18"/>
              </w:rPr>
              <w:t xml:space="preserve">Monthly</w:t>
            </w:r>
          </w:p>
        </w:tc>
        <w:tc>
          <w:tcPr>
            <w:tcW w:w="2836" w:type="dxa"/>
          </w:tcPr>
          <w:p>
            <w:pPr>
              <w:pStyle w:val="Compact"/>
              <w:spacing w:after="40"/>
              <w:jc w:val="left"/>
            </w:pPr>
            <w:r>
              <w:rPr>
                <w:sz w:val="18"/>
              </w:rPr>
              <w:t xml:space="preserve">Service levels, Incidents, problems, Changes, capacity, remediation</w:t>
            </w:r>
          </w:p>
        </w:tc>
      </w:tr>
      <w:tr>
        <w:tc>
          <w:tcPr>
            <w:tcW w:w="1627" w:type="dxa"/>
          </w:tcPr>
          <w:p>
            <w:pPr>
              <w:pStyle w:val="Compact"/>
              <w:spacing w:after="40"/>
              <w:jc w:val="left"/>
            </w:pPr>
            <w:r>
              <w:rPr>
                <w:sz w:val="18"/>
              </w:rPr>
              <w:t xml:space="preserve">Steering committee</w:t>
            </w:r>
          </w:p>
        </w:tc>
        <w:tc>
          <w:tcPr>
            <w:tcW w:w="3090" w:type="dxa"/>
          </w:tcPr>
          <w:p>
            <w:pPr>
              <w:pStyle w:val="Compact"/>
              <w:spacing w:after="40"/>
              <w:jc w:val="left"/>
            </w:pPr>
            <w:r>
              <w:rPr>
                <w:sz w:val="18"/>
              </w:rPr>
              <w:t xml:space="preserve">Company CIO or CTO, CISO, CCO (or nominees); Service Provider senior management</w:t>
            </w:r>
          </w:p>
        </w:tc>
        <w:tc>
          <w:tcPr>
            <w:tcW w:w="2085" w:type="dxa"/>
          </w:tcPr>
          <w:p>
            <w:pPr>
              <w:pStyle w:val="Compact"/>
              <w:spacing w:after="40"/>
              <w:jc w:val="left"/>
            </w:pPr>
            <w:r>
              <w:rPr>
                <w:sz w:val="18"/>
              </w:rPr>
              <w:t xml:space="preserve">Quarterly</w:t>
            </w:r>
          </w:p>
        </w:tc>
        <w:tc>
          <w:tcPr>
            <w:tcW w:w="2836" w:type="dxa"/>
          </w:tcPr>
          <w:p>
            <w:pPr>
              <w:pStyle w:val="Compact"/>
              <w:spacing w:after="40"/>
              <w:jc w:val="left"/>
            </w:pPr>
            <w:r>
              <w:rPr>
                <w:sz w:val="18"/>
              </w:rPr>
              <w:t xml:space="preserve">Performance, risk, compliance, audit findings, roadmap, Regulatory Updates, Exit Plan</w:t>
            </w:r>
          </w:p>
        </w:tc>
      </w:tr>
      <w:tr>
        <w:tc>
          <w:tcPr>
            <w:tcW w:w="1627" w:type="dxa"/>
          </w:tcPr>
          <w:p>
            <w:pPr>
              <w:pStyle w:val="Compact"/>
              <w:spacing w:after="40"/>
              <w:jc w:val="left"/>
            </w:pPr>
            <w:r>
              <w:rPr>
                <w:sz w:val="18"/>
              </w:rPr>
              <w:t xml:space="preserve">Project board</w:t>
            </w:r>
          </w:p>
        </w:tc>
        <w:tc>
          <w:tcPr>
            <w:tcW w:w="3090" w:type="dxa"/>
          </w:tcPr>
          <w:p>
            <w:pPr>
              <w:pStyle w:val="Compact"/>
              <w:spacing w:after="40"/>
              <w:jc w:val="left"/>
            </w:pPr>
            <w:r>
              <w:rPr>
                <w:sz w:val="18"/>
              </w:rPr>
              <w:t xml:space="preserve">Project sponsors and managers</w:t>
            </w:r>
          </w:p>
        </w:tc>
        <w:tc>
          <w:tcPr>
            <w:tcW w:w="2085" w:type="dxa"/>
          </w:tcPr>
          <w:p>
            <w:pPr>
              <w:pStyle w:val="Compact"/>
              <w:spacing w:after="40"/>
              <w:jc w:val="left"/>
            </w:pPr>
            <w:r>
              <w:rPr>
                <w:sz w:val="18"/>
              </w:rPr>
              <w:t xml:space="preserve">Weekly to go-live; daily in [30]-day hypercare</w:t>
            </w:r>
          </w:p>
        </w:tc>
        <w:tc>
          <w:tcPr>
            <w:tcW w:w="2836" w:type="dxa"/>
          </w:tcPr>
          <w:p>
            <w:pPr>
              <w:pStyle w:val="Compact"/>
              <w:spacing w:after="40"/>
              <w:jc w:val="left"/>
            </w:pPr>
            <w:r>
              <w:rPr>
                <w:sz w:val="18"/>
              </w:rPr>
              <w:t xml:space="preserve">Implementation (Clause 5.1; CYB para 40)</w:t>
            </w:r>
          </w:p>
        </w:tc>
      </w:tr>
    </w:tbl>
    <w:p>
      <w:pPr>
        <w:pStyle w:val="BodyText"/>
      </w:pPr>
      <w:r>
        <w:t xml:space="preserve">Minutes within [5] Business Days. Escalation: matters unresolved at the operational review committee within [10] Business Days go to the steering committee and then to Clause 30.1 (Clause 27.4); escalation never delays an obligation under Articles 9, 10 or 12.</w:t>
      </w:r>
    </w:p>
    <w:bookmarkEnd w:id="144"/>
    <w:bookmarkStart w:id="145" w:name="X2ecae6d87d9220c3514858a17abc23edc43f00a"/>
    <w:p>
      <w:pPr>
        <w:pStyle w:val="Heading2"/>
      </w:pPr>
      <w:r>
        <w:t xml:space="preserve">Part B — Key Personnel and Essential Personnel (Clauses 8.9, 19.3)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10"/>
        <w:gridCol w:w="1439"/>
        <w:gridCol w:w="1439"/>
        <w:gridCol w:w="2030"/>
        <w:gridCol w:w="2120"/>
      </w:tblGrid>
      <w:tr>
        <w:trPr>
          <w:tblHeader w:val="true"/>
          <w:tblHeader w:val="true"/>
        </w:trPr>
        <w:tc>
          <w:tcPr>
            <w:tcW w:w="2610" w:type="dxa"/>
            <w:shd w:val="clear" w:color="auto" w:fill="1F3A5F"/>
          </w:tcPr>
          <w:p>
            <w:pPr>
              <w:pStyle w:val="Compact"/>
              <w:spacing w:after="40"/>
              <w:jc w:val="left"/>
            </w:pPr>
            <w:r>
              <w:rPr>
                <w:b/>
                <w:color w:val="FFFFFF"/>
                <w:sz w:val="18"/>
              </w:rPr>
              <w:t xml:space="preserve">Role</w:t>
            </w:r>
          </w:p>
        </w:tc>
        <w:tc>
          <w:tcPr>
            <w:tcW w:w="1439" w:type="dxa"/>
            <w:shd w:val="clear" w:color="auto" w:fill="1F3A5F"/>
          </w:tcPr>
          <w:p>
            <w:pPr>
              <w:pStyle w:val="Compact"/>
              <w:spacing w:after="40"/>
              <w:jc w:val="left"/>
            </w:pPr>
            <w:r>
              <w:rPr>
                <w:b/>
                <w:color w:val="FFFFFF"/>
                <w:sz w:val="18"/>
              </w:rPr>
              <w:t xml:space="preserve">Name</w:t>
            </w:r>
          </w:p>
        </w:tc>
        <w:tc>
          <w:tcPr>
            <w:tcW w:w="1439" w:type="dxa"/>
            <w:shd w:val="clear" w:color="auto" w:fill="1F3A5F"/>
          </w:tcPr>
          <w:p>
            <w:pPr>
              <w:pStyle w:val="Compact"/>
              <w:spacing w:after="40"/>
              <w:jc w:val="left"/>
            </w:pPr>
            <w:r>
              <w:rPr>
                <w:b/>
                <w:color w:val="FFFFFF"/>
                <w:sz w:val="18"/>
              </w:rPr>
              <w:t xml:space="preserve">Back-up</w:t>
            </w:r>
          </w:p>
        </w:tc>
        <w:tc>
          <w:tcPr>
            <w:tcW w:w="2030" w:type="dxa"/>
            <w:shd w:val="clear" w:color="auto" w:fill="1F3A5F"/>
          </w:tcPr>
          <w:p>
            <w:pPr>
              <w:pStyle w:val="Compact"/>
              <w:spacing w:after="40"/>
              <w:jc w:val="left"/>
            </w:pPr>
            <w:r>
              <w:rPr>
                <w:b/>
                <w:color w:val="FFFFFF"/>
                <w:sz w:val="18"/>
              </w:rPr>
              <w:t xml:space="preserve">Key (K) / Essential (E)</w:t>
            </w:r>
          </w:p>
        </w:tc>
        <w:tc>
          <w:tcPr>
            <w:tcW w:w="2120" w:type="dxa"/>
            <w:shd w:val="clear" w:color="auto" w:fill="1F3A5F"/>
          </w:tcPr>
          <w:p>
            <w:pPr>
              <w:pStyle w:val="Compact"/>
              <w:spacing w:after="40"/>
              <w:jc w:val="left"/>
            </w:pPr>
            <w:r>
              <w:rPr>
                <w:b/>
                <w:color w:val="FFFFFF"/>
                <w:sz w:val="18"/>
              </w:rPr>
              <w:t xml:space="preserve">On-site location in India</w:t>
            </w:r>
          </w:p>
        </w:tc>
      </w:tr>
      <w:tr>
        <w:tc>
          <w:tcPr>
            <w:tcW w:w="2610" w:type="dxa"/>
          </w:tcPr>
          <w:p>
            <w:pPr>
              <w:pStyle w:val="Compact"/>
              <w:spacing w:after="40"/>
              <w:jc w:val="left"/>
            </w:pPr>
            <w:r>
              <w:rPr>
                <w:sz w:val="18"/>
              </w:rPr>
              <w:t xml:space="preserve">Relationship manager</w:t>
            </w:r>
          </w:p>
        </w:tc>
        <w:tc>
          <w:tcPr>
            <w:tcW w:w="1439" w:type="dxa"/>
          </w:tcPr>
          <w:p>
            <w:pPr>
              <w:pStyle w:val="Compact"/>
              <w:spacing w:after="40"/>
              <w:jc w:val="left"/>
            </w:pPr>
            <w:r>
              <w:rPr>
                <w:sz w:val="18"/>
              </w:rPr>
              <w:t xml:space="preserve">[●]</w:t>
            </w:r>
          </w:p>
        </w:tc>
        <w:tc>
          <w:tcPr>
            <w:tcW w:w="1439" w:type="dxa"/>
          </w:tcPr>
          <w:p>
            <w:pPr>
              <w:pStyle w:val="Compact"/>
              <w:spacing w:after="40"/>
              <w:jc w:val="left"/>
            </w:pPr>
            <w:r>
              <w:rPr>
                <w:sz w:val="18"/>
              </w:rPr>
              <w:t xml:space="preserve">[●]</w:t>
            </w:r>
          </w:p>
        </w:tc>
        <w:tc>
          <w:tcPr>
            <w:tcW w:w="2030" w:type="dxa"/>
          </w:tcPr>
          <w:p>
            <w:pPr>
              <w:pStyle w:val="Compact"/>
              <w:spacing w:after="40"/>
              <w:jc w:val="left"/>
            </w:pPr>
            <w:r>
              <w:rPr>
                <w:sz w:val="18"/>
              </w:rPr>
              <w:t xml:space="preserve">K</w:t>
            </w:r>
          </w:p>
        </w:tc>
        <w:tc>
          <w:tcPr>
            <w:tcW w:w="2120" w:type="dxa"/>
          </w:tcPr>
          <w:p>
            <w:pPr>
              <w:pStyle w:val="Compact"/>
              <w:spacing w:after="40"/>
              <w:jc w:val="left"/>
            </w:pPr>
            <w:r>
              <w:rPr>
                <w:sz w:val="18"/>
              </w:rPr>
              <w:t xml:space="preserve">[●]</w:t>
            </w:r>
          </w:p>
        </w:tc>
      </w:tr>
      <w:tr>
        <w:tc>
          <w:tcPr>
            <w:tcW w:w="2610" w:type="dxa"/>
          </w:tcPr>
          <w:p>
            <w:pPr>
              <w:pStyle w:val="Compact"/>
              <w:spacing w:after="40"/>
              <w:jc w:val="left"/>
            </w:pPr>
            <w:r>
              <w:rPr>
                <w:sz w:val="18"/>
              </w:rPr>
              <w:t xml:space="preserve">Delivery lead</w:t>
            </w:r>
          </w:p>
        </w:tc>
        <w:tc>
          <w:tcPr>
            <w:tcW w:w="1439" w:type="dxa"/>
          </w:tcPr>
          <w:p>
            <w:pPr>
              <w:pStyle w:val="Compact"/>
              <w:spacing w:after="40"/>
              <w:jc w:val="left"/>
            </w:pPr>
            <w:r>
              <w:rPr>
                <w:sz w:val="18"/>
              </w:rPr>
              <w:t xml:space="preserve">[●]</w:t>
            </w:r>
          </w:p>
        </w:tc>
        <w:tc>
          <w:tcPr>
            <w:tcW w:w="1439" w:type="dxa"/>
          </w:tcPr>
          <w:p>
            <w:pPr>
              <w:pStyle w:val="Compact"/>
              <w:spacing w:after="40"/>
              <w:jc w:val="left"/>
            </w:pPr>
            <w:r>
              <w:rPr>
                <w:sz w:val="18"/>
              </w:rPr>
              <w:t xml:space="preserve">[●]</w:t>
            </w:r>
          </w:p>
        </w:tc>
        <w:tc>
          <w:tcPr>
            <w:tcW w:w="2030" w:type="dxa"/>
          </w:tcPr>
          <w:p>
            <w:pPr>
              <w:pStyle w:val="Compact"/>
              <w:spacing w:after="40"/>
              <w:jc w:val="left"/>
            </w:pPr>
            <w:r>
              <w:rPr>
                <w:sz w:val="18"/>
              </w:rPr>
              <w:t xml:space="preserve">K</w:t>
            </w:r>
          </w:p>
        </w:tc>
        <w:tc>
          <w:tcPr>
            <w:tcW w:w="2120" w:type="dxa"/>
          </w:tcPr>
          <w:p>
            <w:pPr>
              <w:pStyle w:val="Compact"/>
              <w:spacing w:after="40"/>
              <w:jc w:val="left"/>
            </w:pPr>
            <w:r>
              <w:rPr>
                <w:sz w:val="18"/>
              </w:rPr>
              <w:t xml:space="preserve">[●]</w:t>
            </w:r>
          </w:p>
        </w:tc>
      </w:tr>
      <w:tr>
        <w:tc>
          <w:tcPr>
            <w:tcW w:w="2610" w:type="dxa"/>
          </w:tcPr>
          <w:p>
            <w:pPr>
              <w:pStyle w:val="Compact"/>
              <w:spacing w:after="40"/>
              <w:jc w:val="left"/>
            </w:pPr>
            <w:r>
              <w:rPr>
                <w:sz w:val="18"/>
              </w:rPr>
              <w:t xml:space="preserve">Information security officer</w:t>
            </w:r>
          </w:p>
        </w:tc>
        <w:tc>
          <w:tcPr>
            <w:tcW w:w="1439" w:type="dxa"/>
          </w:tcPr>
          <w:p>
            <w:pPr>
              <w:pStyle w:val="Compact"/>
              <w:spacing w:after="40"/>
              <w:jc w:val="left"/>
            </w:pPr>
            <w:r>
              <w:rPr>
                <w:sz w:val="18"/>
              </w:rPr>
              <w:t xml:space="preserve">[●]</w:t>
            </w:r>
          </w:p>
        </w:tc>
        <w:tc>
          <w:tcPr>
            <w:tcW w:w="1439" w:type="dxa"/>
          </w:tcPr>
          <w:p>
            <w:pPr>
              <w:pStyle w:val="Compact"/>
              <w:spacing w:after="40"/>
              <w:jc w:val="left"/>
            </w:pPr>
            <w:r>
              <w:rPr>
                <w:sz w:val="18"/>
              </w:rPr>
              <w:t xml:space="preserve">[●]</w:t>
            </w:r>
          </w:p>
        </w:tc>
        <w:tc>
          <w:tcPr>
            <w:tcW w:w="2030" w:type="dxa"/>
          </w:tcPr>
          <w:p>
            <w:pPr>
              <w:pStyle w:val="Compact"/>
              <w:spacing w:after="40"/>
              <w:jc w:val="left"/>
            </w:pPr>
            <w:r>
              <w:rPr>
                <w:sz w:val="18"/>
              </w:rPr>
              <w:t xml:space="preserve">K, E</w:t>
            </w:r>
          </w:p>
        </w:tc>
        <w:tc>
          <w:tcPr>
            <w:tcW w:w="2120" w:type="dxa"/>
          </w:tcPr>
          <w:p>
            <w:pPr>
              <w:pStyle w:val="Compact"/>
              <w:spacing w:after="40"/>
              <w:jc w:val="left"/>
            </w:pPr>
            <w:r>
              <w:rPr>
                <w:sz w:val="18"/>
              </w:rPr>
              <w:t xml:space="preserve">[●]</w:t>
            </w:r>
          </w:p>
        </w:tc>
      </w:tr>
      <w:tr>
        <w:tc>
          <w:tcPr>
            <w:tcW w:w="2610" w:type="dxa"/>
          </w:tcPr>
          <w:p>
            <w:pPr>
              <w:pStyle w:val="Compact"/>
              <w:spacing w:after="40"/>
              <w:jc w:val="left"/>
            </w:pPr>
            <w:r>
              <w:rPr>
                <w:sz w:val="18"/>
              </w:rPr>
              <w:t xml:space="preserve">Business continuity lead</w:t>
            </w:r>
          </w:p>
        </w:tc>
        <w:tc>
          <w:tcPr>
            <w:tcW w:w="1439" w:type="dxa"/>
          </w:tcPr>
          <w:p>
            <w:pPr>
              <w:pStyle w:val="Compact"/>
              <w:spacing w:after="40"/>
              <w:jc w:val="left"/>
            </w:pPr>
            <w:r>
              <w:rPr>
                <w:sz w:val="18"/>
              </w:rPr>
              <w:t xml:space="preserve">[●]</w:t>
            </w:r>
          </w:p>
        </w:tc>
        <w:tc>
          <w:tcPr>
            <w:tcW w:w="1439" w:type="dxa"/>
          </w:tcPr>
          <w:p>
            <w:pPr>
              <w:pStyle w:val="Compact"/>
              <w:spacing w:after="40"/>
              <w:jc w:val="left"/>
            </w:pPr>
            <w:r>
              <w:rPr>
                <w:sz w:val="18"/>
              </w:rPr>
              <w:t xml:space="preserve">[●]</w:t>
            </w:r>
          </w:p>
        </w:tc>
        <w:tc>
          <w:tcPr>
            <w:tcW w:w="2030" w:type="dxa"/>
          </w:tcPr>
          <w:p>
            <w:pPr>
              <w:pStyle w:val="Compact"/>
              <w:spacing w:after="40"/>
              <w:jc w:val="left"/>
            </w:pPr>
            <w:r>
              <w:rPr>
                <w:sz w:val="18"/>
              </w:rPr>
              <w:t xml:space="preserve">K, E</w:t>
            </w:r>
          </w:p>
        </w:tc>
        <w:tc>
          <w:tcPr>
            <w:tcW w:w="2120" w:type="dxa"/>
          </w:tcPr>
          <w:p>
            <w:pPr>
              <w:pStyle w:val="Compact"/>
              <w:spacing w:after="40"/>
              <w:jc w:val="left"/>
            </w:pPr>
            <w:r>
              <w:rPr>
                <w:sz w:val="18"/>
              </w:rPr>
              <w:t xml:space="preserve">[●]</w:t>
            </w:r>
          </w:p>
        </w:tc>
      </w:tr>
      <w:tr>
        <w:tc>
          <w:tcPr>
            <w:tcW w:w="2610" w:type="dxa"/>
          </w:tcPr>
          <w:p>
            <w:pPr>
              <w:pStyle w:val="Compact"/>
              <w:spacing w:after="40"/>
              <w:jc w:val="left"/>
            </w:pPr>
            <w:r>
              <w:rPr>
                <w:sz w:val="18"/>
              </w:rPr>
              <w:t xml:space="preserve">Site reliability engineer (production)</w:t>
            </w:r>
          </w:p>
        </w:tc>
        <w:tc>
          <w:tcPr>
            <w:tcW w:w="1439" w:type="dxa"/>
          </w:tcPr>
          <w:p>
            <w:pPr>
              <w:pStyle w:val="Compact"/>
              <w:spacing w:after="40"/>
              <w:jc w:val="left"/>
            </w:pPr>
            <w:r>
              <w:rPr>
                <w:sz w:val="18"/>
              </w:rPr>
              <w:t xml:space="preserve">[●]</w:t>
            </w:r>
          </w:p>
        </w:tc>
        <w:tc>
          <w:tcPr>
            <w:tcW w:w="1439" w:type="dxa"/>
          </w:tcPr>
          <w:p>
            <w:pPr>
              <w:pStyle w:val="Compact"/>
              <w:spacing w:after="40"/>
              <w:jc w:val="left"/>
            </w:pPr>
            <w:r>
              <w:rPr>
                <w:sz w:val="18"/>
              </w:rPr>
              <w:t xml:space="preserve">[●]</w:t>
            </w:r>
          </w:p>
        </w:tc>
        <w:tc>
          <w:tcPr>
            <w:tcW w:w="2030" w:type="dxa"/>
          </w:tcPr>
          <w:p>
            <w:pPr>
              <w:pStyle w:val="Compact"/>
              <w:spacing w:after="40"/>
              <w:jc w:val="left"/>
            </w:pPr>
            <w:r>
              <w:rPr>
                <w:sz w:val="18"/>
              </w:rPr>
              <w:t xml:space="preserve">E</w:t>
            </w:r>
          </w:p>
        </w:tc>
        <w:tc>
          <w:tcPr>
            <w:tcW w:w="2120" w:type="dxa"/>
          </w:tcPr>
          <w:p>
            <w:pPr>
              <w:pStyle w:val="Compact"/>
              <w:spacing w:after="40"/>
              <w:jc w:val="left"/>
            </w:pPr>
            <w:r>
              <w:rPr>
                <w:sz w:val="18"/>
              </w:rPr>
              <w:t xml:space="preserve">[●]</w:t>
            </w:r>
          </w:p>
        </w:tc>
      </w:tr>
      <w:tr>
        <w:tc>
          <w:tcPr>
            <w:tcW w:w="2610" w:type="dxa"/>
          </w:tcPr>
          <w:p>
            <w:pPr>
              <w:pStyle w:val="Compact"/>
              <w:spacing w:after="40"/>
              <w:jc w:val="left"/>
            </w:pPr>
            <w:r>
              <w:rPr>
                <w:sz w:val="18"/>
              </w:rPr>
              <w:t xml:space="preserve">Database administrator</w:t>
            </w:r>
          </w:p>
        </w:tc>
        <w:tc>
          <w:tcPr>
            <w:tcW w:w="1439" w:type="dxa"/>
          </w:tcPr>
          <w:p>
            <w:pPr>
              <w:pStyle w:val="Compact"/>
              <w:spacing w:after="40"/>
              <w:jc w:val="left"/>
            </w:pPr>
            <w:r>
              <w:rPr>
                <w:sz w:val="18"/>
              </w:rPr>
              <w:t xml:space="preserve">[●]</w:t>
            </w:r>
          </w:p>
        </w:tc>
        <w:tc>
          <w:tcPr>
            <w:tcW w:w="1439" w:type="dxa"/>
          </w:tcPr>
          <w:p>
            <w:pPr>
              <w:pStyle w:val="Compact"/>
              <w:spacing w:after="40"/>
              <w:jc w:val="left"/>
            </w:pPr>
            <w:r>
              <w:rPr>
                <w:sz w:val="18"/>
              </w:rPr>
              <w:t xml:space="preserve">[●]</w:t>
            </w:r>
          </w:p>
        </w:tc>
        <w:tc>
          <w:tcPr>
            <w:tcW w:w="2030" w:type="dxa"/>
          </w:tcPr>
          <w:p>
            <w:pPr>
              <w:pStyle w:val="Compact"/>
              <w:spacing w:after="40"/>
              <w:jc w:val="left"/>
            </w:pPr>
            <w:r>
              <w:rPr>
                <w:sz w:val="18"/>
              </w:rPr>
              <w:t xml:space="preserve">E</w:t>
            </w:r>
          </w:p>
        </w:tc>
        <w:tc>
          <w:tcPr>
            <w:tcW w:w="2120" w:type="dxa"/>
          </w:tcPr>
          <w:p>
            <w:pPr>
              <w:pStyle w:val="Compact"/>
              <w:spacing w:after="40"/>
              <w:jc w:val="left"/>
            </w:pPr>
            <w:r>
              <w:rPr>
                <w:sz w:val="18"/>
              </w:rPr>
              <w:t xml:space="preserve">[●]</w:t>
            </w:r>
          </w:p>
        </w:tc>
      </w:tr>
      <w:tr>
        <w:tc>
          <w:tcPr>
            <w:tcW w:w="2610" w:type="dxa"/>
          </w:tcPr>
          <w:p>
            <w:pPr>
              <w:pStyle w:val="Compact"/>
              <w:spacing w:after="40"/>
              <w:jc w:val="left"/>
            </w:pPr>
            <w:r>
              <w:rPr>
                <w:sz w:val="18"/>
              </w:rPr>
              <w:t xml:space="preserve">Ledger and COB specialist</w:t>
            </w:r>
          </w:p>
        </w:tc>
        <w:tc>
          <w:tcPr>
            <w:tcW w:w="1439" w:type="dxa"/>
          </w:tcPr>
          <w:p>
            <w:pPr>
              <w:pStyle w:val="Compact"/>
              <w:spacing w:after="40"/>
              <w:jc w:val="left"/>
            </w:pPr>
            <w:r>
              <w:rPr>
                <w:sz w:val="18"/>
              </w:rPr>
              <w:t xml:space="preserve">[●]</w:t>
            </w:r>
          </w:p>
        </w:tc>
        <w:tc>
          <w:tcPr>
            <w:tcW w:w="1439" w:type="dxa"/>
          </w:tcPr>
          <w:p>
            <w:pPr>
              <w:pStyle w:val="Compact"/>
              <w:spacing w:after="40"/>
              <w:jc w:val="left"/>
            </w:pPr>
            <w:r>
              <w:rPr>
                <w:sz w:val="18"/>
              </w:rPr>
              <w:t xml:space="preserve">[●]</w:t>
            </w:r>
          </w:p>
        </w:tc>
        <w:tc>
          <w:tcPr>
            <w:tcW w:w="2030" w:type="dxa"/>
          </w:tcPr>
          <w:p>
            <w:pPr>
              <w:pStyle w:val="Compact"/>
              <w:spacing w:after="40"/>
              <w:jc w:val="left"/>
            </w:pPr>
            <w:r>
              <w:rPr>
                <w:sz w:val="18"/>
              </w:rPr>
              <w:t xml:space="preserve">E</w:t>
            </w:r>
          </w:p>
        </w:tc>
        <w:tc>
          <w:tcPr>
            <w:tcW w:w="2120" w:type="dxa"/>
          </w:tcPr>
          <w:p>
            <w:pPr>
              <w:pStyle w:val="Compact"/>
              <w:spacing w:after="40"/>
              <w:jc w:val="left"/>
            </w:pPr>
            <w:r>
              <w:rPr>
                <w:sz w:val="18"/>
              </w:rPr>
              <w:t xml:space="preserve">[●]</w:t>
            </w:r>
          </w:p>
        </w:tc>
      </w:tr>
    </w:tbl>
    <w:bookmarkEnd w:id="145"/>
    <w:bookmarkStart w:id="146" w:name="part-c-reports-clause-27.2"/>
    <w:p>
      <w:pPr>
        <w:pStyle w:val="Heading2"/>
      </w:pPr>
      <w:r>
        <w:t xml:space="preserve">Part C — Reports (Clause 27.2)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31"/>
        <w:gridCol w:w="2829"/>
        <w:gridCol w:w="4678"/>
      </w:tblGrid>
      <w:tr>
        <w:trPr>
          <w:tblHeader w:val="true"/>
          <w:tblHeader w:val="true"/>
        </w:trPr>
        <w:tc>
          <w:tcPr>
            <w:tcW w:w="2131" w:type="dxa"/>
            <w:shd w:val="clear" w:color="auto" w:fill="1F3A5F"/>
          </w:tcPr>
          <w:p>
            <w:pPr>
              <w:pStyle w:val="Compact"/>
              <w:spacing w:after="40"/>
              <w:jc w:val="left"/>
            </w:pPr>
            <w:r>
              <w:rPr>
                <w:b/>
                <w:color w:val="FFFFFF"/>
                <w:sz w:val="18"/>
              </w:rPr>
              <w:t xml:space="preserve">Report</w:t>
            </w:r>
          </w:p>
        </w:tc>
        <w:tc>
          <w:tcPr>
            <w:tcW w:w="2829" w:type="dxa"/>
            <w:shd w:val="clear" w:color="auto" w:fill="1F3A5F"/>
          </w:tcPr>
          <w:p>
            <w:pPr>
              <w:pStyle w:val="Compact"/>
              <w:spacing w:after="40"/>
              <w:jc w:val="left"/>
            </w:pPr>
            <w:r>
              <w:rPr>
                <w:b/>
                <w:color w:val="FFFFFF"/>
                <w:sz w:val="18"/>
              </w:rPr>
              <w:t xml:space="preserve">Frequency</w:t>
            </w:r>
          </w:p>
        </w:tc>
        <w:tc>
          <w:tcPr>
            <w:tcW w:w="4678" w:type="dxa"/>
            <w:shd w:val="clear" w:color="auto" w:fill="1F3A5F"/>
          </w:tcPr>
          <w:p>
            <w:pPr>
              <w:pStyle w:val="Compact"/>
              <w:spacing w:after="40"/>
              <w:jc w:val="left"/>
            </w:pPr>
            <w:r>
              <w:rPr>
                <w:b/>
                <w:color w:val="FFFFFF"/>
                <w:sz w:val="18"/>
              </w:rPr>
              <w:t xml:space="preserve">Content</w:t>
            </w:r>
          </w:p>
        </w:tc>
      </w:tr>
      <w:tr>
        <w:tc>
          <w:tcPr>
            <w:tcW w:w="2131" w:type="dxa"/>
          </w:tcPr>
          <w:p>
            <w:pPr>
              <w:pStyle w:val="Compact"/>
              <w:spacing w:after="40"/>
              <w:jc w:val="left"/>
            </w:pPr>
            <w:r>
              <w:rPr>
                <w:sz w:val="18"/>
              </w:rPr>
              <w:t xml:space="preserve">Service performance report</w:t>
            </w:r>
          </w:p>
        </w:tc>
        <w:tc>
          <w:tcPr>
            <w:tcW w:w="2829" w:type="dxa"/>
          </w:tcPr>
          <w:p>
            <w:pPr>
              <w:pStyle w:val="Compact"/>
              <w:spacing w:after="40"/>
              <w:jc w:val="left"/>
            </w:pPr>
            <w:r>
              <w:rPr>
                <w:sz w:val="18"/>
              </w:rPr>
              <w:t xml:space="preserve">Monthly</w:t>
            </w:r>
          </w:p>
        </w:tc>
        <w:tc>
          <w:tcPr>
            <w:tcW w:w="4678" w:type="dxa"/>
          </w:tcPr>
          <w:p>
            <w:pPr>
              <w:pStyle w:val="Compact"/>
              <w:spacing w:after="40"/>
              <w:jc w:val="left"/>
            </w:pPr>
            <w:r>
              <w:rPr>
                <w:sz w:val="18"/>
              </w:rPr>
              <w:t xml:space="preserve">Schedule 3, Part G</w:t>
            </w:r>
          </w:p>
        </w:tc>
      </w:tr>
      <w:tr>
        <w:tc>
          <w:tcPr>
            <w:tcW w:w="2131" w:type="dxa"/>
          </w:tcPr>
          <w:p>
            <w:pPr>
              <w:pStyle w:val="Compact"/>
              <w:spacing w:after="40"/>
              <w:jc w:val="left"/>
            </w:pPr>
            <w:r>
              <w:rPr>
                <w:sz w:val="18"/>
              </w:rPr>
              <w:t xml:space="preserve">Security and risk report</w:t>
            </w:r>
          </w:p>
        </w:tc>
        <w:tc>
          <w:tcPr>
            <w:tcW w:w="2829" w:type="dxa"/>
          </w:tcPr>
          <w:p>
            <w:pPr>
              <w:pStyle w:val="Compact"/>
              <w:spacing w:after="40"/>
              <w:jc w:val="left"/>
            </w:pPr>
            <w:r>
              <w:rPr>
                <w:sz w:val="18"/>
              </w:rPr>
              <w:t xml:space="preserve">Quarterly</w:t>
            </w:r>
          </w:p>
        </w:tc>
        <w:tc>
          <w:tcPr>
            <w:tcW w:w="4678" w:type="dxa"/>
          </w:tcPr>
          <w:p>
            <w:pPr>
              <w:pStyle w:val="Compact"/>
              <w:spacing w:after="40"/>
              <w:jc w:val="left"/>
            </w:pPr>
            <w:r>
              <w:rPr>
                <w:sz w:val="18"/>
              </w:rPr>
              <w:t xml:space="preserve">Schedule 5, Part D (Clause 11.14)</w:t>
            </w:r>
          </w:p>
        </w:tc>
      </w:tr>
      <w:tr>
        <w:tc>
          <w:tcPr>
            <w:tcW w:w="2131" w:type="dxa"/>
          </w:tcPr>
          <w:p>
            <w:pPr>
              <w:pStyle w:val="Compact"/>
              <w:spacing w:after="40"/>
              <w:jc w:val="left"/>
            </w:pPr>
            <w:r>
              <w:rPr>
                <w:sz w:val="18"/>
              </w:rPr>
              <w:t xml:space="preserve">Key risk indicators</w:t>
            </w:r>
          </w:p>
        </w:tc>
        <w:tc>
          <w:tcPr>
            <w:tcW w:w="2829" w:type="dxa"/>
          </w:tcPr>
          <w:p>
            <w:pPr>
              <w:pStyle w:val="Compact"/>
              <w:spacing w:after="40"/>
              <w:jc w:val="left"/>
            </w:pPr>
            <w:r>
              <w:rPr>
                <w:sz w:val="18"/>
              </w:rPr>
              <w:t xml:space="preserve">Monthly on the dashboard</w:t>
            </w:r>
          </w:p>
        </w:tc>
        <w:tc>
          <w:tcPr>
            <w:tcW w:w="4678" w:type="dxa"/>
          </w:tcPr>
          <w:p>
            <w:pPr>
              <w:pStyle w:val="Compact"/>
              <w:spacing w:after="40"/>
              <w:jc w:val="left"/>
            </w:pPr>
            <w:r>
              <w:rPr>
                <w:sz w:val="18"/>
              </w:rPr>
              <w:t xml:space="preserve">Part D</w:t>
            </w:r>
          </w:p>
        </w:tc>
      </w:tr>
      <w:tr>
        <w:tc>
          <w:tcPr>
            <w:tcW w:w="2131" w:type="dxa"/>
          </w:tcPr>
          <w:p>
            <w:pPr>
              <w:pStyle w:val="Compact"/>
              <w:spacing w:after="40"/>
              <w:jc w:val="left"/>
            </w:pPr>
            <w:r>
              <w:rPr>
                <w:sz w:val="18"/>
              </w:rPr>
              <w:t xml:space="preserve">Sub-contractor and supply-chain report</w:t>
            </w:r>
          </w:p>
        </w:tc>
        <w:tc>
          <w:tcPr>
            <w:tcW w:w="2829" w:type="dxa"/>
          </w:tcPr>
          <w:p>
            <w:pPr>
              <w:pStyle w:val="Compact"/>
              <w:spacing w:after="40"/>
              <w:jc w:val="left"/>
            </w:pPr>
            <w:r>
              <w:rPr>
                <w:sz w:val="18"/>
              </w:rPr>
              <w:t xml:space="preserve">Quarterly</w:t>
            </w:r>
          </w:p>
        </w:tc>
        <w:tc>
          <w:tcPr>
            <w:tcW w:w="4678" w:type="dxa"/>
          </w:tcPr>
          <w:p>
            <w:pPr>
              <w:pStyle w:val="Compact"/>
              <w:spacing w:after="40"/>
              <w:jc w:val="left"/>
            </w:pPr>
            <w:r>
              <w:rPr>
                <w:sz w:val="18"/>
              </w:rPr>
              <w:t xml:space="preserve">Changes, assessments, concentration, locations (Clauses 13.5, 13.6)</w:t>
            </w:r>
          </w:p>
        </w:tc>
      </w:tr>
      <w:tr>
        <w:tc>
          <w:tcPr>
            <w:tcW w:w="2131" w:type="dxa"/>
          </w:tcPr>
          <w:p>
            <w:pPr>
              <w:pStyle w:val="Compact"/>
              <w:spacing w:after="40"/>
              <w:jc w:val="left"/>
            </w:pPr>
            <w:r>
              <w:rPr>
                <w:sz w:val="18"/>
              </w:rPr>
              <w:t xml:space="preserve">BCP and DR report</w:t>
            </w:r>
          </w:p>
        </w:tc>
        <w:tc>
          <w:tcPr>
            <w:tcW w:w="2829" w:type="dxa"/>
          </w:tcPr>
          <w:p>
            <w:pPr>
              <w:pStyle w:val="Compact"/>
              <w:spacing w:after="40"/>
              <w:jc w:val="left"/>
            </w:pPr>
            <w:r>
              <w:rPr>
                <w:sz w:val="18"/>
              </w:rPr>
              <w:t xml:space="preserve">Half-yearly</w:t>
            </w:r>
          </w:p>
        </w:tc>
        <w:tc>
          <w:tcPr>
            <w:tcW w:w="4678" w:type="dxa"/>
          </w:tcPr>
          <w:p>
            <w:pPr>
              <w:pStyle w:val="Compact"/>
              <w:spacing w:after="40"/>
              <w:jc w:val="left"/>
            </w:pPr>
            <w:r>
              <w:rPr>
                <w:sz w:val="18"/>
              </w:rPr>
              <w:t xml:space="preserve">Schedule 8 test results and remediation</w:t>
            </w:r>
          </w:p>
        </w:tc>
      </w:tr>
      <w:tr>
        <w:tc>
          <w:tcPr>
            <w:tcW w:w="2131" w:type="dxa"/>
          </w:tcPr>
          <w:p>
            <w:pPr>
              <w:pStyle w:val="Compact"/>
              <w:spacing w:after="40"/>
              <w:jc w:val="left"/>
            </w:pPr>
            <w:r>
              <w:rPr>
                <w:sz w:val="18"/>
              </w:rPr>
              <w:t xml:space="preserve">Vendor assurance pack</w:t>
            </w:r>
          </w:p>
        </w:tc>
        <w:tc>
          <w:tcPr>
            <w:tcW w:w="2829" w:type="dxa"/>
          </w:tcPr>
          <w:p>
            <w:pPr>
              <w:pStyle w:val="Compact"/>
              <w:spacing w:after="40"/>
              <w:jc w:val="left"/>
            </w:pPr>
            <w:r>
              <w:rPr>
                <w:sz w:val="18"/>
              </w:rPr>
              <w:t xml:space="preserve">Annually within [30] days of each anniversary of the Effective Date</w:t>
            </w:r>
          </w:p>
        </w:tc>
        <w:tc>
          <w:tcPr>
            <w:tcW w:w="4678" w:type="dxa"/>
          </w:tcPr>
          <w:p>
            <w:pPr>
              <w:pStyle w:val="Compact"/>
              <w:spacing w:after="40"/>
              <w:jc w:val="left"/>
            </w:pPr>
            <w:r>
              <w:rPr>
                <w:sz w:val="18"/>
              </w:rPr>
              <w:t xml:space="preserve">Clause 8.5(a)–(l)</w:t>
            </w:r>
          </w:p>
        </w:tc>
      </w:tr>
      <w:tr>
        <w:tc>
          <w:tcPr>
            <w:tcW w:w="2131" w:type="dxa"/>
          </w:tcPr>
          <w:p>
            <w:pPr>
              <w:pStyle w:val="Compact"/>
              <w:spacing w:after="40"/>
              <w:jc w:val="left"/>
            </w:pPr>
            <w:r>
              <w:rPr>
                <w:sz w:val="18"/>
              </w:rPr>
              <w:t xml:space="preserve">Data inventory</w:t>
            </w:r>
          </w:p>
        </w:tc>
        <w:tc>
          <w:tcPr>
            <w:tcW w:w="2829" w:type="dxa"/>
          </w:tcPr>
          <w:p>
            <w:pPr>
              <w:pStyle w:val="Compact"/>
              <w:spacing w:after="40"/>
              <w:jc w:val="left"/>
            </w:pPr>
            <w:r>
              <w:rPr>
                <w:sz w:val="18"/>
              </w:rPr>
              <w:t xml:space="preserve">Annually and on change</w:t>
            </w:r>
          </w:p>
        </w:tc>
        <w:tc>
          <w:tcPr>
            <w:tcW w:w="4678" w:type="dxa"/>
          </w:tcPr>
          <w:p>
            <w:pPr>
              <w:pStyle w:val="Compact"/>
              <w:spacing w:after="40"/>
              <w:jc w:val="left"/>
            </w:pPr>
            <w:r>
              <w:rPr>
                <w:sz w:val="18"/>
              </w:rPr>
              <w:t xml:space="preserve">Clause 8.14</w:t>
            </w:r>
          </w:p>
        </w:tc>
      </w:tr>
      <w:tr>
        <w:tc>
          <w:tcPr>
            <w:tcW w:w="2131" w:type="dxa"/>
          </w:tcPr>
          <w:p>
            <w:pPr>
              <w:pStyle w:val="Compact"/>
              <w:spacing w:after="40"/>
              <w:jc w:val="left"/>
            </w:pPr>
            <w:r>
              <w:rPr>
                <w:sz w:val="18"/>
              </w:rPr>
              <w:t xml:space="preserve">Statement of account</w:t>
            </w:r>
          </w:p>
        </w:tc>
        <w:tc>
          <w:tcPr>
            <w:tcW w:w="2829" w:type="dxa"/>
          </w:tcPr>
          <w:p>
            <w:pPr>
              <w:pStyle w:val="Compact"/>
              <w:spacing w:after="40"/>
              <w:jc w:val="left"/>
            </w:pPr>
            <w:r>
              <w:rPr>
                <w:sz w:val="18"/>
              </w:rPr>
              <w:t xml:space="preserve">Quarterly</w:t>
            </w:r>
          </w:p>
        </w:tc>
        <w:tc>
          <w:tcPr>
            <w:tcW w:w="4678" w:type="dxa"/>
          </w:tcPr>
          <w:p>
            <w:pPr>
              <w:pStyle w:val="Compact"/>
              <w:spacing w:after="40"/>
              <w:jc w:val="left"/>
            </w:pPr>
            <w:r>
              <w:rPr>
                <w:sz w:val="18"/>
              </w:rPr>
              <w:t xml:space="preserve">Clause 16.9</w:t>
            </w:r>
          </w:p>
        </w:tc>
      </w:tr>
      <w:tr>
        <w:tc>
          <w:tcPr>
            <w:tcW w:w="2131" w:type="dxa"/>
          </w:tcPr>
          <w:p>
            <w:pPr>
              <w:pStyle w:val="Compact"/>
              <w:spacing w:after="40"/>
              <w:jc w:val="left"/>
            </w:pPr>
            <w:r>
              <w:rPr>
                <w:sz w:val="18"/>
              </w:rPr>
              <w:t xml:space="preserve">Oversight inputs</w:t>
            </w:r>
          </w:p>
        </w:tc>
        <w:tc>
          <w:tcPr>
            <w:tcW w:w="2829" w:type="dxa"/>
          </w:tcPr>
          <w:p>
            <w:pPr>
              <w:pStyle w:val="Compact"/>
              <w:spacing w:after="40"/>
              <w:jc w:val="left"/>
            </w:pPr>
            <w:r>
              <w:rPr>
                <w:sz w:val="18"/>
              </w:rPr>
              <w:t xml:space="preserve">On request</w:t>
            </w:r>
          </w:p>
        </w:tc>
        <w:tc>
          <w:tcPr>
            <w:tcW w:w="4678" w:type="dxa"/>
          </w:tcPr>
          <w:p>
            <w:pPr>
              <w:pStyle w:val="Compact"/>
              <w:spacing w:after="40"/>
              <w:jc w:val="left"/>
            </w:pPr>
            <w:r>
              <w:rPr>
                <w:sz w:val="18"/>
              </w:rPr>
              <w:t xml:space="preserve">Central record and IT outsourcing inventory, half-yearly Board review inputs, risk classification, third-party register (Clause 27.3; OUT paras 12(1)(vii), 36, 64(2), 82; ORM para 74)</w:t>
            </w:r>
          </w:p>
        </w:tc>
      </w:tr>
    </w:tbl>
    <w:bookmarkEnd w:id="146"/>
    <w:bookmarkStart w:id="147" w:name="X471c26ab52c41e6dcacaf19a4a31a3ebb8caf54"/>
    <w:p>
      <w:pPr>
        <w:pStyle w:val="Heading2"/>
      </w:pPr>
      <w:r>
        <w:t xml:space="preserve">Part D — Key Performance and Risk Indicators</w:t>
      </w:r>
    </w:p>
    <w:p>
      <w:pPr>
        <w:pStyle w:val="FirstParagraph"/>
      </w:pPr>
      <w:r>
        <w:t xml:space="preserve">KPIs: availability by tier; Incident response and resolution within target (100% S1, 95% S2, 90% S3); COB and regulatory output windows (100%); initial Incident notification within target (100%); Critical and High vulnerabilities fixed within target (100% / 95%); change success rate (≥ 95%); audit findings closed within target; Data Principal assistance within target (100%). KRIs: repeat S1 root causes; overdue vulnerabilities; privileged and break-glass access events; backup or DR test failures; Sub-contractor concentration; key-personnel attrition; adverse financial or ownership change of the Service Provider.</w:t>
      </w:r>
    </w:p>
    <w:bookmarkEnd w:id="147"/>
    <w:bookmarkStart w:id="148" w:name="X1e1740681d2c6448338ca2384aca952b0a553a5"/>
    <w:p>
      <w:pPr>
        <w:pStyle w:val="Heading2"/>
      </w:pPr>
      <w:r>
        <w:t xml:space="preserve">Part E — Risk Register and Enhanced Governance</w:t>
      </w:r>
    </w:p>
    <w:p>
      <w:pPr>
        <w:pStyle w:val="FirstParagraph"/>
      </w:pPr>
      <w:r>
        <w:t xml:space="preserve">A joint risk register covers strategic, reputation, compliance, operational, legal, exit, counterparty, country, contractual, concentration and systemic risks (OUT para 22) with owner, rating, mitigation and date. On a Persistent Service Failure or Severity 1 Incident, weekly reviews under steering committee oversight continue until remediation is complete.</w:t>
      </w:r>
    </w:p>
    <w:bookmarkEnd w:id="148"/>
    <w:bookmarkStart w:id="149" w:name="part-f-complaint-channel-clause-28.2"/>
    <w:p>
      <w:pPr>
        <w:pStyle w:val="Heading2"/>
      </w:pPr>
      <w:r>
        <w:t xml:space="preserve">Part F — Complaint Channel (Clause 28.2)</w:t>
      </w:r>
    </w:p>
    <w:p>
      <w:pPr>
        <w:pStyle w:val="FirstParagraph"/>
      </w:pPr>
      <w:r>
        <w:t xml:space="preserve">Complaints received by the Service Provider are forwarded to the Company’s Grievance Redressal Officer [name, email, portal queue] within [1] Business Day (same day for fraud, unauthorised transactions, harassment or data breach), without any view on the merits and without closing, resolving or rejecting them.</w:t>
      </w:r>
    </w:p>
    <w:p>
      <w:r>
        <w:pict>
          <v:rect style="width:0;height:1.5pt" o:hralign="center" o:hrstd="t" o:hr="t"/>
        </w:pict>
      </w:r>
    </w:p>
    <w:p>
      <w:r>
        <w:br w:type="page"/>
      </w:r>
    </w:p>
    <w:bookmarkEnd w:id="149"/>
    <w:bookmarkEnd w:id="150"/>
    <w:bookmarkStart w:id="156" w:name="schedule-13-source-code-escrow-terms"/>
    <w:p>
      <w:pPr>
        <w:pStyle w:val="Heading1"/>
      </w:pPr>
      <w:r>
        <w:t xml:space="preserve">SCHEDULE 13 — Source Code Escrow Terms</w:t>
      </w:r>
    </w:p>
    <w:p>
      <w:pPr>
        <w:pStyle w:val="FirstParagraph"/>
      </w:pPr>
      <w:r>
        <w:rPr>
          <w:iCs/>
          <w:i/>
        </w:rPr>
        <w:t xml:space="preserve">Drafting note: The form referred to in Clause 26.2. Escrow is [Mandatory — RBI] for a Middle Layer or higher Company (Clause 26.1), being the alternative arrangement to obtaining source code of critical applications, including all product updates and programme fixes (CYB para 105); [Option] for others. It also supports continuity on the Service Provider’s insolvency (OUT para 43; Clauses 9.14, 25.6). The tripartite agreement with the Escrow Agent must contain at least these terms.</w:t>
      </w:r>
    </w:p>
    <w:bookmarkStart w:id="151" w:name="part-a-parties-and-agreement"/>
    <w:p>
      <w:pPr>
        <w:pStyle w:val="Heading2"/>
      </w:pPr>
      <w:r>
        <w:t xml:space="preserve">Part A — Parties and Agreement</w:t>
      </w:r>
    </w:p>
    <w:p>
      <w:pPr>
        <w:numPr>
          <w:ilvl w:val="0"/>
          <w:numId w:val="1051"/>
        </w:numPr>
        <w:pStyle w:val="Compact"/>
      </w:pPr>
      <w:r>
        <w:t xml:space="preserve">Escrow Agent: [name, e.g. NCC Group, EscrowTech India, Iron Mountain, Codekeeper or another agent of repute in India acceptable to the Company] [VERIFY: India presence and vault location]; not an Affiliate of either Party.</w:t>
      </w:r>
    </w:p>
    <w:p>
      <w:pPr>
        <w:numPr>
          <w:ilvl w:val="0"/>
          <w:numId w:val="1051"/>
        </w:numPr>
        <w:pStyle w:val="Compact"/>
      </w:pPr>
      <w:r>
        <w:t xml:space="preserve">Tripartite agreement within [60] days of the Effective Date (Clause 26.2); a multi-beneficiary arrangement is permitted if the Company is a named beneficiary with independent release rights.</w:t>
      </w:r>
      <w:r>
        <w:t xml:space="preserve"> </w:t>
      </w:r>
      <w:r>
        <w:rPr>
          <w:iCs/>
          <w:i/>
        </w:rPr>
        <w:t xml:space="preserve">To mitigate the IBC moratorium risk, the licence in Part E is granted on execution and the deposit is held by the agent from the outset (Clause 26 drafting note).</w:t>
      </w:r>
    </w:p>
    <w:p>
      <w:pPr>
        <w:numPr>
          <w:ilvl w:val="0"/>
          <w:numId w:val="1051"/>
        </w:numPr>
        <w:pStyle w:val="Compact"/>
      </w:pPr>
      <w:r>
        <w:t xml:space="preserve">Fees: [Service Provider / Company / equally] (Clause 26.8); the Service Provider bears the first verification in each Contract Year (Clause 26.4). If a fee-paying Party defaults, the other may pay and set off.</w:t>
      </w:r>
    </w:p>
    <w:bookmarkEnd w:id="151"/>
    <w:bookmarkStart w:id="152" w:name="part-b-deposit-materials-clause-26.3"/>
    <w:p>
      <w:pPr>
        <w:pStyle w:val="Heading2"/>
      </w:pPr>
      <w:r>
        <w:t xml:space="preserve">Part B — Deposit Materials (Clause 26.3)</w:t>
      </w:r>
    </w:p>
    <w:p>
      <w:pPr>
        <w:numPr>
          <w:ilvl w:val="0"/>
          <w:numId w:val="1052"/>
        </w:numPr>
        <w:pStyle w:val="Compact"/>
      </w:pPr>
      <w:r>
        <w:t xml:space="preserve">The Deposit Materials for each Critical Application: source code; build scripts and dependency manifests; infrastructure-as-code templates; database schemas and migration scripts; configuration templates (no secrets); deployment and operations runbooks; encryption-agnostic key management procedures; documentation sufficient for a reasonably skilled programmer to understand, maintain, build and deploy the Platform; list of third-party components and licences with an SBOM.</w:t>
      </w:r>
    </w:p>
    <w:p>
      <w:pPr>
        <w:numPr>
          <w:ilvl w:val="0"/>
          <w:numId w:val="1052"/>
        </w:numPr>
        <w:pStyle w:val="Compact"/>
      </w:pPr>
      <w:r>
        <w:t xml:space="preserve">Timing: initial deposit before go-live; update within [30] days of each major Release and at least [quarterly], including all product updates and programme fixes [Option: within [10] Business Days of each production Release] (Clause 26.3; CYB para 105).</w:t>
      </w:r>
    </w:p>
    <w:p>
      <w:pPr>
        <w:numPr>
          <w:ilvl w:val="0"/>
          <w:numId w:val="1052"/>
        </w:numPr>
        <w:pStyle w:val="Compact"/>
      </w:pPr>
      <w:r>
        <w:t xml:space="preserve">Each deposit is encrypted, hashed (SHA-256) and logged by Release version; the agent confirms receipt to the Company.</w:t>
      </w:r>
    </w:p>
    <w:bookmarkEnd w:id="152"/>
    <w:bookmarkStart w:id="153" w:name="part-c-verification-clause-26.4"/>
    <w:p>
      <w:pPr>
        <w:pStyle w:val="Heading2"/>
      </w:pPr>
      <w:r>
        <w:t xml:space="preserve">Part C — Verification (Clause 26.4)</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04"/>
        <w:gridCol w:w="4404"/>
        <w:gridCol w:w="2730"/>
      </w:tblGrid>
      <w:tr>
        <w:trPr>
          <w:tblHeader w:val="true"/>
          <w:tblHeader w:val="true"/>
        </w:trPr>
        <w:tc>
          <w:tcPr>
            <w:tcW w:w="2504" w:type="dxa"/>
            <w:shd w:val="clear" w:color="auto" w:fill="1F3A5F"/>
          </w:tcPr>
          <w:p>
            <w:pPr>
              <w:pStyle w:val="Compact"/>
              <w:spacing w:after="40"/>
              <w:jc w:val="left"/>
            </w:pPr>
            <w:r>
              <w:rPr>
                <w:b/>
                <w:color w:val="FFFFFF"/>
                <w:sz w:val="18"/>
              </w:rPr>
              <w:t xml:space="preserve">Level</w:t>
            </w:r>
          </w:p>
        </w:tc>
        <w:tc>
          <w:tcPr>
            <w:tcW w:w="4404" w:type="dxa"/>
            <w:shd w:val="clear" w:color="auto" w:fill="1F3A5F"/>
          </w:tcPr>
          <w:p>
            <w:pPr>
              <w:pStyle w:val="Compact"/>
              <w:spacing w:after="40"/>
              <w:jc w:val="left"/>
            </w:pPr>
            <w:r>
              <w:rPr>
                <w:b/>
                <w:color w:val="FFFFFF"/>
                <w:sz w:val="18"/>
              </w:rPr>
              <w:t xml:space="preserve">Content</w:t>
            </w:r>
          </w:p>
        </w:tc>
        <w:tc>
          <w:tcPr>
            <w:tcW w:w="2730" w:type="dxa"/>
            <w:shd w:val="clear" w:color="auto" w:fill="1F3A5F"/>
          </w:tcPr>
          <w:p>
            <w:pPr>
              <w:pStyle w:val="Compact"/>
              <w:spacing w:after="40"/>
              <w:jc w:val="left"/>
            </w:pPr>
            <w:r>
              <w:rPr>
                <w:b/>
                <w:color w:val="FFFFFF"/>
                <w:sz w:val="18"/>
              </w:rPr>
              <w:t xml:space="preserve">Frequency</w:t>
            </w:r>
          </w:p>
        </w:tc>
      </w:tr>
      <w:tr>
        <w:tc>
          <w:tcPr>
            <w:tcW w:w="2504" w:type="dxa"/>
          </w:tcPr>
          <w:p>
            <w:pPr>
              <w:pStyle w:val="Compact"/>
              <w:spacing w:after="40"/>
              <w:jc w:val="left"/>
            </w:pPr>
            <w:r>
              <w:rPr>
                <w:sz w:val="18"/>
              </w:rPr>
              <w:t xml:space="preserve">Deposit check</w:t>
            </w:r>
          </w:p>
        </w:tc>
        <w:tc>
          <w:tcPr>
            <w:tcW w:w="4404" w:type="dxa"/>
          </w:tcPr>
          <w:p>
            <w:pPr>
              <w:pStyle w:val="Compact"/>
              <w:spacing w:after="40"/>
              <w:jc w:val="left"/>
            </w:pPr>
            <w:r>
              <w:rPr>
                <w:sz w:val="18"/>
              </w:rPr>
              <w:t xml:space="preserve">Inventory, readability, malware scan, hash match to Release</w:t>
            </w:r>
          </w:p>
        </w:tc>
        <w:tc>
          <w:tcPr>
            <w:tcW w:w="2730" w:type="dxa"/>
          </w:tcPr>
          <w:p>
            <w:pPr>
              <w:pStyle w:val="Compact"/>
              <w:spacing w:after="40"/>
              <w:jc w:val="left"/>
            </w:pPr>
            <w:r>
              <w:rPr>
                <w:sz w:val="18"/>
              </w:rPr>
              <w:t xml:space="preserve">Each deposit</w:t>
            </w:r>
          </w:p>
        </w:tc>
      </w:tr>
      <w:tr>
        <w:tc>
          <w:tcPr>
            <w:tcW w:w="2504" w:type="dxa"/>
          </w:tcPr>
          <w:p>
            <w:pPr>
              <w:pStyle w:val="Compact"/>
              <w:spacing w:after="40"/>
              <w:jc w:val="left"/>
            </w:pPr>
            <w:r>
              <w:rPr>
                <w:sz w:val="18"/>
              </w:rPr>
              <w:t xml:space="preserve">Full build verification</w:t>
            </w:r>
          </w:p>
        </w:tc>
        <w:tc>
          <w:tcPr>
            <w:tcW w:w="4404" w:type="dxa"/>
          </w:tcPr>
          <w:p>
            <w:pPr>
              <w:pStyle w:val="Compact"/>
              <w:spacing w:after="40"/>
              <w:jc w:val="left"/>
            </w:pPr>
            <w:r>
              <w:rPr>
                <w:sz w:val="18"/>
              </w:rPr>
              <w:t xml:space="preserve">Independent verifier compiles and deploys to a functioning instance matching the production version</w:t>
            </w:r>
          </w:p>
        </w:tc>
        <w:tc>
          <w:tcPr>
            <w:tcW w:w="2730" w:type="dxa"/>
          </w:tcPr>
          <w:p>
            <w:pPr>
              <w:pStyle w:val="Compact"/>
              <w:spacing w:after="40"/>
              <w:jc w:val="left"/>
            </w:pPr>
            <w:r>
              <w:rPr>
                <w:sz w:val="18"/>
              </w:rPr>
              <w:t xml:space="preserve">At least annually</w:t>
            </w:r>
          </w:p>
        </w:tc>
      </w:tr>
      <w:tr>
        <w:tc>
          <w:tcPr>
            <w:tcW w:w="2504" w:type="dxa"/>
          </w:tcPr>
          <w:p>
            <w:pPr>
              <w:pStyle w:val="Compact"/>
              <w:spacing w:after="40"/>
              <w:jc w:val="left"/>
            </w:pPr>
            <w:r>
              <w:rPr>
                <w:sz w:val="18"/>
              </w:rPr>
              <w:t xml:space="preserve">Functional verification [Option]</w:t>
            </w:r>
          </w:p>
        </w:tc>
        <w:tc>
          <w:tcPr>
            <w:tcW w:w="4404" w:type="dxa"/>
          </w:tcPr>
          <w:p>
            <w:pPr>
              <w:pStyle w:val="Compact"/>
              <w:spacing w:after="40"/>
              <w:jc w:val="left"/>
            </w:pPr>
            <w:r>
              <w:rPr>
                <w:sz w:val="18"/>
              </w:rPr>
              <w:t xml:space="preserve">Smoke and regression tests including financial calculation tests</w:t>
            </w:r>
          </w:p>
        </w:tc>
        <w:tc>
          <w:tcPr>
            <w:tcW w:w="2730" w:type="dxa"/>
          </w:tcPr>
          <w:p>
            <w:pPr>
              <w:pStyle w:val="Compact"/>
              <w:spacing w:after="40"/>
              <w:jc w:val="left"/>
            </w:pPr>
            <w:r>
              <w:rPr>
                <w:sz w:val="18"/>
              </w:rPr>
              <w:t xml:space="preserve">Every [2] years or on a risk indicator</w:t>
            </w:r>
          </w:p>
        </w:tc>
      </w:tr>
    </w:tbl>
    <w:p>
      <w:pPr>
        <w:pStyle w:val="BodyText"/>
      </w:pPr>
      <w:r>
        <w:t xml:space="preserve">A failed verification is remedied within [15] Business Days; reports go to the Company.</w:t>
      </w:r>
    </w:p>
    <w:bookmarkEnd w:id="153"/>
    <w:bookmarkStart w:id="154" w:name="X9df7e337db3b554438c697ef3dbbc40e935880e"/>
    <w:p>
      <w:pPr>
        <w:pStyle w:val="Heading2"/>
      </w:pPr>
      <w:r>
        <w:t xml:space="preserve">Part D — Release Events and Procedure (Clause 26.5)</w:t>
      </w:r>
    </w:p>
    <w:p>
      <w:pPr>
        <w:numPr>
          <w:ilvl w:val="0"/>
          <w:numId w:val="1053"/>
        </w:numPr>
        <w:pStyle w:val="Compact"/>
      </w:pPr>
      <w:r>
        <w:t xml:space="preserve">Release events: (a) insolvency event of the Service Provider, including admission of an application under the Insolvency and Bankruptcy Code, 2016, or appointment of a liquidator; (b) cessation of business or of support for the Platform or any Critical Application; (c) failure to remedy a severity 1 Incident affecting a Critical Application within [72] hours, or an unremedied material breach of support obligations [30] days after notice; (d) assignment or transfer of the Platform business without assumption of the Agreement; (e) a Supervisory Authority direction to obtain the source code. [Option — additional events if agreed in the Order Form: failure to deliver exit assistance under Article 25 after termination for the Service Provider’s default.]</w:t>
      </w:r>
    </w:p>
    <w:p>
      <w:pPr>
        <w:numPr>
          <w:ilvl w:val="0"/>
          <w:numId w:val="1053"/>
        </w:numPr>
        <w:pStyle w:val="Compact"/>
      </w:pPr>
      <w:r>
        <w:t xml:space="preserve">Procedure: the Company’s release notice to the agent with a copy to the Service Provider; the Service Provider may contest only on the ground that no release event occurred, by counter-notice within [10] Business Days, resolved by expedited arbitration under Article 30 with interim relief available under Clause 30.6. Release on a Supervisory Authority direction is immediate and not subject to counter-notice.</w:t>
      </w:r>
    </w:p>
    <w:bookmarkEnd w:id="154"/>
    <w:bookmarkStart w:id="155" w:name="X2e9a8da6307ac0b3fa651e6555f3a9323f2a4cd"/>
    <w:p>
      <w:pPr>
        <w:pStyle w:val="Heading2"/>
      </w:pPr>
      <w:r>
        <w:t xml:space="preserve">Part E — Licence and Operational Continuity</w:t>
      </w:r>
    </w:p>
    <w:p>
      <w:pPr>
        <w:numPr>
          <w:ilvl w:val="0"/>
          <w:numId w:val="1054"/>
        </w:numPr>
        <w:pStyle w:val="Compact"/>
      </w:pPr>
      <w:r>
        <w:t xml:space="preserve">Granted on execution of the escrow agreement and exercisable only on release (Part A.2; Clause 26.6): a non-exclusive, perpetual, irrevocable, royalty-free licence to use, copy, modify, build, deploy and maintain the Deposit Materials, itself or through a Successor Provider bound by confidentiality, solely to continue the Company’s business, meet regulatory obligations and transition; no commercialisation (Clause 26.6).</w:t>
      </w:r>
    </w:p>
    <w:p>
      <w:pPr>
        <w:numPr>
          <w:ilvl w:val="0"/>
          <w:numId w:val="1054"/>
        </w:numPr>
        <w:pStyle w:val="Compact"/>
      </w:pPr>
      <w:r>
        <w:t xml:space="preserve">[Option — operational continuity (Clause 26.7): the Escrow Agent holds administrative credentials, or a tripartite arrangement with the cloud service provider exists, enabling the Company to keep the Tenant Environment running for not less than [90] days after a release event; linked to Schedule 9, Part F.]</w:t>
      </w:r>
    </w:p>
    <w:p>
      <w:r>
        <w:pict>
          <v:rect style="width:0;height:1.5pt" o:hralign="center" o:hrstd="t" o:hr="t"/>
        </w:pict>
      </w:r>
    </w:p>
    <w:p>
      <w:r>
        <w:br w:type="page"/>
      </w:r>
    </w:p>
    <w:bookmarkEnd w:id="155"/>
    <w:bookmarkEnd w:id="156"/>
    <w:bookmarkStart w:id="163" w:name="schedule-14-regulatory-compliance-matrix"/>
    <w:p>
      <w:pPr>
        <w:pStyle w:val="Heading1"/>
      </w:pPr>
      <w:r>
        <w:t xml:space="preserve">SCHEDULE 14 — Regulatory Compliance Matrix</w:t>
      </w:r>
    </w:p>
    <w:p>
      <w:pPr>
        <w:pStyle w:val="FirstParagraph"/>
      </w:pPr>
      <w:r>
        <w:rPr>
          <w:iCs/>
          <w:i/>
        </w:rPr>
        <w:t xml:space="preserve">Drafting note: Maps each mandatory requirement to the Clause or Schedule that implements it and the evidence the Company keeps.</w:t>
      </w:r>
      <w:r>
        <w:rPr>
          <w:iCs/>
          <w:i/>
        </w:rPr>
        <w:t xml:space="preserve"> </w:t>
      </w:r>
      <w:r>
        <w:rPr>
          <w:iCs/>
          <w:i/>
        </w:rPr>
        <w:t xml:space="preserve">“</w:t>
      </w:r>
      <w:r>
        <w:rPr>
          <w:iCs/>
          <w:i/>
        </w:rPr>
        <w:t xml:space="preserve">Cl.</w:t>
      </w:r>
      <w:r>
        <w:rPr>
          <w:iCs/>
          <w:i/>
        </w:rPr>
        <w:t xml:space="preserve">”</w:t>
      </w:r>
      <w:r>
        <w:rPr>
          <w:iCs/>
          <w:i/>
        </w:rPr>
        <w:t xml:space="preserve"> </w:t>
      </w:r>
      <w:r>
        <w:rPr>
          <w:iCs/>
          <w:i/>
        </w:rPr>
        <w:t xml:space="preserve">refers to Clauses of Articles 1–33;</w:t>
      </w:r>
      <w:r>
        <w:rPr>
          <w:iCs/>
          <w:i/>
        </w:rPr>
        <w:t xml:space="preserve"> </w:t>
      </w:r>
      <w:r>
        <w:rPr>
          <w:iCs/>
          <w:i/>
        </w:rPr>
        <w:t xml:space="preserve">“</w:t>
      </w:r>
      <w:r>
        <w:rPr>
          <w:iCs/>
          <w:i/>
        </w:rPr>
        <w:t xml:space="preserve">Sch.</w:t>
      </w:r>
      <w:r>
        <w:rPr>
          <w:iCs/>
          <w:i/>
        </w:rPr>
        <w:t xml:space="preserve">”</w:t>
      </w:r>
      <w:r>
        <w:rPr>
          <w:iCs/>
          <w:i/>
        </w:rPr>
        <w:t xml:space="preserve"> </w:t>
      </w:r>
      <w:r>
        <w:rPr>
          <w:iCs/>
          <w:i/>
        </w:rPr>
        <w:t xml:space="preserve">to these Schedules. CF Chapter III rows apply where the Company lends digitally; RBC paras 89–101 rows where the Recovery Suite is attached.</w:t>
      </w:r>
    </w:p>
    <w:bookmarkStart w:id="157" w:name="Xa3ffbe6858123f080e811a30fe6e0e2eb062d8c"/>
    <w:p>
      <w:pPr>
        <w:pStyle w:val="Heading2"/>
      </w:pPr>
      <w:r>
        <w:t xml:space="preserve">Part A — OUT para 34 (paras 34(i)–(vii) incorporated for IT outsourcing by OUT para 74; paras 34(viii)–(xii) applied contractually, RBI inspection being independently required by OUT para 74(xii))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95"/>
        <w:gridCol w:w="2676"/>
        <w:gridCol w:w="1859"/>
        <w:gridCol w:w="2079"/>
        <w:gridCol w:w="1829"/>
      </w:tblGrid>
      <w:tr>
        <w:trPr>
          <w:tblHeader w:val="true"/>
          <w:tblHeader w:val="true"/>
        </w:trPr>
        <w:tc>
          <w:tcPr>
            <w:tcW w:w="1195" w:type="dxa"/>
            <w:shd w:val="clear" w:color="auto" w:fill="1F3A5F"/>
          </w:tcPr>
          <w:p>
            <w:pPr>
              <w:pStyle w:val="Compact"/>
              <w:spacing w:after="40"/>
              <w:jc w:val="left"/>
            </w:pPr>
            <w:r>
              <w:rPr>
                <w:b/>
                <w:color w:val="FFFFFF"/>
                <w:sz w:val="18"/>
              </w:rPr>
              <w:t xml:space="preserve">#</w:t>
            </w:r>
          </w:p>
        </w:tc>
        <w:tc>
          <w:tcPr>
            <w:tcW w:w="2676" w:type="dxa"/>
            <w:shd w:val="clear" w:color="auto" w:fill="1F3A5F"/>
          </w:tcPr>
          <w:p>
            <w:pPr>
              <w:pStyle w:val="Compact"/>
              <w:spacing w:after="40"/>
              <w:jc w:val="left"/>
            </w:pPr>
            <w:r>
              <w:rPr>
                <w:b/>
                <w:color w:val="FFFFFF"/>
                <w:sz w:val="18"/>
              </w:rPr>
              <w:t xml:space="preserve">Requirement</w:t>
            </w:r>
          </w:p>
        </w:tc>
        <w:tc>
          <w:tcPr>
            <w:tcW w:w="1859" w:type="dxa"/>
            <w:shd w:val="clear" w:color="auto" w:fill="1F3A5F"/>
          </w:tcPr>
          <w:p>
            <w:pPr>
              <w:pStyle w:val="Compact"/>
              <w:spacing w:after="40"/>
              <w:jc w:val="left"/>
            </w:pPr>
            <w:r>
              <w:rPr>
                <w:b/>
                <w:color w:val="FFFFFF"/>
                <w:sz w:val="18"/>
              </w:rPr>
              <w:t xml:space="preserve">Source</w:t>
            </w:r>
          </w:p>
        </w:tc>
        <w:tc>
          <w:tcPr>
            <w:tcW w:w="2079" w:type="dxa"/>
            <w:shd w:val="clear" w:color="auto" w:fill="1F3A5F"/>
          </w:tcPr>
          <w:p>
            <w:pPr>
              <w:pStyle w:val="Compact"/>
              <w:spacing w:after="40"/>
              <w:jc w:val="left"/>
            </w:pPr>
            <w:r>
              <w:rPr>
                <w:b/>
                <w:color w:val="FFFFFF"/>
                <w:sz w:val="18"/>
              </w:rPr>
              <w:t xml:space="preserve">Implemented in</w:t>
            </w:r>
          </w:p>
        </w:tc>
        <w:tc>
          <w:tcPr>
            <w:tcW w:w="1829" w:type="dxa"/>
            <w:shd w:val="clear" w:color="auto" w:fill="1F3A5F"/>
          </w:tcPr>
          <w:p>
            <w:pPr>
              <w:pStyle w:val="Compact"/>
              <w:spacing w:after="40"/>
              <w:jc w:val="left"/>
            </w:pPr>
            <w:r>
              <w:rPr>
                <w:b/>
                <w:color w:val="FFFFFF"/>
                <w:sz w:val="18"/>
              </w:rPr>
              <w:t xml:space="preserve">Evidence</w:t>
            </w:r>
          </w:p>
        </w:tc>
      </w:tr>
      <w:tr>
        <w:tc>
          <w:tcPr>
            <w:tcW w:w="1195" w:type="dxa"/>
          </w:tcPr>
          <w:p>
            <w:pPr>
              <w:pStyle w:val="Compact"/>
              <w:spacing w:after="40"/>
              <w:jc w:val="left"/>
            </w:pPr>
            <w:r>
              <w:rPr>
                <w:sz w:val="18"/>
              </w:rPr>
              <w:t xml:space="preserve">1</w:t>
            </w:r>
          </w:p>
        </w:tc>
        <w:tc>
          <w:tcPr>
            <w:tcW w:w="2676" w:type="dxa"/>
          </w:tcPr>
          <w:p>
            <w:pPr>
              <w:pStyle w:val="Compact"/>
              <w:spacing w:after="40"/>
              <w:jc w:val="left"/>
            </w:pPr>
            <w:r>
              <w:rPr>
                <w:sz w:val="18"/>
              </w:rPr>
              <w:t xml:space="preserve">Activity details and service and performance standards</w:t>
            </w:r>
          </w:p>
        </w:tc>
        <w:tc>
          <w:tcPr>
            <w:tcW w:w="1859" w:type="dxa"/>
          </w:tcPr>
          <w:p>
            <w:pPr>
              <w:pStyle w:val="Compact"/>
              <w:spacing w:after="40"/>
              <w:jc w:val="left"/>
            </w:pPr>
            <w:r>
              <w:rPr>
                <w:sz w:val="18"/>
              </w:rPr>
              <w:t xml:space="preserve">OUT 34(i)</w:t>
            </w:r>
          </w:p>
        </w:tc>
        <w:tc>
          <w:tcPr>
            <w:tcW w:w="2079" w:type="dxa"/>
          </w:tcPr>
          <w:p>
            <w:pPr>
              <w:pStyle w:val="Compact"/>
              <w:spacing w:after="40"/>
              <w:jc w:val="left"/>
            </w:pPr>
            <w:r>
              <w:rPr>
                <w:sz w:val="18"/>
              </w:rPr>
              <w:t xml:space="preserve">Cl. 2.2, 6.1, 13.3; Sch. 2, 3</w:t>
            </w:r>
          </w:p>
        </w:tc>
        <w:tc>
          <w:tcPr>
            <w:tcW w:w="1829" w:type="dxa"/>
          </w:tcPr>
          <w:p>
            <w:pPr>
              <w:pStyle w:val="Compact"/>
              <w:spacing w:after="40"/>
              <w:jc w:val="left"/>
            </w:pPr>
            <w:r>
              <w:rPr>
                <w:sz w:val="18"/>
              </w:rPr>
              <w:t xml:space="preserve">Order Form; service reports</w:t>
            </w:r>
          </w:p>
        </w:tc>
      </w:tr>
      <w:tr>
        <w:tc>
          <w:tcPr>
            <w:tcW w:w="1195" w:type="dxa"/>
          </w:tcPr>
          <w:p>
            <w:pPr>
              <w:pStyle w:val="Compact"/>
              <w:spacing w:after="40"/>
              <w:jc w:val="left"/>
            </w:pPr>
            <w:r>
              <w:rPr>
                <w:sz w:val="18"/>
              </w:rPr>
              <w:t xml:space="preserve">2</w:t>
            </w:r>
          </w:p>
        </w:tc>
        <w:tc>
          <w:tcPr>
            <w:tcW w:w="2676" w:type="dxa"/>
          </w:tcPr>
          <w:p>
            <w:pPr>
              <w:pStyle w:val="Compact"/>
              <w:spacing w:after="40"/>
              <w:jc w:val="left"/>
            </w:pPr>
            <w:r>
              <w:rPr>
                <w:sz w:val="18"/>
              </w:rPr>
              <w:t xml:space="preserve">Company access to books, records and information</w:t>
            </w:r>
          </w:p>
        </w:tc>
        <w:tc>
          <w:tcPr>
            <w:tcW w:w="1859" w:type="dxa"/>
          </w:tcPr>
          <w:p>
            <w:pPr>
              <w:pStyle w:val="Compact"/>
              <w:spacing w:after="40"/>
              <w:jc w:val="left"/>
            </w:pPr>
            <w:r>
              <w:rPr>
                <w:sz w:val="18"/>
              </w:rPr>
              <w:t xml:space="preserve">OUT 34(ii)</w:t>
            </w:r>
          </w:p>
        </w:tc>
        <w:tc>
          <w:tcPr>
            <w:tcW w:w="2079" w:type="dxa"/>
          </w:tcPr>
          <w:p>
            <w:pPr>
              <w:pStyle w:val="Compact"/>
              <w:spacing w:after="40"/>
              <w:jc w:val="left"/>
            </w:pPr>
            <w:r>
              <w:rPr>
                <w:sz w:val="18"/>
              </w:rPr>
              <w:t xml:space="preserve">Cl. 9.1; Sch. 6</w:t>
            </w:r>
          </w:p>
        </w:tc>
        <w:tc>
          <w:tcPr>
            <w:tcW w:w="1829" w:type="dxa"/>
          </w:tcPr>
          <w:p>
            <w:pPr>
              <w:pStyle w:val="Compact"/>
              <w:spacing w:after="40"/>
              <w:jc w:val="left"/>
            </w:pPr>
            <w:r>
              <w:rPr>
                <w:sz w:val="18"/>
              </w:rPr>
              <w:t xml:space="preserve">Access logs</w:t>
            </w:r>
          </w:p>
        </w:tc>
      </w:tr>
      <w:tr>
        <w:tc>
          <w:tcPr>
            <w:tcW w:w="1195" w:type="dxa"/>
          </w:tcPr>
          <w:p>
            <w:pPr>
              <w:pStyle w:val="Compact"/>
              <w:spacing w:after="40"/>
              <w:jc w:val="left"/>
            </w:pPr>
            <w:r>
              <w:rPr>
                <w:sz w:val="18"/>
              </w:rPr>
              <w:t xml:space="preserve">3</w:t>
            </w:r>
          </w:p>
        </w:tc>
        <w:tc>
          <w:tcPr>
            <w:tcW w:w="2676" w:type="dxa"/>
          </w:tcPr>
          <w:p>
            <w:pPr>
              <w:pStyle w:val="Compact"/>
              <w:spacing w:after="40"/>
              <w:jc w:val="left"/>
            </w:pPr>
            <w:r>
              <w:rPr>
                <w:sz w:val="18"/>
              </w:rPr>
              <w:t xml:space="preserve">Continuous monitoring and assessment</w:t>
            </w:r>
          </w:p>
        </w:tc>
        <w:tc>
          <w:tcPr>
            <w:tcW w:w="1859" w:type="dxa"/>
          </w:tcPr>
          <w:p>
            <w:pPr>
              <w:pStyle w:val="Compact"/>
              <w:spacing w:after="40"/>
              <w:jc w:val="left"/>
            </w:pPr>
            <w:r>
              <w:rPr>
                <w:sz w:val="18"/>
              </w:rPr>
              <w:t xml:space="preserve">OUT 34(iii); CYB 62(1)(i)</w:t>
            </w:r>
          </w:p>
        </w:tc>
        <w:tc>
          <w:tcPr>
            <w:tcW w:w="2079" w:type="dxa"/>
          </w:tcPr>
          <w:p>
            <w:pPr>
              <w:pStyle w:val="Compact"/>
              <w:spacing w:after="40"/>
              <w:jc w:val="left"/>
            </w:pPr>
            <w:r>
              <w:rPr>
                <w:sz w:val="18"/>
              </w:rPr>
              <w:t xml:space="preserve">Cl. 6.2, 27.1; Sch. 3 Pt C; Sch. 12</w:t>
            </w:r>
          </w:p>
        </w:tc>
        <w:tc>
          <w:tcPr>
            <w:tcW w:w="1829" w:type="dxa"/>
          </w:tcPr>
          <w:p>
            <w:pPr>
              <w:pStyle w:val="Compact"/>
              <w:spacing w:after="40"/>
              <w:jc w:val="left"/>
            </w:pPr>
            <w:r>
              <w:rPr>
                <w:sz w:val="18"/>
              </w:rPr>
              <w:t xml:space="preserve">Dashboard; minutes</w:t>
            </w:r>
          </w:p>
        </w:tc>
      </w:tr>
      <w:tr>
        <w:tc>
          <w:tcPr>
            <w:tcW w:w="1195" w:type="dxa"/>
          </w:tcPr>
          <w:p>
            <w:pPr>
              <w:pStyle w:val="Compact"/>
              <w:spacing w:after="40"/>
              <w:jc w:val="left"/>
            </w:pPr>
            <w:r>
              <w:rPr>
                <w:sz w:val="18"/>
              </w:rPr>
              <w:t xml:space="preserve">4</w:t>
            </w:r>
          </w:p>
        </w:tc>
        <w:tc>
          <w:tcPr>
            <w:tcW w:w="2676" w:type="dxa"/>
          </w:tcPr>
          <w:p>
            <w:pPr>
              <w:pStyle w:val="Compact"/>
              <w:spacing w:after="40"/>
              <w:jc w:val="left"/>
            </w:pPr>
            <w:r>
              <w:rPr>
                <w:sz w:val="18"/>
              </w:rPr>
              <w:t xml:space="preserve">Prior consent for sub-contractors</w:t>
            </w:r>
          </w:p>
        </w:tc>
        <w:tc>
          <w:tcPr>
            <w:tcW w:w="1859" w:type="dxa"/>
          </w:tcPr>
          <w:p>
            <w:pPr>
              <w:pStyle w:val="Compact"/>
              <w:spacing w:after="40"/>
              <w:jc w:val="left"/>
            </w:pPr>
            <w:r>
              <w:rPr>
                <w:sz w:val="18"/>
              </w:rPr>
              <w:t xml:space="preserve">OUT 34(iv)</w:t>
            </w:r>
          </w:p>
        </w:tc>
        <w:tc>
          <w:tcPr>
            <w:tcW w:w="2079" w:type="dxa"/>
          </w:tcPr>
          <w:p>
            <w:pPr>
              <w:pStyle w:val="Compact"/>
              <w:spacing w:after="40"/>
              <w:jc w:val="left"/>
            </w:pPr>
            <w:r>
              <w:rPr>
                <w:sz w:val="18"/>
              </w:rPr>
              <w:t xml:space="preserve">Cl. 13.1–13.2; Sch. 10</w:t>
            </w:r>
          </w:p>
        </w:tc>
        <w:tc>
          <w:tcPr>
            <w:tcW w:w="1829" w:type="dxa"/>
          </w:tcPr>
          <w:p>
            <w:pPr>
              <w:pStyle w:val="Compact"/>
              <w:spacing w:after="40"/>
              <w:jc w:val="left"/>
            </w:pPr>
            <w:r>
              <w:rPr>
                <w:sz w:val="18"/>
              </w:rPr>
              <w:t xml:space="preserve">Approval register</w:t>
            </w:r>
          </w:p>
        </w:tc>
      </w:tr>
      <w:tr>
        <w:tc>
          <w:tcPr>
            <w:tcW w:w="1195" w:type="dxa"/>
          </w:tcPr>
          <w:p>
            <w:pPr>
              <w:pStyle w:val="Compact"/>
              <w:spacing w:after="40"/>
              <w:jc w:val="left"/>
            </w:pPr>
            <w:r>
              <w:rPr>
                <w:sz w:val="18"/>
              </w:rPr>
              <w:t xml:space="preserve">5</w:t>
            </w:r>
          </w:p>
        </w:tc>
        <w:tc>
          <w:tcPr>
            <w:tcW w:w="2676" w:type="dxa"/>
          </w:tcPr>
          <w:p>
            <w:pPr>
              <w:pStyle w:val="Compact"/>
              <w:spacing w:after="40"/>
              <w:jc w:val="left"/>
            </w:pPr>
            <w:r>
              <w:rPr>
                <w:sz w:val="18"/>
              </w:rPr>
              <w:t xml:space="preserve">Confidentiality controls; liability for breach and leakage</w:t>
            </w:r>
          </w:p>
        </w:tc>
        <w:tc>
          <w:tcPr>
            <w:tcW w:w="1859" w:type="dxa"/>
          </w:tcPr>
          <w:p>
            <w:pPr>
              <w:pStyle w:val="Compact"/>
              <w:spacing w:after="40"/>
              <w:jc w:val="left"/>
            </w:pPr>
            <w:r>
              <w:rPr>
                <w:sz w:val="18"/>
              </w:rPr>
              <w:t xml:space="preserve">OUT 34(v)</w:t>
            </w:r>
          </w:p>
        </w:tc>
        <w:tc>
          <w:tcPr>
            <w:tcW w:w="2079" w:type="dxa"/>
          </w:tcPr>
          <w:p>
            <w:pPr>
              <w:pStyle w:val="Compact"/>
              <w:spacing w:after="40"/>
              <w:jc w:val="left"/>
            </w:pPr>
            <w:r>
              <w:rPr>
                <w:sz w:val="18"/>
              </w:rPr>
              <w:t xml:space="preserve">Cl. 18.5, 18.7, 21.1(b), 22.1(d)</w:t>
            </w:r>
          </w:p>
        </w:tc>
        <w:tc>
          <w:tcPr>
            <w:tcW w:w="1829" w:type="dxa"/>
          </w:tcPr>
          <w:p>
            <w:pPr>
              <w:pStyle w:val="Compact"/>
              <w:spacing w:after="40"/>
              <w:jc w:val="left"/>
            </w:pPr>
            <w:r>
              <w:rPr>
                <w:sz w:val="18"/>
              </w:rPr>
              <w:t xml:space="preserve">Clause text</w:t>
            </w:r>
          </w:p>
        </w:tc>
      </w:tr>
      <w:tr>
        <w:tc>
          <w:tcPr>
            <w:tcW w:w="1195" w:type="dxa"/>
          </w:tcPr>
          <w:p>
            <w:pPr>
              <w:pStyle w:val="Compact"/>
              <w:spacing w:after="40"/>
              <w:jc w:val="left"/>
            </w:pPr>
            <w:r>
              <w:rPr>
                <w:sz w:val="18"/>
              </w:rPr>
              <w:t xml:space="preserve">6</w:t>
            </w:r>
          </w:p>
        </w:tc>
        <w:tc>
          <w:tcPr>
            <w:tcW w:w="2676" w:type="dxa"/>
          </w:tcPr>
          <w:p>
            <w:pPr>
              <w:pStyle w:val="Compact"/>
              <w:spacing w:after="40"/>
              <w:jc w:val="left"/>
            </w:pPr>
            <w:r>
              <w:rPr>
                <w:sz w:val="18"/>
              </w:rPr>
              <w:t xml:space="preserve">Contingency plans</w:t>
            </w:r>
          </w:p>
        </w:tc>
        <w:tc>
          <w:tcPr>
            <w:tcW w:w="1859" w:type="dxa"/>
          </w:tcPr>
          <w:p>
            <w:pPr>
              <w:pStyle w:val="Compact"/>
              <w:spacing w:after="40"/>
              <w:jc w:val="left"/>
            </w:pPr>
            <w:r>
              <w:rPr>
                <w:sz w:val="18"/>
              </w:rPr>
              <w:t xml:space="preserve">OUT 34(vi)</w:t>
            </w:r>
          </w:p>
        </w:tc>
        <w:tc>
          <w:tcPr>
            <w:tcW w:w="2079" w:type="dxa"/>
          </w:tcPr>
          <w:p>
            <w:pPr>
              <w:pStyle w:val="Compact"/>
              <w:spacing w:after="40"/>
              <w:jc w:val="left"/>
            </w:pPr>
            <w:r>
              <w:rPr>
                <w:sz w:val="18"/>
              </w:rPr>
              <w:t xml:space="preserve">Cl. 14.1; Sch. 8</w:t>
            </w:r>
          </w:p>
        </w:tc>
        <w:tc>
          <w:tcPr>
            <w:tcW w:w="1829" w:type="dxa"/>
          </w:tcPr>
          <w:p>
            <w:pPr>
              <w:pStyle w:val="Compact"/>
              <w:spacing w:after="40"/>
              <w:jc w:val="left"/>
            </w:pPr>
            <w:r>
              <w:rPr>
                <w:sz w:val="18"/>
              </w:rPr>
              <w:t xml:space="preserve">BCP; drill reports</w:t>
            </w:r>
          </w:p>
        </w:tc>
      </w:tr>
      <w:tr>
        <w:tc>
          <w:tcPr>
            <w:tcW w:w="1195" w:type="dxa"/>
          </w:tcPr>
          <w:p>
            <w:pPr>
              <w:pStyle w:val="Compact"/>
              <w:spacing w:after="40"/>
              <w:jc w:val="left"/>
            </w:pPr>
            <w:r>
              <w:rPr>
                <w:sz w:val="18"/>
              </w:rPr>
              <w:t xml:space="preserve">7</w:t>
            </w:r>
          </w:p>
        </w:tc>
        <w:tc>
          <w:tcPr>
            <w:tcW w:w="2676" w:type="dxa"/>
          </w:tcPr>
          <w:p>
            <w:pPr>
              <w:pStyle w:val="Compact"/>
              <w:spacing w:after="40"/>
              <w:jc w:val="left"/>
            </w:pPr>
            <w:r>
              <w:rPr>
                <w:sz w:val="18"/>
              </w:rPr>
              <w:t xml:space="preserve">Audit rights; copies of audit reports</w:t>
            </w:r>
          </w:p>
        </w:tc>
        <w:tc>
          <w:tcPr>
            <w:tcW w:w="1859" w:type="dxa"/>
          </w:tcPr>
          <w:p>
            <w:pPr>
              <w:pStyle w:val="Compact"/>
              <w:spacing w:after="40"/>
              <w:jc w:val="left"/>
            </w:pPr>
            <w:r>
              <w:rPr>
                <w:sz w:val="18"/>
              </w:rPr>
              <w:t xml:space="preserve">OUT 34(vii); CYB 62(2)(ii)</w:t>
            </w:r>
          </w:p>
        </w:tc>
        <w:tc>
          <w:tcPr>
            <w:tcW w:w="2079" w:type="dxa"/>
          </w:tcPr>
          <w:p>
            <w:pPr>
              <w:pStyle w:val="Compact"/>
              <w:spacing w:after="40"/>
              <w:jc w:val="left"/>
            </w:pPr>
            <w:r>
              <w:rPr>
                <w:sz w:val="18"/>
              </w:rPr>
              <w:t xml:space="preserve">Cl. 9.2, 9.3; Sch. 6</w:t>
            </w:r>
          </w:p>
        </w:tc>
        <w:tc>
          <w:tcPr>
            <w:tcW w:w="1829" w:type="dxa"/>
          </w:tcPr>
          <w:p>
            <w:pPr>
              <w:pStyle w:val="Compact"/>
              <w:spacing w:after="40"/>
              <w:jc w:val="left"/>
            </w:pPr>
            <w:r>
              <w:rPr>
                <w:sz w:val="18"/>
              </w:rPr>
              <w:t xml:space="preserve">Audit reports</w:t>
            </w:r>
          </w:p>
        </w:tc>
      </w:tr>
      <w:tr>
        <w:tc>
          <w:tcPr>
            <w:tcW w:w="1195" w:type="dxa"/>
          </w:tcPr>
          <w:p>
            <w:pPr>
              <w:pStyle w:val="Compact"/>
              <w:spacing w:after="40"/>
              <w:jc w:val="left"/>
            </w:pPr>
            <w:r>
              <w:rPr>
                <w:sz w:val="18"/>
              </w:rPr>
              <w:t xml:space="preserve">8</w:t>
            </w:r>
          </w:p>
        </w:tc>
        <w:tc>
          <w:tcPr>
            <w:tcW w:w="2676" w:type="dxa"/>
          </w:tcPr>
          <w:p>
            <w:pPr>
              <w:pStyle w:val="Compact"/>
              <w:spacing w:after="40"/>
              <w:jc w:val="left"/>
            </w:pPr>
            <w:r>
              <w:rPr>
                <w:sz w:val="18"/>
              </w:rPr>
              <w:t xml:space="preserve">RBI access to records within reasonable time</w:t>
            </w:r>
          </w:p>
        </w:tc>
        <w:tc>
          <w:tcPr>
            <w:tcW w:w="1859" w:type="dxa"/>
          </w:tcPr>
          <w:p>
            <w:pPr>
              <w:pStyle w:val="Compact"/>
              <w:spacing w:after="40"/>
              <w:jc w:val="left"/>
            </w:pPr>
            <w:r>
              <w:rPr>
                <w:sz w:val="18"/>
              </w:rPr>
              <w:t xml:space="preserve">OUT 34(viii); CYB 62(2)(iii)</w:t>
            </w:r>
          </w:p>
        </w:tc>
        <w:tc>
          <w:tcPr>
            <w:tcW w:w="2079" w:type="dxa"/>
          </w:tcPr>
          <w:p>
            <w:pPr>
              <w:pStyle w:val="Compact"/>
              <w:spacing w:after="40"/>
              <w:jc w:val="left"/>
            </w:pPr>
            <w:r>
              <w:rPr>
                <w:sz w:val="18"/>
              </w:rPr>
              <w:t xml:space="preserve">Cl. 9.4; Sch. 6 Pt C</w:t>
            </w:r>
          </w:p>
        </w:tc>
        <w:tc>
          <w:tcPr>
            <w:tcW w:w="1829" w:type="dxa"/>
          </w:tcPr>
          <w:p>
            <w:pPr>
              <w:pStyle w:val="Compact"/>
              <w:spacing w:after="40"/>
              <w:jc w:val="left"/>
            </w:pPr>
            <w:r>
              <w:rPr>
                <w:sz w:val="18"/>
              </w:rPr>
              <w:t xml:space="preserve">Response log</w:t>
            </w:r>
          </w:p>
        </w:tc>
      </w:tr>
      <w:tr>
        <w:tc>
          <w:tcPr>
            <w:tcW w:w="1195" w:type="dxa"/>
          </w:tcPr>
          <w:p>
            <w:pPr>
              <w:pStyle w:val="Compact"/>
              <w:spacing w:after="40"/>
              <w:jc w:val="left"/>
            </w:pPr>
            <w:r>
              <w:rPr>
                <w:sz w:val="18"/>
              </w:rPr>
              <w:t xml:space="preserve">9</w:t>
            </w:r>
          </w:p>
        </w:tc>
        <w:tc>
          <w:tcPr>
            <w:tcW w:w="2676" w:type="dxa"/>
          </w:tcPr>
          <w:p>
            <w:pPr>
              <w:pStyle w:val="Compact"/>
              <w:spacing w:after="40"/>
              <w:jc w:val="left"/>
            </w:pPr>
            <w:r>
              <w:rPr>
                <w:sz w:val="18"/>
              </w:rPr>
              <w:t xml:space="preserve">RBI inspection of the Service Provider</w:t>
            </w:r>
          </w:p>
        </w:tc>
        <w:tc>
          <w:tcPr>
            <w:tcW w:w="1859" w:type="dxa"/>
          </w:tcPr>
          <w:p>
            <w:pPr>
              <w:pStyle w:val="Compact"/>
              <w:spacing w:after="40"/>
              <w:jc w:val="left"/>
            </w:pPr>
            <w:r>
              <w:rPr>
                <w:sz w:val="18"/>
              </w:rPr>
              <w:t xml:space="preserve">OUT 34(ix)</w:t>
            </w:r>
          </w:p>
        </w:tc>
        <w:tc>
          <w:tcPr>
            <w:tcW w:w="2079" w:type="dxa"/>
          </w:tcPr>
          <w:p>
            <w:pPr>
              <w:pStyle w:val="Compact"/>
              <w:spacing w:after="40"/>
              <w:jc w:val="left"/>
            </w:pPr>
            <w:r>
              <w:rPr>
                <w:sz w:val="18"/>
              </w:rPr>
              <w:t xml:space="preserve">Cl. 9.5</w:t>
            </w:r>
          </w:p>
        </w:tc>
        <w:tc>
          <w:tcPr>
            <w:tcW w:w="1829" w:type="dxa"/>
          </w:tcPr>
          <w:p>
            <w:pPr>
              <w:pStyle w:val="Compact"/>
              <w:spacing w:after="40"/>
              <w:jc w:val="left"/>
            </w:pPr>
            <w:r>
              <w:rPr>
                <w:sz w:val="18"/>
              </w:rPr>
              <w:t xml:space="preserve">Clause text</w:t>
            </w:r>
          </w:p>
        </w:tc>
      </w:tr>
      <w:tr>
        <w:tc>
          <w:tcPr>
            <w:tcW w:w="1195" w:type="dxa"/>
          </w:tcPr>
          <w:p>
            <w:pPr>
              <w:pStyle w:val="Compact"/>
              <w:spacing w:after="40"/>
              <w:jc w:val="left"/>
            </w:pPr>
            <w:r>
              <w:rPr>
                <w:sz w:val="18"/>
              </w:rPr>
              <w:t xml:space="preserve">10</w:t>
            </w:r>
          </w:p>
        </w:tc>
        <w:tc>
          <w:tcPr>
            <w:tcW w:w="2676" w:type="dxa"/>
          </w:tcPr>
          <w:p>
            <w:pPr>
              <w:pStyle w:val="Compact"/>
              <w:spacing w:after="40"/>
              <w:jc w:val="left"/>
            </w:pPr>
            <w:r>
              <w:rPr>
                <w:sz w:val="18"/>
              </w:rPr>
              <w:t xml:space="preserve">Termination clause and minimum period</w:t>
            </w:r>
          </w:p>
        </w:tc>
        <w:tc>
          <w:tcPr>
            <w:tcW w:w="1859" w:type="dxa"/>
          </w:tcPr>
          <w:p>
            <w:pPr>
              <w:pStyle w:val="Compact"/>
              <w:spacing w:after="40"/>
              <w:jc w:val="left"/>
            </w:pPr>
            <w:r>
              <w:rPr>
                <w:sz w:val="18"/>
              </w:rPr>
              <w:t xml:space="preserve">OUT 34(x)</w:t>
            </w:r>
          </w:p>
        </w:tc>
        <w:tc>
          <w:tcPr>
            <w:tcW w:w="2079" w:type="dxa"/>
          </w:tcPr>
          <w:p>
            <w:pPr>
              <w:pStyle w:val="Compact"/>
              <w:spacing w:after="40"/>
              <w:jc w:val="left"/>
            </w:pPr>
            <w:r>
              <w:rPr>
                <w:sz w:val="18"/>
              </w:rPr>
              <w:t xml:space="preserve">Cl. 24.4, 24.7; Sch. 9 Pt B</w:t>
            </w:r>
          </w:p>
        </w:tc>
        <w:tc>
          <w:tcPr>
            <w:tcW w:w="1829" w:type="dxa"/>
          </w:tcPr>
          <w:p>
            <w:pPr>
              <w:pStyle w:val="Compact"/>
              <w:spacing w:after="40"/>
              <w:jc w:val="left"/>
            </w:pPr>
            <w:r>
              <w:rPr>
                <w:sz w:val="18"/>
              </w:rPr>
              <w:t xml:space="preserve">Clause text</w:t>
            </w:r>
          </w:p>
        </w:tc>
      </w:tr>
      <w:tr>
        <w:tc>
          <w:tcPr>
            <w:tcW w:w="1195" w:type="dxa"/>
          </w:tcPr>
          <w:p>
            <w:pPr>
              <w:pStyle w:val="Compact"/>
              <w:spacing w:after="40"/>
              <w:jc w:val="left"/>
            </w:pPr>
            <w:r>
              <w:rPr>
                <w:sz w:val="18"/>
              </w:rPr>
              <w:t xml:space="preserve">11</w:t>
            </w:r>
          </w:p>
        </w:tc>
        <w:tc>
          <w:tcPr>
            <w:tcW w:w="2676" w:type="dxa"/>
          </w:tcPr>
          <w:p>
            <w:pPr>
              <w:pStyle w:val="Compact"/>
              <w:spacing w:after="40"/>
              <w:jc w:val="left"/>
            </w:pPr>
            <w:r>
              <w:rPr>
                <w:sz w:val="18"/>
              </w:rPr>
              <w:t xml:space="preserve">Customer confidentiality survives termination</w:t>
            </w:r>
          </w:p>
        </w:tc>
        <w:tc>
          <w:tcPr>
            <w:tcW w:w="1859" w:type="dxa"/>
          </w:tcPr>
          <w:p>
            <w:pPr>
              <w:pStyle w:val="Compact"/>
              <w:spacing w:after="40"/>
              <w:jc w:val="left"/>
            </w:pPr>
            <w:r>
              <w:rPr>
                <w:sz w:val="18"/>
              </w:rPr>
              <w:t xml:space="preserve">OUT 34(xi)</w:t>
            </w:r>
          </w:p>
        </w:tc>
        <w:tc>
          <w:tcPr>
            <w:tcW w:w="2079" w:type="dxa"/>
          </w:tcPr>
          <w:p>
            <w:pPr>
              <w:pStyle w:val="Compact"/>
              <w:spacing w:after="40"/>
              <w:jc w:val="left"/>
            </w:pPr>
            <w:r>
              <w:rPr>
                <w:sz w:val="18"/>
              </w:rPr>
              <w:t xml:space="preserve">Cl. 18.6; Form 15B</w:t>
            </w:r>
          </w:p>
        </w:tc>
        <w:tc>
          <w:tcPr>
            <w:tcW w:w="1829" w:type="dxa"/>
          </w:tcPr>
          <w:p>
            <w:pPr>
              <w:pStyle w:val="Compact"/>
              <w:spacing w:after="40"/>
              <w:jc w:val="left"/>
            </w:pPr>
            <w:r>
              <w:rPr>
                <w:sz w:val="18"/>
              </w:rPr>
              <w:t xml:space="preserve">Clause text</w:t>
            </w:r>
          </w:p>
        </w:tc>
      </w:tr>
      <w:tr>
        <w:tc>
          <w:tcPr>
            <w:tcW w:w="1195" w:type="dxa"/>
          </w:tcPr>
          <w:p>
            <w:pPr>
              <w:pStyle w:val="Compact"/>
              <w:spacing w:after="40"/>
              <w:jc w:val="left"/>
            </w:pPr>
            <w:r>
              <w:rPr>
                <w:sz w:val="18"/>
              </w:rPr>
              <w:t xml:space="preserve">12</w:t>
            </w:r>
          </w:p>
        </w:tc>
        <w:tc>
          <w:tcPr>
            <w:tcW w:w="2676" w:type="dxa"/>
          </w:tcPr>
          <w:p>
            <w:pPr>
              <w:pStyle w:val="Compact"/>
              <w:spacing w:after="40"/>
              <w:jc w:val="left"/>
            </w:pPr>
            <w:r>
              <w:rPr>
                <w:sz w:val="18"/>
              </w:rPr>
              <w:t xml:space="preserve">Preservation of documents and data</w:t>
            </w:r>
          </w:p>
        </w:tc>
        <w:tc>
          <w:tcPr>
            <w:tcW w:w="1859" w:type="dxa"/>
          </w:tcPr>
          <w:p>
            <w:pPr>
              <w:pStyle w:val="Compact"/>
              <w:spacing w:after="40"/>
              <w:jc w:val="left"/>
            </w:pPr>
            <w:r>
              <w:rPr>
                <w:sz w:val="18"/>
              </w:rPr>
              <w:t xml:space="preserve">OUT 34(xii)</w:t>
            </w:r>
          </w:p>
        </w:tc>
        <w:tc>
          <w:tcPr>
            <w:tcW w:w="2079" w:type="dxa"/>
          </w:tcPr>
          <w:p>
            <w:pPr>
              <w:pStyle w:val="Compact"/>
              <w:spacing w:after="40"/>
              <w:jc w:val="left"/>
            </w:pPr>
            <w:r>
              <w:rPr>
                <w:sz w:val="18"/>
              </w:rPr>
              <w:t xml:space="preserve">Cl. 10.9; Sch. 4 Pt F</w:t>
            </w:r>
          </w:p>
        </w:tc>
        <w:tc>
          <w:tcPr>
            <w:tcW w:w="1829" w:type="dxa"/>
          </w:tcPr>
          <w:p>
            <w:pPr>
              <w:pStyle w:val="Compact"/>
              <w:spacing w:after="40"/>
              <w:jc w:val="left"/>
            </w:pPr>
            <w:r>
              <w:rPr>
                <w:sz w:val="18"/>
              </w:rPr>
              <w:t xml:space="preserve">Retention configuration</w:t>
            </w:r>
          </w:p>
        </w:tc>
      </w:tr>
    </w:tbl>
    <w:bookmarkEnd w:id="157"/>
    <w:bookmarkStart w:id="158" w:name="part-b-out-para-74"/>
    <w:p>
      <w:pPr>
        <w:pStyle w:val="Heading2"/>
      </w:pPr>
      <w:r>
        <w:t xml:space="preserve">Part B — OUT para 74</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77"/>
        <w:gridCol w:w="2761"/>
        <w:gridCol w:w="1594"/>
        <w:gridCol w:w="2125"/>
        <w:gridCol w:w="1881"/>
      </w:tblGrid>
      <w:tr>
        <w:trPr>
          <w:tblHeader w:val="true"/>
          <w:tblHeader w:val="true"/>
        </w:trPr>
        <w:tc>
          <w:tcPr>
            <w:tcW w:w="1277" w:type="dxa"/>
            <w:shd w:val="clear" w:color="auto" w:fill="1F3A5F"/>
          </w:tcPr>
          <w:p>
            <w:pPr>
              <w:pStyle w:val="Compact"/>
              <w:spacing w:after="40"/>
              <w:jc w:val="left"/>
            </w:pPr>
            <w:r>
              <w:rPr>
                <w:b/>
                <w:color w:val="FFFFFF"/>
                <w:sz w:val="18"/>
              </w:rPr>
              <w:t xml:space="preserve">#</w:t>
            </w:r>
          </w:p>
        </w:tc>
        <w:tc>
          <w:tcPr>
            <w:tcW w:w="2761" w:type="dxa"/>
            <w:shd w:val="clear" w:color="auto" w:fill="1F3A5F"/>
          </w:tcPr>
          <w:p>
            <w:pPr>
              <w:pStyle w:val="Compact"/>
              <w:spacing w:after="40"/>
              <w:jc w:val="left"/>
            </w:pPr>
            <w:r>
              <w:rPr>
                <w:b/>
                <w:color w:val="FFFFFF"/>
                <w:sz w:val="18"/>
              </w:rPr>
              <w:t xml:space="preserve">Requirement</w:t>
            </w:r>
          </w:p>
        </w:tc>
        <w:tc>
          <w:tcPr>
            <w:tcW w:w="1594" w:type="dxa"/>
            <w:shd w:val="clear" w:color="auto" w:fill="1F3A5F"/>
          </w:tcPr>
          <w:p>
            <w:pPr>
              <w:pStyle w:val="Compact"/>
              <w:spacing w:after="40"/>
              <w:jc w:val="left"/>
            </w:pPr>
            <w:r>
              <w:rPr>
                <w:b/>
                <w:color w:val="FFFFFF"/>
                <w:sz w:val="18"/>
              </w:rPr>
              <w:t xml:space="preserve">Source</w:t>
            </w:r>
          </w:p>
        </w:tc>
        <w:tc>
          <w:tcPr>
            <w:tcW w:w="2125" w:type="dxa"/>
            <w:shd w:val="clear" w:color="auto" w:fill="1F3A5F"/>
          </w:tcPr>
          <w:p>
            <w:pPr>
              <w:pStyle w:val="Compact"/>
              <w:spacing w:after="40"/>
              <w:jc w:val="left"/>
            </w:pPr>
            <w:r>
              <w:rPr>
                <w:b/>
                <w:color w:val="FFFFFF"/>
                <w:sz w:val="18"/>
              </w:rPr>
              <w:t xml:space="preserve">Implemented in</w:t>
            </w:r>
          </w:p>
        </w:tc>
        <w:tc>
          <w:tcPr>
            <w:tcW w:w="1881" w:type="dxa"/>
            <w:shd w:val="clear" w:color="auto" w:fill="1F3A5F"/>
          </w:tcPr>
          <w:p>
            <w:pPr>
              <w:pStyle w:val="Compact"/>
              <w:spacing w:after="40"/>
              <w:jc w:val="left"/>
            </w:pPr>
            <w:r>
              <w:rPr>
                <w:b/>
                <w:color w:val="FFFFFF"/>
                <w:sz w:val="18"/>
              </w:rPr>
              <w:t xml:space="preserve">Evidence</w:t>
            </w:r>
          </w:p>
        </w:tc>
      </w:tr>
      <w:tr>
        <w:tc>
          <w:tcPr>
            <w:tcW w:w="1277" w:type="dxa"/>
          </w:tcPr>
          <w:p>
            <w:pPr>
              <w:pStyle w:val="Compact"/>
              <w:spacing w:after="40"/>
              <w:jc w:val="left"/>
            </w:pPr>
            <w:r>
              <w:rPr>
                <w:sz w:val="18"/>
              </w:rPr>
              <w:t xml:space="preserve">13</w:t>
            </w:r>
          </w:p>
        </w:tc>
        <w:tc>
          <w:tcPr>
            <w:tcW w:w="2761" w:type="dxa"/>
          </w:tcPr>
          <w:p>
            <w:pPr>
              <w:pStyle w:val="Compact"/>
              <w:spacing w:after="40"/>
              <w:jc w:val="left"/>
            </w:pPr>
            <w:r>
              <w:rPr>
                <w:sz w:val="18"/>
              </w:rPr>
              <w:t xml:space="preserve">Sub-contractors bound to standards and audit</w:t>
            </w:r>
          </w:p>
        </w:tc>
        <w:tc>
          <w:tcPr>
            <w:tcW w:w="1594" w:type="dxa"/>
          </w:tcPr>
          <w:p>
            <w:pPr>
              <w:pStyle w:val="Compact"/>
              <w:spacing w:after="40"/>
              <w:jc w:val="left"/>
            </w:pPr>
            <w:r>
              <w:rPr>
                <w:sz w:val="18"/>
              </w:rPr>
              <w:t xml:space="preserve">OUT 74(i)</w:t>
            </w:r>
          </w:p>
        </w:tc>
        <w:tc>
          <w:tcPr>
            <w:tcW w:w="2125" w:type="dxa"/>
          </w:tcPr>
          <w:p>
            <w:pPr>
              <w:pStyle w:val="Compact"/>
              <w:spacing w:after="40"/>
              <w:jc w:val="left"/>
            </w:pPr>
            <w:r>
              <w:rPr>
                <w:sz w:val="18"/>
              </w:rPr>
              <w:t xml:space="preserve">Cl. 9.2, 13.3</w:t>
            </w:r>
          </w:p>
        </w:tc>
        <w:tc>
          <w:tcPr>
            <w:tcW w:w="1881" w:type="dxa"/>
          </w:tcPr>
          <w:p>
            <w:pPr>
              <w:pStyle w:val="Compact"/>
              <w:spacing w:after="40"/>
              <w:jc w:val="left"/>
            </w:pPr>
            <w:r>
              <w:rPr>
                <w:sz w:val="18"/>
              </w:rPr>
              <w:t xml:space="preserve">Sub-contract extracts</w:t>
            </w:r>
          </w:p>
        </w:tc>
      </w:tr>
      <w:tr>
        <w:tc>
          <w:tcPr>
            <w:tcW w:w="1277" w:type="dxa"/>
          </w:tcPr>
          <w:p>
            <w:pPr>
              <w:pStyle w:val="Compact"/>
              <w:spacing w:after="40"/>
              <w:jc w:val="left"/>
            </w:pPr>
            <w:r>
              <w:rPr>
                <w:sz w:val="18"/>
              </w:rPr>
              <w:t xml:space="preserve">14</w:t>
            </w:r>
          </w:p>
        </w:tc>
        <w:tc>
          <w:tcPr>
            <w:tcW w:w="2761" w:type="dxa"/>
          </w:tcPr>
          <w:p>
            <w:pPr>
              <w:pStyle w:val="Compact"/>
              <w:spacing w:after="40"/>
              <w:jc w:val="left"/>
            </w:pPr>
            <w:r>
              <w:rPr>
                <w:sz w:val="18"/>
              </w:rPr>
              <w:t xml:space="preserve">Access to data, logs, alerts and premises</w:t>
            </w:r>
          </w:p>
        </w:tc>
        <w:tc>
          <w:tcPr>
            <w:tcW w:w="1594" w:type="dxa"/>
          </w:tcPr>
          <w:p>
            <w:pPr>
              <w:pStyle w:val="Compact"/>
              <w:spacing w:after="40"/>
              <w:jc w:val="left"/>
            </w:pPr>
            <w:r>
              <w:rPr>
                <w:sz w:val="18"/>
              </w:rPr>
              <w:t xml:space="preserve">OUT 74(ii)</w:t>
            </w:r>
          </w:p>
        </w:tc>
        <w:tc>
          <w:tcPr>
            <w:tcW w:w="2125" w:type="dxa"/>
          </w:tcPr>
          <w:p>
            <w:pPr>
              <w:pStyle w:val="Compact"/>
              <w:spacing w:after="40"/>
              <w:jc w:val="left"/>
            </w:pPr>
            <w:r>
              <w:rPr>
                <w:sz w:val="18"/>
              </w:rPr>
              <w:t xml:space="preserve">Cl. 9.1</w:t>
            </w:r>
          </w:p>
        </w:tc>
        <w:tc>
          <w:tcPr>
            <w:tcW w:w="1881" w:type="dxa"/>
          </w:tcPr>
          <w:p>
            <w:pPr>
              <w:pStyle w:val="Compact"/>
              <w:spacing w:after="40"/>
              <w:jc w:val="left"/>
            </w:pPr>
            <w:r>
              <w:rPr>
                <w:sz w:val="18"/>
              </w:rPr>
              <w:t xml:space="preserve">Access records</w:t>
            </w:r>
          </w:p>
        </w:tc>
      </w:tr>
      <w:tr>
        <w:tc>
          <w:tcPr>
            <w:tcW w:w="1277" w:type="dxa"/>
          </w:tcPr>
          <w:p>
            <w:pPr>
              <w:pStyle w:val="Compact"/>
              <w:spacing w:after="40"/>
              <w:jc w:val="left"/>
            </w:pPr>
            <w:r>
              <w:rPr>
                <w:sz w:val="18"/>
              </w:rPr>
              <w:t xml:space="preserve">15</w:t>
            </w:r>
          </w:p>
        </w:tc>
        <w:tc>
          <w:tcPr>
            <w:tcW w:w="2761" w:type="dxa"/>
          </w:tcPr>
          <w:p>
            <w:pPr>
              <w:pStyle w:val="Compact"/>
              <w:spacing w:after="40"/>
              <w:jc w:val="left"/>
            </w:pPr>
            <w:r>
              <w:rPr>
                <w:sz w:val="18"/>
              </w:rPr>
              <w:t xml:space="preserve">Material adverse events to be reported</w:t>
            </w:r>
          </w:p>
        </w:tc>
        <w:tc>
          <w:tcPr>
            <w:tcW w:w="1594" w:type="dxa"/>
          </w:tcPr>
          <w:p>
            <w:pPr>
              <w:pStyle w:val="Compact"/>
              <w:spacing w:after="40"/>
              <w:jc w:val="left"/>
            </w:pPr>
            <w:r>
              <w:rPr>
                <w:sz w:val="18"/>
              </w:rPr>
              <w:t xml:space="preserve">OUT 74(iii)</w:t>
            </w:r>
          </w:p>
        </w:tc>
        <w:tc>
          <w:tcPr>
            <w:tcW w:w="2125" w:type="dxa"/>
          </w:tcPr>
          <w:p>
            <w:pPr>
              <w:pStyle w:val="Compact"/>
              <w:spacing w:after="40"/>
              <w:jc w:val="left"/>
            </w:pPr>
            <w:r>
              <w:rPr>
                <w:sz w:val="18"/>
              </w:rPr>
              <w:t xml:space="preserve">Cl. 1.1, 12.2; Sch. 7 Pt A</w:t>
            </w:r>
          </w:p>
        </w:tc>
        <w:tc>
          <w:tcPr>
            <w:tcW w:w="1881" w:type="dxa"/>
          </w:tcPr>
          <w:p>
            <w:pPr>
              <w:pStyle w:val="Compact"/>
              <w:spacing w:after="40"/>
              <w:jc w:val="left"/>
            </w:pPr>
            <w:r>
              <w:rPr>
                <w:sz w:val="18"/>
              </w:rPr>
              <w:t xml:space="preserve">Incident register</w:t>
            </w:r>
          </w:p>
        </w:tc>
      </w:tr>
      <w:tr>
        <w:tc>
          <w:tcPr>
            <w:tcW w:w="1277" w:type="dxa"/>
          </w:tcPr>
          <w:p>
            <w:pPr>
              <w:pStyle w:val="Compact"/>
              <w:spacing w:after="40"/>
              <w:jc w:val="left"/>
            </w:pPr>
            <w:r>
              <w:rPr>
                <w:sz w:val="18"/>
              </w:rPr>
              <w:t xml:space="preserve">16</w:t>
            </w:r>
          </w:p>
        </w:tc>
        <w:tc>
          <w:tcPr>
            <w:tcW w:w="2761" w:type="dxa"/>
          </w:tcPr>
          <w:p>
            <w:pPr>
              <w:pStyle w:val="Compact"/>
              <w:spacing w:after="40"/>
              <w:jc w:val="left"/>
            </w:pPr>
            <w:r>
              <w:rPr>
                <w:sz w:val="18"/>
              </w:rPr>
              <w:t xml:space="preserve">IT Act and legal requirements to protect customer data</w:t>
            </w:r>
          </w:p>
        </w:tc>
        <w:tc>
          <w:tcPr>
            <w:tcW w:w="1594" w:type="dxa"/>
          </w:tcPr>
          <w:p>
            <w:pPr>
              <w:pStyle w:val="Compact"/>
              <w:spacing w:after="40"/>
              <w:jc w:val="left"/>
            </w:pPr>
            <w:r>
              <w:rPr>
                <w:sz w:val="18"/>
              </w:rPr>
              <w:t xml:space="preserve">OUT 74(iv)</w:t>
            </w:r>
          </w:p>
        </w:tc>
        <w:tc>
          <w:tcPr>
            <w:tcW w:w="2125" w:type="dxa"/>
          </w:tcPr>
          <w:p>
            <w:pPr>
              <w:pStyle w:val="Compact"/>
              <w:spacing w:after="40"/>
              <w:jc w:val="left"/>
            </w:pPr>
            <w:r>
              <w:rPr>
                <w:sz w:val="18"/>
              </w:rPr>
              <w:t xml:space="preserve">Cl. 8.2, 10.14</w:t>
            </w:r>
          </w:p>
        </w:tc>
        <w:tc>
          <w:tcPr>
            <w:tcW w:w="1881" w:type="dxa"/>
          </w:tcPr>
          <w:p>
            <w:pPr>
              <w:pStyle w:val="Compact"/>
              <w:spacing w:after="40"/>
              <w:jc w:val="left"/>
            </w:pPr>
            <w:r>
              <w:rPr>
                <w:sz w:val="18"/>
              </w:rPr>
              <w:t xml:space="preserve">ISMS; certifications</w:t>
            </w:r>
          </w:p>
        </w:tc>
      </w:tr>
      <w:tr>
        <w:tc>
          <w:tcPr>
            <w:tcW w:w="1277" w:type="dxa"/>
          </w:tcPr>
          <w:p>
            <w:pPr>
              <w:pStyle w:val="Compact"/>
              <w:spacing w:after="40"/>
              <w:jc w:val="left"/>
            </w:pPr>
            <w:r>
              <w:rPr>
                <w:sz w:val="18"/>
              </w:rPr>
              <w:t xml:space="preserve">17</w:t>
            </w:r>
          </w:p>
        </w:tc>
        <w:tc>
          <w:tcPr>
            <w:tcW w:w="2761" w:type="dxa"/>
          </w:tcPr>
          <w:p>
            <w:pPr>
              <w:pStyle w:val="Compact"/>
              <w:spacing w:after="40"/>
              <w:jc w:val="left"/>
            </w:pPr>
            <w:r>
              <w:rPr>
                <w:sz w:val="18"/>
              </w:rPr>
              <w:t xml:space="preserve">SLAs with performance criteria</w:t>
            </w:r>
          </w:p>
        </w:tc>
        <w:tc>
          <w:tcPr>
            <w:tcW w:w="1594" w:type="dxa"/>
          </w:tcPr>
          <w:p>
            <w:pPr>
              <w:pStyle w:val="Compact"/>
              <w:spacing w:after="40"/>
              <w:jc w:val="left"/>
            </w:pPr>
            <w:r>
              <w:rPr>
                <w:sz w:val="18"/>
              </w:rPr>
              <w:t xml:space="preserve">OUT 74(v)</w:t>
            </w:r>
          </w:p>
        </w:tc>
        <w:tc>
          <w:tcPr>
            <w:tcW w:w="2125" w:type="dxa"/>
          </w:tcPr>
          <w:p>
            <w:pPr>
              <w:pStyle w:val="Compact"/>
              <w:spacing w:after="40"/>
              <w:jc w:val="left"/>
            </w:pPr>
            <w:r>
              <w:rPr>
                <w:sz w:val="18"/>
              </w:rPr>
              <w:t xml:space="preserve">Cl. 6.1; Sch. 3</w:t>
            </w:r>
          </w:p>
        </w:tc>
        <w:tc>
          <w:tcPr>
            <w:tcW w:w="1881" w:type="dxa"/>
          </w:tcPr>
          <w:p>
            <w:pPr>
              <w:pStyle w:val="Compact"/>
              <w:spacing w:after="40"/>
              <w:jc w:val="left"/>
            </w:pPr>
            <w:r>
              <w:rPr>
                <w:sz w:val="18"/>
              </w:rPr>
              <w:t xml:space="preserve">SLA reports</w:t>
            </w:r>
          </w:p>
        </w:tc>
      </w:tr>
      <w:tr>
        <w:tc>
          <w:tcPr>
            <w:tcW w:w="1277" w:type="dxa"/>
          </w:tcPr>
          <w:p>
            <w:pPr>
              <w:pStyle w:val="Compact"/>
              <w:spacing w:after="40"/>
              <w:jc w:val="left"/>
            </w:pPr>
            <w:r>
              <w:rPr>
                <w:sz w:val="18"/>
              </w:rPr>
              <w:t xml:space="preserve">18</w:t>
            </w:r>
          </w:p>
        </w:tc>
        <w:tc>
          <w:tcPr>
            <w:tcW w:w="2761" w:type="dxa"/>
          </w:tcPr>
          <w:p>
            <w:pPr>
              <w:pStyle w:val="Compact"/>
              <w:spacing w:after="40"/>
              <w:jc w:val="left"/>
            </w:pPr>
            <w:r>
              <w:rPr>
                <w:sz w:val="18"/>
              </w:rPr>
              <w:t xml:space="preserve">Data stored only in India</w:t>
            </w:r>
          </w:p>
        </w:tc>
        <w:tc>
          <w:tcPr>
            <w:tcW w:w="1594" w:type="dxa"/>
          </w:tcPr>
          <w:p>
            <w:pPr>
              <w:pStyle w:val="Compact"/>
              <w:spacing w:after="40"/>
              <w:jc w:val="left"/>
            </w:pPr>
            <w:r>
              <w:rPr>
                <w:sz w:val="18"/>
              </w:rPr>
              <w:t xml:space="preserve">OUT 74(vi)</w:t>
            </w:r>
          </w:p>
        </w:tc>
        <w:tc>
          <w:tcPr>
            <w:tcW w:w="2125" w:type="dxa"/>
          </w:tcPr>
          <w:p>
            <w:pPr>
              <w:pStyle w:val="Compact"/>
              <w:spacing w:after="40"/>
              <w:jc w:val="left"/>
            </w:pPr>
            <w:r>
              <w:rPr>
                <w:sz w:val="18"/>
              </w:rPr>
              <w:t xml:space="preserve">Cl. 10.4; Sch. 4 Pt E; Form 15D</w:t>
            </w:r>
          </w:p>
        </w:tc>
        <w:tc>
          <w:tcPr>
            <w:tcW w:w="1881" w:type="dxa"/>
          </w:tcPr>
          <w:p>
            <w:pPr>
              <w:pStyle w:val="Compact"/>
              <w:spacing w:after="40"/>
              <w:jc w:val="left"/>
            </w:pPr>
            <w:r>
              <w:rPr>
                <w:sz w:val="18"/>
              </w:rPr>
              <w:t xml:space="preserve">Architecture; declaration</w:t>
            </w:r>
          </w:p>
        </w:tc>
      </w:tr>
      <w:tr>
        <w:tc>
          <w:tcPr>
            <w:tcW w:w="1277" w:type="dxa"/>
          </w:tcPr>
          <w:p>
            <w:pPr>
              <w:pStyle w:val="Compact"/>
              <w:spacing w:after="40"/>
              <w:jc w:val="left"/>
            </w:pPr>
            <w:r>
              <w:rPr>
                <w:sz w:val="18"/>
              </w:rPr>
              <w:t xml:space="preserve">19</w:t>
            </w:r>
          </w:p>
        </w:tc>
        <w:tc>
          <w:tcPr>
            <w:tcW w:w="2761" w:type="dxa"/>
          </w:tcPr>
          <w:p>
            <w:pPr>
              <w:pStyle w:val="Compact"/>
              <w:spacing w:after="40"/>
              <w:jc w:val="left"/>
            </w:pPr>
            <w:r>
              <w:rPr>
                <w:sz w:val="18"/>
              </w:rPr>
              <w:t xml:space="preserve">Details of data captured, processed and stored</w:t>
            </w:r>
          </w:p>
        </w:tc>
        <w:tc>
          <w:tcPr>
            <w:tcW w:w="1594" w:type="dxa"/>
          </w:tcPr>
          <w:p>
            <w:pPr>
              <w:pStyle w:val="Compact"/>
              <w:spacing w:after="40"/>
              <w:jc w:val="left"/>
            </w:pPr>
            <w:r>
              <w:rPr>
                <w:sz w:val="18"/>
              </w:rPr>
              <w:t xml:space="preserve">OUT 74(vii)</w:t>
            </w:r>
          </w:p>
        </w:tc>
        <w:tc>
          <w:tcPr>
            <w:tcW w:w="2125" w:type="dxa"/>
          </w:tcPr>
          <w:p>
            <w:pPr>
              <w:pStyle w:val="Compact"/>
              <w:spacing w:after="40"/>
              <w:jc w:val="left"/>
            </w:pPr>
            <w:r>
              <w:rPr>
                <w:sz w:val="18"/>
              </w:rPr>
              <w:t xml:space="preserve">Cl. 8.14, 10.7; Sch. 4 Pt B</w:t>
            </w:r>
          </w:p>
        </w:tc>
        <w:tc>
          <w:tcPr>
            <w:tcW w:w="1881" w:type="dxa"/>
          </w:tcPr>
          <w:p>
            <w:pPr>
              <w:pStyle w:val="Compact"/>
              <w:spacing w:after="40"/>
              <w:jc w:val="left"/>
            </w:pPr>
            <w:r>
              <w:rPr>
                <w:sz w:val="18"/>
              </w:rPr>
              <w:t xml:space="preserve">Data inventory</w:t>
            </w:r>
          </w:p>
        </w:tc>
      </w:tr>
      <w:tr>
        <w:tc>
          <w:tcPr>
            <w:tcW w:w="1277" w:type="dxa"/>
          </w:tcPr>
          <w:p>
            <w:pPr>
              <w:pStyle w:val="Compact"/>
              <w:spacing w:after="40"/>
              <w:jc w:val="left"/>
            </w:pPr>
            <w:r>
              <w:rPr>
                <w:sz w:val="18"/>
              </w:rPr>
              <w:t xml:space="preserve">20</w:t>
            </w:r>
          </w:p>
        </w:tc>
        <w:tc>
          <w:tcPr>
            <w:tcW w:w="2761" w:type="dxa"/>
          </w:tcPr>
          <w:p>
            <w:pPr>
              <w:pStyle w:val="Compact"/>
              <w:spacing w:after="40"/>
              <w:jc w:val="left"/>
            </w:pPr>
            <w:r>
              <w:rPr>
                <w:sz w:val="18"/>
              </w:rPr>
              <w:t xml:space="preserve">Data the vendor may share with customers or others</w:t>
            </w:r>
          </w:p>
        </w:tc>
        <w:tc>
          <w:tcPr>
            <w:tcW w:w="1594" w:type="dxa"/>
          </w:tcPr>
          <w:p>
            <w:pPr>
              <w:pStyle w:val="Compact"/>
              <w:spacing w:after="40"/>
              <w:jc w:val="left"/>
            </w:pPr>
            <w:r>
              <w:rPr>
                <w:sz w:val="18"/>
              </w:rPr>
              <w:t xml:space="preserve">OUT 74(viii)</w:t>
            </w:r>
          </w:p>
        </w:tc>
        <w:tc>
          <w:tcPr>
            <w:tcW w:w="2125" w:type="dxa"/>
          </w:tcPr>
          <w:p>
            <w:pPr>
              <w:pStyle w:val="Compact"/>
              <w:spacing w:after="40"/>
              <w:jc w:val="left"/>
            </w:pPr>
            <w:r>
              <w:rPr>
                <w:sz w:val="18"/>
              </w:rPr>
              <w:t xml:space="preserve">Cl. 10.7; Sch. 4 Pt E</w:t>
            </w:r>
          </w:p>
        </w:tc>
        <w:tc>
          <w:tcPr>
            <w:tcW w:w="1881" w:type="dxa"/>
          </w:tcPr>
          <w:p>
            <w:pPr>
              <w:pStyle w:val="Compact"/>
              <w:spacing w:after="40"/>
              <w:jc w:val="left"/>
            </w:pPr>
            <w:r>
              <w:rPr>
                <w:sz w:val="18"/>
              </w:rPr>
              <w:t xml:space="preserve">Sharing table</w:t>
            </w:r>
          </w:p>
        </w:tc>
      </w:tr>
      <w:tr>
        <w:tc>
          <w:tcPr>
            <w:tcW w:w="1277" w:type="dxa"/>
          </w:tcPr>
          <w:p>
            <w:pPr>
              <w:pStyle w:val="Compact"/>
              <w:spacing w:after="40"/>
              <w:jc w:val="left"/>
            </w:pPr>
            <w:r>
              <w:rPr>
                <w:sz w:val="18"/>
              </w:rPr>
              <w:t xml:space="preserve">21</w:t>
            </w:r>
          </w:p>
        </w:tc>
        <w:tc>
          <w:tcPr>
            <w:tcW w:w="2761" w:type="dxa"/>
          </w:tcPr>
          <w:p>
            <w:pPr>
              <w:pStyle w:val="Compact"/>
              <w:spacing w:after="40"/>
              <w:jc w:val="left"/>
            </w:pPr>
            <w:r>
              <w:rPr>
                <w:sz w:val="18"/>
              </w:rPr>
              <w:t xml:space="preserve">Resolution, default, indemnities, remedies</w:t>
            </w:r>
          </w:p>
        </w:tc>
        <w:tc>
          <w:tcPr>
            <w:tcW w:w="1594" w:type="dxa"/>
          </w:tcPr>
          <w:p>
            <w:pPr>
              <w:pStyle w:val="Compact"/>
              <w:spacing w:after="40"/>
              <w:jc w:val="left"/>
            </w:pPr>
            <w:r>
              <w:rPr>
                <w:sz w:val="18"/>
              </w:rPr>
              <w:t xml:space="preserve">OUT 74(ix)</w:t>
            </w:r>
          </w:p>
        </w:tc>
        <w:tc>
          <w:tcPr>
            <w:tcW w:w="2125" w:type="dxa"/>
          </w:tcPr>
          <w:p>
            <w:pPr>
              <w:pStyle w:val="Compact"/>
              <w:spacing w:after="40"/>
              <w:jc w:val="left"/>
            </w:pPr>
            <w:r>
              <w:rPr>
                <w:sz w:val="18"/>
              </w:rPr>
              <w:t xml:space="preserve">Cl. 21.6; Art. 6, 21, 22, 24, 30</w:t>
            </w:r>
          </w:p>
        </w:tc>
        <w:tc>
          <w:tcPr>
            <w:tcW w:w="1881" w:type="dxa"/>
          </w:tcPr>
          <w:p>
            <w:pPr>
              <w:pStyle w:val="Compact"/>
              <w:spacing w:after="40"/>
              <w:jc w:val="left"/>
            </w:pPr>
            <w:r>
              <w:rPr>
                <w:sz w:val="18"/>
              </w:rPr>
              <w:t xml:space="preserve">Clause text</w:t>
            </w:r>
          </w:p>
        </w:tc>
      </w:tr>
      <w:tr>
        <w:tc>
          <w:tcPr>
            <w:tcW w:w="1277" w:type="dxa"/>
          </w:tcPr>
          <w:p>
            <w:pPr>
              <w:pStyle w:val="Compact"/>
              <w:spacing w:after="40"/>
              <w:jc w:val="left"/>
            </w:pPr>
            <w:r>
              <w:rPr>
                <w:sz w:val="18"/>
              </w:rPr>
              <w:t xml:space="preserve">22</w:t>
            </w:r>
          </w:p>
        </w:tc>
        <w:tc>
          <w:tcPr>
            <w:tcW w:w="2761" w:type="dxa"/>
          </w:tcPr>
          <w:p>
            <w:pPr>
              <w:pStyle w:val="Compact"/>
              <w:spacing w:after="40"/>
              <w:jc w:val="left"/>
            </w:pPr>
            <w:r>
              <w:rPr>
                <w:sz w:val="18"/>
              </w:rPr>
              <w:t xml:space="preserve">Contingency plans and testing</w:t>
            </w:r>
          </w:p>
        </w:tc>
        <w:tc>
          <w:tcPr>
            <w:tcW w:w="1594" w:type="dxa"/>
          </w:tcPr>
          <w:p>
            <w:pPr>
              <w:pStyle w:val="Compact"/>
              <w:spacing w:after="40"/>
              <w:jc w:val="left"/>
            </w:pPr>
            <w:r>
              <w:rPr>
                <w:sz w:val="18"/>
              </w:rPr>
              <w:t xml:space="preserve">OUT 74(x)</w:t>
            </w:r>
          </w:p>
        </w:tc>
        <w:tc>
          <w:tcPr>
            <w:tcW w:w="2125" w:type="dxa"/>
          </w:tcPr>
          <w:p>
            <w:pPr>
              <w:pStyle w:val="Compact"/>
              <w:spacing w:after="40"/>
              <w:jc w:val="left"/>
            </w:pPr>
            <w:r>
              <w:rPr>
                <w:sz w:val="18"/>
              </w:rPr>
              <w:t xml:space="preserve">Cl. 14.4; Sch. 8 Pt C</w:t>
            </w:r>
          </w:p>
        </w:tc>
        <w:tc>
          <w:tcPr>
            <w:tcW w:w="1881" w:type="dxa"/>
          </w:tcPr>
          <w:p>
            <w:pPr>
              <w:pStyle w:val="Compact"/>
              <w:spacing w:after="40"/>
              <w:jc w:val="left"/>
            </w:pPr>
            <w:r>
              <w:rPr>
                <w:sz w:val="18"/>
              </w:rPr>
              <w:t xml:space="preserve">Drill reports</w:t>
            </w:r>
          </w:p>
        </w:tc>
      </w:tr>
      <w:tr>
        <w:tc>
          <w:tcPr>
            <w:tcW w:w="1277" w:type="dxa"/>
          </w:tcPr>
          <w:p>
            <w:pPr>
              <w:pStyle w:val="Compact"/>
              <w:spacing w:after="40"/>
              <w:jc w:val="left"/>
            </w:pPr>
            <w:r>
              <w:rPr>
                <w:sz w:val="18"/>
              </w:rPr>
              <w:t xml:space="preserve">23</w:t>
            </w:r>
          </w:p>
        </w:tc>
        <w:tc>
          <w:tcPr>
            <w:tcW w:w="2761" w:type="dxa"/>
          </w:tcPr>
          <w:p>
            <w:pPr>
              <w:pStyle w:val="Compact"/>
              <w:spacing w:after="40"/>
              <w:jc w:val="left"/>
            </w:pPr>
            <w:r>
              <w:rPr>
                <w:sz w:val="18"/>
              </w:rPr>
              <w:t xml:space="preserve">Information on supply-chain third parties</w:t>
            </w:r>
          </w:p>
        </w:tc>
        <w:tc>
          <w:tcPr>
            <w:tcW w:w="1594" w:type="dxa"/>
          </w:tcPr>
          <w:p>
            <w:pPr>
              <w:pStyle w:val="Compact"/>
              <w:spacing w:after="40"/>
              <w:jc w:val="left"/>
            </w:pPr>
            <w:r>
              <w:rPr>
                <w:sz w:val="18"/>
              </w:rPr>
              <w:t xml:space="preserve">OUT 74(xi)</w:t>
            </w:r>
          </w:p>
        </w:tc>
        <w:tc>
          <w:tcPr>
            <w:tcW w:w="2125" w:type="dxa"/>
          </w:tcPr>
          <w:p>
            <w:pPr>
              <w:pStyle w:val="Compact"/>
              <w:spacing w:after="40"/>
              <w:jc w:val="left"/>
            </w:pPr>
            <w:r>
              <w:rPr>
                <w:sz w:val="18"/>
              </w:rPr>
              <w:t xml:space="preserve">Cl. 13.5; Sch. 10</w:t>
            </w:r>
          </w:p>
        </w:tc>
        <w:tc>
          <w:tcPr>
            <w:tcW w:w="1881" w:type="dxa"/>
          </w:tcPr>
          <w:p>
            <w:pPr>
              <w:pStyle w:val="Compact"/>
              <w:spacing w:after="40"/>
              <w:jc w:val="left"/>
            </w:pPr>
            <w:r>
              <w:rPr>
                <w:sz w:val="18"/>
              </w:rPr>
              <w:t xml:space="preserve">Supply-chain report</w:t>
            </w:r>
          </w:p>
        </w:tc>
      </w:tr>
      <w:tr>
        <w:tc>
          <w:tcPr>
            <w:tcW w:w="1277" w:type="dxa"/>
          </w:tcPr>
          <w:p>
            <w:pPr>
              <w:pStyle w:val="Compact"/>
              <w:spacing w:after="40"/>
              <w:jc w:val="left"/>
            </w:pPr>
            <w:r>
              <w:rPr>
                <w:sz w:val="18"/>
              </w:rPr>
              <w:t xml:space="preserve">24</w:t>
            </w:r>
          </w:p>
        </w:tc>
        <w:tc>
          <w:tcPr>
            <w:tcW w:w="2761" w:type="dxa"/>
          </w:tcPr>
          <w:p>
            <w:pPr>
              <w:pStyle w:val="Compact"/>
              <w:spacing w:after="40"/>
              <w:jc w:val="left"/>
            </w:pPr>
            <w:r>
              <w:rPr>
                <w:sz w:val="18"/>
              </w:rPr>
              <w:t xml:space="preserve">RBI inspection of Service Provider and sub-contractors</w:t>
            </w:r>
          </w:p>
        </w:tc>
        <w:tc>
          <w:tcPr>
            <w:tcW w:w="1594" w:type="dxa"/>
          </w:tcPr>
          <w:p>
            <w:pPr>
              <w:pStyle w:val="Compact"/>
              <w:spacing w:after="40"/>
              <w:jc w:val="left"/>
            </w:pPr>
            <w:r>
              <w:rPr>
                <w:sz w:val="18"/>
              </w:rPr>
              <w:t xml:space="preserve">OUT 74(xii)</w:t>
            </w:r>
          </w:p>
        </w:tc>
        <w:tc>
          <w:tcPr>
            <w:tcW w:w="2125" w:type="dxa"/>
          </w:tcPr>
          <w:p>
            <w:pPr>
              <w:pStyle w:val="Compact"/>
              <w:spacing w:after="40"/>
              <w:jc w:val="left"/>
            </w:pPr>
            <w:r>
              <w:rPr>
                <w:sz w:val="18"/>
              </w:rPr>
              <w:t xml:space="preserve">Cl. 9.5, 13.3</w:t>
            </w:r>
          </w:p>
        </w:tc>
        <w:tc>
          <w:tcPr>
            <w:tcW w:w="1881" w:type="dxa"/>
          </w:tcPr>
          <w:p>
            <w:pPr>
              <w:pStyle w:val="Compact"/>
              <w:spacing w:after="40"/>
              <w:jc w:val="left"/>
            </w:pPr>
            <w:r>
              <w:rPr>
                <w:sz w:val="18"/>
              </w:rPr>
              <w:t xml:space="preserve">Clause text</w:t>
            </w:r>
          </w:p>
        </w:tc>
      </w:tr>
      <w:tr>
        <w:tc>
          <w:tcPr>
            <w:tcW w:w="1277" w:type="dxa"/>
          </w:tcPr>
          <w:p>
            <w:pPr>
              <w:pStyle w:val="Compact"/>
              <w:spacing w:after="40"/>
              <w:jc w:val="left"/>
            </w:pPr>
            <w:r>
              <w:rPr>
                <w:sz w:val="18"/>
              </w:rPr>
              <w:t xml:space="preserve">25</w:t>
            </w:r>
          </w:p>
        </w:tc>
        <w:tc>
          <w:tcPr>
            <w:tcW w:w="2761" w:type="dxa"/>
          </w:tcPr>
          <w:p>
            <w:pPr>
              <w:pStyle w:val="Compact"/>
              <w:spacing w:after="40"/>
              <w:jc w:val="left"/>
            </w:pPr>
            <w:r>
              <w:rPr>
                <w:sz w:val="18"/>
              </w:rPr>
              <w:t xml:space="preserve">Liability for sub-contractors</w:t>
            </w:r>
          </w:p>
        </w:tc>
        <w:tc>
          <w:tcPr>
            <w:tcW w:w="1594" w:type="dxa"/>
          </w:tcPr>
          <w:p>
            <w:pPr>
              <w:pStyle w:val="Compact"/>
              <w:spacing w:after="40"/>
              <w:jc w:val="left"/>
            </w:pPr>
            <w:r>
              <w:rPr>
                <w:sz w:val="18"/>
              </w:rPr>
              <w:t xml:space="preserve">OUT 74(xiii)</w:t>
            </w:r>
          </w:p>
        </w:tc>
        <w:tc>
          <w:tcPr>
            <w:tcW w:w="2125" w:type="dxa"/>
          </w:tcPr>
          <w:p>
            <w:pPr>
              <w:pStyle w:val="Compact"/>
              <w:spacing w:after="40"/>
              <w:jc w:val="left"/>
            </w:pPr>
            <w:r>
              <w:rPr>
                <w:sz w:val="18"/>
              </w:rPr>
              <w:t xml:space="preserve">Cl. 13.4</w:t>
            </w:r>
          </w:p>
        </w:tc>
        <w:tc>
          <w:tcPr>
            <w:tcW w:w="1881" w:type="dxa"/>
          </w:tcPr>
          <w:p>
            <w:pPr>
              <w:pStyle w:val="Compact"/>
              <w:spacing w:after="40"/>
              <w:jc w:val="left"/>
            </w:pPr>
            <w:r>
              <w:rPr>
                <w:sz w:val="18"/>
              </w:rPr>
              <w:t xml:space="preserve">Clause text</w:t>
            </w:r>
          </w:p>
        </w:tc>
      </w:tr>
      <w:tr>
        <w:tc>
          <w:tcPr>
            <w:tcW w:w="1277" w:type="dxa"/>
          </w:tcPr>
          <w:p>
            <w:pPr>
              <w:pStyle w:val="Compact"/>
              <w:spacing w:after="40"/>
              <w:jc w:val="left"/>
            </w:pPr>
            <w:r>
              <w:rPr>
                <w:sz w:val="18"/>
              </w:rPr>
              <w:t xml:space="preserve">26</w:t>
            </w:r>
          </w:p>
        </w:tc>
        <w:tc>
          <w:tcPr>
            <w:tcW w:w="2761" w:type="dxa"/>
          </w:tcPr>
          <w:p>
            <w:pPr>
              <w:pStyle w:val="Compact"/>
              <w:spacing w:after="40"/>
              <w:jc w:val="left"/>
            </w:pPr>
            <w:r>
              <w:rPr>
                <w:sz w:val="18"/>
              </w:rPr>
              <w:t xml:space="preserve">Compliance with RBI directions</w:t>
            </w:r>
          </w:p>
        </w:tc>
        <w:tc>
          <w:tcPr>
            <w:tcW w:w="1594" w:type="dxa"/>
          </w:tcPr>
          <w:p>
            <w:pPr>
              <w:pStyle w:val="Compact"/>
              <w:spacing w:after="40"/>
              <w:jc w:val="left"/>
            </w:pPr>
            <w:r>
              <w:rPr>
                <w:sz w:val="18"/>
              </w:rPr>
              <w:t xml:space="preserve">OUT 74(xiv); 47(v)</w:t>
            </w:r>
          </w:p>
        </w:tc>
        <w:tc>
          <w:tcPr>
            <w:tcW w:w="2125" w:type="dxa"/>
          </w:tcPr>
          <w:p>
            <w:pPr>
              <w:pStyle w:val="Compact"/>
              <w:spacing w:after="40"/>
              <w:jc w:val="left"/>
            </w:pPr>
            <w:r>
              <w:rPr>
                <w:sz w:val="18"/>
              </w:rPr>
              <w:t xml:space="preserve">Cl. 3.10, 15.3</w:t>
            </w:r>
          </w:p>
        </w:tc>
        <w:tc>
          <w:tcPr>
            <w:tcW w:w="1881" w:type="dxa"/>
          </w:tcPr>
          <w:p>
            <w:pPr>
              <w:pStyle w:val="Compact"/>
              <w:spacing w:after="40"/>
              <w:jc w:val="left"/>
            </w:pPr>
            <w:r>
              <w:rPr>
                <w:sz w:val="18"/>
              </w:rPr>
              <w:t xml:space="preserve">Clause text</w:t>
            </w:r>
          </w:p>
        </w:tc>
      </w:tr>
      <w:tr>
        <w:tc>
          <w:tcPr>
            <w:tcW w:w="1277" w:type="dxa"/>
          </w:tcPr>
          <w:p>
            <w:pPr>
              <w:pStyle w:val="Compact"/>
              <w:spacing w:after="40"/>
              <w:jc w:val="left"/>
            </w:pPr>
            <w:r>
              <w:rPr>
                <w:sz w:val="18"/>
              </w:rPr>
              <w:t xml:space="preserve">27</w:t>
            </w:r>
          </w:p>
        </w:tc>
        <w:tc>
          <w:tcPr>
            <w:tcW w:w="2761" w:type="dxa"/>
          </w:tcPr>
          <w:p>
            <w:pPr>
              <w:pStyle w:val="Compact"/>
              <w:spacing w:after="40"/>
              <w:jc w:val="left"/>
            </w:pPr>
            <w:r>
              <w:rPr>
                <w:sz w:val="18"/>
              </w:rPr>
              <w:t xml:space="preserve">Termination and orderly transfer</w:t>
            </w:r>
          </w:p>
        </w:tc>
        <w:tc>
          <w:tcPr>
            <w:tcW w:w="1594" w:type="dxa"/>
          </w:tcPr>
          <w:p>
            <w:pPr>
              <w:pStyle w:val="Compact"/>
              <w:spacing w:after="40"/>
              <w:jc w:val="left"/>
            </w:pPr>
            <w:r>
              <w:rPr>
                <w:sz w:val="18"/>
              </w:rPr>
              <w:t xml:space="preserve">OUT 74(xv)</w:t>
            </w:r>
          </w:p>
        </w:tc>
        <w:tc>
          <w:tcPr>
            <w:tcW w:w="2125" w:type="dxa"/>
          </w:tcPr>
          <w:p>
            <w:pPr>
              <w:pStyle w:val="Compact"/>
              <w:spacing w:after="40"/>
              <w:jc w:val="left"/>
            </w:pPr>
            <w:r>
              <w:rPr>
                <w:sz w:val="18"/>
              </w:rPr>
              <w:t xml:space="preserve">Cl. 24.4(a), 25.2(b); Sch. 9</w:t>
            </w:r>
          </w:p>
        </w:tc>
        <w:tc>
          <w:tcPr>
            <w:tcW w:w="1881" w:type="dxa"/>
          </w:tcPr>
          <w:p>
            <w:pPr>
              <w:pStyle w:val="Compact"/>
              <w:spacing w:after="40"/>
              <w:jc w:val="left"/>
            </w:pPr>
            <w:r>
              <w:rPr>
                <w:sz w:val="18"/>
              </w:rPr>
              <w:t xml:space="preserve">Exit Plan</w:t>
            </w:r>
          </w:p>
        </w:tc>
      </w:tr>
      <w:tr>
        <w:tc>
          <w:tcPr>
            <w:tcW w:w="1277" w:type="dxa"/>
          </w:tcPr>
          <w:p>
            <w:pPr>
              <w:pStyle w:val="Compact"/>
              <w:spacing w:after="40"/>
              <w:jc w:val="left"/>
            </w:pPr>
            <w:r>
              <w:rPr>
                <w:sz w:val="18"/>
              </w:rPr>
              <w:t xml:space="preserve">28</w:t>
            </w:r>
          </w:p>
        </w:tc>
        <w:tc>
          <w:tcPr>
            <w:tcW w:w="2761" w:type="dxa"/>
          </w:tcPr>
          <w:p>
            <w:pPr>
              <w:pStyle w:val="Compact"/>
              <w:spacing w:after="40"/>
              <w:jc w:val="left"/>
            </w:pPr>
            <w:r>
              <w:rPr>
                <w:sz w:val="18"/>
              </w:rPr>
              <w:t xml:space="preserve">Co-operation in Company insolvency or resolution</w:t>
            </w:r>
          </w:p>
        </w:tc>
        <w:tc>
          <w:tcPr>
            <w:tcW w:w="1594" w:type="dxa"/>
          </w:tcPr>
          <w:p>
            <w:pPr>
              <w:pStyle w:val="Compact"/>
              <w:spacing w:after="40"/>
              <w:jc w:val="left"/>
            </w:pPr>
            <w:r>
              <w:rPr>
                <w:sz w:val="18"/>
              </w:rPr>
              <w:t xml:space="preserve">OUT 74(xvi)</w:t>
            </w:r>
          </w:p>
        </w:tc>
        <w:tc>
          <w:tcPr>
            <w:tcW w:w="2125" w:type="dxa"/>
          </w:tcPr>
          <w:p>
            <w:pPr>
              <w:pStyle w:val="Compact"/>
              <w:spacing w:after="40"/>
              <w:jc w:val="left"/>
            </w:pPr>
            <w:r>
              <w:rPr>
                <w:sz w:val="18"/>
              </w:rPr>
              <w:t xml:space="preserve">Cl. 8.8</w:t>
            </w:r>
          </w:p>
        </w:tc>
        <w:tc>
          <w:tcPr>
            <w:tcW w:w="1881" w:type="dxa"/>
          </w:tcPr>
          <w:p>
            <w:pPr>
              <w:pStyle w:val="Compact"/>
              <w:spacing w:after="40"/>
              <w:jc w:val="left"/>
            </w:pPr>
            <w:r>
              <w:rPr>
                <w:sz w:val="18"/>
              </w:rPr>
              <w:t xml:space="preserve">Clause text</w:t>
            </w:r>
          </w:p>
        </w:tc>
      </w:tr>
      <w:tr>
        <w:tc>
          <w:tcPr>
            <w:tcW w:w="1277" w:type="dxa"/>
          </w:tcPr>
          <w:p>
            <w:pPr>
              <w:pStyle w:val="Compact"/>
              <w:spacing w:after="40"/>
              <w:jc w:val="left"/>
            </w:pPr>
            <w:r>
              <w:rPr>
                <w:sz w:val="18"/>
              </w:rPr>
              <w:t xml:space="preserve">29</w:t>
            </w:r>
          </w:p>
        </w:tc>
        <w:tc>
          <w:tcPr>
            <w:tcW w:w="2761" w:type="dxa"/>
          </w:tcPr>
          <w:p>
            <w:pPr>
              <w:pStyle w:val="Compact"/>
              <w:spacing w:after="40"/>
              <w:jc w:val="left"/>
            </w:pPr>
            <w:r>
              <w:rPr>
                <w:sz w:val="18"/>
              </w:rPr>
              <w:t xml:space="preserve">Essential personnel on site in exigencies</w:t>
            </w:r>
          </w:p>
        </w:tc>
        <w:tc>
          <w:tcPr>
            <w:tcW w:w="1594" w:type="dxa"/>
          </w:tcPr>
          <w:p>
            <w:pPr>
              <w:pStyle w:val="Compact"/>
              <w:spacing w:after="40"/>
              <w:jc w:val="left"/>
            </w:pPr>
            <w:r>
              <w:rPr>
                <w:sz w:val="18"/>
              </w:rPr>
              <w:t xml:space="preserve">OUT 74(xvii)</w:t>
            </w:r>
          </w:p>
        </w:tc>
        <w:tc>
          <w:tcPr>
            <w:tcW w:w="2125" w:type="dxa"/>
          </w:tcPr>
          <w:p>
            <w:pPr>
              <w:pStyle w:val="Compact"/>
              <w:spacing w:after="40"/>
              <w:jc w:val="left"/>
            </w:pPr>
            <w:r>
              <w:rPr>
                <w:sz w:val="18"/>
              </w:rPr>
              <w:t xml:space="preserve">Cl. 8.9; Sch. 12 Pt B</w:t>
            </w:r>
          </w:p>
        </w:tc>
        <w:tc>
          <w:tcPr>
            <w:tcW w:w="1881" w:type="dxa"/>
          </w:tcPr>
          <w:p>
            <w:pPr>
              <w:pStyle w:val="Compact"/>
              <w:spacing w:after="40"/>
              <w:jc w:val="left"/>
            </w:pPr>
            <w:r>
              <w:rPr>
                <w:sz w:val="18"/>
              </w:rPr>
              <w:t xml:space="preserve">Personnel list</w:t>
            </w:r>
          </w:p>
        </w:tc>
      </w:tr>
      <w:tr>
        <w:tc>
          <w:tcPr>
            <w:tcW w:w="1277" w:type="dxa"/>
          </w:tcPr>
          <w:p>
            <w:pPr>
              <w:pStyle w:val="Compact"/>
              <w:spacing w:after="40"/>
              <w:jc w:val="left"/>
            </w:pPr>
            <w:r>
              <w:rPr>
                <w:sz w:val="18"/>
              </w:rPr>
              <w:t xml:space="preserve">30</w:t>
            </w:r>
          </w:p>
        </w:tc>
        <w:tc>
          <w:tcPr>
            <w:tcW w:w="2761" w:type="dxa"/>
          </w:tcPr>
          <w:p>
            <w:pPr>
              <w:pStyle w:val="Compact"/>
              <w:spacing w:after="40"/>
              <w:jc w:val="left"/>
            </w:pPr>
            <w:r>
              <w:rPr>
                <w:sz w:val="18"/>
              </w:rPr>
              <w:t xml:space="preserve">Back-to-back arrangements with OEMs</w:t>
            </w:r>
          </w:p>
        </w:tc>
        <w:tc>
          <w:tcPr>
            <w:tcW w:w="1594" w:type="dxa"/>
          </w:tcPr>
          <w:p>
            <w:pPr>
              <w:pStyle w:val="Compact"/>
              <w:spacing w:after="40"/>
              <w:jc w:val="left"/>
            </w:pPr>
            <w:r>
              <w:rPr>
                <w:sz w:val="18"/>
              </w:rPr>
              <w:t xml:space="preserve">OUT 74(xviii)</w:t>
            </w:r>
          </w:p>
        </w:tc>
        <w:tc>
          <w:tcPr>
            <w:tcW w:w="2125" w:type="dxa"/>
          </w:tcPr>
          <w:p>
            <w:pPr>
              <w:pStyle w:val="Compact"/>
              <w:spacing w:after="40"/>
              <w:jc w:val="left"/>
            </w:pPr>
            <w:r>
              <w:rPr>
                <w:sz w:val="18"/>
              </w:rPr>
              <w:t xml:space="preserve">Cl. 8.10</w:t>
            </w:r>
          </w:p>
        </w:tc>
        <w:tc>
          <w:tcPr>
            <w:tcW w:w="1881" w:type="dxa"/>
          </w:tcPr>
          <w:p>
            <w:pPr>
              <w:pStyle w:val="Compact"/>
              <w:spacing w:after="40"/>
              <w:jc w:val="left"/>
            </w:pPr>
            <w:r>
              <w:rPr>
                <w:sz w:val="18"/>
              </w:rPr>
              <w:t xml:space="preserve">Supplier contracts</w:t>
            </w:r>
          </w:p>
        </w:tc>
      </w:tr>
      <w:tr>
        <w:tc>
          <w:tcPr>
            <w:tcW w:w="1277" w:type="dxa"/>
          </w:tcPr>
          <w:p>
            <w:pPr>
              <w:pStyle w:val="Compact"/>
              <w:spacing w:after="40"/>
              <w:jc w:val="left"/>
            </w:pPr>
            <w:r>
              <w:rPr>
                <w:sz w:val="18"/>
              </w:rPr>
              <w:t xml:space="preserve">31</w:t>
            </w:r>
          </w:p>
        </w:tc>
        <w:tc>
          <w:tcPr>
            <w:tcW w:w="2761" w:type="dxa"/>
          </w:tcPr>
          <w:p>
            <w:pPr>
              <w:pStyle w:val="Compact"/>
              <w:spacing w:after="40"/>
              <w:jc w:val="left"/>
            </w:pPr>
            <w:r>
              <w:rPr>
                <w:sz w:val="18"/>
              </w:rPr>
              <w:t xml:space="preserve">Non-disclosure agreement for retained information</w:t>
            </w:r>
          </w:p>
        </w:tc>
        <w:tc>
          <w:tcPr>
            <w:tcW w:w="1594" w:type="dxa"/>
          </w:tcPr>
          <w:p>
            <w:pPr>
              <w:pStyle w:val="Compact"/>
              <w:spacing w:after="40"/>
              <w:jc w:val="left"/>
            </w:pPr>
            <w:r>
              <w:rPr>
                <w:sz w:val="18"/>
              </w:rPr>
              <w:t xml:space="preserve">OUT 74(xix)</w:t>
            </w:r>
          </w:p>
        </w:tc>
        <w:tc>
          <w:tcPr>
            <w:tcW w:w="2125" w:type="dxa"/>
          </w:tcPr>
          <w:p>
            <w:pPr>
              <w:pStyle w:val="Compact"/>
              <w:spacing w:after="40"/>
              <w:jc w:val="left"/>
            </w:pPr>
            <w:r>
              <w:rPr>
                <w:sz w:val="18"/>
              </w:rPr>
              <w:t xml:space="preserve">Cl. 18.5; Form 15B</w:t>
            </w:r>
          </w:p>
        </w:tc>
        <w:tc>
          <w:tcPr>
            <w:tcW w:w="1881" w:type="dxa"/>
          </w:tcPr>
          <w:p>
            <w:pPr>
              <w:pStyle w:val="Compact"/>
              <w:spacing w:after="40"/>
              <w:jc w:val="left"/>
            </w:pPr>
            <w:r>
              <w:rPr>
                <w:sz w:val="18"/>
              </w:rPr>
              <w:t xml:space="preserve">Signed NDAs</w:t>
            </w:r>
          </w:p>
        </w:tc>
      </w:tr>
    </w:tbl>
    <w:bookmarkEnd w:id="158"/>
    <w:bookmarkStart w:id="159" w:name="part-c-other-out-requirements"/>
    <w:p>
      <w:pPr>
        <w:pStyle w:val="Heading2"/>
      </w:pPr>
      <w:r>
        <w:t xml:space="preserve">Part C — Other OUT requirements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61"/>
        <w:gridCol w:w="3390"/>
        <w:gridCol w:w="1998"/>
        <w:gridCol w:w="1792"/>
        <w:gridCol w:w="1397"/>
      </w:tblGrid>
      <w:tr>
        <w:trPr>
          <w:tblHeader w:val="true"/>
          <w:tblHeader w:val="true"/>
        </w:trPr>
        <w:tc>
          <w:tcPr>
            <w:tcW w:w="1061" w:type="dxa"/>
            <w:shd w:val="clear" w:color="auto" w:fill="1F3A5F"/>
          </w:tcPr>
          <w:p>
            <w:pPr>
              <w:pStyle w:val="Compact"/>
              <w:spacing w:after="40"/>
              <w:jc w:val="left"/>
            </w:pPr>
            <w:r>
              <w:rPr>
                <w:b/>
                <w:color w:val="FFFFFF"/>
                <w:sz w:val="18"/>
              </w:rPr>
              <w:t xml:space="preserve">#</w:t>
            </w:r>
          </w:p>
        </w:tc>
        <w:tc>
          <w:tcPr>
            <w:tcW w:w="3390" w:type="dxa"/>
            <w:shd w:val="clear" w:color="auto" w:fill="1F3A5F"/>
          </w:tcPr>
          <w:p>
            <w:pPr>
              <w:pStyle w:val="Compact"/>
              <w:spacing w:after="40"/>
              <w:jc w:val="left"/>
            </w:pPr>
            <w:r>
              <w:rPr>
                <w:b/>
                <w:color w:val="FFFFFF"/>
                <w:sz w:val="18"/>
              </w:rPr>
              <w:t xml:space="preserve">Requirement</w:t>
            </w:r>
          </w:p>
        </w:tc>
        <w:tc>
          <w:tcPr>
            <w:tcW w:w="1998" w:type="dxa"/>
            <w:shd w:val="clear" w:color="auto" w:fill="1F3A5F"/>
          </w:tcPr>
          <w:p>
            <w:pPr>
              <w:pStyle w:val="Compact"/>
              <w:spacing w:after="40"/>
              <w:jc w:val="left"/>
            </w:pPr>
            <w:r>
              <w:rPr>
                <w:b/>
                <w:color w:val="FFFFFF"/>
                <w:sz w:val="18"/>
              </w:rPr>
              <w:t xml:space="preserve">Source</w:t>
            </w:r>
          </w:p>
        </w:tc>
        <w:tc>
          <w:tcPr>
            <w:tcW w:w="1792" w:type="dxa"/>
            <w:shd w:val="clear" w:color="auto" w:fill="1F3A5F"/>
          </w:tcPr>
          <w:p>
            <w:pPr>
              <w:pStyle w:val="Compact"/>
              <w:spacing w:after="40"/>
              <w:jc w:val="left"/>
            </w:pPr>
            <w:r>
              <w:rPr>
                <w:b/>
                <w:color w:val="FFFFFF"/>
                <w:sz w:val="18"/>
              </w:rPr>
              <w:t xml:space="preserve">Implemented in</w:t>
            </w:r>
          </w:p>
        </w:tc>
        <w:tc>
          <w:tcPr>
            <w:tcW w:w="1397" w:type="dxa"/>
            <w:shd w:val="clear" w:color="auto" w:fill="1F3A5F"/>
          </w:tcPr>
          <w:p>
            <w:pPr>
              <w:pStyle w:val="Compact"/>
              <w:spacing w:after="40"/>
              <w:jc w:val="left"/>
            </w:pPr>
            <w:r>
              <w:rPr>
                <w:b/>
                <w:color w:val="FFFFFF"/>
                <w:sz w:val="18"/>
              </w:rPr>
              <w:t xml:space="preserve">Evidence</w:t>
            </w:r>
          </w:p>
        </w:tc>
      </w:tr>
      <w:tr>
        <w:tc>
          <w:tcPr>
            <w:tcW w:w="1061" w:type="dxa"/>
          </w:tcPr>
          <w:p>
            <w:pPr>
              <w:pStyle w:val="Compact"/>
              <w:spacing w:after="40"/>
              <w:jc w:val="left"/>
            </w:pPr>
            <w:r>
              <w:rPr>
                <w:sz w:val="18"/>
              </w:rPr>
              <w:t xml:space="preserve">32</w:t>
            </w:r>
          </w:p>
        </w:tc>
        <w:tc>
          <w:tcPr>
            <w:tcW w:w="3390" w:type="dxa"/>
          </w:tcPr>
          <w:p>
            <w:pPr>
              <w:pStyle w:val="Compact"/>
              <w:spacing w:after="40"/>
              <w:jc w:val="left"/>
            </w:pPr>
            <w:r>
              <w:rPr>
                <w:sz w:val="18"/>
              </w:rPr>
              <w:t xml:space="preserve">No outsourcing of core management, sanction, KYC determination, internal audit, compliance; FIU-IND reporting retained</w:t>
            </w:r>
          </w:p>
        </w:tc>
        <w:tc>
          <w:tcPr>
            <w:tcW w:w="1998" w:type="dxa"/>
          </w:tcPr>
          <w:p>
            <w:pPr>
              <w:pStyle w:val="Compact"/>
              <w:spacing w:after="40"/>
              <w:jc w:val="left"/>
            </w:pPr>
            <w:r>
              <w:rPr>
                <w:sz w:val="18"/>
              </w:rPr>
              <w:t xml:space="preserve">OUT 15, 19; KYC 13; IAF 39; CMP 15(2), 31</w:t>
            </w:r>
          </w:p>
        </w:tc>
        <w:tc>
          <w:tcPr>
            <w:tcW w:w="1792" w:type="dxa"/>
          </w:tcPr>
          <w:p>
            <w:pPr>
              <w:pStyle w:val="Compact"/>
              <w:spacing w:after="40"/>
              <w:jc w:val="left"/>
            </w:pPr>
            <w:r>
              <w:rPr>
                <w:sz w:val="18"/>
              </w:rPr>
              <w:t xml:space="preserve">Cl. 3.1, 3.3, 3.4; Sch. 2 Pt A</w:t>
            </w:r>
          </w:p>
        </w:tc>
        <w:tc>
          <w:tcPr>
            <w:tcW w:w="1397" w:type="dxa"/>
          </w:tcPr>
          <w:p>
            <w:pPr>
              <w:pStyle w:val="Compact"/>
              <w:spacing w:after="40"/>
              <w:jc w:val="left"/>
            </w:pPr>
            <w:r>
              <w:rPr>
                <w:sz w:val="18"/>
              </w:rPr>
              <w:t xml:space="preserve">Role matrix</w:t>
            </w:r>
          </w:p>
        </w:tc>
      </w:tr>
      <w:tr>
        <w:tc>
          <w:tcPr>
            <w:tcW w:w="1061" w:type="dxa"/>
          </w:tcPr>
          <w:p>
            <w:pPr>
              <w:pStyle w:val="Compact"/>
              <w:spacing w:after="40"/>
              <w:jc w:val="left"/>
            </w:pPr>
            <w:r>
              <w:rPr>
                <w:sz w:val="18"/>
              </w:rPr>
              <w:t xml:space="preserve">33</w:t>
            </w:r>
          </w:p>
        </w:tc>
        <w:tc>
          <w:tcPr>
            <w:tcW w:w="3390" w:type="dxa"/>
          </w:tcPr>
          <w:p>
            <w:pPr>
              <w:pStyle w:val="Compact"/>
              <w:spacing w:after="40"/>
              <w:jc w:val="left"/>
            </w:pPr>
            <w:r>
              <w:rPr>
                <w:sz w:val="18"/>
              </w:rPr>
              <w:t xml:space="preserve">Company retains control; standard of care; no impediment to supervision</w:t>
            </w:r>
          </w:p>
        </w:tc>
        <w:tc>
          <w:tcPr>
            <w:tcW w:w="1998" w:type="dxa"/>
          </w:tcPr>
          <w:p>
            <w:pPr>
              <w:pStyle w:val="Compact"/>
              <w:spacing w:after="40"/>
              <w:jc w:val="left"/>
            </w:pPr>
            <w:r>
              <w:rPr>
                <w:sz w:val="18"/>
              </w:rPr>
              <w:t xml:space="preserve">OUT 17, 18(ii)–(v), 43</w:t>
            </w:r>
          </w:p>
        </w:tc>
        <w:tc>
          <w:tcPr>
            <w:tcW w:w="1792" w:type="dxa"/>
          </w:tcPr>
          <w:p>
            <w:pPr>
              <w:pStyle w:val="Compact"/>
              <w:spacing w:after="40"/>
              <w:jc w:val="left"/>
            </w:pPr>
            <w:r>
              <w:rPr>
                <w:sz w:val="18"/>
              </w:rPr>
              <w:t xml:space="preserve">Cl. 3.2, 8.1, 8.3</w:t>
            </w:r>
          </w:p>
        </w:tc>
        <w:tc>
          <w:tcPr>
            <w:tcW w:w="1397" w:type="dxa"/>
          </w:tcPr>
          <w:p>
            <w:pPr>
              <w:pStyle w:val="Compact"/>
              <w:spacing w:after="40"/>
              <w:jc w:val="left"/>
            </w:pPr>
            <w:r>
              <w:rPr>
                <w:sz w:val="18"/>
              </w:rPr>
              <w:t xml:space="preserve">Clause text</w:t>
            </w:r>
          </w:p>
        </w:tc>
      </w:tr>
      <w:tr>
        <w:tc>
          <w:tcPr>
            <w:tcW w:w="1061" w:type="dxa"/>
          </w:tcPr>
          <w:p>
            <w:pPr>
              <w:pStyle w:val="Compact"/>
              <w:spacing w:after="40"/>
              <w:jc w:val="left"/>
            </w:pPr>
            <w:r>
              <w:rPr>
                <w:sz w:val="18"/>
              </w:rPr>
              <w:t xml:space="preserve">34</w:t>
            </w:r>
          </w:p>
        </w:tc>
        <w:tc>
          <w:tcPr>
            <w:tcW w:w="3390" w:type="dxa"/>
          </w:tcPr>
          <w:p>
            <w:pPr>
              <w:pStyle w:val="Compact"/>
              <w:spacing w:after="40"/>
              <w:jc w:val="left"/>
            </w:pPr>
            <w:r>
              <w:rPr>
                <w:sz w:val="18"/>
              </w:rPr>
              <w:t xml:space="preserve">Ownership and control bar; Board exception</w:t>
            </w:r>
          </w:p>
        </w:tc>
        <w:tc>
          <w:tcPr>
            <w:tcW w:w="1998" w:type="dxa"/>
          </w:tcPr>
          <w:p>
            <w:pPr>
              <w:pStyle w:val="Compact"/>
              <w:spacing w:after="40"/>
              <w:jc w:val="left"/>
            </w:pPr>
            <w:r>
              <w:rPr>
                <w:sz w:val="18"/>
              </w:rPr>
              <w:t xml:space="preserve">OUT 18(vi), 59; 13(iv)</w:t>
            </w:r>
          </w:p>
        </w:tc>
        <w:tc>
          <w:tcPr>
            <w:tcW w:w="1792" w:type="dxa"/>
          </w:tcPr>
          <w:p>
            <w:pPr>
              <w:pStyle w:val="Compact"/>
              <w:spacing w:after="40"/>
              <w:jc w:val="left"/>
            </w:pPr>
            <w:r>
              <w:rPr>
                <w:sz w:val="18"/>
              </w:rPr>
              <w:t xml:space="preserve">Cl. 3.6, 24.4(d); Form 15A</w:t>
            </w:r>
          </w:p>
        </w:tc>
        <w:tc>
          <w:tcPr>
            <w:tcW w:w="1397" w:type="dxa"/>
          </w:tcPr>
          <w:p>
            <w:pPr>
              <w:pStyle w:val="Compact"/>
              <w:spacing w:after="40"/>
              <w:jc w:val="left"/>
            </w:pPr>
            <w:r>
              <w:rPr>
                <w:sz w:val="18"/>
              </w:rPr>
              <w:t xml:space="preserve">Declaration</w:t>
            </w:r>
          </w:p>
        </w:tc>
      </w:tr>
      <w:tr>
        <w:tc>
          <w:tcPr>
            <w:tcW w:w="1061" w:type="dxa"/>
          </w:tcPr>
          <w:p>
            <w:pPr>
              <w:pStyle w:val="Compact"/>
              <w:spacing w:after="40"/>
              <w:jc w:val="left"/>
            </w:pPr>
            <w:r>
              <w:rPr>
                <w:sz w:val="18"/>
              </w:rPr>
              <w:t xml:space="preserve">35</w:t>
            </w:r>
          </w:p>
        </w:tc>
        <w:tc>
          <w:tcPr>
            <w:tcW w:w="3390" w:type="dxa"/>
          </w:tcPr>
          <w:p>
            <w:pPr>
              <w:pStyle w:val="Compact"/>
              <w:spacing w:after="40"/>
              <w:jc w:val="left"/>
            </w:pPr>
            <w:r>
              <w:rPr>
                <w:sz w:val="18"/>
              </w:rPr>
              <w:t xml:space="preserve">Need-to-know access</w:t>
            </w:r>
          </w:p>
        </w:tc>
        <w:tc>
          <w:tcPr>
            <w:tcW w:w="1998" w:type="dxa"/>
          </w:tcPr>
          <w:p>
            <w:pPr>
              <w:pStyle w:val="Compact"/>
              <w:spacing w:after="40"/>
              <w:jc w:val="left"/>
            </w:pPr>
            <w:r>
              <w:rPr>
                <w:sz w:val="18"/>
              </w:rPr>
              <w:t xml:space="preserve">OUT 24, 69(i)</w:t>
            </w:r>
          </w:p>
        </w:tc>
        <w:tc>
          <w:tcPr>
            <w:tcW w:w="1792" w:type="dxa"/>
          </w:tcPr>
          <w:p>
            <w:pPr>
              <w:pStyle w:val="Compact"/>
              <w:spacing w:after="40"/>
              <w:jc w:val="left"/>
            </w:pPr>
            <w:r>
              <w:rPr>
                <w:sz w:val="18"/>
              </w:rPr>
              <w:t xml:space="preserve">Cl. 10.6; Sch. 5 row 5</w:t>
            </w:r>
          </w:p>
        </w:tc>
        <w:tc>
          <w:tcPr>
            <w:tcW w:w="1397" w:type="dxa"/>
          </w:tcPr>
          <w:p>
            <w:pPr>
              <w:pStyle w:val="Compact"/>
              <w:spacing w:after="40"/>
              <w:jc w:val="left"/>
            </w:pPr>
            <w:r>
              <w:rPr>
                <w:sz w:val="18"/>
              </w:rPr>
              <w:t xml:space="preserve">Break-glass logs</w:t>
            </w:r>
          </w:p>
        </w:tc>
      </w:tr>
      <w:tr>
        <w:tc>
          <w:tcPr>
            <w:tcW w:w="1061" w:type="dxa"/>
          </w:tcPr>
          <w:p>
            <w:pPr>
              <w:pStyle w:val="Compact"/>
              <w:spacing w:after="40"/>
              <w:jc w:val="left"/>
            </w:pPr>
            <w:r>
              <w:rPr>
                <w:sz w:val="18"/>
              </w:rPr>
              <w:t xml:space="preserve">36</w:t>
            </w:r>
          </w:p>
        </w:tc>
        <w:tc>
          <w:tcPr>
            <w:tcW w:w="3390" w:type="dxa"/>
          </w:tcPr>
          <w:p>
            <w:pPr>
              <w:pStyle w:val="Compact"/>
              <w:spacing w:after="40"/>
              <w:jc w:val="left"/>
            </w:pPr>
            <w:r>
              <w:rPr>
                <w:sz w:val="18"/>
              </w:rPr>
              <w:t xml:space="preserve">Disclosure of security breaches; immediate RBI notice</w:t>
            </w:r>
          </w:p>
        </w:tc>
        <w:tc>
          <w:tcPr>
            <w:tcW w:w="1998" w:type="dxa"/>
          </w:tcPr>
          <w:p>
            <w:pPr>
              <w:pStyle w:val="Compact"/>
              <w:spacing w:after="40"/>
              <w:jc w:val="left"/>
            </w:pPr>
            <w:r>
              <w:rPr>
                <w:sz w:val="18"/>
              </w:rPr>
              <w:t xml:space="preserve">OUT 25, 28, 69(iii)</w:t>
            </w:r>
          </w:p>
        </w:tc>
        <w:tc>
          <w:tcPr>
            <w:tcW w:w="1792" w:type="dxa"/>
          </w:tcPr>
          <w:p>
            <w:pPr>
              <w:pStyle w:val="Compact"/>
              <w:spacing w:after="40"/>
              <w:jc w:val="left"/>
            </w:pPr>
            <w:r>
              <w:rPr>
                <w:sz w:val="18"/>
              </w:rPr>
              <w:t xml:space="preserve">Cl. 12.6; Sch. 7</w:t>
            </w:r>
          </w:p>
        </w:tc>
        <w:tc>
          <w:tcPr>
            <w:tcW w:w="1397" w:type="dxa"/>
          </w:tcPr>
          <w:p>
            <w:pPr>
              <w:pStyle w:val="Compact"/>
              <w:spacing w:after="40"/>
              <w:jc w:val="left"/>
            </w:pPr>
            <w:r>
              <w:rPr>
                <w:sz w:val="18"/>
              </w:rPr>
              <w:t xml:space="preserve">Timestamps</w:t>
            </w:r>
          </w:p>
        </w:tc>
      </w:tr>
      <w:tr>
        <w:tc>
          <w:tcPr>
            <w:tcW w:w="1061" w:type="dxa"/>
          </w:tcPr>
          <w:p>
            <w:pPr>
              <w:pStyle w:val="Compact"/>
              <w:spacing w:after="40"/>
              <w:jc w:val="left"/>
            </w:pPr>
            <w:r>
              <w:rPr>
                <w:sz w:val="18"/>
              </w:rPr>
              <w:t xml:space="preserve">37</w:t>
            </w:r>
          </w:p>
        </w:tc>
        <w:tc>
          <w:tcPr>
            <w:tcW w:w="3390" w:type="dxa"/>
          </w:tcPr>
          <w:p>
            <w:pPr>
              <w:pStyle w:val="Compact"/>
              <w:spacing w:after="40"/>
              <w:jc w:val="left"/>
            </w:pPr>
            <w:r>
              <w:rPr>
                <w:sz w:val="18"/>
              </w:rPr>
              <w:t xml:space="preserve">No commingling; multi-tenant isolation</w:t>
            </w:r>
          </w:p>
        </w:tc>
        <w:tc>
          <w:tcPr>
            <w:tcW w:w="1998" w:type="dxa"/>
          </w:tcPr>
          <w:p>
            <w:pPr>
              <w:pStyle w:val="Compact"/>
              <w:spacing w:after="40"/>
              <w:jc w:val="left"/>
            </w:pPr>
            <w:r>
              <w:rPr>
                <w:sz w:val="18"/>
              </w:rPr>
              <w:t xml:space="preserve">OUT 26–27, 70, 97(vii)(c)</w:t>
            </w:r>
          </w:p>
        </w:tc>
        <w:tc>
          <w:tcPr>
            <w:tcW w:w="1792" w:type="dxa"/>
          </w:tcPr>
          <w:p>
            <w:pPr>
              <w:pStyle w:val="Compact"/>
              <w:spacing w:after="40"/>
              <w:jc w:val="left"/>
            </w:pPr>
            <w:r>
              <w:rPr>
                <w:sz w:val="18"/>
              </w:rPr>
              <w:t xml:space="preserve">Cl. 10.5; Sch. 5 row 10</w:t>
            </w:r>
          </w:p>
        </w:tc>
        <w:tc>
          <w:tcPr>
            <w:tcW w:w="1397" w:type="dxa"/>
          </w:tcPr>
          <w:p>
            <w:pPr>
              <w:pStyle w:val="Compact"/>
              <w:spacing w:after="40"/>
              <w:jc w:val="left"/>
            </w:pPr>
            <w:r>
              <w:rPr>
                <w:sz w:val="18"/>
              </w:rPr>
              <w:t xml:space="preserve">Isolation tests</w:t>
            </w:r>
          </w:p>
        </w:tc>
      </w:tr>
      <w:tr>
        <w:tc>
          <w:tcPr>
            <w:tcW w:w="1061" w:type="dxa"/>
          </w:tcPr>
          <w:p>
            <w:pPr>
              <w:pStyle w:val="Compact"/>
              <w:spacing w:after="40"/>
              <w:jc w:val="left"/>
            </w:pPr>
            <w:r>
              <w:rPr>
                <w:sz w:val="18"/>
              </w:rPr>
              <w:t xml:space="preserve">38</w:t>
            </w:r>
          </w:p>
        </w:tc>
        <w:tc>
          <w:tcPr>
            <w:tcW w:w="3390" w:type="dxa"/>
          </w:tcPr>
          <w:p>
            <w:pPr>
              <w:pStyle w:val="Compact"/>
              <w:spacing w:after="40"/>
              <w:jc w:val="left"/>
            </w:pPr>
            <w:r>
              <w:rPr>
                <w:sz w:val="18"/>
              </w:rPr>
              <w:t xml:space="preserve">Legal relationship stated</w:t>
            </w:r>
          </w:p>
        </w:tc>
        <w:tc>
          <w:tcPr>
            <w:tcW w:w="1998" w:type="dxa"/>
          </w:tcPr>
          <w:p>
            <w:pPr>
              <w:pStyle w:val="Compact"/>
              <w:spacing w:after="40"/>
              <w:jc w:val="left"/>
            </w:pPr>
            <w:r>
              <w:rPr>
                <w:sz w:val="18"/>
              </w:rPr>
              <w:t xml:space="preserve">OUT 33, 73</w:t>
            </w:r>
          </w:p>
        </w:tc>
        <w:tc>
          <w:tcPr>
            <w:tcW w:w="1792" w:type="dxa"/>
          </w:tcPr>
          <w:p>
            <w:pPr>
              <w:pStyle w:val="Compact"/>
              <w:spacing w:after="40"/>
              <w:jc w:val="left"/>
            </w:pPr>
            <w:r>
              <w:rPr>
                <w:sz w:val="18"/>
              </w:rPr>
              <w:t xml:space="preserve">Cl. 2.5</w:t>
            </w:r>
          </w:p>
        </w:tc>
        <w:tc>
          <w:tcPr>
            <w:tcW w:w="1397" w:type="dxa"/>
          </w:tcPr>
          <w:p>
            <w:pPr>
              <w:pStyle w:val="Compact"/>
              <w:spacing w:after="40"/>
              <w:jc w:val="left"/>
            </w:pPr>
            <w:r>
              <w:rPr>
                <w:sz w:val="18"/>
              </w:rPr>
              <w:t xml:space="preserve">Clause text</w:t>
            </w:r>
          </w:p>
        </w:tc>
      </w:tr>
      <w:tr>
        <w:tc>
          <w:tcPr>
            <w:tcW w:w="1061" w:type="dxa"/>
          </w:tcPr>
          <w:p>
            <w:pPr>
              <w:pStyle w:val="Compact"/>
              <w:spacing w:after="40"/>
              <w:jc w:val="left"/>
            </w:pPr>
            <w:r>
              <w:rPr>
                <w:sz w:val="18"/>
              </w:rPr>
              <w:t xml:space="preserve">39</w:t>
            </w:r>
          </w:p>
        </w:tc>
        <w:tc>
          <w:tcPr>
            <w:tcW w:w="3390" w:type="dxa"/>
          </w:tcPr>
          <w:p>
            <w:pPr>
              <w:pStyle w:val="Compact"/>
              <w:spacing w:after="40"/>
              <w:jc w:val="left"/>
            </w:pPr>
            <w:r>
              <w:rPr>
                <w:sz w:val="18"/>
              </w:rPr>
              <w:t xml:space="preserve">Due diligence and annual review of the Service Provider</w:t>
            </w:r>
          </w:p>
        </w:tc>
        <w:tc>
          <w:tcPr>
            <w:tcW w:w="1998" w:type="dxa"/>
          </w:tcPr>
          <w:p>
            <w:pPr>
              <w:pStyle w:val="Compact"/>
              <w:spacing w:after="40"/>
              <w:jc w:val="left"/>
            </w:pPr>
            <w:r>
              <w:rPr>
                <w:sz w:val="18"/>
              </w:rPr>
              <w:t xml:space="preserve">OUT 29–32, 38, 71, 80</w:t>
            </w:r>
          </w:p>
        </w:tc>
        <w:tc>
          <w:tcPr>
            <w:tcW w:w="1792" w:type="dxa"/>
          </w:tcPr>
          <w:p>
            <w:pPr>
              <w:pStyle w:val="Compact"/>
              <w:spacing w:after="40"/>
              <w:jc w:val="left"/>
            </w:pPr>
            <w:r>
              <w:rPr>
                <w:sz w:val="18"/>
              </w:rPr>
              <w:t xml:space="preserve">Cl. 8.4, 8.5; Sch. 12 Pt C</w:t>
            </w:r>
          </w:p>
        </w:tc>
        <w:tc>
          <w:tcPr>
            <w:tcW w:w="1397" w:type="dxa"/>
          </w:tcPr>
          <w:p>
            <w:pPr>
              <w:pStyle w:val="Compact"/>
              <w:spacing w:after="40"/>
              <w:jc w:val="left"/>
            </w:pPr>
            <w:r>
              <w:rPr>
                <w:sz w:val="18"/>
              </w:rPr>
              <w:t xml:space="preserve">Assurance pack</w:t>
            </w:r>
          </w:p>
        </w:tc>
      </w:tr>
      <w:tr>
        <w:tc>
          <w:tcPr>
            <w:tcW w:w="1061" w:type="dxa"/>
          </w:tcPr>
          <w:p>
            <w:pPr>
              <w:pStyle w:val="Compact"/>
              <w:spacing w:after="40"/>
              <w:jc w:val="left"/>
            </w:pPr>
            <w:r>
              <w:rPr>
                <w:sz w:val="18"/>
              </w:rPr>
              <w:t xml:space="preserve">40</w:t>
            </w:r>
          </w:p>
        </w:tc>
        <w:tc>
          <w:tcPr>
            <w:tcW w:w="3390" w:type="dxa"/>
          </w:tcPr>
          <w:p>
            <w:pPr>
              <w:pStyle w:val="Compact"/>
              <w:spacing w:after="40"/>
              <w:jc w:val="left"/>
            </w:pPr>
            <w:r>
              <w:rPr>
                <w:sz w:val="18"/>
              </w:rPr>
              <w:t xml:space="preserve">BCP framework and joint testing</w:t>
            </w:r>
          </w:p>
        </w:tc>
        <w:tc>
          <w:tcPr>
            <w:tcW w:w="1998" w:type="dxa"/>
          </w:tcPr>
          <w:p>
            <w:pPr>
              <w:pStyle w:val="Compact"/>
              <w:spacing w:after="40"/>
              <w:jc w:val="left"/>
            </w:pPr>
            <w:r>
              <w:rPr>
                <w:sz w:val="18"/>
              </w:rPr>
              <w:t xml:space="preserve">OUT 40, 83</w:t>
            </w:r>
          </w:p>
        </w:tc>
        <w:tc>
          <w:tcPr>
            <w:tcW w:w="1792" w:type="dxa"/>
          </w:tcPr>
          <w:p>
            <w:pPr>
              <w:pStyle w:val="Compact"/>
              <w:spacing w:after="40"/>
              <w:jc w:val="left"/>
            </w:pPr>
            <w:r>
              <w:rPr>
                <w:sz w:val="18"/>
              </w:rPr>
              <w:t xml:space="preserve">Cl. 14.1, 14.4(e)</w:t>
            </w:r>
          </w:p>
        </w:tc>
        <w:tc>
          <w:tcPr>
            <w:tcW w:w="1397" w:type="dxa"/>
          </w:tcPr>
          <w:p>
            <w:pPr>
              <w:pStyle w:val="Compact"/>
              <w:spacing w:after="40"/>
              <w:jc w:val="left"/>
            </w:pPr>
            <w:r>
              <w:rPr>
                <w:sz w:val="18"/>
              </w:rPr>
              <w:t xml:space="preserve">Test reports</w:t>
            </w:r>
          </w:p>
        </w:tc>
      </w:tr>
      <w:tr>
        <w:tc>
          <w:tcPr>
            <w:tcW w:w="1061" w:type="dxa"/>
          </w:tcPr>
          <w:p>
            <w:pPr>
              <w:pStyle w:val="Compact"/>
              <w:spacing w:after="40"/>
              <w:jc w:val="left"/>
            </w:pPr>
            <w:r>
              <w:rPr>
                <w:sz w:val="18"/>
              </w:rPr>
              <w:t xml:space="preserve">41</w:t>
            </w:r>
          </w:p>
        </w:tc>
        <w:tc>
          <w:tcPr>
            <w:tcW w:w="3390" w:type="dxa"/>
          </w:tcPr>
          <w:p>
            <w:pPr>
              <w:pStyle w:val="Compact"/>
              <w:spacing w:after="40"/>
              <w:jc w:val="left"/>
            </w:pPr>
            <w:r>
              <w:rPr>
                <w:sz w:val="18"/>
              </w:rPr>
              <w:t xml:space="preserve">Contingency, isolation and continuity on vendor failure</w:t>
            </w:r>
          </w:p>
        </w:tc>
        <w:tc>
          <w:tcPr>
            <w:tcW w:w="1998" w:type="dxa"/>
          </w:tcPr>
          <w:p>
            <w:pPr>
              <w:pStyle w:val="Compact"/>
              <w:spacing w:after="40"/>
              <w:jc w:val="left"/>
            </w:pPr>
            <w:r>
              <w:rPr>
                <w:sz w:val="18"/>
              </w:rPr>
              <w:t xml:space="preserve">OUT 41–43, 53(iii)</w:t>
            </w:r>
          </w:p>
        </w:tc>
        <w:tc>
          <w:tcPr>
            <w:tcW w:w="1792" w:type="dxa"/>
          </w:tcPr>
          <w:p>
            <w:pPr>
              <w:pStyle w:val="Compact"/>
              <w:spacing w:after="40"/>
              <w:jc w:val="left"/>
            </w:pPr>
            <w:r>
              <w:rPr>
                <w:sz w:val="18"/>
              </w:rPr>
              <w:t xml:space="preserve">Cl. 9.14, 14.7, 25.6; Art. 26</w:t>
            </w:r>
          </w:p>
        </w:tc>
        <w:tc>
          <w:tcPr>
            <w:tcW w:w="1397" w:type="dxa"/>
          </w:tcPr>
          <w:p>
            <w:pPr>
              <w:pStyle w:val="Compact"/>
              <w:spacing w:after="40"/>
              <w:jc w:val="left"/>
            </w:pPr>
            <w:r>
              <w:rPr>
                <w:sz w:val="18"/>
              </w:rPr>
              <w:t xml:space="preserve">Exit Plan; escrow</w:t>
            </w:r>
          </w:p>
        </w:tc>
      </w:tr>
      <w:tr>
        <w:tc>
          <w:tcPr>
            <w:tcW w:w="1061" w:type="dxa"/>
          </w:tcPr>
          <w:p>
            <w:pPr>
              <w:pStyle w:val="Compact"/>
              <w:spacing w:after="40"/>
              <w:jc w:val="left"/>
            </w:pPr>
            <w:r>
              <w:rPr>
                <w:sz w:val="18"/>
              </w:rPr>
              <w:t xml:space="preserve">42</w:t>
            </w:r>
          </w:p>
        </w:tc>
        <w:tc>
          <w:tcPr>
            <w:tcW w:w="3390" w:type="dxa"/>
          </w:tcPr>
          <w:p>
            <w:pPr>
              <w:pStyle w:val="Compact"/>
              <w:spacing w:after="40"/>
              <w:jc w:val="left"/>
            </w:pPr>
            <w:r>
              <w:rPr>
                <w:sz w:val="18"/>
              </w:rPr>
              <w:t xml:space="preserve">Group arrangements</w:t>
            </w:r>
          </w:p>
        </w:tc>
        <w:tc>
          <w:tcPr>
            <w:tcW w:w="1998" w:type="dxa"/>
          </w:tcPr>
          <w:p>
            <w:pPr>
              <w:pStyle w:val="Compact"/>
              <w:spacing w:after="40"/>
              <w:jc w:val="left"/>
            </w:pPr>
            <w:r>
              <w:rPr>
                <w:sz w:val="18"/>
              </w:rPr>
              <w:t xml:space="preserve">OUT 45–51, 90–92</w:t>
            </w:r>
          </w:p>
        </w:tc>
        <w:tc>
          <w:tcPr>
            <w:tcW w:w="1792" w:type="dxa"/>
          </w:tcPr>
          <w:p>
            <w:pPr>
              <w:pStyle w:val="Compact"/>
              <w:spacing w:after="40"/>
              <w:jc w:val="left"/>
            </w:pPr>
            <w:r>
              <w:rPr>
                <w:sz w:val="18"/>
              </w:rPr>
              <w:t xml:space="preserve">Cl. 3.6 Option B</w:t>
            </w:r>
          </w:p>
        </w:tc>
        <w:tc>
          <w:tcPr>
            <w:tcW w:w="1397" w:type="dxa"/>
          </w:tcPr>
          <w:p>
            <w:pPr>
              <w:pStyle w:val="Compact"/>
              <w:spacing w:after="40"/>
              <w:jc w:val="left"/>
            </w:pPr>
            <w:r>
              <w:rPr>
                <w:sz w:val="18"/>
              </w:rPr>
              <w:t xml:space="preserve">Board policy</w:t>
            </w:r>
          </w:p>
        </w:tc>
      </w:tr>
      <w:tr>
        <w:tc>
          <w:tcPr>
            <w:tcW w:w="1061" w:type="dxa"/>
          </w:tcPr>
          <w:p>
            <w:pPr>
              <w:pStyle w:val="Compact"/>
              <w:spacing w:after="40"/>
              <w:jc w:val="left"/>
            </w:pPr>
            <w:r>
              <w:rPr>
                <w:sz w:val="18"/>
              </w:rPr>
              <w:t xml:space="preserve">43</w:t>
            </w:r>
          </w:p>
        </w:tc>
        <w:tc>
          <w:tcPr>
            <w:tcW w:w="3390" w:type="dxa"/>
          </w:tcPr>
          <w:p>
            <w:pPr>
              <w:pStyle w:val="Compact"/>
              <w:spacing w:after="40"/>
              <w:jc w:val="left"/>
            </w:pPr>
            <w:r>
              <w:rPr>
                <w:sz w:val="18"/>
              </w:rPr>
              <w:t xml:space="preserve">Grievances remain with the Company</w:t>
            </w:r>
          </w:p>
        </w:tc>
        <w:tc>
          <w:tcPr>
            <w:tcW w:w="1998" w:type="dxa"/>
          </w:tcPr>
          <w:p>
            <w:pPr>
              <w:pStyle w:val="Compact"/>
              <w:spacing w:after="40"/>
              <w:jc w:val="left"/>
            </w:pPr>
            <w:r>
              <w:rPr>
                <w:sz w:val="18"/>
              </w:rPr>
              <w:t xml:space="preserve">OUT 54–57, 98–99</w:t>
            </w:r>
          </w:p>
        </w:tc>
        <w:tc>
          <w:tcPr>
            <w:tcW w:w="1792" w:type="dxa"/>
          </w:tcPr>
          <w:p>
            <w:pPr>
              <w:pStyle w:val="Compact"/>
              <w:spacing w:after="40"/>
              <w:jc w:val="left"/>
            </w:pPr>
            <w:r>
              <w:rPr>
                <w:sz w:val="18"/>
              </w:rPr>
              <w:t xml:space="preserve">Art. 28; Sch. 12 Pt F</w:t>
            </w:r>
          </w:p>
        </w:tc>
        <w:tc>
          <w:tcPr>
            <w:tcW w:w="1397" w:type="dxa"/>
          </w:tcPr>
          <w:p>
            <w:pPr>
              <w:pStyle w:val="Compact"/>
              <w:spacing w:after="40"/>
              <w:jc w:val="left"/>
            </w:pPr>
            <w:r>
              <w:rPr>
                <w:sz w:val="18"/>
              </w:rPr>
              <w:t xml:space="preserve">Complaint routing</w:t>
            </w:r>
          </w:p>
        </w:tc>
      </w:tr>
      <w:tr>
        <w:tc>
          <w:tcPr>
            <w:tcW w:w="1061" w:type="dxa"/>
          </w:tcPr>
          <w:p>
            <w:pPr>
              <w:pStyle w:val="Compact"/>
              <w:spacing w:after="40"/>
              <w:jc w:val="left"/>
            </w:pPr>
            <w:r>
              <w:rPr>
                <w:sz w:val="18"/>
              </w:rPr>
              <w:t xml:space="preserve">44</w:t>
            </w:r>
          </w:p>
        </w:tc>
        <w:tc>
          <w:tcPr>
            <w:tcW w:w="3390" w:type="dxa"/>
          </w:tcPr>
          <w:p>
            <w:pPr>
              <w:pStyle w:val="Compact"/>
              <w:spacing w:after="40"/>
              <w:jc w:val="left"/>
            </w:pPr>
            <w:r>
              <w:rPr>
                <w:sz w:val="18"/>
              </w:rPr>
              <w:t xml:space="preserve">Six-hour reporting from Service Provider Detection</w:t>
            </w:r>
          </w:p>
        </w:tc>
        <w:tc>
          <w:tcPr>
            <w:tcW w:w="1998" w:type="dxa"/>
          </w:tcPr>
          <w:p>
            <w:pPr>
              <w:pStyle w:val="Compact"/>
              <w:spacing w:after="40"/>
              <w:jc w:val="left"/>
            </w:pPr>
            <w:r>
              <w:rPr>
                <w:sz w:val="18"/>
              </w:rPr>
              <w:t xml:space="preserve">OUT 61</w:t>
            </w:r>
          </w:p>
        </w:tc>
        <w:tc>
          <w:tcPr>
            <w:tcW w:w="1792" w:type="dxa"/>
          </w:tcPr>
          <w:p>
            <w:pPr>
              <w:pStyle w:val="Compact"/>
              <w:spacing w:after="40"/>
              <w:jc w:val="left"/>
            </w:pPr>
            <w:r>
              <w:rPr>
                <w:sz w:val="18"/>
              </w:rPr>
              <w:t xml:space="preserve">Cl. 12.2; Sch. 7 Pt B</w:t>
            </w:r>
          </w:p>
        </w:tc>
        <w:tc>
          <w:tcPr>
            <w:tcW w:w="1397" w:type="dxa"/>
          </w:tcPr>
          <w:p>
            <w:pPr>
              <w:pStyle w:val="Compact"/>
              <w:spacing w:after="40"/>
              <w:jc w:val="left"/>
            </w:pPr>
            <w:r>
              <w:rPr>
                <w:sz w:val="18"/>
              </w:rPr>
              <w:t xml:space="preserve">Timestamps</w:t>
            </w:r>
          </w:p>
        </w:tc>
      </w:tr>
      <w:tr>
        <w:tc>
          <w:tcPr>
            <w:tcW w:w="1061" w:type="dxa"/>
          </w:tcPr>
          <w:p>
            <w:pPr>
              <w:pStyle w:val="Compact"/>
              <w:spacing w:after="40"/>
              <w:jc w:val="left"/>
            </w:pPr>
            <w:r>
              <w:rPr>
                <w:sz w:val="18"/>
              </w:rPr>
              <w:t xml:space="preserve">45</w:t>
            </w:r>
          </w:p>
        </w:tc>
        <w:tc>
          <w:tcPr>
            <w:tcW w:w="3390" w:type="dxa"/>
          </w:tcPr>
          <w:p>
            <w:pPr>
              <w:pStyle w:val="Compact"/>
              <w:spacing w:after="40"/>
              <w:jc w:val="left"/>
            </w:pPr>
            <w:r>
              <w:rPr>
                <w:sz w:val="18"/>
              </w:rPr>
              <w:t xml:space="preserve">Monitoring, KRIs, inventory and dependency mapping</w:t>
            </w:r>
          </w:p>
        </w:tc>
        <w:tc>
          <w:tcPr>
            <w:tcW w:w="1998" w:type="dxa"/>
          </w:tcPr>
          <w:p>
            <w:pPr>
              <w:pStyle w:val="Compact"/>
              <w:spacing w:after="40"/>
              <w:jc w:val="left"/>
            </w:pPr>
            <w:r>
              <w:rPr>
                <w:sz w:val="18"/>
              </w:rPr>
              <w:t xml:space="preserve">OUT 64(2), 64(4), 75, 82</w:t>
            </w:r>
          </w:p>
        </w:tc>
        <w:tc>
          <w:tcPr>
            <w:tcW w:w="1792" w:type="dxa"/>
          </w:tcPr>
          <w:p>
            <w:pPr>
              <w:pStyle w:val="Compact"/>
              <w:spacing w:after="40"/>
              <w:jc w:val="left"/>
            </w:pPr>
            <w:r>
              <w:rPr>
                <w:sz w:val="18"/>
              </w:rPr>
              <w:t xml:space="preserve">Cl. 6.2, 13.5, 27.3</w:t>
            </w:r>
          </w:p>
        </w:tc>
        <w:tc>
          <w:tcPr>
            <w:tcW w:w="1397" w:type="dxa"/>
          </w:tcPr>
          <w:p>
            <w:pPr>
              <w:pStyle w:val="Compact"/>
              <w:spacing w:after="40"/>
              <w:jc w:val="left"/>
            </w:pPr>
            <w:r>
              <w:rPr>
                <w:sz w:val="18"/>
              </w:rPr>
              <w:t xml:space="preserve">Dashboard; inventory</w:t>
            </w:r>
          </w:p>
        </w:tc>
      </w:tr>
      <w:tr>
        <w:tc>
          <w:tcPr>
            <w:tcW w:w="1061" w:type="dxa"/>
          </w:tcPr>
          <w:p>
            <w:pPr>
              <w:pStyle w:val="Compact"/>
              <w:spacing w:after="40"/>
              <w:jc w:val="left"/>
            </w:pPr>
            <w:r>
              <w:rPr>
                <w:sz w:val="18"/>
              </w:rPr>
              <w:t xml:space="preserve">46</w:t>
            </w:r>
          </w:p>
        </w:tc>
        <w:tc>
          <w:tcPr>
            <w:tcW w:w="3390" w:type="dxa"/>
          </w:tcPr>
          <w:p>
            <w:pPr>
              <w:pStyle w:val="Compact"/>
              <w:spacing w:after="40"/>
              <w:jc w:val="left"/>
            </w:pPr>
            <w:r>
              <w:rPr>
                <w:sz w:val="18"/>
              </w:rPr>
              <w:t xml:space="preserve">Regular, pooled audits; certifications do not absolve</w:t>
            </w:r>
          </w:p>
        </w:tc>
        <w:tc>
          <w:tcPr>
            <w:tcW w:w="1998" w:type="dxa"/>
          </w:tcPr>
          <w:p>
            <w:pPr>
              <w:pStyle w:val="Compact"/>
              <w:spacing w:after="40"/>
              <w:jc w:val="left"/>
            </w:pPr>
            <w:r>
              <w:rPr>
                <w:sz w:val="18"/>
              </w:rPr>
              <w:t xml:space="preserve">OUT 76–79</w:t>
            </w:r>
          </w:p>
        </w:tc>
        <w:tc>
          <w:tcPr>
            <w:tcW w:w="1792" w:type="dxa"/>
          </w:tcPr>
          <w:p>
            <w:pPr>
              <w:pStyle w:val="Compact"/>
              <w:spacing w:after="40"/>
              <w:jc w:val="left"/>
            </w:pPr>
            <w:r>
              <w:rPr>
                <w:sz w:val="18"/>
              </w:rPr>
              <w:t xml:space="preserve">Cl. 9.2, 9.9</w:t>
            </w:r>
          </w:p>
        </w:tc>
        <w:tc>
          <w:tcPr>
            <w:tcW w:w="1397" w:type="dxa"/>
          </w:tcPr>
          <w:p>
            <w:pPr>
              <w:pStyle w:val="Compact"/>
              <w:spacing w:after="40"/>
              <w:jc w:val="left"/>
            </w:pPr>
            <w:r>
              <w:rPr>
                <w:sz w:val="18"/>
              </w:rPr>
              <w:t xml:space="preserve">Audit plan</w:t>
            </w:r>
          </w:p>
        </w:tc>
      </w:tr>
      <w:tr>
        <w:tc>
          <w:tcPr>
            <w:tcW w:w="1061" w:type="dxa"/>
          </w:tcPr>
          <w:p>
            <w:pPr>
              <w:pStyle w:val="Compact"/>
              <w:spacing w:after="40"/>
              <w:jc w:val="left"/>
            </w:pPr>
            <w:r>
              <w:rPr>
                <w:sz w:val="18"/>
              </w:rPr>
              <w:t xml:space="preserve">47</w:t>
            </w:r>
          </w:p>
        </w:tc>
        <w:tc>
          <w:tcPr>
            <w:tcW w:w="3390" w:type="dxa"/>
          </w:tcPr>
          <w:p>
            <w:pPr>
              <w:pStyle w:val="Compact"/>
              <w:spacing w:after="40"/>
              <w:jc w:val="left"/>
            </w:pPr>
            <w:r>
              <w:rPr>
                <w:sz w:val="18"/>
              </w:rPr>
              <w:t xml:space="preserve">Unrestricted access to data and premises</w:t>
            </w:r>
          </w:p>
        </w:tc>
        <w:tc>
          <w:tcPr>
            <w:tcW w:w="1998" w:type="dxa"/>
          </w:tcPr>
          <w:p>
            <w:pPr>
              <w:pStyle w:val="Compact"/>
              <w:spacing w:after="40"/>
              <w:jc w:val="left"/>
            </w:pPr>
            <w:r>
              <w:rPr>
                <w:sz w:val="18"/>
              </w:rPr>
              <w:t xml:space="preserve">OUT 81</w:t>
            </w:r>
          </w:p>
        </w:tc>
        <w:tc>
          <w:tcPr>
            <w:tcW w:w="1792" w:type="dxa"/>
          </w:tcPr>
          <w:p>
            <w:pPr>
              <w:pStyle w:val="Compact"/>
              <w:spacing w:after="40"/>
              <w:jc w:val="left"/>
            </w:pPr>
            <w:r>
              <w:rPr>
                <w:sz w:val="18"/>
              </w:rPr>
              <w:t xml:space="preserve">Cl. 9.5</w:t>
            </w:r>
          </w:p>
        </w:tc>
        <w:tc>
          <w:tcPr>
            <w:tcW w:w="1397" w:type="dxa"/>
          </w:tcPr>
          <w:p>
            <w:pPr>
              <w:pStyle w:val="Compact"/>
              <w:spacing w:after="40"/>
              <w:jc w:val="left"/>
            </w:pPr>
            <w:r>
              <w:rPr>
                <w:sz w:val="18"/>
              </w:rPr>
              <w:t xml:space="preserve">Access records</w:t>
            </w:r>
          </w:p>
        </w:tc>
      </w:tr>
      <w:tr>
        <w:tc>
          <w:tcPr>
            <w:tcW w:w="1061" w:type="dxa"/>
          </w:tcPr>
          <w:p>
            <w:pPr>
              <w:pStyle w:val="Compact"/>
              <w:spacing w:after="40"/>
              <w:jc w:val="left"/>
            </w:pPr>
            <w:r>
              <w:rPr>
                <w:sz w:val="18"/>
              </w:rPr>
              <w:t xml:space="preserve">48</w:t>
            </w:r>
          </w:p>
        </w:tc>
        <w:tc>
          <w:tcPr>
            <w:tcW w:w="3390" w:type="dxa"/>
          </w:tcPr>
          <w:p>
            <w:pPr>
              <w:pStyle w:val="Compact"/>
              <w:spacing w:after="40"/>
              <w:jc w:val="left"/>
            </w:pPr>
            <w:r>
              <w:rPr>
                <w:sz w:val="18"/>
              </w:rPr>
              <w:t xml:space="preserve">Exit strategy, scenarios and minimum periods</w:t>
            </w:r>
          </w:p>
        </w:tc>
        <w:tc>
          <w:tcPr>
            <w:tcW w:w="1998" w:type="dxa"/>
          </w:tcPr>
          <w:p>
            <w:pPr>
              <w:pStyle w:val="Compact"/>
              <w:spacing w:after="40"/>
              <w:jc w:val="left"/>
            </w:pPr>
            <w:r>
              <w:rPr>
                <w:sz w:val="18"/>
              </w:rPr>
              <w:t xml:space="preserve">OUT 84–86</w:t>
            </w:r>
          </w:p>
        </w:tc>
        <w:tc>
          <w:tcPr>
            <w:tcW w:w="1792" w:type="dxa"/>
          </w:tcPr>
          <w:p>
            <w:pPr>
              <w:pStyle w:val="Compact"/>
              <w:spacing w:after="40"/>
              <w:jc w:val="left"/>
            </w:pPr>
            <w:r>
              <w:rPr>
                <w:sz w:val="18"/>
              </w:rPr>
              <w:t xml:space="preserve">Cl. 25.1; Sch. 9 Pt A</w:t>
            </w:r>
          </w:p>
        </w:tc>
        <w:tc>
          <w:tcPr>
            <w:tcW w:w="1397" w:type="dxa"/>
          </w:tcPr>
          <w:p>
            <w:pPr>
              <w:pStyle w:val="Compact"/>
              <w:spacing w:after="40"/>
              <w:jc w:val="left"/>
            </w:pPr>
            <w:r>
              <w:rPr>
                <w:sz w:val="18"/>
              </w:rPr>
              <w:t xml:space="preserve">Exit Plan</w:t>
            </w:r>
          </w:p>
        </w:tc>
      </w:tr>
      <w:tr>
        <w:tc>
          <w:tcPr>
            <w:tcW w:w="1061" w:type="dxa"/>
          </w:tcPr>
          <w:p>
            <w:pPr>
              <w:pStyle w:val="Compact"/>
              <w:spacing w:after="40"/>
              <w:jc w:val="left"/>
            </w:pPr>
            <w:r>
              <w:rPr>
                <w:sz w:val="18"/>
              </w:rPr>
              <w:t xml:space="preserve">49</w:t>
            </w:r>
          </w:p>
        </w:tc>
        <w:tc>
          <w:tcPr>
            <w:tcW w:w="3390" w:type="dxa"/>
          </w:tcPr>
          <w:p>
            <w:pPr>
              <w:pStyle w:val="Compact"/>
              <w:spacing w:after="40"/>
              <w:jc w:val="left"/>
            </w:pPr>
            <w:r>
              <w:rPr>
                <w:sz w:val="18"/>
              </w:rPr>
              <w:t xml:space="preserve">Safe removal or destruction; no alteration in transition</w:t>
            </w:r>
          </w:p>
        </w:tc>
        <w:tc>
          <w:tcPr>
            <w:tcW w:w="1998" w:type="dxa"/>
          </w:tcPr>
          <w:p>
            <w:pPr>
              <w:pStyle w:val="Compact"/>
              <w:spacing w:after="40"/>
              <w:jc w:val="left"/>
            </w:pPr>
            <w:r>
              <w:rPr>
                <w:sz w:val="18"/>
              </w:rPr>
              <w:t xml:space="preserve">OUT 87</w:t>
            </w:r>
          </w:p>
        </w:tc>
        <w:tc>
          <w:tcPr>
            <w:tcW w:w="1792" w:type="dxa"/>
          </w:tcPr>
          <w:p>
            <w:pPr>
              <w:pStyle w:val="Compact"/>
              <w:spacing w:after="40"/>
              <w:jc w:val="left"/>
            </w:pPr>
            <w:r>
              <w:rPr>
                <w:sz w:val="18"/>
              </w:rPr>
              <w:t xml:space="preserve">Cl. 10.10, 25.3</w:t>
            </w:r>
          </w:p>
        </w:tc>
        <w:tc>
          <w:tcPr>
            <w:tcW w:w="1397" w:type="dxa"/>
          </w:tcPr>
          <w:p>
            <w:pPr>
              <w:pStyle w:val="Compact"/>
              <w:spacing w:after="40"/>
              <w:jc w:val="left"/>
            </w:pPr>
            <w:r>
              <w:rPr>
                <w:sz w:val="18"/>
              </w:rPr>
              <w:t xml:space="preserve">Certificates</w:t>
            </w:r>
          </w:p>
        </w:tc>
      </w:tr>
      <w:tr>
        <w:tc>
          <w:tcPr>
            <w:tcW w:w="1061" w:type="dxa"/>
          </w:tcPr>
          <w:p>
            <w:pPr>
              <w:pStyle w:val="Compact"/>
              <w:spacing w:after="40"/>
              <w:jc w:val="left"/>
            </w:pPr>
            <w:r>
              <w:rPr>
                <w:sz w:val="18"/>
              </w:rPr>
              <w:t xml:space="preserve">50</w:t>
            </w:r>
          </w:p>
        </w:tc>
        <w:tc>
          <w:tcPr>
            <w:tcW w:w="3390" w:type="dxa"/>
          </w:tcPr>
          <w:p>
            <w:pPr>
              <w:pStyle w:val="Compact"/>
              <w:spacing w:after="40"/>
              <w:jc w:val="left"/>
            </w:pPr>
            <w:r>
              <w:rPr>
                <w:sz w:val="18"/>
              </w:rPr>
              <w:t xml:space="preserve">Co-operation with new provider</w:t>
            </w:r>
          </w:p>
        </w:tc>
        <w:tc>
          <w:tcPr>
            <w:tcW w:w="1998" w:type="dxa"/>
          </w:tcPr>
          <w:p>
            <w:pPr>
              <w:pStyle w:val="Compact"/>
              <w:spacing w:after="40"/>
              <w:jc w:val="left"/>
            </w:pPr>
            <w:r>
              <w:rPr>
                <w:sz w:val="18"/>
              </w:rPr>
              <w:t xml:space="preserve">OUT 88</w:t>
            </w:r>
          </w:p>
        </w:tc>
        <w:tc>
          <w:tcPr>
            <w:tcW w:w="1792" w:type="dxa"/>
          </w:tcPr>
          <w:p>
            <w:pPr>
              <w:pStyle w:val="Compact"/>
              <w:spacing w:after="40"/>
              <w:jc w:val="left"/>
            </w:pPr>
            <w:r>
              <w:rPr>
                <w:sz w:val="18"/>
              </w:rPr>
              <w:t xml:space="preserve">Cl. 25.2(b)</w:t>
            </w:r>
          </w:p>
        </w:tc>
        <w:tc>
          <w:tcPr>
            <w:tcW w:w="1397" w:type="dxa"/>
          </w:tcPr>
          <w:p>
            <w:pPr>
              <w:pStyle w:val="Compact"/>
              <w:spacing w:after="40"/>
              <w:jc w:val="left"/>
            </w:pPr>
            <w:r>
              <w:rPr>
                <w:sz w:val="18"/>
              </w:rPr>
              <w:t xml:space="preserve">Transition log</w:t>
            </w:r>
          </w:p>
        </w:tc>
      </w:tr>
      <w:tr>
        <w:tc>
          <w:tcPr>
            <w:tcW w:w="1061" w:type="dxa"/>
          </w:tcPr>
          <w:p>
            <w:pPr>
              <w:pStyle w:val="Compact"/>
              <w:spacing w:after="40"/>
              <w:jc w:val="left"/>
            </w:pPr>
            <w:r>
              <w:rPr>
                <w:sz w:val="18"/>
              </w:rPr>
              <w:t xml:space="preserve">51</w:t>
            </w:r>
          </w:p>
        </w:tc>
        <w:tc>
          <w:tcPr>
            <w:tcW w:w="3390" w:type="dxa"/>
          </w:tcPr>
          <w:p>
            <w:pPr>
              <w:pStyle w:val="Compact"/>
              <w:spacing w:after="40"/>
              <w:jc w:val="left"/>
            </w:pPr>
            <w:r>
              <w:rPr>
                <w:sz w:val="18"/>
              </w:rPr>
              <w:t xml:space="preserve">Termination publicity</w:t>
            </w:r>
          </w:p>
        </w:tc>
        <w:tc>
          <w:tcPr>
            <w:tcW w:w="1998" w:type="dxa"/>
          </w:tcPr>
          <w:p>
            <w:pPr>
              <w:pStyle w:val="Compact"/>
              <w:spacing w:after="40"/>
              <w:jc w:val="left"/>
            </w:pPr>
            <w:r>
              <w:rPr>
                <w:sz w:val="18"/>
              </w:rPr>
              <w:t xml:space="preserve">OUT 44, 89</w:t>
            </w:r>
          </w:p>
        </w:tc>
        <w:tc>
          <w:tcPr>
            <w:tcW w:w="1792" w:type="dxa"/>
          </w:tcPr>
          <w:p>
            <w:pPr>
              <w:pStyle w:val="Compact"/>
              <w:spacing w:after="40"/>
              <w:jc w:val="left"/>
            </w:pPr>
            <w:r>
              <w:rPr>
                <w:sz w:val="18"/>
              </w:rPr>
              <w:t xml:space="preserve">Cl. 24.8</w:t>
            </w:r>
          </w:p>
        </w:tc>
        <w:tc>
          <w:tcPr>
            <w:tcW w:w="1397" w:type="dxa"/>
          </w:tcPr>
          <w:p>
            <w:pPr>
              <w:pStyle w:val="Compact"/>
              <w:spacing w:after="40"/>
              <w:jc w:val="left"/>
            </w:pPr>
            <w:r>
              <w:rPr>
                <w:sz w:val="18"/>
              </w:rPr>
              <w:t xml:space="preserve">Notices</w:t>
            </w:r>
          </w:p>
        </w:tc>
      </w:tr>
      <w:tr>
        <w:tc>
          <w:tcPr>
            <w:tcW w:w="1061" w:type="dxa"/>
          </w:tcPr>
          <w:p>
            <w:pPr>
              <w:pStyle w:val="Compact"/>
              <w:spacing w:after="40"/>
              <w:jc w:val="left"/>
            </w:pPr>
            <w:r>
              <w:rPr>
                <w:sz w:val="18"/>
              </w:rPr>
              <w:t xml:space="preserve">52</w:t>
            </w:r>
          </w:p>
        </w:tc>
        <w:tc>
          <w:tcPr>
            <w:tcW w:w="3390" w:type="dxa"/>
          </w:tcPr>
          <w:p>
            <w:pPr>
              <w:pStyle w:val="Compact"/>
              <w:spacing w:after="40"/>
              <w:jc w:val="left"/>
            </w:pPr>
            <w:r>
              <w:rPr>
                <w:sz w:val="18"/>
              </w:rPr>
              <w:t xml:space="preserve">SOC controls and integrated escalation</w:t>
            </w:r>
          </w:p>
        </w:tc>
        <w:tc>
          <w:tcPr>
            <w:tcW w:w="1998" w:type="dxa"/>
          </w:tcPr>
          <w:p>
            <w:pPr>
              <w:pStyle w:val="Compact"/>
              <w:spacing w:after="40"/>
              <w:jc w:val="left"/>
            </w:pPr>
            <w:r>
              <w:rPr>
                <w:sz w:val="18"/>
              </w:rPr>
              <w:t xml:space="preserve">OUT 95</w:t>
            </w:r>
          </w:p>
        </w:tc>
        <w:tc>
          <w:tcPr>
            <w:tcW w:w="1792" w:type="dxa"/>
          </w:tcPr>
          <w:p>
            <w:pPr>
              <w:pStyle w:val="Compact"/>
              <w:spacing w:after="40"/>
              <w:jc w:val="left"/>
            </w:pPr>
            <w:r>
              <w:rPr>
                <w:sz w:val="18"/>
              </w:rPr>
              <w:t xml:space="preserve">Cl. 12.1; Sch. 5 row 16</w:t>
            </w:r>
          </w:p>
        </w:tc>
        <w:tc>
          <w:tcPr>
            <w:tcW w:w="1397" w:type="dxa"/>
          </w:tcPr>
          <w:p>
            <w:pPr>
              <w:pStyle w:val="Compact"/>
              <w:spacing w:after="40"/>
              <w:jc w:val="left"/>
            </w:pPr>
            <w:r>
              <w:rPr>
                <w:sz w:val="18"/>
              </w:rPr>
              <w:t xml:space="preserve">SOC rules</w:t>
            </w:r>
          </w:p>
        </w:tc>
      </w:tr>
      <w:tr>
        <w:tc>
          <w:tcPr>
            <w:tcW w:w="1061" w:type="dxa"/>
          </w:tcPr>
          <w:p>
            <w:pPr>
              <w:pStyle w:val="Compact"/>
              <w:spacing w:after="40"/>
              <w:jc w:val="left"/>
            </w:pPr>
            <w:r>
              <w:rPr>
                <w:sz w:val="18"/>
              </w:rPr>
              <w:t xml:space="preserve">53</w:t>
            </w:r>
          </w:p>
        </w:tc>
        <w:tc>
          <w:tcPr>
            <w:tcW w:w="3390" w:type="dxa"/>
          </w:tcPr>
          <w:p>
            <w:pPr>
              <w:pStyle w:val="Compact"/>
              <w:spacing w:after="40"/>
              <w:jc w:val="left"/>
            </w:pPr>
            <w:r>
              <w:rPr>
                <w:sz w:val="18"/>
              </w:rPr>
              <w:t xml:space="preserve">Data lifecycle to erasure; CSP jurisdiction</w:t>
            </w:r>
          </w:p>
        </w:tc>
        <w:tc>
          <w:tcPr>
            <w:tcW w:w="1998" w:type="dxa"/>
          </w:tcPr>
          <w:p>
            <w:pPr>
              <w:pStyle w:val="Compact"/>
              <w:spacing w:after="40"/>
              <w:jc w:val="left"/>
            </w:pPr>
            <w:r>
              <w:rPr>
                <w:sz w:val="18"/>
              </w:rPr>
              <w:t xml:space="preserve">OUT 97(ii), (vi)</w:t>
            </w:r>
          </w:p>
        </w:tc>
        <w:tc>
          <w:tcPr>
            <w:tcW w:w="1792" w:type="dxa"/>
          </w:tcPr>
          <w:p>
            <w:pPr>
              <w:pStyle w:val="Compact"/>
              <w:spacing w:after="40"/>
              <w:jc w:val="left"/>
            </w:pPr>
            <w:r>
              <w:rPr>
                <w:sz w:val="18"/>
              </w:rPr>
              <w:t xml:space="preserve">Cl. 10.9, 11.10</w:t>
            </w:r>
          </w:p>
        </w:tc>
        <w:tc>
          <w:tcPr>
            <w:tcW w:w="1397" w:type="dxa"/>
          </w:tcPr>
          <w:p>
            <w:pPr>
              <w:pStyle w:val="Compact"/>
              <w:spacing w:after="40"/>
              <w:jc w:val="left"/>
            </w:pPr>
            <w:r>
              <w:rPr>
                <w:sz w:val="18"/>
              </w:rPr>
              <w:t xml:space="preserve">Retention engine</w:t>
            </w:r>
          </w:p>
        </w:tc>
      </w:tr>
      <w:tr>
        <w:tc>
          <w:tcPr>
            <w:tcW w:w="1061" w:type="dxa"/>
          </w:tcPr>
          <w:p>
            <w:pPr>
              <w:pStyle w:val="Compact"/>
              <w:spacing w:after="40"/>
              <w:jc w:val="left"/>
            </w:pPr>
            <w:r>
              <w:rPr>
                <w:sz w:val="18"/>
              </w:rPr>
              <w:t xml:space="preserve">54</w:t>
            </w:r>
          </w:p>
        </w:tc>
        <w:tc>
          <w:tcPr>
            <w:tcW w:w="3390" w:type="dxa"/>
          </w:tcPr>
          <w:p>
            <w:pPr>
              <w:pStyle w:val="Compact"/>
              <w:spacing w:after="40"/>
              <w:jc w:val="left"/>
            </w:pPr>
            <w:r>
              <w:rPr>
                <w:sz w:val="18"/>
              </w:rPr>
              <w:t xml:space="preserve">Keys and HSMs under Company control</w:t>
            </w:r>
          </w:p>
        </w:tc>
        <w:tc>
          <w:tcPr>
            <w:tcW w:w="1998" w:type="dxa"/>
          </w:tcPr>
          <w:p>
            <w:pPr>
              <w:pStyle w:val="Compact"/>
              <w:spacing w:after="40"/>
              <w:jc w:val="left"/>
            </w:pPr>
            <w:r>
              <w:rPr>
                <w:sz w:val="18"/>
              </w:rPr>
              <w:t xml:space="preserve">OUT 97(vii)(b)</w:t>
            </w:r>
          </w:p>
        </w:tc>
        <w:tc>
          <w:tcPr>
            <w:tcW w:w="1792" w:type="dxa"/>
          </w:tcPr>
          <w:p>
            <w:pPr>
              <w:pStyle w:val="Compact"/>
              <w:spacing w:after="40"/>
              <w:jc w:val="left"/>
            </w:pPr>
            <w:r>
              <w:rPr>
                <w:sz w:val="18"/>
              </w:rPr>
              <w:t xml:space="preserve">Cl. 11.4</w:t>
            </w:r>
          </w:p>
        </w:tc>
        <w:tc>
          <w:tcPr>
            <w:tcW w:w="1397" w:type="dxa"/>
          </w:tcPr>
          <w:p>
            <w:pPr>
              <w:pStyle w:val="Compact"/>
              <w:spacing w:after="40"/>
              <w:jc w:val="left"/>
            </w:pPr>
            <w:r>
              <w:rPr>
                <w:sz w:val="18"/>
              </w:rPr>
              <w:t xml:space="preserve">Key ownership</w:t>
            </w:r>
          </w:p>
        </w:tc>
      </w:tr>
      <w:tr>
        <w:tc>
          <w:tcPr>
            <w:tcW w:w="1061" w:type="dxa"/>
          </w:tcPr>
          <w:p>
            <w:pPr>
              <w:pStyle w:val="Compact"/>
              <w:spacing w:after="40"/>
              <w:jc w:val="left"/>
            </w:pPr>
            <w:r>
              <w:rPr>
                <w:sz w:val="18"/>
              </w:rPr>
              <w:t xml:space="preserve">55</w:t>
            </w:r>
          </w:p>
        </w:tc>
        <w:tc>
          <w:tcPr>
            <w:tcW w:w="3390" w:type="dxa"/>
          </w:tcPr>
          <w:p>
            <w:pPr>
              <w:pStyle w:val="Compact"/>
              <w:spacing w:after="40"/>
              <w:jc w:val="left"/>
            </w:pPr>
            <w:r>
              <w:rPr>
                <w:sz w:val="18"/>
              </w:rPr>
              <w:t xml:space="preserve">IAM, SoD, least privilege, MFA</w:t>
            </w:r>
          </w:p>
        </w:tc>
        <w:tc>
          <w:tcPr>
            <w:tcW w:w="1998" w:type="dxa"/>
          </w:tcPr>
          <w:p>
            <w:pPr>
              <w:pStyle w:val="Compact"/>
              <w:spacing w:after="40"/>
              <w:jc w:val="left"/>
            </w:pPr>
            <w:r>
              <w:rPr>
                <w:sz w:val="18"/>
              </w:rPr>
              <w:t xml:space="preserve">OUT 97(viii)</w:t>
            </w:r>
          </w:p>
        </w:tc>
        <w:tc>
          <w:tcPr>
            <w:tcW w:w="1792" w:type="dxa"/>
          </w:tcPr>
          <w:p>
            <w:pPr>
              <w:pStyle w:val="Compact"/>
              <w:spacing w:after="40"/>
              <w:jc w:val="left"/>
            </w:pPr>
            <w:r>
              <w:rPr>
                <w:sz w:val="18"/>
              </w:rPr>
              <w:t xml:space="preserve">Cl. 11.3</w:t>
            </w:r>
          </w:p>
        </w:tc>
        <w:tc>
          <w:tcPr>
            <w:tcW w:w="1397" w:type="dxa"/>
          </w:tcPr>
          <w:p>
            <w:pPr>
              <w:pStyle w:val="Compact"/>
              <w:spacing w:after="40"/>
              <w:jc w:val="left"/>
            </w:pPr>
            <w:r>
              <w:rPr>
                <w:sz w:val="18"/>
              </w:rPr>
              <w:t xml:space="preserve">Access reviews</w:t>
            </w:r>
          </w:p>
        </w:tc>
      </w:tr>
      <w:tr>
        <w:tc>
          <w:tcPr>
            <w:tcW w:w="1061" w:type="dxa"/>
          </w:tcPr>
          <w:p>
            <w:pPr>
              <w:pStyle w:val="Compact"/>
              <w:spacing w:after="40"/>
              <w:jc w:val="left"/>
            </w:pPr>
            <w:r>
              <w:rPr>
                <w:sz w:val="18"/>
              </w:rPr>
              <w:t xml:space="preserve">56</w:t>
            </w:r>
          </w:p>
        </w:tc>
        <w:tc>
          <w:tcPr>
            <w:tcW w:w="3390" w:type="dxa"/>
          </w:tcPr>
          <w:p>
            <w:pPr>
              <w:pStyle w:val="Compact"/>
              <w:spacing w:after="40"/>
              <w:jc w:val="left"/>
            </w:pPr>
            <w:r>
              <w:rPr>
                <w:sz w:val="18"/>
              </w:rPr>
              <w:t xml:space="preserve">Controls ≥ on-premises; CSP capability; patching; threat intelligence</w:t>
            </w:r>
          </w:p>
        </w:tc>
        <w:tc>
          <w:tcPr>
            <w:tcW w:w="1998" w:type="dxa"/>
          </w:tcPr>
          <w:p>
            <w:pPr>
              <w:pStyle w:val="Compact"/>
              <w:spacing w:after="40"/>
              <w:jc w:val="left"/>
            </w:pPr>
            <w:r>
              <w:rPr>
                <w:sz w:val="18"/>
              </w:rPr>
              <w:t xml:space="preserve">OUT 97(ix)–(x), (xii)–(xiii)</w:t>
            </w:r>
          </w:p>
        </w:tc>
        <w:tc>
          <w:tcPr>
            <w:tcW w:w="1792" w:type="dxa"/>
          </w:tcPr>
          <w:p>
            <w:pPr>
              <w:pStyle w:val="Compact"/>
              <w:spacing w:after="40"/>
              <w:jc w:val="left"/>
            </w:pPr>
            <w:r>
              <w:rPr>
                <w:sz w:val="18"/>
              </w:rPr>
              <w:t xml:space="preserve">Cl. 11.1, 11.2, 11.7; Sch. 5 Pt F</w:t>
            </w:r>
          </w:p>
        </w:tc>
        <w:tc>
          <w:tcPr>
            <w:tcW w:w="1397" w:type="dxa"/>
          </w:tcPr>
          <w:p>
            <w:pPr>
              <w:pStyle w:val="Compact"/>
              <w:spacing w:after="40"/>
              <w:jc w:val="left"/>
            </w:pPr>
            <w:r>
              <w:rPr>
                <w:sz w:val="18"/>
              </w:rPr>
              <w:t xml:space="preserve">Posture reports</w:t>
            </w:r>
          </w:p>
        </w:tc>
      </w:tr>
      <w:tr>
        <w:tc>
          <w:tcPr>
            <w:tcW w:w="1061" w:type="dxa"/>
          </w:tcPr>
          <w:p>
            <w:pPr>
              <w:pStyle w:val="Compact"/>
              <w:spacing w:after="40"/>
              <w:jc w:val="left"/>
            </w:pPr>
            <w:r>
              <w:rPr>
                <w:sz w:val="18"/>
              </w:rPr>
              <w:t xml:space="preserve">57</w:t>
            </w:r>
          </w:p>
        </w:tc>
        <w:tc>
          <w:tcPr>
            <w:tcW w:w="3390" w:type="dxa"/>
          </w:tcPr>
          <w:p>
            <w:pPr>
              <w:pStyle w:val="Compact"/>
              <w:spacing w:after="40"/>
              <w:jc w:val="left"/>
            </w:pPr>
            <w:r>
              <w:rPr>
                <w:sz w:val="18"/>
              </w:rPr>
              <w:t xml:space="preserve">Logs into Company SOC</w:t>
            </w:r>
          </w:p>
        </w:tc>
        <w:tc>
          <w:tcPr>
            <w:tcW w:w="1998" w:type="dxa"/>
          </w:tcPr>
          <w:p>
            <w:pPr>
              <w:pStyle w:val="Compact"/>
              <w:spacing w:after="40"/>
              <w:jc w:val="left"/>
            </w:pPr>
            <w:r>
              <w:rPr>
                <w:sz w:val="18"/>
              </w:rPr>
              <w:t xml:space="preserve">OUT 97(xi)</w:t>
            </w:r>
          </w:p>
        </w:tc>
        <w:tc>
          <w:tcPr>
            <w:tcW w:w="1792" w:type="dxa"/>
          </w:tcPr>
          <w:p>
            <w:pPr>
              <w:pStyle w:val="Compact"/>
              <w:spacing w:after="40"/>
              <w:jc w:val="left"/>
            </w:pPr>
            <w:r>
              <w:rPr>
                <w:sz w:val="18"/>
              </w:rPr>
              <w:t xml:space="preserve">Cl. 11.5(d)</w:t>
            </w:r>
          </w:p>
        </w:tc>
        <w:tc>
          <w:tcPr>
            <w:tcW w:w="1397" w:type="dxa"/>
          </w:tcPr>
          <w:p>
            <w:pPr>
              <w:pStyle w:val="Compact"/>
              <w:spacing w:after="40"/>
              <w:jc w:val="left"/>
            </w:pPr>
            <w:r>
              <w:rPr>
                <w:sz w:val="18"/>
              </w:rPr>
              <w:t xml:space="preserve">SIEM feed</w:t>
            </w:r>
          </w:p>
        </w:tc>
      </w:tr>
      <w:tr>
        <w:tc>
          <w:tcPr>
            <w:tcW w:w="1061" w:type="dxa"/>
          </w:tcPr>
          <w:p>
            <w:pPr>
              <w:pStyle w:val="Compact"/>
              <w:spacing w:after="40"/>
              <w:jc w:val="left"/>
            </w:pPr>
            <w:r>
              <w:rPr>
                <w:sz w:val="18"/>
              </w:rPr>
              <w:t xml:space="preserve">58</w:t>
            </w:r>
          </w:p>
        </w:tc>
        <w:tc>
          <w:tcPr>
            <w:tcW w:w="3390" w:type="dxa"/>
          </w:tcPr>
          <w:p>
            <w:pPr>
              <w:pStyle w:val="Compact"/>
              <w:spacing w:after="40"/>
              <w:jc w:val="left"/>
            </w:pPr>
            <w:r>
              <w:rPr>
                <w:sz w:val="18"/>
              </w:rPr>
              <w:t xml:space="preserve">Continuity on CSP failure; CSP drills</w:t>
            </w:r>
          </w:p>
        </w:tc>
        <w:tc>
          <w:tcPr>
            <w:tcW w:w="1998" w:type="dxa"/>
          </w:tcPr>
          <w:p>
            <w:pPr>
              <w:pStyle w:val="Compact"/>
              <w:spacing w:after="40"/>
              <w:jc w:val="left"/>
            </w:pPr>
            <w:r>
              <w:rPr>
                <w:sz w:val="18"/>
              </w:rPr>
              <w:t xml:space="preserve">OUT 97(xiv)–(xv)</w:t>
            </w:r>
          </w:p>
        </w:tc>
        <w:tc>
          <w:tcPr>
            <w:tcW w:w="1792" w:type="dxa"/>
          </w:tcPr>
          <w:p>
            <w:pPr>
              <w:pStyle w:val="Compact"/>
              <w:spacing w:after="40"/>
              <w:jc w:val="left"/>
            </w:pPr>
            <w:r>
              <w:rPr>
                <w:sz w:val="18"/>
              </w:rPr>
              <w:t xml:space="preserve">Cl. 14.1, 14.4(d)</w:t>
            </w:r>
          </w:p>
        </w:tc>
        <w:tc>
          <w:tcPr>
            <w:tcW w:w="1397" w:type="dxa"/>
          </w:tcPr>
          <w:p>
            <w:pPr>
              <w:pStyle w:val="Compact"/>
              <w:spacing w:after="40"/>
              <w:jc w:val="left"/>
            </w:pPr>
            <w:r>
              <w:rPr>
                <w:sz w:val="18"/>
              </w:rPr>
              <w:t xml:space="preserve">Drill reports</w:t>
            </w:r>
          </w:p>
        </w:tc>
      </w:tr>
      <w:tr>
        <w:tc>
          <w:tcPr>
            <w:tcW w:w="1061" w:type="dxa"/>
          </w:tcPr>
          <w:p>
            <w:pPr>
              <w:pStyle w:val="Compact"/>
              <w:spacing w:after="40"/>
              <w:jc w:val="left"/>
            </w:pPr>
            <w:r>
              <w:rPr>
                <w:sz w:val="18"/>
              </w:rPr>
              <w:t xml:space="preserve">59</w:t>
            </w:r>
          </w:p>
        </w:tc>
        <w:tc>
          <w:tcPr>
            <w:tcW w:w="3390" w:type="dxa"/>
          </w:tcPr>
          <w:p>
            <w:pPr>
              <w:pStyle w:val="Compact"/>
              <w:spacing w:after="40"/>
              <w:jc w:val="left"/>
            </w:pPr>
            <w:r>
              <w:rPr>
                <w:sz w:val="18"/>
              </w:rPr>
              <w:t xml:space="preserve">Cloud exit, portability, purge, assurance</w:t>
            </w:r>
          </w:p>
        </w:tc>
        <w:tc>
          <w:tcPr>
            <w:tcW w:w="1998" w:type="dxa"/>
          </w:tcPr>
          <w:p>
            <w:pPr>
              <w:pStyle w:val="Compact"/>
              <w:spacing w:after="40"/>
              <w:jc w:val="left"/>
            </w:pPr>
            <w:r>
              <w:rPr>
                <w:sz w:val="18"/>
              </w:rPr>
              <w:t xml:space="preserve">OUT 97(xvi)</w:t>
            </w:r>
          </w:p>
        </w:tc>
        <w:tc>
          <w:tcPr>
            <w:tcW w:w="1792" w:type="dxa"/>
          </w:tcPr>
          <w:p>
            <w:pPr>
              <w:pStyle w:val="Compact"/>
              <w:spacing w:after="40"/>
              <w:jc w:val="left"/>
            </w:pPr>
            <w:r>
              <w:rPr>
                <w:sz w:val="18"/>
              </w:rPr>
              <w:t xml:space="preserve">Cl. 10.10, 25.1, 25.4; Sch. 9</w:t>
            </w:r>
          </w:p>
        </w:tc>
        <w:tc>
          <w:tcPr>
            <w:tcW w:w="1397" w:type="dxa"/>
          </w:tcPr>
          <w:p>
            <w:pPr>
              <w:pStyle w:val="Compact"/>
              <w:spacing w:after="40"/>
              <w:jc w:val="left"/>
            </w:pPr>
            <w:r>
              <w:rPr>
                <w:sz w:val="18"/>
              </w:rPr>
              <w:t xml:space="preserve">Certificates</w:t>
            </w:r>
          </w:p>
        </w:tc>
      </w:tr>
      <w:tr>
        <w:tc>
          <w:tcPr>
            <w:tcW w:w="1061" w:type="dxa"/>
          </w:tcPr>
          <w:p>
            <w:pPr>
              <w:pStyle w:val="Compact"/>
              <w:spacing w:after="40"/>
              <w:jc w:val="left"/>
            </w:pPr>
            <w:r>
              <w:rPr>
                <w:sz w:val="18"/>
              </w:rPr>
              <w:t xml:space="preserve">60</w:t>
            </w:r>
          </w:p>
        </w:tc>
        <w:tc>
          <w:tcPr>
            <w:tcW w:w="3390" w:type="dxa"/>
          </w:tcPr>
          <w:p>
            <w:pPr>
              <w:pStyle w:val="Compact"/>
              <w:spacing w:after="40"/>
              <w:jc w:val="left"/>
            </w:pPr>
            <w:r>
              <w:rPr>
                <w:sz w:val="18"/>
              </w:rPr>
              <w:t xml:space="preserve">Audit and certification scope</w:t>
            </w:r>
          </w:p>
        </w:tc>
        <w:tc>
          <w:tcPr>
            <w:tcW w:w="1998" w:type="dxa"/>
          </w:tcPr>
          <w:p>
            <w:pPr>
              <w:pStyle w:val="Compact"/>
              <w:spacing w:after="40"/>
              <w:jc w:val="left"/>
            </w:pPr>
            <w:r>
              <w:rPr>
                <w:sz w:val="18"/>
              </w:rPr>
              <w:t xml:space="preserve">OUT 97(xvii)</w:t>
            </w:r>
          </w:p>
        </w:tc>
        <w:tc>
          <w:tcPr>
            <w:tcW w:w="1792" w:type="dxa"/>
          </w:tcPr>
          <w:p>
            <w:pPr>
              <w:pStyle w:val="Compact"/>
              <w:spacing w:after="40"/>
              <w:jc w:val="left"/>
            </w:pPr>
            <w:r>
              <w:rPr>
                <w:sz w:val="18"/>
              </w:rPr>
              <w:t xml:space="preserve">Cl. 9.9</w:t>
            </w:r>
          </w:p>
        </w:tc>
        <w:tc>
          <w:tcPr>
            <w:tcW w:w="1397" w:type="dxa"/>
          </w:tcPr>
          <w:p>
            <w:pPr>
              <w:pStyle w:val="Compact"/>
              <w:spacing w:after="40"/>
              <w:jc w:val="left"/>
            </w:pPr>
            <w:r>
              <w:rPr>
                <w:sz w:val="18"/>
              </w:rPr>
              <w:t xml:space="preserve">SOC 2 scope</w:t>
            </w:r>
          </w:p>
        </w:tc>
      </w:tr>
      <w:tr>
        <w:tc>
          <w:tcPr>
            <w:tcW w:w="1061" w:type="dxa"/>
          </w:tcPr>
          <w:p>
            <w:pPr>
              <w:pStyle w:val="Compact"/>
              <w:spacing w:after="40"/>
              <w:jc w:val="left"/>
            </w:pPr>
            <w:r>
              <w:rPr>
                <w:sz w:val="18"/>
              </w:rPr>
              <w:t xml:space="preserve">61</w:t>
            </w:r>
          </w:p>
        </w:tc>
        <w:tc>
          <w:tcPr>
            <w:tcW w:w="3390" w:type="dxa"/>
          </w:tcPr>
          <w:p>
            <w:pPr>
              <w:pStyle w:val="Compact"/>
              <w:spacing w:after="40"/>
              <w:jc w:val="left"/>
            </w:pPr>
            <w:r>
              <w:rPr>
                <w:sz w:val="18"/>
              </w:rPr>
              <w:t xml:space="preserve">Vendor reconciliation for the Audit Committee</w:t>
            </w:r>
          </w:p>
        </w:tc>
        <w:tc>
          <w:tcPr>
            <w:tcW w:w="1998" w:type="dxa"/>
          </w:tcPr>
          <w:p>
            <w:pPr>
              <w:pStyle w:val="Compact"/>
              <w:spacing w:after="40"/>
              <w:jc w:val="left"/>
            </w:pPr>
            <w:r>
              <w:rPr>
                <w:sz w:val="18"/>
              </w:rPr>
              <w:t xml:space="preserve">OUT 12(2)(ii), 39</w:t>
            </w:r>
          </w:p>
        </w:tc>
        <w:tc>
          <w:tcPr>
            <w:tcW w:w="1792" w:type="dxa"/>
          </w:tcPr>
          <w:p>
            <w:pPr>
              <w:pStyle w:val="Compact"/>
              <w:spacing w:after="40"/>
              <w:jc w:val="left"/>
            </w:pPr>
            <w:r>
              <w:rPr>
                <w:sz w:val="18"/>
              </w:rPr>
              <w:t xml:space="preserve">Cl. 16.9</w:t>
            </w:r>
          </w:p>
        </w:tc>
        <w:tc>
          <w:tcPr>
            <w:tcW w:w="1397" w:type="dxa"/>
          </w:tcPr>
          <w:p>
            <w:pPr>
              <w:pStyle w:val="Compact"/>
              <w:spacing w:after="40"/>
              <w:jc w:val="left"/>
            </w:pPr>
            <w:r>
              <w:rPr>
                <w:sz w:val="18"/>
              </w:rPr>
              <w:t xml:space="preserve">Statements</w:t>
            </w:r>
          </w:p>
        </w:tc>
      </w:tr>
    </w:tbl>
    <w:bookmarkEnd w:id="159"/>
    <w:bookmarkStart w:id="160" w:name="part-d-cyb"/>
    <w:p>
      <w:pPr>
        <w:pStyle w:val="Heading2"/>
      </w:pPr>
      <w:r>
        <w:t xml:space="preserve">Part D — CYB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26"/>
        <w:gridCol w:w="2507"/>
        <w:gridCol w:w="2864"/>
        <w:gridCol w:w="1760"/>
        <w:gridCol w:w="1481"/>
      </w:tblGrid>
      <w:tr>
        <w:trPr>
          <w:tblHeader w:val="true"/>
          <w:tblHeader w:val="true"/>
        </w:trPr>
        <w:tc>
          <w:tcPr>
            <w:tcW w:w="1026" w:type="dxa"/>
            <w:shd w:val="clear" w:color="auto" w:fill="1F3A5F"/>
          </w:tcPr>
          <w:p>
            <w:pPr>
              <w:pStyle w:val="Compact"/>
              <w:spacing w:after="40"/>
              <w:jc w:val="left"/>
            </w:pPr>
            <w:r>
              <w:rPr>
                <w:b/>
                <w:color w:val="FFFFFF"/>
                <w:sz w:val="18"/>
              </w:rPr>
              <w:t xml:space="preserve">#</w:t>
            </w:r>
          </w:p>
        </w:tc>
        <w:tc>
          <w:tcPr>
            <w:tcW w:w="2507" w:type="dxa"/>
            <w:shd w:val="clear" w:color="auto" w:fill="1F3A5F"/>
          </w:tcPr>
          <w:p>
            <w:pPr>
              <w:pStyle w:val="Compact"/>
              <w:spacing w:after="40"/>
              <w:jc w:val="left"/>
            </w:pPr>
            <w:r>
              <w:rPr>
                <w:b/>
                <w:color w:val="FFFFFF"/>
                <w:sz w:val="18"/>
              </w:rPr>
              <w:t xml:space="preserve">Requirement</w:t>
            </w:r>
          </w:p>
        </w:tc>
        <w:tc>
          <w:tcPr>
            <w:tcW w:w="2864" w:type="dxa"/>
            <w:shd w:val="clear" w:color="auto" w:fill="1F3A5F"/>
          </w:tcPr>
          <w:p>
            <w:pPr>
              <w:pStyle w:val="Compact"/>
              <w:spacing w:after="40"/>
              <w:jc w:val="left"/>
            </w:pPr>
            <w:r>
              <w:rPr>
                <w:b/>
                <w:color w:val="FFFFFF"/>
                <w:sz w:val="18"/>
              </w:rPr>
              <w:t xml:space="preserve">Source</w:t>
            </w:r>
          </w:p>
        </w:tc>
        <w:tc>
          <w:tcPr>
            <w:tcW w:w="1760" w:type="dxa"/>
            <w:shd w:val="clear" w:color="auto" w:fill="1F3A5F"/>
          </w:tcPr>
          <w:p>
            <w:pPr>
              <w:pStyle w:val="Compact"/>
              <w:spacing w:after="40"/>
              <w:jc w:val="left"/>
            </w:pPr>
            <w:r>
              <w:rPr>
                <w:b/>
                <w:color w:val="FFFFFF"/>
                <w:sz w:val="18"/>
              </w:rPr>
              <w:t xml:space="preserve">Implemented in</w:t>
            </w:r>
          </w:p>
        </w:tc>
        <w:tc>
          <w:tcPr>
            <w:tcW w:w="1481" w:type="dxa"/>
            <w:shd w:val="clear" w:color="auto" w:fill="1F3A5F"/>
          </w:tcPr>
          <w:p>
            <w:pPr>
              <w:pStyle w:val="Compact"/>
              <w:spacing w:after="40"/>
              <w:jc w:val="left"/>
            </w:pPr>
            <w:r>
              <w:rPr>
                <w:b/>
                <w:color w:val="FFFFFF"/>
                <w:sz w:val="18"/>
              </w:rPr>
              <w:t xml:space="preserve">Evidence</w:t>
            </w:r>
          </w:p>
        </w:tc>
      </w:tr>
      <w:tr>
        <w:tc>
          <w:tcPr>
            <w:tcW w:w="1026" w:type="dxa"/>
          </w:tcPr>
          <w:p>
            <w:pPr>
              <w:pStyle w:val="Compact"/>
              <w:spacing w:after="40"/>
              <w:jc w:val="left"/>
            </w:pPr>
            <w:r>
              <w:rPr>
                <w:sz w:val="18"/>
              </w:rPr>
              <w:t xml:space="preserve">62</w:t>
            </w:r>
          </w:p>
        </w:tc>
        <w:tc>
          <w:tcPr>
            <w:tcW w:w="2507" w:type="dxa"/>
          </w:tcPr>
          <w:p>
            <w:pPr>
              <w:pStyle w:val="Compact"/>
              <w:spacing w:after="40"/>
              <w:jc w:val="left"/>
            </w:pPr>
            <w:r>
              <w:rPr>
                <w:sz w:val="18"/>
              </w:rPr>
              <w:t xml:space="preserve">Baseline controls (Ch III)</w:t>
            </w:r>
          </w:p>
        </w:tc>
        <w:tc>
          <w:tcPr>
            <w:tcW w:w="2864" w:type="dxa"/>
          </w:tcPr>
          <w:p>
            <w:pPr>
              <w:pStyle w:val="Compact"/>
              <w:spacing w:after="40"/>
              <w:jc w:val="left"/>
            </w:pPr>
            <w:r>
              <w:rPr>
                <w:sz w:val="18"/>
              </w:rPr>
              <w:t xml:space="preserve">CYB 8</w:t>
            </w:r>
          </w:p>
        </w:tc>
        <w:tc>
          <w:tcPr>
            <w:tcW w:w="1760" w:type="dxa"/>
          </w:tcPr>
          <w:p>
            <w:pPr>
              <w:pStyle w:val="Compact"/>
              <w:spacing w:after="40"/>
              <w:jc w:val="left"/>
            </w:pPr>
            <w:r>
              <w:rPr>
                <w:sz w:val="18"/>
              </w:rPr>
              <w:t xml:space="preserve">Sch. 5 rows 4, 14, 17, 22, 32</w:t>
            </w:r>
          </w:p>
        </w:tc>
        <w:tc>
          <w:tcPr>
            <w:tcW w:w="1481" w:type="dxa"/>
          </w:tcPr>
          <w:p>
            <w:pPr>
              <w:pStyle w:val="Compact"/>
              <w:spacing w:after="40"/>
              <w:jc w:val="left"/>
            </w:pPr>
            <w:r>
              <w:rPr>
                <w:sz w:val="18"/>
              </w:rPr>
              <w:t xml:space="preserve">Configuration</w:t>
            </w:r>
          </w:p>
        </w:tc>
      </w:tr>
      <w:tr>
        <w:tc>
          <w:tcPr>
            <w:tcW w:w="1026" w:type="dxa"/>
          </w:tcPr>
          <w:p>
            <w:pPr>
              <w:pStyle w:val="Compact"/>
              <w:spacing w:after="40"/>
              <w:jc w:val="left"/>
            </w:pPr>
            <w:r>
              <w:rPr>
                <w:sz w:val="18"/>
              </w:rPr>
              <w:t xml:space="preserve">63</w:t>
            </w:r>
          </w:p>
        </w:tc>
        <w:tc>
          <w:tcPr>
            <w:tcW w:w="2507" w:type="dxa"/>
          </w:tcPr>
          <w:p>
            <w:pPr>
              <w:pStyle w:val="Compact"/>
              <w:spacing w:after="40"/>
              <w:jc w:val="left"/>
            </w:pPr>
            <w:r>
              <w:rPr>
                <w:sz w:val="18"/>
              </w:rPr>
              <w:t xml:space="preserve">Contract terms for IT outsourcing (Ch IV)</w:t>
            </w:r>
          </w:p>
        </w:tc>
        <w:tc>
          <w:tcPr>
            <w:tcW w:w="2864" w:type="dxa"/>
          </w:tcPr>
          <w:p>
            <w:pPr>
              <w:pStyle w:val="Compact"/>
              <w:spacing w:after="40"/>
              <w:jc w:val="left"/>
            </w:pPr>
            <w:r>
              <w:rPr>
                <w:sz w:val="18"/>
              </w:rPr>
              <w:t xml:space="preserve">CYB 62</w:t>
            </w:r>
          </w:p>
        </w:tc>
        <w:tc>
          <w:tcPr>
            <w:tcW w:w="1760" w:type="dxa"/>
          </w:tcPr>
          <w:p>
            <w:pPr>
              <w:pStyle w:val="Compact"/>
              <w:spacing w:after="40"/>
              <w:jc w:val="left"/>
            </w:pPr>
            <w:r>
              <w:rPr>
                <w:sz w:val="18"/>
              </w:rPr>
              <w:t xml:space="preserve">Cl. 6.2, 9.1, 9.2, 9.4, 11.1</w:t>
            </w:r>
          </w:p>
        </w:tc>
        <w:tc>
          <w:tcPr>
            <w:tcW w:w="1481" w:type="dxa"/>
          </w:tcPr>
          <w:p>
            <w:pPr>
              <w:pStyle w:val="Compact"/>
              <w:spacing w:after="40"/>
              <w:jc w:val="left"/>
            </w:pPr>
            <w:r>
              <w:rPr>
                <w:sz w:val="18"/>
              </w:rPr>
              <w:t xml:space="preserve">Clause text</w:t>
            </w:r>
          </w:p>
        </w:tc>
      </w:tr>
      <w:tr>
        <w:tc>
          <w:tcPr>
            <w:tcW w:w="1026" w:type="dxa"/>
          </w:tcPr>
          <w:p>
            <w:pPr>
              <w:pStyle w:val="Compact"/>
              <w:spacing w:after="40"/>
              <w:jc w:val="left"/>
            </w:pPr>
            <w:r>
              <w:rPr>
                <w:sz w:val="18"/>
              </w:rPr>
              <w:t xml:space="preserve">64</w:t>
            </w:r>
          </w:p>
        </w:tc>
        <w:tc>
          <w:tcPr>
            <w:tcW w:w="2507" w:type="dxa"/>
          </w:tcPr>
          <w:p>
            <w:pPr>
              <w:pStyle w:val="Compact"/>
              <w:spacing w:after="40"/>
              <w:jc w:val="left"/>
            </w:pPr>
            <w:r>
              <w:rPr>
                <w:sz w:val="18"/>
              </w:rPr>
              <w:t xml:space="preserve">BCP assurance and vendor testing</w:t>
            </w:r>
          </w:p>
        </w:tc>
        <w:tc>
          <w:tcPr>
            <w:tcW w:w="2864" w:type="dxa"/>
          </w:tcPr>
          <w:p>
            <w:pPr>
              <w:pStyle w:val="Compact"/>
              <w:spacing w:after="40"/>
              <w:jc w:val="left"/>
            </w:pPr>
            <w:r>
              <w:rPr>
                <w:sz w:val="18"/>
              </w:rPr>
              <w:t xml:space="preserve">CYB 59(4)–(5), 64</w:t>
            </w:r>
          </w:p>
        </w:tc>
        <w:tc>
          <w:tcPr>
            <w:tcW w:w="1760" w:type="dxa"/>
          </w:tcPr>
          <w:p>
            <w:pPr>
              <w:pStyle w:val="Compact"/>
              <w:spacing w:after="40"/>
              <w:jc w:val="left"/>
            </w:pPr>
            <w:r>
              <w:rPr>
                <w:sz w:val="18"/>
              </w:rPr>
              <w:t xml:space="preserve">Cl. 14.1, 14.4</w:t>
            </w:r>
          </w:p>
        </w:tc>
        <w:tc>
          <w:tcPr>
            <w:tcW w:w="1481" w:type="dxa"/>
          </w:tcPr>
          <w:p>
            <w:pPr>
              <w:pStyle w:val="Compact"/>
              <w:spacing w:after="40"/>
              <w:jc w:val="left"/>
            </w:pPr>
            <w:r>
              <w:rPr>
                <w:sz w:val="18"/>
              </w:rPr>
              <w:t xml:space="preserve">Reports</w:t>
            </w:r>
          </w:p>
        </w:tc>
      </w:tr>
      <w:tr>
        <w:tc>
          <w:tcPr>
            <w:tcW w:w="1026" w:type="dxa"/>
          </w:tcPr>
          <w:p>
            <w:pPr>
              <w:pStyle w:val="Compact"/>
              <w:spacing w:after="40"/>
              <w:jc w:val="left"/>
            </w:pPr>
            <w:r>
              <w:rPr>
                <w:sz w:val="18"/>
              </w:rPr>
              <w:t xml:space="preserve">65</w:t>
            </w:r>
          </w:p>
        </w:tc>
        <w:tc>
          <w:tcPr>
            <w:tcW w:w="2507" w:type="dxa"/>
          </w:tcPr>
          <w:p>
            <w:pPr>
              <w:pStyle w:val="Compact"/>
              <w:spacing w:after="40"/>
              <w:jc w:val="left"/>
            </w:pPr>
            <w:r>
              <w:rPr>
                <w:sz w:val="18"/>
              </w:rPr>
              <w:t xml:space="preserve">Six-hour DAKSH report; CERT-In; NHB for HFCs</w:t>
            </w:r>
          </w:p>
        </w:tc>
        <w:tc>
          <w:tcPr>
            <w:tcW w:w="2864" w:type="dxa"/>
          </w:tcPr>
          <w:p>
            <w:pPr>
              <w:pStyle w:val="Compact"/>
              <w:spacing w:after="40"/>
              <w:jc w:val="left"/>
            </w:pPr>
            <w:r>
              <w:rPr>
                <w:sz w:val="18"/>
              </w:rPr>
              <w:t xml:space="preserve">CYB 28, 141</w:t>
            </w:r>
          </w:p>
        </w:tc>
        <w:tc>
          <w:tcPr>
            <w:tcW w:w="1760" w:type="dxa"/>
          </w:tcPr>
          <w:p>
            <w:pPr>
              <w:pStyle w:val="Compact"/>
              <w:spacing w:after="40"/>
              <w:jc w:val="left"/>
            </w:pPr>
            <w:r>
              <w:rPr>
                <w:sz w:val="18"/>
              </w:rPr>
              <w:t xml:space="preserve">Cl. 12.2, 12.4; Sch. 7</w:t>
            </w:r>
          </w:p>
        </w:tc>
        <w:tc>
          <w:tcPr>
            <w:tcW w:w="1481" w:type="dxa"/>
          </w:tcPr>
          <w:p>
            <w:pPr>
              <w:pStyle w:val="Compact"/>
              <w:spacing w:after="40"/>
              <w:jc w:val="left"/>
            </w:pPr>
            <w:r>
              <w:rPr>
                <w:sz w:val="18"/>
              </w:rPr>
              <w:t xml:space="preserve">Timestamps</w:t>
            </w:r>
          </w:p>
        </w:tc>
      </w:tr>
      <w:tr>
        <w:tc>
          <w:tcPr>
            <w:tcW w:w="1026" w:type="dxa"/>
          </w:tcPr>
          <w:p>
            <w:pPr>
              <w:pStyle w:val="Compact"/>
              <w:spacing w:after="40"/>
              <w:jc w:val="left"/>
            </w:pPr>
            <w:r>
              <w:rPr>
                <w:sz w:val="18"/>
              </w:rPr>
              <w:t xml:space="preserve">66</w:t>
            </w:r>
          </w:p>
        </w:tc>
        <w:tc>
          <w:tcPr>
            <w:tcW w:w="2507" w:type="dxa"/>
          </w:tcPr>
          <w:p>
            <w:pPr>
              <w:pStyle w:val="Compact"/>
              <w:spacing w:after="40"/>
              <w:jc w:val="left"/>
            </w:pPr>
            <w:r>
              <w:rPr>
                <w:sz w:val="18"/>
              </w:rPr>
              <w:t xml:space="preserve">Read-only supervisor and audit-mode access</w:t>
            </w:r>
          </w:p>
        </w:tc>
        <w:tc>
          <w:tcPr>
            <w:tcW w:w="2864" w:type="dxa"/>
          </w:tcPr>
          <w:p>
            <w:pPr>
              <w:pStyle w:val="Compact"/>
              <w:spacing w:after="40"/>
              <w:jc w:val="left"/>
            </w:pPr>
            <w:r>
              <w:rPr>
                <w:sz w:val="18"/>
              </w:rPr>
              <w:t xml:space="preserve">CYB 46, 57</w:t>
            </w:r>
          </w:p>
        </w:tc>
        <w:tc>
          <w:tcPr>
            <w:tcW w:w="1760" w:type="dxa"/>
          </w:tcPr>
          <w:p>
            <w:pPr>
              <w:pStyle w:val="Compact"/>
              <w:spacing w:after="40"/>
              <w:jc w:val="left"/>
            </w:pPr>
            <w:r>
              <w:rPr>
                <w:sz w:val="18"/>
              </w:rPr>
              <w:t xml:space="preserve">Cl. 9.7</w:t>
            </w:r>
          </w:p>
        </w:tc>
        <w:tc>
          <w:tcPr>
            <w:tcW w:w="1481" w:type="dxa"/>
          </w:tcPr>
          <w:p>
            <w:pPr>
              <w:pStyle w:val="Compact"/>
              <w:spacing w:after="40"/>
              <w:jc w:val="left"/>
            </w:pPr>
            <w:r>
              <w:rPr>
                <w:sz w:val="18"/>
              </w:rPr>
              <w:t xml:space="preserve">Role logs</w:t>
            </w:r>
          </w:p>
        </w:tc>
      </w:tr>
      <w:tr>
        <w:tc>
          <w:tcPr>
            <w:tcW w:w="1026" w:type="dxa"/>
          </w:tcPr>
          <w:p>
            <w:pPr>
              <w:pStyle w:val="Compact"/>
              <w:spacing w:after="40"/>
              <w:jc w:val="left"/>
            </w:pPr>
            <w:r>
              <w:rPr>
                <w:sz w:val="18"/>
              </w:rPr>
              <w:t xml:space="preserve">67</w:t>
            </w:r>
          </w:p>
        </w:tc>
        <w:tc>
          <w:tcPr>
            <w:tcW w:w="2507" w:type="dxa"/>
          </w:tcPr>
          <w:p>
            <w:pPr>
              <w:pStyle w:val="Compact"/>
              <w:spacing w:after="40"/>
              <w:jc w:val="left"/>
            </w:pPr>
            <w:r>
              <w:rPr>
                <w:sz w:val="18"/>
              </w:rPr>
              <w:t xml:space="preserve">Compliance with Company policies; screening</w:t>
            </w:r>
          </w:p>
        </w:tc>
        <w:tc>
          <w:tcPr>
            <w:tcW w:w="2864" w:type="dxa"/>
          </w:tcPr>
          <w:p>
            <w:pPr>
              <w:pStyle w:val="Compact"/>
              <w:spacing w:after="40"/>
              <w:jc w:val="left"/>
            </w:pPr>
            <w:r>
              <w:rPr>
                <w:sz w:val="18"/>
              </w:rPr>
              <w:t xml:space="preserve">CYB 97, 21(4)</w:t>
            </w:r>
          </w:p>
        </w:tc>
        <w:tc>
          <w:tcPr>
            <w:tcW w:w="1760" w:type="dxa"/>
          </w:tcPr>
          <w:p>
            <w:pPr>
              <w:pStyle w:val="Compact"/>
              <w:spacing w:after="40"/>
              <w:jc w:val="left"/>
            </w:pPr>
            <w:r>
              <w:rPr>
                <w:sz w:val="18"/>
              </w:rPr>
              <w:t xml:space="preserve">Cl. 8.13, 11.9, 19.2; Form 15C</w:t>
            </w:r>
          </w:p>
        </w:tc>
        <w:tc>
          <w:tcPr>
            <w:tcW w:w="1481" w:type="dxa"/>
          </w:tcPr>
          <w:p>
            <w:pPr>
              <w:pStyle w:val="Compact"/>
              <w:spacing w:after="40"/>
              <w:jc w:val="left"/>
            </w:pPr>
            <w:r>
              <w:rPr>
                <w:sz w:val="18"/>
              </w:rPr>
              <w:t xml:space="preserve">Attestations</w:t>
            </w:r>
          </w:p>
        </w:tc>
      </w:tr>
      <w:tr>
        <w:tc>
          <w:tcPr>
            <w:tcW w:w="1026" w:type="dxa"/>
          </w:tcPr>
          <w:p>
            <w:pPr>
              <w:pStyle w:val="Compact"/>
              <w:spacing w:after="40"/>
              <w:jc w:val="left"/>
            </w:pPr>
            <w:r>
              <w:rPr>
                <w:sz w:val="18"/>
              </w:rPr>
              <w:t xml:space="preserve">68</w:t>
            </w:r>
          </w:p>
        </w:tc>
        <w:tc>
          <w:tcPr>
            <w:tcW w:w="2507" w:type="dxa"/>
          </w:tcPr>
          <w:p>
            <w:pPr>
              <w:pStyle w:val="Compact"/>
              <w:spacing w:after="40"/>
              <w:jc w:val="left"/>
            </w:pPr>
            <w:r>
              <w:rPr>
                <w:sz w:val="18"/>
              </w:rPr>
              <w:t xml:space="preserve">DC and DR separation; identical configuration</w:t>
            </w:r>
          </w:p>
        </w:tc>
        <w:tc>
          <w:tcPr>
            <w:tcW w:w="2864" w:type="dxa"/>
          </w:tcPr>
          <w:p>
            <w:pPr>
              <w:pStyle w:val="Compact"/>
              <w:spacing w:after="40"/>
              <w:jc w:val="left"/>
            </w:pPr>
            <w:r>
              <w:rPr>
                <w:sz w:val="18"/>
              </w:rPr>
              <w:t xml:space="preserve">CYB 102, 137</w:t>
            </w:r>
          </w:p>
        </w:tc>
        <w:tc>
          <w:tcPr>
            <w:tcW w:w="1760" w:type="dxa"/>
          </w:tcPr>
          <w:p>
            <w:pPr>
              <w:pStyle w:val="Compact"/>
              <w:spacing w:after="40"/>
              <w:jc w:val="left"/>
            </w:pPr>
            <w:r>
              <w:rPr>
                <w:sz w:val="18"/>
              </w:rPr>
              <w:t xml:space="preserve">Cl. 14.3</w:t>
            </w:r>
          </w:p>
        </w:tc>
        <w:tc>
          <w:tcPr>
            <w:tcW w:w="1481" w:type="dxa"/>
          </w:tcPr>
          <w:p>
            <w:pPr>
              <w:pStyle w:val="Compact"/>
              <w:spacing w:after="40"/>
              <w:jc w:val="left"/>
            </w:pPr>
            <w:r>
              <w:rPr>
                <w:sz w:val="18"/>
              </w:rPr>
              <w:t xml:space="preserve">Drift reports</w:t>
            </w:r>
          </w:p>
        </w:tc>
      </w:tr>
      <w:tr>
        <w:tc>
          <w:tcPr>
            <w:tcW w:w="1026" w:type="dxa"/>
          </w:tcPr>
          <w:p>
            <w:pPr>
              <w:pStyle w:val="Compact"/>
              <w:spacing w:after="40"/>
              <w:jc w:val="left"/>
            </w:pPr>
            <w:r>
              <w:rPr>
                <w:sz w:val="18"/>
              </w:rPr>
              <w:t xml:space="preserve">69</w:t>
            </w:r>
          </w:p>
        </w:tc>
        <w:tc>
          <w:tcPr>
            <w:tcW w:w="2507" w:type="dxa"/>
          </w:tcPr>
          <w:p>
            <w:pPr>
              <w:pStyle w:val="Compact"/>
              <w:spacing w:after="40"/>
              <w:jc w:val="left"/>
            </w:pPr>
            <w:r>
              <w:rPr>
                <w:sz w:val="18"/>
              </w:rPr>
              <w:t xml:space="preserve">Maintenance and support agreement</w:t>
            </w:r>
          </w:p>
        </w:tc>
        <w:tc>
          <w:tcPr>
            <w:tcW w:w="2864" w:type="dxa"/>
          </w:tcPr>
          <w:p>
            <w:pPr>
              <w:pStyle w:val="Compact"/>
              <w:spacing w:after="40"/>
              <w:jc w:val="left"/>
            </w:pPr>
            <w:r>
              <w:rPr>
                <w:sz w:val="18"/>
              </w:rPr>
              <w:t xml:space="preserve">CYB 104</w:t>
            </w:r>
          </w:p>
        </w:tc>
        <w:tc>
          <w:tcPr>
            <w:tcW w:w="1760" w:type="dxa"/>
          </w:tcPr>
          <w:p>
            <w:pPr>
              <w:pStyle w:val="Compact"/>
              <w:spacing w:after="40"/>
              <w:jc w:val="left"/>
            </w:pPr>
            <w:r>
              <w:rPr>
                <w:sz w:val="18"/>
              </w:rPr>
              <w:t xml:space="preserve">Cl. 6.3; Sch. 3</w:t>
            </w:r>
          </w:p>
        </w:tc>
        <w:tc>
          <w:tcPr>
            <w:tcW w:w="1481" w:type="dxa"/>
          </w:tcPr>
          <w:p>
            <w:pPr>
              <w:pStyle w:val="Compact"/>
              <w:spacing w:after="40"/>
              <w:jc w:val="left"/>
            </w:pPr>
            <w:r>
              <w:rPr>
                <w:sz w:val="18"/>
              </w:rPr>
              <w:t xml:space="preserve">This Agreement</w:t>
            </w:r>
          </w:p>
        </w:tc>
      </w:tr>
      <w:tr>
        <w:tc>
          <w:tcPr>
            <w:tcW w:w="1026" w:type="dxa"/>
          </w:tcPr>
          <w:p>
            <w:pPr>
              <w:pStyle w:val="Compact"/>
              <w:spacing w:after="40"/>
              <w:jc w:val="left"/>
            </w:pPr>
            <w:r>
              <w:rPr>
                <w:sz w:val="18"/>
              </w:rPr>
              <w:t xml:space="preserve">70</w:t>
            </w:r>
          </w:p>
        </w:tc>
        <w:tc>
          <w:tcPr>
            <w:tcW w:w="2507" w:type="dxa"/>
          </w:tcPr>
          <w:p>
            <w:pPr>
              <w:pStyle w:val="Compact"/>
              <w:spacing w:after="40"/>
              <w:jc w:val="left"/>
            </w:pPr>
            <w:r>
              <w:rPr>
                <w:sz w:val="18"/>
              </w:rPr>
              <w:t xml:space="preserve">Source code or escrow with all fixes</w:t>
            </w:r>
          </w:p>
        </w:tc>
        <w:tc>
          <w:tcPr>
            <w:tcW w:w="2864" w:type="dxa"/>
          </w:tcPr>
          <w:p>
            <w:pPr>
              <w:pStyle w:val="Compact"/>
              <w:spacing w:after="40"/>
              <w:jc w:val="left"/>
            </w:pPr>
            <w:r>
              <w:rPr>
                <w:sz w:val="18"/>
              </w:rPr>
              <w:t xml:space="preserve">CYB 105</w:t>
            </w:r>
          </w:p>
        </w:tc>
        <w:tc>
          <w:tcPr>
            <w:tcW w:w="1760" w:type="dxa"/>
          </w:tcPr>
          <w:p>
            <w:pPr>
              <w:pStyle w:val="Compact"/>
              <w:spacing w:after="40"/>
              <w:jc w:val="left"/>
            </w:pPr>
            <w:r>
              <w:rPr>
                <w:sz w:val="18"/>
              </w:rPr>
              <w:t xml:space="preserve">Art. 26; Sch. 13</w:t>
            </w:r>
          </w:p>
        </w:tc>
        <w:tc>
          <w:tcPr>
            <w:tcW w:w="1481" w:type="dxa"/>
          </w:tcPr>
          <w:p>
            <w:pPr>
              <w:pStyle w:val="Compact"/>
              <w:spacing w:after="40"/>
              <w:jc w:val="left"/>
            </w:pPr>
            <w:r>
              <w:rPr>
                <w:sz w:val="18"/>
              </w:rPr>
              <w:t xml:space="preserve">Deposit log</w:t>
            </w:r>
          </w:p>
        </w:tc>
      </w:tr>
      <w:tr>
        <w:tc>
          <w:tcPr>
            <w:tcW w:w="1026" w:type="dxa"/>
          </w:tcPr>
          <w:p>
            <w:pPr>
              <w:pStyle w:val="Compact"/>
              <w:spacing w:after="40"/>
              <w:jc w:val="left"/>
            </w:pPr>
            <w:r>
              <w:rPr>
                <w:sz w:val="18"/>
              </w:rPr>
              <w:t xml:space="preserve">71</w:t>
            </w:r>
          </w:p>
        </w:tc>
        <w:tc>
          <w:tcPr>
            <w:tcW w:w="2507" w:type="dxa"/>
          </w:tcPr>
          <w:p>
            <w:pPr>
              <w:pStyle w:val="Compact"/>
              <w:spacing w:after="40"/>
              <w:jc w:val="left"/>
            </w:pPr>
            <w:r>
              <w:rPr>
                <w:sz w:val="18"/>
              </w:rPr>
              <w:t xml:space="preserve">Code integrity certificate on material change</w:t>
            </w:r>
          </w:p>
        </w:tc>
        <w:tc>
          <w:tcPr>
            <w:tcW w:w="2864" w:type="dxa"/>
          </w:tcPr>
          <w:p>
            <w:pPr>
              <w:pStyle w:val="Compact"/>
              <w:spacing w:after="40"/>
              <w:jc w:val="left"/>
            </w:pPr>
            <w:r>
              <w:rPr>
                <w:sz w:val="18"/>
              </w:rPr>
              <w:t xml:space="preserve">CYB 106</w:t>
            </w:r>
          </w:p>
        </w:tc>
        <w:tc>
          <w:tcPr>
            <w:tcW w:w="1760" w:type="dxa"/>
          </w:tcPr>
          <w:p>
            <w:pPr>
              <w:pStyle w:val="Compact"/>
              <w:spacing w:after="40"/>
              <w:jc w:val="left"/>
            </w:pPr>
            <w:r>
              <w:rPr>
                <w:sz w:val="18"/>
              </w:rPr>
              <w:t xml:space="preserve">Cl. 5.5(c), 8.7; Form 15F</w:t>
            </w:r>
          </w:p>
        </w:tc>
        <w:tc>
          <w:tcPr>
            <w:tcW w:w="1481" w:type="dxa"/>
          </w:tcPr>
          <w:p>
            <w:pPr>
              <w:pStyle w:val="Compact"/>
              <w:spacing w:after="40"/>
              <w:jc w:val="left"/>
            </w:pPr>
            <w:r>
              <w:rPr>
                <w:sz w:val="18"/>
              </w:rPr>
              <w:t xml:space="preserve">Certificates</w:t>
            </w:r>
          </w:p>
        </w:tc>
      </w:tr>
      <w:tr>
        <w:tc>
          <w:tcPr>
            <w:tcW w:w="1026" w:type="dxa"/>
          </w:tcPr>
          <w:p>
            <w:pPr>
              <w:pStyle w:val="Compact"/>
              <w:spacing w:after="40"/>
              <w:jc w:val="left"/>
            </w:pPr>
            <w:r>
              <w:rPr>
                <w:sz w:val="18"/>
              </w:rPr>
              <w:t xml:space="preserve">72</w:t>
            </w:r>
          </w:p>
        </w:tc>
        <w:tc>
          <w:tcPr>
            <w:tcW w:w="2507" w:type="dxa"/>
          </w:tcPr>
          <w:p>
            <w:pPr>
              <w:pStyle w:val="Compact"/>
              <w:spacing w:after="40"/>
              <w:jc w:val="left"/>
            </w:pPr>
            <w:r>
              <w:rPr>
                <w:sz w:val="18"/>
              </w:rPr>
              <w:t xml:space="preserve">Audit trails and log monitoring</w:t>
            </w:r>
          </w:p>
        </w:tc>
        <w:tc>
          <w:tcPr>
            <w:tcW w:w="2864" w:type="dxa"/>
          </w:tcPr>
          <w:p>
            <w:pPr>
              <w:pStyle w:val="Compact"/>
              <w:spacing w:after="40"/>
              <w:jc w:val="left"/>
            </w:pPr>
            <w:r>
              <w:rPr>
                <w:sz w:val="18"/>
              </w:rPr>
              <w:t xml:space="preserve">CYB 21(8), 109–111</w:t>
            </w:r>
          </w:p>
        </w:tc>
        <w:tc>
          <w:tcPr>
            <w:tcW w:w="1760" w:type="dxa"/>
          </w:tcPr>
          <w:p>
            <w:pPr>
              <w:pStyle w:val="Compact"/>
              <w:spacing w:after="40"/>
              <w:jc w:val="left"/>
            </w:pPr>
            <w:r>
              <w:rPr>
                <w:sz w:val="18"/>
              </w:rPr>
              <w:t xml:space="preserve">Cl. 11.5</w:t>
            </w:r>
          </w:p>
        </w:tc>
        <w:tc>
          <w:tcPr>
            <w:tcW w:w="1481" w:type="dxa"/>
          </w:tcPr>
          <w:p>
            <w:pPr>
              <w:pStyle w:val="Compact"/>
              <w:spacing w:after="40"/>
              <w:jc w:val="left"/>
            </w:pPr>
            <w:r>
              <w:rPr>
                <w:sz w:val="18"/>
              </w:rPr>
              <w:t xml:space="preserve">Extracts</w:t>
            </w:r>
          </w:p>
        </w:tc>
      </w:tr>
      <w:tr>
        <w:tc>
          <w:tcPr>
            <w:tcW w:w="1026" w:type="dxa"/>
          </w:tcPr>
          <w:p>
            <w:pPr>
              <w:pStyle w:val="Compact"/>
              <w:spacing w:after="40"/>
              <w:jc w:val="left"/>
            </w:pPr>
            <w:r>
              <w:rPr>
                <w:sz w:val="18"/>
              </w:rPr>
              <w:t xml:space="preserve">73</w:t>
            </w:r>
          </w:p>
        </w:tc>
        <w:tc>
          <w:tcPr>
            <w:tcW w:w="2507" w:type="dxa"/>
          </w:tcPr>
          <w:p>
            <w:pPr>
              <w:pStyle w:val="Compact"/>
              <w:spacing w:after="40"/>
              <w:jc w:val="left"/>
            </w:pPr>
            <w:r>
              <w:rPr>
                <w:sz w:val="18"/>
              </w:rPr>
              <w:t xml:space="preserve">Vulnerability, change and patch management</w:t>
            </w:r>
          </w:p>
        </w:tc>
        <w:tc>
          <w:tcPr>
            <w:tcW w:w="2864" w:type="dxa"/>
          </w:tcPr>
          <w:p>
            <w:pPr>
              <w:pStyle w:val="Compact"/>
              <w:spacing w:after="40"/>
              <w:jc w:val="left"/>
            </w:pPr>
            <w:r>
              <w:rPr>
                <w:sz w:val="18"/>
              </w:rPr>
              <w:t xml:space="preserve">CYB 23, 112</w:t>
            </w:r>
          </w:p>
        </w:tc>
        <w:tc>
          <w:tcPr>
            <w:tcW w:w="1760" w:type="dxa"/>
          </w:tcPr>
          <w:p>
            <w:pPr>
              <w:pStyle w:val="Compact"/>
              <w:spacing w:after="40"/>
              <w:jc w:val="left"/>
            </w:pPr>
            <w:r>
              <w:rPr>
                <w:sz w:val="18"/>
              </w:rPr>
              <w:t xml:space="preserve">Cl. 11.7, 15.5; Sch. 11</w:t>
            </w:r>
          </w:p>
        </w:tc>
        <w:tc>
          <w:tcPr>
            <w:tcW w:w="1481" w:type="dxa"/>
          </w:tcPr>
          <w:p>
            <w:pPr>
              <w:pStyle w:val="Compact"/>
              <w:spacing w:after="40"/>
              <w:jc w:val="left"/>
            </w:pPr>
            <w:r>
              <w:rPr>
                <w:sz w:val="18"/>
              </w:rPr>
              <w:t xml:space="preserve">Change records</w:t>
            </w:r>
          </w:p>
        </w:tc>
      </w:tr>
      <w:tr>
        <w:tc>
          <w:tcPr>
            <w:tcW w:w="1026" w:type="dxa"/>
          </w:tcPr>
          <w:p>
            <w:pPr>
              <w:pStyle w:val="Compact"/>
              <w:spacing w:after="40"/>
              <w:jc w:val="left"/>
            </w:pPr>
            <w:r>
              <w:rPr>
                <w:sz w:val="18"/>
              </w:rPr>
              <w:t xml:space="preserve">74</w:t>
            </w:r>
          </w:p>
        </w:tc>
        <w:tc>
          <w:tcPr>
            <w:tcW w:w="2507" w:type="dxa"/>
          </w:tcPr>
          <w:p>
            <w:pPr>
              <w:pStyle w:val="Compact"/>
              <w:spacing w:after="40"/>
              <w:jc w:val="left"/>
            </w:pPr>
            <w:r>
              <w:rPr>
                <w:sz w:val="18"/>
              </w:rPr>
              <w:t xml:space="preserve">Elevated access supervision; MFA</w:t>
            </w:r>
          </w:p>
        </w:tc>
        <w:tc>
          <w:tcPr>
            <w:tcW w:w="2864" w:type="dxa"/>
          </w:tcPr>
          <w:p>
            <w:pPr>
              <w:pStyle w:val="Compact"/>
              <w:spacing w:after="40"/>
              <w:jc w:val="left"/>
            </w:pPr>
            <w:r>
              <w:rPr>
                <w:sz w:val="18"/>
              </w:rPr>
              <w:t xml:space="preserve">CYB 114–116</w:t>
            </w:r>
          </w:p>
        </w:tc>
        <w:tc>
          <w:tcPr>
            <w:tcW w:w="1760" w:type="dxa"/>
          </w:tcPr>
          <w:p>
            <w:pPr>
              <w:pStyle w:val="Compact"/>
              <w:spacing w:after="40"/>
              <w:jc w:val="left"/>
            </w:pPr>
            <w:r>
              <w:rPr>
                <w:sz w:val="18"/>
              </w:rPr>
              <w:t xml:space="preserve">Cl. 11.3</w:t>
            </w:r>
          </w:p>
        </w:tc>
        <w:tc>
          <w:tcPr>
            <w:tcW w:w="1481" w:type="dxa"/>
          </w:tcPr>
          <w:p>
            <w:pPr>
              <w:pStyle w:val="Compact"/>
              <w:spacing w:after="40"/>
              <w:jc w:val="left"/>
            </w:pPr>
            <w:r>
              <w:rPr>
                <w:sz w:val="18"/>
              </w:rPr>
              <w:t xml:space="preserve">Activity reports</w:t>
            </w:r>
          </w:p>
        </w:tc>
      </w:tr>
      <w:tr>
        <w:tc>
          <w:tcPr>
            <w:tcW w:w="1026" w:type="dxa"/>
          </w:tcPr>
          <w:p>
            <w:pPr>
              <w:pStyle w:val="Compact"/>
              <w:spacing w:after="40"/>
              <w:jc w:val="left"/>
            </w:pPr>
            <w:r>
              <w:rPr>
                <w:sz w:val="18"/>
              </w:rPr>
              <w:t xml:space="preserve">75</w:t>
            </w:r>
          </w:p>
        </w:tc>
        <w:tc>
          <w:tcPr>
            <w:tcW w:w="2507" w:type="dxa"/>
          </w:tcPr>
          <w:p>
            <w:pPr>
              <w:pStyle w:val="Compact"/>
              <w:spacing w:after="40"/>
              <w:jc w:val="left"/>
            </w:pPr>
            <w:r>
              <w:rPr>
                <w:sz w:val="18"/>
              </w:rPr>
              <w:t xml:space="preserve">Third-party risk (concentration, conflicts, SPOF, supply chain)</w:t>
            </w:r>
          </w:p>
        </w:tc>
        <w:tc>
          <w:tcPr>
            <w:tcW w:w="2864" w:type="dxa"/>
          </w:tcPr>
          <w:p>
            <w:pPr>
              <w:pStyle w:val="Compact"/>
              <w:spacing w:after="40"/>
              <w:jc w:val="left"/>
            </w:pPr>
            <w:r>
              <w:rPr>
                <w:sz w:val="18"/>
              </w:rPr>
              <w:t xml:space="preserve">CYB 117 (applies only to arrangements outside OUT; adopted here as a contractual standard)</w:t>
            </w:r>
          </w:p>
        </w:tc>
        <w:tc>
          <w:tcPr>
            <w:tcW w:w="1760" w:type="dxa"/>
          </w:tcPr>
          <w:p>
            <w:pPr>
              <w:pStyle w:val="Compact"/>
              <w:spacing w:after="40"/>
              <w:jc w:val="left"/>
            </w:pPr>
            <w:r>
              <w:rPr>
                <w:sz w:val="18"/>
              </w:rPr>
              <w:t xml:space="preserve">Art. 13; Sch. 10; Form 15E</w:t>
            </w:r>
          </w:p>
        </w:tc>
        <w:tc>
          <w:tcPr>
            <w:tcW w:w="1481" w:type="dxa"/>
          </w:tcPr>
          <w:p>
            <w:pPr>
              <w:pStyle w:val="Compact"/>
              <w:spacing w:after="40"/>
              <w:jc w:val="left"/>
            </w:pPr>
            <w:r>
              <w:rPr>
                <w:sz w:val="18"/>
              </w:rPr>
              <w:t xml:space="preserve">Supply-chain report</w:t>
            </w:r>
          </w:p>
        </w:tc>
      </w:tr>
      <w:tr>
        <w:tc>
          <w:tcPr>
            <w:tcW w:w="1026" w:type="dxa"/>
          </w:tcPr>
          <w:p>
            <w:pPr>
              <w:pStyle w:val="Compact"/>
              <w:spacing w:after="40"/>
              <w:jc w:val="left"/>
            </w:pPr>
            <w:r>
              <w:rPr>
                <w:sz w:val="18"/>
              </w:rPr>
              <w:t xml:space="preserve">76</w:t>
            </w:r>
          </w:p>
        </w:tc>
        <w:tc>
          <w:tcPr>
            <w:tcW w:w="2507" w:type="dxa"/>
          </w:tcPr>
          <w:p>
            <w:pPr>
              <w:pStyle w:val="Compact"/>
              <w:spacing w:after="40"/>
              <w:jc w:val="left"/>
            </w:pPr>
            <w:r>
              <w:rPr>
                <w:sz w:val="18"/>
              </w:rPr>
              <w:t xml:space="preserve">Strong cryptography; PKI</w:t>
            </w:r>
          </w:p>
        </w:tc>
        <w:tc>
          <w:tcPr>
            <w:tcW w:w="2864" w:type="dxa"/>
          </w:tcPr>
          <w:p>
            <w:pPr>
              <w:pStyle w:val="Compact"/>
              <w:spacing w:after="40"/>
              <w:jc w:val="left"/>
            </w:pPr>
            <w:r>
              <w:rPr>
                <w:sz w:val="18"/>
              </w:rPr>
              <w:t xml:space="preserve">CYB 118, 21(9), 31</w:t>
            </w:r>
          </w:p>
        </w:tc>
        <w:tc>
          <w:tcPr>
            <w:tcW w:w="1760" w:type="dxa"/>
          </w:tcPr>
          <w:p>
            <w:pPr>
              <w:pStyle w:val="Compact"/>
              <w:spacing w:after="40"/>
              <w:jc w:val="left"/>
            </w:pPr>
            <w:r>
              <w:rPr>
                <w:sz w:val="18"/>
              </w:rPr>
              <w:t xml:space="preserve">Cl. 11.4</w:t>
            </w:r>
          </w:p>
        </w:tc>
        <w:tc>
          <w:tcPr>
            <w:tcW w:w="1481" w:type="dxa"/>
          </w:tcPr>
          <w:p>
            <w:pPr>
              <w:pStyle w:val="Compact"/>
              <w:spacing w:after="40"/>
              <w:jc w:val="left"/>
            </w:pPr>
            <w:r>
              <w:rPr>
                <w:sz w:val="18"/>
              </w:rPr>
              <w:t xml:space="preserve">Scan results</w:t>
            </w:r>
          </w:p>
        </w:tc>
      </w:tr>
      <w:tr>
        <w:tc>
          <w:tcPr>
            <w:tcW w:w="1026" w:type="dxa"/>
          </w:tcPr>
          <w:p>
            <w:pPr>
              <w:pStyle w:val="Compact"/>
              <w:spacing w:after="40"/>
              <w:jc w:val="left"/>
            </w:pPr>
            <w:r>
              <w:rPr>
                <w:sz w:val="18"/>
              </w:rPr>
              <w:t xml:space="preserve">77</w:t>
            </w:r>
          </w:p>
        </w:tc>
        <w:tc>
          <w:tcPr>
            <w:tcW w:w="2507" w:type="dxa"/>
          </w:tcPr>
          <w:p>
            <w:pPr>
              <w:pStyle w:val="Compact"/>
              <w:spacing w:after="40"/>
              <w:jc w:val="left"/>
            </w:pPr>
            <w:r>
              <w:rPr>
                <w:sz w:val="18"/>
              </w:rPr>
              <w:t xml:space="preserve">Straight-through processing</w:t>
            </w:r>
          </w:p>
        </w:tc>
        <w:tc>
          <w:tcPr>
            <w:tcW w:w="2864" w:type="dxa"/>
          </w:tcPr>
          <w:p>
            <w:pPr>
              <w:pStyle w:val="Compact"/>
              <w:spacing w:after="40"/>
              <w:jc w:val="left"/>
            </w:pPr>
            <w:r>
              <w:rPr>
                <w:sz w:val="18"/>
              </w:rPr>
              <w:t xml:space="preserve">CYB 119–120</w:t>
            </w:r>
          </w:p>
        </w:tc>
        <w:tc>
          <w:tcPr>
            <w:tcW w:w="1760" w:type="dxa"/>
          </w:tcPr>
          <w:p>
            <w:pPr>
              <w:pStyle w:val="Compact"/>
              <w:spacing w:after="40"/>
              <w:jc w:val="left"/>
            </w:pPr>
            <w:r>
              <w:rPr>
                <w:sz w:val="18"/>
              </w:rPr>
              <w:t xml:space="preserve">Cl. 11.11</w:t>
            </w:r>
          </w:p>
        </w:tc>
        <w:tc>
          <w:tcPr>
            <w:tcW w:w="1481" w:type="dxa"/>
          </w:tcPr>
          <w:p>
            <w:pPr>
              <w:pStyle w:val="Compact"/>
              <w:spacing w:after="40"/>
              <w:jc w:val="left"/>
            </w:pPr>
            <w:r>
              <w:rPr>
                <w:sz w:val="18"/>
              </w:rPr>
              <w:t xml:space="preserve">Interface specifications</w:t>
            </w:r>
          </w:p>
        </w:tc>
      </w:tr>
      <w:tr>
        <w:tc>
          <w:tcPr>
            <w:tcW w:w="1026" w:type="dxa"/>
          </w:tcPr>
          <w:p>
            <w:pPr>
              <w:pStyle w:val="Compact"/>
              <w:spacing w:after="40"/>
              <w:jc w:val="left"/>
            </w:pPr>
            <w:r>
              <w:rPr>
                <w:sz w:val="18"/>
              </w:rPr>
              <w:t xml:space="preserve">78</w:t>
            </w:r>
          </w:p>
        </w:tc>
        <w:tc>
          <w:tcPr>
            <w:tcW w:w="2507" w:type="dxa"/>
          </w:tcPr>
          <w:p>
            <w:pPr>
              <w:pStyle w:val="Compact"/>
              <w:spacing w:after="40"/>
              <w:jc w:val="left"/>
            </w:pPr>
            <w:r>
              <w:rPr>
                <w:sz w:val="18"/>
              </w:rPr>
              <w:t xml:space="preserve">VA/PT cadence, independence, production, remediation, method</w:t>
            </w:r>
          </w:p>
        </w:tc>
        <w:tc>
          <w:tcPr>
            <w:tcW w:w="2864" w:type="dxa"/>
          </w:tcPr>
          <w:p>
            <w:pPr>
              <w:pStyle w:val="Compact"/>
              <w:spacing w:after="40"/>
              <w:jc w:val="left"/>
            </w:pPr>
            <w:r>
              <w:rPr>
                <w:sz w:val="18"/>
              </w:rPr>
              <w:t xml:space="preserve">CYB 121–126</w:t>
            </w:r>
          </w:p>
        </w:tc>
        <w:tc>
          <w:tcPr>
            <w:tcW w:w="1760" w:type="dxa"/>
          </w:tcPr>
          <w:p>
            <w:pPr>
              <w:pStyle w:val="Compact"/>
              <w:spacing w:after="40"/>
              <w:jc w:val="left"/>
            </w:pPr>
            <w:r>
              <w:rPr>
                <w:sz w:val="18"/>
              </w:rPr>
              <w:t xml:space="preserve">Cl. 5.5, 11.6; Sch. 5 Pt C, E</w:t>
            </w:r>
          </w:p>
        </w:tc>
        <w:tc>
          <w:tcPr>
            <w:tcW w:w="1481" w:type="dxa"/>
          </w:tcPr>
          <w:p>
            <w:pPr>
              <w:pStyle w:val="Compact"/>
              <w:spacing w:after="40"/>
              <w:jc w:val="left"/>
            </w:pPr>
            <w:r>
              <w:rPr>
                <w:sz w:val="18"/>
              </w:rPr>
              <w:t xml:space="preserve">VA/PT reports</w:t>
            </w:r>
          </w:p>
        </w:tc>
      </w:tr>
      <w:tr>
        <w:tc>
          <w:tcPr>
            <w:tcW w:w="1026" w:type="dxa"/>
          </w:tcPr>
          <w:p>
            <w:pPr>
              <w:pStyle w:val="Compact"/>
              <w:spacing w:after="40"/>
              <w:jc w:val="left"/>
            </w:pPr>
            <w:r>
              <w:rPr>
                <w:sz w:val="18"/>
              </w:rPr>
              <w:t xml:space="preserve">79</w:t>
            </w:r>
          </w:p>
        </w:tc>
        <w:tc>
          <w:tcPr>
            <w:tcW w:w="2507" w:type="dxa"/>
          </w:tcPr>
          <w:p>
            <w:pPr>
              <w:pStyle w:val="Compact"/>
              <w:spacing w:after="40"/>
              <w:jc w:val="left"/>
            </w:pPr>
            <w:r>
              <w:rPr>
                <w:sz w:val="18"/>
              </w:rPr>
              <w:t xml:space="preserve">DR drills, backups, RTO/RPO, reconciliation, collaborative tests</w:t>
            </w:r>
          </w:p>
        </w:tc>
        <w:tc>
          <w:tcPr>
            <w:tcW w:w="2864" w:type="dxa"/>
          </w:tcPr>
          <w:p>
            <w:pPr>
              <w:pStyle w:val="Compact"/>
              <w:spacing w:after="40"/>
              <w:jc w:val="left"/>
            </w:pPr>
            <w:r>
              <w:rPr>
                <w:sz w:val="18"/>
              </w:rPr>
              <w:t xml:space="preserve">CYB 129–138</w:t>
            </w:r>
          </w:p>
        </w:tc>
        <w:tc>
          <w:tcPr>
            <w:tcW w:w="1760" w:type="dxa"/>
          </w:tcPr>
          <w:p>
            <w:pPr>
              <w:pStyle w:val="Compact"/>
              <w:spacing w:after="40"/>
              <w:jc w:val="left"/>
            </w:pPr>
            <w:r>
              <w:rPr>
                <w:sz w:val="18"/>
              </w:rPr>
              <w:t xml:space="preserve">Cl. 14.2–14.4; Sch. 8</w:t>
            </w:r>
          </w:p>
        </w:tc>
        <w:tc>
          <w:tcPr>
            <w:tcW w:w="1481" w:type="dxa"/>
          </w:tcPr>
          <w:p>
            <w:pPr>
              <w:pStyle w:val="Compact"/>
              <w:spacing w:after="40"/>
              <w:jc w:val="left"/>
            </w:pPr>
            <w:r>
              <w:rPr>
                <w:sz w:val="18"/>
              </w:rPr>
              <w:t xml:space="preserve">Drill reports</w:t>
            </w:r>
          </w:p>
        </w:tc>
      </w:tr>
      <w:tr>
        <w:tc>
          <w:tcPr>
            <w:tcW w:w="1026" w:type="dxa"/>
          </w:tcPr>
          <w:p>
            <w:pPr>
              <w:pStyle w:val="Compact"/>
              <w:spacing w:after="40"/>
              <w:jc w:val="left"/>
            </w:pPr>
            <w:r>
              <w:rPr>
                <w:sz w:val="18"/>
              </w:rPr>
              <w:t xml:space="preserve">80</w:t>
            </w:r>
          </w:p>
        </w:tc>
        <w:tc>
          <w:tcPr>
            <w:tcW w:w="2507" w:type="dxa"/>
          </w:tcPr>
          <w:p>
            <w:pPr>
              <w:pStyle w:val="Compact"/>
              <w:spacing w:after="40"/>
              <w:jc w:val="left"/>
            </w:pPr>
            <w:r>
              <w:rPr>
                <w:sz w:val="18"/>
              </w:rPr>
              <w:t xml:space="preserve">Forensics, RCA, lessons learnt, drills</w:t>
            </w:r>
          </w:p>
        </w:tc>
        <w:tc>
          <w:tcPr>
            <w:tcW w:w="2864" w:type="dxa"/>
          </w:tcPr>
          <w:p>
            <w:pPr>
              <w:pStyle w:val="Compact"/>
              <w:spacing w:after="40"/>
              <w:jc w:val="left"/>
            </w:pPr>
            <w:r>
              <w:rPr>
                <w:sz w:val="18"/>
              </w:rPr>
              <w:t xml:space="preserve">CYB 140, 145–146</w:t>
            </w:r>
          </w:p>
        </w:tc>
        <w:tc>
          <w:tcPr>
            <w:tcW w:w="1760" w:type="dxa"/>
          </w:tcPr>
          <w:p>
            <w:pPr>
              <w:pStyle w:val="Compact"/>
              <w:spacing w:after="40"/>
              <w:jc w:val="left"/>
            </w:pPr>
            <w:r>
              <w:rPr>
                <w:sz w:val="18"/>
              </w:rPr>
              <w:t xml:space="preserve">Cl. 11.13, 12.7, 12.9</w:t>
            </w:r>
          </w:p>
        </w:tc>
        <w:tc>
          <w:tcPr>
            <w:tcW w:w="1481" w:type="dxa"/>
          </w:tcPr>
          <w:p>
            <w:pPr>
              <w:pStyle w:val="Compact"/>
              <w:spacing w:after="40"/>
              <w:jc w:val="left"/>
            </w:pPr>
            <w:r>
              <w:rPr>
                <w:sz w:val="18"/>
              </w:rPr>
              <w:t xml:space="preserve">RCA reports</w:t>
            </w:r>
          </w:p>
        </w:tc>
      </w:tr>
      <w:tr>
        <w:tc>
          <w:tcPr>
            <w:tcW w:w="1026" w:type="dxa"/>
          </w:tcPr>
          <w:p>
            <w:pPr>
              <w:pStyle w:val="Compact"/>
              <w:spacing w:after="40"/>
              <w:jc w:val="left"/>
            </w:pPr>
            <w:r>
              <w:rPr>
                <w:sz w:val="18"/>
              </w:rPr>
              <w:t xml:space="preserve">81</w:t>
            </w:r>
          </w:p>
        </w:tc>
        <w:tc>
          <w:tcPr>
            <w:tcW w:w="2507" w:type="dxa"/>
          </w:tcPr>
          <w:p>
            <w:pPr>
              <w:pStyle w:val="Compact"/>
              <w:spacing w:after="40"/>
              <w:jc w:val="left"/>
            </w:pPr>
            <w:r>
              <w:rPr>
                <w:sz w:val="18"/>
              </w:rPr>
              <w:t xml:space="preserve">Capacity, EOS, migration, metrics, project steering, product approval</w:t>
            </w:r>
          </w:p>
        </w:tc>
        <w:tc>
          <w:tcPr>
            <w:tcW w:w="2864" w:type="dxa"/>
          </w:tcPr>
          <w:p>
            <w:pPr>
              <w:pStyle w:val="Compact"/>
              <w:spacing w:after="40"/>
              <w:jc w:val="left"/>
            </w:pPr>
            <w:r>
              <w:rPr>
                <w:sz w:val="18"/>
              </w:rPr>
              <w:t xml:space="preserve">CYB 40, 88, 92–93, 99, 107–108, 147</w:t>
            </w:r>
          </w:p>
        </w:tc>
        <w:tc>
          <w:tcPr>
            <w:tcW w:w="1760" w:type="dxa"/>
          </w:tcPr>
          <w:p>
            <w:pPr>
              <w:pStyle w:val="Compact"/>
              <w:spacing w:after="40"/>
              <w:jc w:val="left"/>
            </w:pPr>
            <w:r>
              <w:rPr>
                <w:sz w:val="18"/>
              </w:rPr>
              <w:t xml:space="preserve">Cl. 5.1, 5.2, 6.7, 6.8, 14.8, 15.6</w:t>
            </w:r>
          </w:p>
        </w:tc>
        <w:tc>
          <w:tcPr>
            <w:tcW w:w="1481" w:type="dxa"/>
          </w:tcPr>
          <w:p>
            <w:pPr>
              <w:pStyle w:val="Compact"/>
              <w:spacing w:after="40"/>
              <w:jc w:val="left"/>
            </w:pPr>
            <w:r>
              <w:rPr>
                <w:sz w:val="18"/>
              </w:rPr>
              <w:t xml:space="preserve">Reports</w:t>
            </w:r>
          </w:p>
        </w:tc>
      </w:tr>
    </w:tbl>
    <w:bookmarkEnd w:id="160"/>
    <w:bookmarkStart w:id="161" w:name="Xe295a994f2359efb6510d0d6f28deedf8aab09c"/>
    <w:p>
      <w:pPr>
        <w:pStyle w:val="Heading2"/>
      </w:pPr>
      <w:r>
        <w:t xml:space="preserve">Part E — Digital lending, KYC, credit information, conduct and audit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56"/>
        <w:gridCol w:w="3152"/>
        <w:gridCol w:w="2129"/>
        <w:gridCol w:w="1811"/>
        <w:gridCol w:w="1490"/>
      </w:tblGrid>
      <w:tr>
        <w:trPr>
          <w:tblHeader w:val="true"/>
          <w:tblHeader w:val="true"/>
        </w:trPr>
        <w:tc>
          <w:tcPr>
            <w:tcW w:w="1056" w:type="dxa"/>
            <w:shd w:val="clear" w:color="auto" w:fill="1F3A5F"/>
          </w:tcPr>
          <w:p>
            <w:pPr>
              <w:pStyle w:val="Compact"/>
              <w:spacing w:after="40"/>
              <w:jc w:val="left"/>
            </w:pPr>
            <w:r>
              <w:rPr>
                <w:b/>
                <w:color w:val="FFFFFF"/>
                <w:sz w:val="18"/>
              </w:rPr>
              <w:t xml:space="preserve">#</w:t>
            </w:r>
          </w:p>
        </w:tc>
        <w:tc>
          <w:tcPr>
            <w:tcW w:w="3152" w:type="dxa"/>
            <w:shd w:val="clear" w:color="auto" w:fill="1F3A5F"/>
          </w:tcPr>
          <w:p>
            <w:pPr>
              <w:pStyle w:val="Compact"/>
              <w:spacing w:after="40"/>
              <w:jc w:val="left"/>
            </w:pPr>
            <w:r>
              <w:rPr>
                <w:b/>
                <w:color w:val="FFFFFF"/>
                <w:sz w:val="18"/>
              </w:rPr>
              <w:t xml:space="preserve">Requirement</w:t>
            </w:r>
          </w:p>
        </w:tc>
        <w:tc>
          <w:tcPr>
            <w:tcW w:w="2129" w:type="dxa"/>
            <w:shd w:val="clear" w:color="auto" w:fill="1F3A5F"/>
          </w:tcPr>
          <w:p>
            <w:pPr>
              <w:pStyle w:val="Compact"/>
              <w:spacing w:after="40"/>
              <w:jc w:val="left"/>
            </w:pPr>
            <w:r>
              <w:rPr>
                <w:b/>
                <w:color w:val="FFFFFF"/>
                <w:sz w:val="18"/>
              </w:rPr>
              <w:t xml:space="preserve">Source</w:t>
            </w:r>
          </w:p>
        </w:tc>
        <w:tc>
          <w:tcPr>
            <w:tcW w:w="1811" w:type="dxa"/>
            <w:shd w:val="clear" w:color="auto" w:fill="1F3A5F"/>
          </w:tcPr>
          <w:p>
            <w:pPr>
              <w:pStyle w:val="Compact"/>
              <w:spacing w:after="40"/>
              <w:jc w:val="left"/>
            </w:pPr>
            <w:r>
              <w:rPr>
                <w:b/>
                <w:color w:val="FFFFFF"/>
                <w:sz w:val="18"/>
              </w:rPr>
              <w:t xml:space="preserve">Implemented in</w:t>
            </w:r>
          </w:p>
        </w:tc>
        <w:tc>
          <w:tcPr>
            <w:tcW w:w="1490" w:type="dxa"/>
            <w:shd w:val="clear" w:color="auto" w:fill="1F3A5F"/>
          </w:tcPr>
          <w:p>
            <w:pPr>
              <w:pStyle w:val="Compact"/>
              <w:spacing w:after="40"/>
              <w:jc w:val="left"/>
            </w:pPr>
            <w:r>
              <w:rPr>
                <w:b/>
                <w:color w:val="FFFFFF"/>
                <w:sz w:val="18"/>
              </w:rPr>
              <w:t xml:space="preserve">Evidence</w:t>
            </w:r>
          </w:p>
        </w:tc>
      </w:tr>
      <w:tr>
        <w:tc>
          <w:tcPr>
            <w:tcW w:w="1056" w:type="dxa"/>
          </w:tcPr>
          <w:p>
            <w:pPr>
              <w:pStyle w:val="Compact"/>
              <w:spacing w:after="40"/>
              <w:jc w:val="left"/>
            </w:pPr>
            <w:r>
              <w:rPr>
                <w:sz w:val="18"/>
              </w:rPr>
              <w:t xml:space="preserve">82</w:t>
            </w:r>
          </w:p>
        </w:tc>
        <w:tc>
          <w:tcPr>
            <w:tcW w:w="3152" w:type="dxa"/>
          </w:tcPr>
          <w:p>
            <w:pPr>
              <w:pStyle w:val="Compact"/>
              <w:spacing w:after="40"/>
              <w:jc w:val="left"/>
            </w:pPr>
            <w:r>
              <w:rPr>
                <w:sz w:val="18"/>
              </w:rPr>
              <w:t xml:space="preserve">Need-based data with consent and audit trail; no phone resources; one-time camera, microphone, location</w:t>
            </w:r>
          </w:p>
        </w:tc>
        <w:tc>
          <w:tcPr>
            <w:tcW w:w="2129" w:type="dxa"/>
          </w:tcPr>
          <w:p>
            <w:pPr>
              <w:pStyle w:val="Compact"/>
              <w:spacing w:after="40"/>
              <w:jc w:val="left"/>
            </w:pPr>
            <w:r>
              <w:rPr>
                <w:sz w:val="18"/>
              </w:rPr>
              <w:t xml:space="preserve">CF 13(1)–(3)</w:t>
            </w:r>
          </w:p>
        </w:tc>
        <w:tc>
          <w:tcPr>
            <w:tcW w:w="1811" w:type="dxa"/>
          </w:tcPr>
          <w:p>
            <w:pPr>
              <w:pStyle w:val="Compact"/>
              <w:spacing w:after="40"/>
              <w:jc w:val="left"/>
            </w:pPr>
            <w:r>
              <w:rPr>
                <w:sz w:val="18"/>
              </w:rPr>
              <w:t xml:space="preserve">Cl. 7.4, 11.12; Sch. 4 Pt I</w:t>
            </w:r>
          </w:p>
        </w:tc>
        <w:tc>
          <w:tcPr>
            <w:tcW w:w="1490" w:type="dxa"/>
          </w:tcPr>
          <w:p>
            <w:pPr>
              <w:pStyle w:val="Compact"/>
              <w:spacing w:after="40"/>
              <w:jc w:val="left"/>
            </w:pPr>
            <w:r>
              <w:rPr>
                <w:sz w:val="18"/>
              </w:rPr>
              <w:t xml:space="preserve">Permission tests</w:t>
            </w:r>
          </w:p>
        </w:tc>
      </w:tr>
      <w:tr>
        <w:tc>
          <w:tcPr>
            <w:tcW w:w="1056" w:type="dxa"/>
          </w:tcPr>
          <w:p>
            <w:pPr>
              <w:pStyle w:val="Compact"/>
              <w:spacing w:after="40"/>
              <w:jc w:val="left"/>
            </w:pPr>
            <w:r>
              <w:rPr>
                <w:sz w:val="18"/>
              </w:rPr>
              <w:t xml:space="preserve">83</w:t>
            </w:r>
          </w:p>
        </w:tc>
        <w:tc>
          <w:tcPr>
            <w:tcW w:w="3152" w:type="dxa"/>
          </w:tcPr>
          <w:p>
            <w:pPr>
              <w:pStyle w:val="Compact"/>
              <w:spacing w:after="40"/>
              <w:jc w:val="left"/>
            </w:pPr>
            <w:r>
              <w:rPr>
                <w:sz w:val="18"/>
              </w:rPr>
              <w:t xml:space="preserve">Explicit consent before third-party sharing</w:t>
            </w:r>
          </w:p>
        </w:tc>
        <w:tc>
          <w:tcPr>
            <w:tcW w:w="2129" w:type="dxa"/>
          </w:tcPr>
          <w:p>
            <w:pPr>
              <w:pStyle w:val="Compact"/>
              <w:spacing w:after="40"/>
              <w:jc w:val="left"/>
            </w:pPr>
            <w:r>
              <w:rPr>
                <w:sz w:val="18"/>
              </w:rPr>
              <w:t xml:space="preserve">CF 13(4)</w:t>
            </w:r>
          </w:p>
        </w:tc>
        <w:tc>
          <w:tcPr>
            <w:tcW w:w="1811" w:type="dxa"/>
          </w:tcPr>
          <w:p>
            <w:pPr>
              <w:pStyle w:val="Compact"/>
              <w:spacing w:after="40"/>
              <w:jc w:val="left"/>
            </w:pPr>
            <w:r>
              <w:rPr>
                <w:sz w:val="18"/>
              </w:rPr>
              <w:t xml:space="preserve">Cl. 10.7</w:t>
            </w:r>
          </w:p>
        </w:tc>
        <w:tc>
          <w:tcPr>
            <w:tcW w:w="1490" w:type="dxa"/>
          </w:tcPr>
          <w:p>
            <w:pPr>
              <w:pStyle w:val="Compact"/>
              <w:spacing w:after="40"/>
              <w:jc w:val="left"/>
            </w:pPr>
            <w:r>
              <w:rPr>
                <w:sz w:val="18"/>
              </w:rPr>
              <w:t xml:space="preserve">Consent references</w:t>
            </w:r>
          </w:p>
        </w:tc>
      </w:tr>
      <w:tr>
        <w:tc>
          <w:tcPr>
            <w:tcW w:w="1056" w:type="dxa"/>
          </w:tcPr>
          <w:p>
            <w:pPr>
              <w:pStyle w:val="Compact"/>
              <w:spacing w:after="40"/>
              <w:jc w:val="left"/>
            </w:pPr>
            <w:r>
              <w:rPr>
                <w:sz w:val="18"/>
              </w:rPr>
              <w:t xml:space="preserve">84</w:t>
            </w:r>
          </w:p>
        </w:tc>
        <w:tc>
          <w:tcPr>
            <w:tcW w:w="3152" w:type="dxa"/>
          </w:tcPr>
          <w:p>
            <w:pPr>
              <w:pStyle w:val="Compact"/>
              <w:spacing w:after="40"/>
              <w:jc w:val="left"/>
            </w:pPr>
            <w:r>
              <w:rPr>
                <w:sz w:val="18"/>
              </w:rPr>
              <w:t xml:space="preserve">Privacy and security responsibility with the Company; no biometrics</w:t>
            </w:r>
          </w:p>
        </w:tc>
        <w:tc>
          <w:tcPr>
            <w:tcW w:w="2129" w:type="dxa"/>
          </w:tcPr>
          <w:p>
            <w:pPr>
              <w:pStyle w:val="Compact"/>
              <w:spacing w:after="40"/>
              <w:jc w:val="left"/>
            </w:pPr>
            <w:r>
              <w:rPr>
                <w:sz w:val="18"/>
              </w:rPr>
              <w:t xml:space="preserve">CF 14(1), 14(3)</w:t>
            </w:r>
          </w:p>
        </w:tc>
        <w:tc>
          <w:tcPr>
            <w:tcW w:w="1811" w:type="dxa"/>
          </w:tcPr>
          <w:p>
            <w:pPr>
              <w:pStyle w:val="Compact"/>
              <w:spacing w:after="40"/>
              <w:jc w:val="left"/>
            </w:pPr>
            <w:r>
              <w:rPr>
                <w:sz w:val="18"/>
              </w:rPr>
              <w:t xml:space="preserve">Cl. 10.2, 10.12</w:t>
            </w:r>
          </w:p>
        </w:tc>
        <w:tc>
          <w:tcPr>
            <w:tcW w:w="1490" w:type="dxa"/>
          </w:tcPr>
          <w:p>
            <w:pPr>
              <w:pStyle w:val="Compact"/>
              <w:spacing w:after="40"/>
              <w:jc w:val="left"/>
            </w:pPr>
            <w:r>
              <w:rPr>
                <w:sz w:val="18"/>
              </w:rPr>
              <w:t xml:space="preserve">Data inventory</w:t>
            </w:r>
          </w:p>
        </w:tc>
      </w:tr>
      <w:tr>
        <w:tc>
          <w:tcPr>
            <w:tcW w:w="1056" w:type="dxa"/>
          </w:tcPr>
          <w:p>
            <w:pPr>
              <w:pStyle w:val="Compact"/>
              <w:spacing w:after="40"/>
              <w:jc w:val="left"/>
            </w:pPr>
            <w:r>
              <w:rPr>
                <w:sz w:val="18"/>
              </w:rPr>
              <w:t xml:space="preserve">85</w:t>
            </w:r>
          </w:p>
        </w:tc>
        <w:tc>
          <w:tcPr>
            <w:tcW w:w="3152" w:type="dxa"/>
          </w:tcPr>
          <w:p>
            <w:pPr>
              <w:pStyle w:val="Compact"/>
              <w:spacing w:after="40"/>
              <w:jc w:val="left"/>
            </w:pPr>
            <w:r>
              <w:rPr>
                <w:sz w:val="18"/>
              </w:rPr>
              <w:t xml:space="preserve">India storage; 24-hour repatriation</w:t>
            </w:r>
          </w:p>
        </w:tc>
        <w:tc>
          <w:tcPr>
            <w:tcW w:w="2129" w:type="dxa"/>
          </w:tcPr>
          <w:p>
            <w:pPr>
              <w:pStyle w:val="Compact"/>
              <w:spacing w:after="40"/>
              <w:jc w:val="left"/>
            </w:pPr>
            <w:r>
              <w:rPr>
                <w:sz w:val="18"/>
              </w:rPr>
              <w:t xml:space="preserve">CF 14(4)</w:t>
            </w:r>
          </w:p>
        </w:tc>
        <w:tc>
          <w:tcPr>
            <w:tcW w:w="1811" w:type="dxa"/>
          </w:tcPr>
          <w:p>
            <w:pPr>
              <w:pStyle w:val="Compact"/>
              <w:spacing w:after="40"/>
              <w:jc w:val="left"/>
            </w:pPr>
            <w:r>
              <w:rPr>
                <w:sz w:val="18"/>
              </w:rPr>
              <w:t xml:space="preserve">Cl. 10.4</w:t>
            </w:r>
          </w:p>
        </w:tc>
        <w:tc>
          <w:tcPr>
            <w:tcW w:w="1490" w:type="dxa"/>
          </w:tcPr>
          <w:p>
            <w:pPr>
              <w:pStyle w:val="Compact"/>
              <w:spacing w:after="40"/>
              <w:jc w:val="left"/>
            </w:pPr>
            <w:r>
              <w:rPr>
                <w:sz w:val="18"/>
              </w:rPr>
              <w:t xml:space="preserve">Architecture</w:t>
            </w:r>
          </w:p>
        </w:tc>
      </w:tr>
      <w:tr>
        <w:tc>
          <w:tcPr>
            <w:tcW w:w="1056" w:type="dxa"/>
          </w:tcPr>
          <w:p>
            <w:pPr>
              <w:pStyle w:val="Compact"/>
              <w:spacing w:after="40"/>
              <w:jc w:val="left"/>
            </w:pPr>
            <w:r>
              <w:rPr>
                <w:sz w:val="18"/>
              </w:rPr>
              <w:t xml:space="preserve">86</w:t>
            </w:r>
          </w:p>
        </w:tc>
        <w:tc>
          <w:tcPr>
            <w:tcW w:w="3152" w:type="dxa"/>
          </w:tcPr>
          <w:p>
            <w:pPr>
              <w:pStyle w:val="Compact"/>
              <w:spacing w:after="40"/>
              <w:jc w:val="left"/>
            </w:pPr>
            <w:r>
              <w:rPr>
                <w:sz w:val="18"/>
              </w:rPr>
              <w:t xml:space="preserve">RBI and other technology standards for digital lending</w:t>
            </w:r>
          </w:p>
        </w:tc>
        <w:tc>
          <w:tcPr>
            <w:tcW w:w="2129" w:type="dxa"/>
          </w:tcPr>
          <w:p>
            <w:pPr>
              <w:pStyle w:val="Compact"/>
              <w:spacing w:after="40"/>
              <w:jc w:val="left"/>
            </w:pPr>
            <w:r>
              <w:rPr>
                <w:sz w:val="18"/>
              </w:rPr>
              <w:t xml:space="preserve">CF 16</w:t>
            </w:r>
          </w:p>
        </w:tc>
        <w:tc>
          <w:tcPr>
            <w:tcW w:w="1811" w:type="dxa"/>
          </w:tcPr>
          <w:p>
            <w:pPr>
              <w:pStyle w:val="Compact"/>
              <w:spacing w:after="40"/>
              <w:jc w:val="left"/>
            </w:pPr>
            <w:r>
              <w:rPr>
                <w:sz w:val="18"/>
              </w:rPr>
              <w:t xml:space="preserve">Cl. 8.2</w:t>
            </w:r>
          </w:p>
        </w:tc>
        <w:tc>
          <w:tcPr>
            <w:tcW w:w="1490" w:type="dxa"/>
          </w:tcPr>
          <w:p>
            <w:pPr>
              <w:pStyle w:val="Compact"/>
              <w:spacing w:after="40"/>
              <w:jc w:val="left"/>
            </w:pPr>
            <w:r>
              <w:rPr>
                <w:sz w:val="18"/>
              </w:rPr>
              <w:t xml:space="preserve">Certifications</w:t>
            </w:r>
          </w:p>
        </w:tc>
      </w:tr>
      <w:tr>
        <w:tc>
          <w:tcPr>
            <w:tcW w:w="1056" w:type="dxa"/>
          </w:tcPr>
          <w:p>
            <w:pPr>
              <w:pStyle w:val="Compact"/>
              <w:spacing w:after="40"/>
              <w:jc w:val="left"/>
            </w:pPr>
            <w:r>
              <w:rPr>
                <w:sz w:val="18"/>
              </w:rPr>
              <w:t xml:space="preserve">87</w:t>
            </w:r>
          </w:p>
        </w:tc>
        <w:tc>
          <w:tcPr>
            <w:tcW w:w="3152" w:type="dxa"/>
          </w:tcPr>
          <w:p>
            <w:pPr>
              <w:pStyle w:val="Compact"/>
              <w:spacing w:after="40"/>
              <w:jc w:val="left"/>
            </w:pPr>
            <w:r>
              <w:rPr>
                <w:sz w:val="18"/>
              </w:rPr>
              <w:t xml:space="preserve">Funds flow only between Company and borrower; CIC reporting; DLA on CIMS by the Company</w:t>
            </w:r>
          </w:p>
        </w:tc>
        <w:tc>
          <w:tcPr>
            <w:tcW w:w="2129" w:type="dxa"/>
          </w:tcPr>
          <w:p>
            <w:pPr>
              <w:pStyle w:val="Compact"/>
              <w:spacing w:after="40"/>
              <w:jc w:val="left"/>
            </w:pPr>
            <w:r>
              <w:rPr>
                <w:sz w:val="18"/>
              </w:rPr>
              <w:t xml:space="preserve">CF 10, 17, 18</w:t>
            </w:r>
          </w:p>
        </w:tc>
        <w:tc>
          <w:tcPr>
            <w:tcW w:w="1811" w:type="dxa"/>
          </w:tcPr>
          <w:p>
            <w:pPr>
              <w:pStyle w:val="Compact"/>
              <w:spacing w:after="40"/>
              <w:jc w:val="left"/>
            </w:pPr>
            <w:r>
              <w:rPr>
                <w:sz w:val="18"/>
              </w:rPr>
              <w:t xml:space="preserve">Cl. 3.1(c)–(d) and drafting note</w:t>
            </w:r>
          </w:p>
        </w:tc>
        <w:tc>
          <w:tcPr>
            <w:tcW w:w="1490" w:type="dxa"/>
          </w:tcPr>
          <w:p>
            <w:pPr>
              <w:pStyle w:val="Compact"/>
              <w:spacing w:after="40"/>
              <w:jc w:val="left"/>
            </w:pPr>
            <w:r>
              <w:rPr>
                <w:sz w:val="18"/>
              </w:rPr>
              <w:t xml:space="preserve">Configuration</w:t>
            </w:r>
          </w:p>
        </w:tc>
      </w:tr>
      <w:tr>
        <w:tc>
          <w:tcPr>
            <w:tcW w:w="1056" w:type="dxa"/>
          </w:tcPr>
          <w:p>
            <w:pPr>
              <w:pStyle w:val="Compact"/>
              <w:spacing w:after="40"/>
              <w:jc w:val="left"/>
            </w:pPr>
            <w:r>
              <w:rPr>
                <w:sz w:val="18"/>
              </w:rPr>
              <w:t xml:space="preserve">88</w:t>
            </w:r>
          </w:p>
        </w:tc>
        <w:tc>
          <w:tcPr>
            <w:tcW w:w="3152" w:type="dxa"/>
          </w:tcPr>
          <w:p>
            <w:pPr>
              <w:pStyle w:val="Compact"/>
              <w:spacing w:after="40"/>
              <w:jc w:val="left"/>
            </w:pPr>
            <w:r>
              <w:rPr>
                <w:sz w:val="18"/>
              </w:rPr>
              <w:t xml:space="preserve">Aadhaar redaction and lawful use</w:t>
            </w:r>
          </w:p>
        </w:tc>
        <w:tc>
          <w:tcPr>
            <w:tcW w:w="2129" w:type="dxa"/>
          </w:tcPr>
          <w:p>
            <w:pPr>
              <w:pStyle w:val="Compact"/>
              <w:spacing w:after="40"/>
              <w:jc w:val="left"/>
            </w:pPr>
            <w:r>
              <w:rPr>
                <w:sz w:val="18"/>
              </w:rPr>
              <w:t xml:space="preserve">KYC 23; 27(2)(vii)</w:t>
            </w:r>
          </w:p>
        </w:tc>
        <w:tc>
          <w:tcPr>
            <w:tcW w:w="1811" w:type="dxa"/>
          </w:tcPr>
          <w:p>
            <w:pPr>
              <w:pStyle w:val="Compact"/>
              <w:spacing w:after="40"/>
              <w:jc w:val="left"/>
            </w:pPr>
            <w:r>
              <w:rPr>
                <w:sz w:val="18"/>
              </w:rPr>
              <w:t xml:space="preserve">Cl. 10.12; Sch. 4 Pt H</w:t>
            </w:r>
          </w:p>
        </w:tc>
        <w:tc>
          <w:tcPr>
            <w:tcW w:w="1490" w:type="dxa"/>
          </w:tcPr>
          <w:p>
            <w:pPr>
              <w:pStyle w:val="Compact"/>
              <w:spacing w:after="40"/>
              <w:jc w:val="left"/>
            </w:pPr>
            <w:r>
              <w:rPr>
                <w:sz w:val="18"/>
              </w:rPr>
              <w:t xml:space="preserve">Redaction tests</w:t>
            </w:r>
          </w:p>
        </w:tc>
      </w:tr>
      <w:tr>
        <w:tc>
          <w:tcPr>
            <w:tcW w:w="1056" w:type="dxa"/>
          </w:tcPr>
          <w:p>
            <w:pPr>
              <w:pStyle w:val="Compact"/>
              <w:spacing w:after="40"/>
              <w:jc w:val="left"/>
            </w:pPr>
            <w:r>
              <w:rPr>
                <w:sz w:val="18"/>
              </w:rPr>
              <w:t xml:space="preserve">89</w:t>
            </w:r>
          </w:p>
        </w:tc>
        <w:tc>
          <w:tcPr>
            <w:tcW w:w="3152" w:type="dxa"/>
          </w:tcPr>
          <w:p>
            <w:pPr>
              <w:pStyle w:val="Compact"/>
              <w:spacing w:after="40"/>
              <w:jc w:val="left"/>
            </w:pPr>
            <w:r>
              <w:rPr>
                <w:sz w:val="18"/>
              </w:rPr>
              <w:t xml:space="preserve">Digital KYC app access control; OTP e-KYC limits</w:t>
            </w:r>
          </w:p>
        </w:tc>
        <w:tc>
          <w:tcPr>
            <w:tcW w:w="2129" w:type="dxa"/>
          </w:tcPr>
          <w:p>
            <w:pPr>
              <w:pStyle w:val="Compact"/>
              <w:spacing w:after="40"/>
              <w:jc w:val="left"/>
            </w:pPr>
            <w:r>
              <w:rPr>
                <w:sz w:val="18"/>
              </w:rPr>
              <w:t xml:space="preserve">KYC 24(2), 25</w:t>
            </w:r>
          </w:p>
        </w:tc>
        <w:tc>
          <w:tcPr>
            <w:tcW w:w="1811" w:type="dxa"/>
          </w:tcPr>
          <w:p>
            <w:pPr>
              <w:pStyle w:val="Compact"/>
              <w:spacing w:after="40"/>
              <w:jc w:val="left"/>
            </w:pPr>
            <w:r>
              <w:rPr>
                <w:sz w:val="18"/>
              </w:rPr>
              <w:t xml:space="preserve">Cl. 11.3; Sch. 2 Pt B (M3)</w:t>
            </w:r>
          </w:p>
        </w:tc>
        <w:tc>
          <w:tcPr>
            <w:tcW w:w="1490" w:type="dxa"/>
          </w:tcPr>
          <w:p>
            <w:pPr>
              <w:pStyle w:val="Compact"/>
              <w:spacing w:after="40"/>
              <w:jc w:val="left"/>
            </w:pPr>
            <w:r>
              <w:rPr>
                <w:sz w:val="18"/>
              </w:rPr>
              <w:t xml:space="preserve">Configuration</w:t>
            </w:r>
          </w:p>
        </w:tc>
      </w:tr>
      <w:tr>
        <w:tc>
          <w:tcPr>
            <w:tcW w:w="1056" w:type="dxa"/>
          </w:tcPr>
          <w:p>
            <w:pPr>
              <w:pStyle w:val="Compact"/>
              <w:spacing w:after="40"/>
              <w:jc w:val="left"/>
            </w:pPr>
            <w:r>
              <w:rPr>
                <w:sz w:val="18"/>
              </w:rPr>
              <w:t xml:space="preserve">90</w:t>
            </w:r>
          </w:p>
        </w:tc>
        <w:tc>
          <w:tcPr>
            <w:tcW w:w="3152" w:type="dxa"/>
          </w:tcPr>
          <w:p>
            <w:pPr>
              <w:pStyle w:val="Compact"/>
              <w:spacing w:after="40"/>
              <w:jc w:val="left"/>
            </w:pPr>
            <w:r>
              <w:rPr>
                <w:sz w:val="18"/>
              </w:rPr>
              <w:t xml:space="preserve">V-CIP data owned by Company, stored in India; vendor retains no data</w:t>
            </w:r>
          </w:p>
        </w:tc>
        <w:tc>
          <w:tcPr>
            <w:tcW w:w="2129" w:type="dxa"/>
          </w:tcPr>
          <w:p>
            <w:pPr>
              <w:pStyle w:val="Compact"/>
              <w:spacing w:after="40"/>
              <w:jc w:val="left"/>
            </w:pPr>
            <w:r>
              <w:rPr>
                <w:sz w:val="18"/>
              </w:rPr>
              <w:t xml:space="preserve">KYC 27(1)(i), 27(3)</w:t>
            </w:r>
          </w:p>
        </w:tc>
        <w:tc>
          <w:tcPr>
            <w:tcW w:w="1811" w:type="dxa"/>
          </w:tcPr>
          <w:p>
            <w:pPr>
              <w:pStyle w:val="Compact"/>
              <w:spacing w:after="40"/>
              <w:jc w:val="left"/>
            </w:pPr>
            <w:r>
              <w:rPr>
                <w:sz w:val="18"/>
              </w:rPr>
              <w:t xml:space="preserve">Cl. 10.1, 10.4, 10.12</w:t>
            </w:r>
          </w:p>
        </w:tc>
        <w:tc>
          <w:tcPr>
            <w:tcW w:w="1490" w:type="dxa"/>
          </w:tcPr>
          <w:p>
            <w:pPr>
              <w:pStyle w:val="Compact"/>
              <w:spacing w:after="40"/>
              <w:jc w:val="left"/>
            </w:pPr>
            <w:r>
              <w:rPr>
                <w:sz w:val="18"/>
              </w:rPr>
              <w:t xml:space="preserve">Storage evidence</w:t>
            </w:r>
          </w:p>
        </w:tc>
      </w:tr>
      <w:tr>
        <w:tc>
          <w:tcPr>
            <w:tcW w:w="1056" w:type="dxa"/>
          </w:tcPr>
          <w:p>
            <w:pPr>
              <w:pStyle w:val="Compact"/>
              <w:spacing w:after="40"/>
              <w:jc w:val="left"/>
            </w:pPr>
            <w:r>
              <w:rPr>
                <w:sz w:val="18"/>
              </w:rPr>
              <w:t xml:space="preserve">91</w:t>
            </w:r>
          </w:p>
        </w:tc>
        <w:tc>
          <w:tcPr>
            <w:tcW w:w="3152" w:type="dxa"/>
          </w:tcPr>
          <w:p>
            <w:pPr>
              <w:pStyle w:val="Compact"/>
              <w:spacing w:after="40"/>
              <w:jc w:val="left"/>
            </w:pPr>
            <w:r>
              <w:rPr>
                <w:sz w:val="18"/>
              </w:rPr>
              <w:t xml:space="preserve">Record retention and swift production</w:t>
            </w:r>
          </w:p>
        </w:tc>
        <w:tc>
          <w:tcPr>
            <w:tcW w:w="2129" w:type="dxa"/>
          </w:tcPr>
          <w:p>
            <w:pPr>
              <w:pStyle w:val="Compact"/>
              <w:spacing w:after="40"/>
              <w:jc w:val="left"/>
            </w:pPr>
            <w:r>
              <w:rPr>
                <w:sz w:val="18"/>
              </w:rPr>
              <w:t xml:space="preserve">KYC 47</w:t>
            </w:r>
          </w:p>
        </w:tc>
        <w:tc>
          <w:tcPr>
            <w:tcW w:w="1811" w:type="dxa"/>
          </w:tcPr>
          <w:p>
            <w:pPr>
              <w:pStyle w:val="Compact"/>
              <w:spacing w:after="40"/>
              <w:jc w:val="left"/>
            </w:pPr>
            <w:r>
              <w:rPr>
                <w:sz w:val="18"/>
              </w:rPr>
              <w:t xml:space="preserve">Cl. 10.9; Sch. 4 Pt F; Sch. 6 Pt C</w:t>
            </w:r>
          </w:p>
        </w:tc>
        <w:tc>
          <w:tcPr>
            <w:tcW w:w="1490" w:type="dxa"/>
          </w:tcPr>
          <w:p>
            <w:pPr>
              <w:pStyle w:val="Compact"/>
              <w:spacing w:after="40"/>
              <w:jc w:val="left"/>
            </w:pPr>
            <w:r>
              <w:rPr>
                <w:sz w:val="18"/>
              </w:rPr>
              <w:t xml:space="preserve">Retention configuration</w:t>
            </w:r>
          </w:p>
        </w:tc>
      </w:tr>
      <w:tr>
        <w:tc>
          <w:tcPr>
            <w:tcW w:w="1056" w:type="dxa"/>
          </w:tcPr>
          <w:p>
            <w:pPr>
              <w:pStyle w:val="Compact"/>
              <w:spacing w:after="40"/>
              <w:jc w:val="left"/>
            </w:pPr>
            <w:r>
              <w:rPr>
                <w:sz w:val="18"/>
              </w:rPr>
              <w:t xml:space="preserve">92</w:t>
            </w:r>
          </w:p>
        </w:tc>
        <w:tc>
          <w:tcPr>
            <w:tcW w:w="3152" w:type="dxa"/>
          </w:tcPr>
          <w:p>
            <w:pPr>
              <w:pStyle w:val="Compact"/>
              <w:spacing w:after="40"/>
              <w:jc w:val="left"/>
            </w:pPr>
            <w:r>
              <w:rPr>
                <w:sz w:val="18"/>
              </w:rPr>
              <w:t xml:space="preserve">Secrecy of customer information</w:t>
            </w:r>
          </w:p>
        </w:tc>
        <w:tc>
          <w:tcPr>
            <w:tcW w:w="2129" w:type="dxa"/>
          </w:tcPr>
          <w:p>
            <w:pPr>
              <w:pStyle w:val="Compact"/>
              <w:spacing w:after="40"/>
              <w:jc w:val="left"/>
            </w:pPr>
            <w:r>
              <w:rPr>
                <w:sz w:val="18"/>
              </w:rPr>
              <w:t xml:space="preserve">KYC 61</w:t>
            </w:r>
          </w:p>
        </w:tc>
        <w:tc>
          <w:tcPr>
            <w:tcW w:w="1811" w:type="dxa"/>
          </w:tcPr>
          <w:p>
            <w:pPr>
              <w:pStyle w:val="Compact"/>
              <w:spacing w:after="40"/>
              <w:jc w:val="left"/>
            </w:pPr>
            <w:r>
              <w:rPr>
                <w:sz w:val="18"/>
              </w:rPr>
              <w:t xml:space="preserve">Art. 18; Cl. 10.13</w:t>
            </w:r>
          </w:p>
        </w:tc>
        <w:tc>
          <w:tcPr>
            <w:tcW w:w="1490" w:type="dxa"/>
          </w:tcPr>
          <w:p>
            <w:pPr>
              <w:pStyle w:val="Compact"/>
              <w:spacing w:after="40"/>
              <w:jc w:val="left"/>
            </w:pPr>
            <w:r>
              <w:rPr>
                <w:sz w:val="18"/>
              </w:rPr>
              <w:t xml:space="preserve">Clause text</w:t>
            </w:r>
          </w:p>
        </w:tc>
      </w:tr>
      <w:tr>
        <w:tc>
          <w:tcPr>
            <w:tcW w:w="1056" w:type="dxa"/>
          </w:tcPr>
          <w:p>
            <w:pPr>
              <w:pStyle w:val="Compact"/>
              <w:spacing w:after="40"/>
              <w:jc w:val="left"/>
            </w:pPr>
            <w:r>
              <w:rPr>
                <w:sz w:val="18"/>
              </w:rPr>
              <w:t xml:space="preserve">93</w:t>
            </w:r>
          </w:p>
        </w:tc>
        <w:tc>
          <w:tcPr>
            <w:tcW w:w="3152" w:type="dxa"/>
          </w:tcPr>
          <w:p>
            <w:pPr>
              <w:pStyle w:val="Compact"/>
              <w:spacing w:after="40"/>
              <w:jc w:val="left"/>
            </w:pPr>
            <w:r>
              <w:rPr>
                <w:sz w:val="18"/>
              </w:rPr>
              <w:t xml:space="preserve">CKYCR upload within 10 days</w:t>
            </w:r>
          </w:p>
        </w:tc>
        <w:tc>
          <w:tcPr>
            <w:tcW w:w="2129" w:type="dxa"/>
          </w:tcPr>
          <w:p>
            <w:pPr>
              <w:pStyle w:val="Compact"/>
              <w:spacing w:after="40"/>
              <w:jc w:val="left"/>
            </w:pPr>
            <w:r>
              <w:rPr>
                <w:sz w:val="18"/>
              </w:rPr>
              <w:t xml:space="preserve">KYC 63(1)</w:t>
            </w:r>
          </w:p>
        </w:tc>
        <w:tc>
          <w:tcPr>
            <w:tcW w:w="1811" w:type="dxa"/>
          </w:tcPr>
          <w:p>
            <w:pPr>
              <w:pStyle w:val="Compact"/>
              <w:spacing w:after="40"/>
              <w:jc w:val="left"/>
            </w:pPr>
            <w:r>
              <w:rPr>
                <w:sz w:val="18"/>
              </w:rPr>
              <w:t xml:space="preserve">Sch. 3 Pt F</w:t>
            </w:r>
          </w:p>
        </w:tc>
        <w:tc>
          <w:tcPr>
            <w:tcW w:w="1490" w:type="dxa"/>
          </w:tcPr>
          <w:p>
            <w:pPr>
              <w:pStyle w:val="Compact"/>
              <w:spacing w:after="40"/>
              <w:jc w:val="left"/>
            </w:pPr>
            <w:r>
              <w:rPr>
                <w:sz w:val="18"/>
              </w:rPr>
              <w:t xml:space="preserve">Upload log</w:t>
            </w:r>
          </w:p>
        </w:tc>
      </w:tr>
      <w:tr>
        <w:tc>
          <w:tcPr>
            <w:tcW w:w="1056" w:type="dxa"/>
          </w:tcPr>
          <w:p>
            <w:pPr>
              <w:pStyle w:val="Compact"/>
              <w:spacing w:after="40"/>
              <w:jc w:val="left"/>
            </w:pPr>
            <w:r>
              <w:rPr>
                <w:sz w:val="18"/>
              </w:rPr>
              <w:t xml:space="preserve">94</w:t>
            </w:r>
          </w:p>
        </w:tc>
        <w:tc>
          <w:tcPr>
            <w:tcW w:w="3152" w:type="dxa"/>
          </w:tcPr>
          <w:p>
            <w:pPr>
              <w:pStyle w:val="Compact"/>
              <w:spacing w:after="40"/>
              <w:jc w:val="left"/>
            </w:pPr>
            <w:r>
              <w:rPr>
                <w:sz w:val="18"/>
              </w:rPr>
              <w:t xml:space="preserve">CIC membership by Company; fortnightly reporting</w:t>
            </w:r>
          </w:p>
        </w:tc>
        <w:tc>
          <w:tcPr>
            <w:tcW w:w="2129" w:type="dxa"/>
          </w:tcPr>
          <w:p>
            <w:pPr>
              <w:pStyle w:val="Compact"/>
              <w:spacing w:after="40"/>
              <w:jc w:val="left"/>
            </w:pPr>
            <w:r>
              <w:rPr>
                <w:sz w:val="18"/>
              </w:rPr>
              <w:t xml:space="preserve">CIR 6, 10(2)</w:t>
            </w:r>
          </w:p>
        </w:tc>
        <w:tc>
          <w:tcPr>
            <w:tcW w:w="1811" w:type="dxa"/>
          </w:tcPr>
          <w:p>
            <w:pPr>
              <w:pStyle w:val="Compact"/>
              <w:spacing w:after="40"/>
              <w:jc w:val="left"/>
            </w:pPr>
            <w:r>
              <w:rPr>
                <w:sz w:val="18"/>
              </w:rPr>
              <w:t xml:space="preserve">Cl. 3.1(d); Sch. 3 Pt F</w:t>
            </w:r>
          </w:p>
        </w:tc>
        <w:tc>
          <w:tcPr>
            <w:tcW w:w="1490" w:type="dxa"/>
          </w:tcPr>
          <w:p>
            <w:pPr>
              <w:pStyle w:val="Compact"/>
              <w:spacing w:after="40"/>
              <w:jc w:val="left"/>
            </w:pPr>
            <w:r>
              <w:rPr>
                <w:sz w:val="18"/>
              </w:rPr>
              <w:t xml:space="preserve">CIC files</w:t>
            </w:r>
          </w:p>
        </w:tc>
      </w:tr>
      <w:tr>
        <w:tc>
          <w:tcPr>
            <w:tcW w:w="1056" w:type="dxa"/>
          </w:tcPr>
          <w:p>
            <w:pPr>
              <w:pStyle w:val="Compact"/>
              <w:spacing w:after="40"/>
              <w:jc w:val="left"/>
            </w:pPr>
            <w:r>
              <w:rPr>
                <w:sz w:val="18"/>
              </w:rPr>
              <w:t xml:space="preserve">95</w:t>
            </w:r>
          </w:p>
        </w:tc>
        <w:tc>
          <w:tcPr>
            <w:tcW w:w="3152" w:type="dxa"/>
          </w:tcPr>
          <w:p>
            <w:pPr>
              <w:pStyle w:val="Compact"/>
              <w:spacing w:after="40"/>
              <w:jc w:val="left"/>
            </w:pPr>
            <w:r>
              <w:rPr>
                <w:sz w:val="18"/>
              </w:rPr>
              <w:t xml:space="preserve">Credit data correction timelines</w:t>
            </w:r>
          </w:p>
        </w:tc>
        <w:tc>
          <w:tcPr>
            <w:tcW w:w="2129" w:type="dxa"/>
          </w:tcPr>
          <w:p>
            <w:pPr>
              <w:pStyle w:val="Compact"/>
              <w:spacing w:after="40"/>
              <w:jc w:val="left"/>
            </w:pPr>
            <w:r>
              <w:rPr>
                <w:sz w:val="18"/>
              </w:rPr>
              <w:t xml:space="preserve">CIR 34–35</w:t>
            </w:r>
          </w:p>
        </w:tc>
        <w:tc>
          <w:tcPr>
            <w:tcW w:w="1811" w:type="dxa"/>
          </w:tcPr>
          <w:p>
            <w:pPr>
              <w:pStyle w:val="Compact"/>
              <w:spacing w:after="40"/>
              <w:jc w:val="left"/>
            </w:pPr>
            <w:r>
              <w:rPr>
                <w:sz w:val="18"/>
              </w:rPr>
              <w:t xml:space="preserve">Cl. 28.3</w:t>
            </w:r>
          </w:p>
        </w:tc>
        <w:tc>
          <w:tcPr>
            <w:tcW w:w="1490" w:type="dxa"/>
          </w:tcPr>
          <w:p>
            <w:pPr>
              <w:pStyle w:val="Compact"/>
              <w:spacing w:after="40"/>
              <w:jc w:val="left"/>
            </w:pPr>
            <w:r>
              <w:rPr>
                <w:sz w:val="18"/>
              </w:rPr>
              <w:t xml:space="preserve">Correction log</w:t>
            </w:r>
          </w:p>
        </w:tc>
      </w:tr>
      <w:tr>
        <w:tc>
          <w:tcPr>
            <w:tcW w:w="1056" w:type="dxa"/>
          </w:tcPr>
          <w:p>
            <w:pPr>
              <w:pStyle w:val="Compact"/>
              <w:spacing w:after="40"/>
              <w:jc w:val="left"/>
            </w:pPr>
            <w:r>
              <w:rPr>
                <w:sz w:val="18"/>
              </w:rPr>
              <w:t xml:space="preserve">96</w:t>
            </w:r>
          </w:p>
        </w:tc>
        <w:tc>
          <w:tcPr>
            <w:tcW w:w="3152" w:type="dxa"/>
          </w:tcPr>
          <w:p>
            <w:pPr>
              <w:pStyle w:val="Compact"/>
              <w:spacing w:after="40"/>
              <w:jc w:val="left"/>
            </w:pPr>
            <w:r>
              <w:rPr>
                <w:sz w:val="18"/>
              </w:rPr>
              <w:t xml:space="preserve">KFS; document release; recovery conduct guard-rails</w:t>
            </w:r>
          </w:p>
        </w:tc>
        <w:tc>
          <w:tcPr>
            <w:tcW w:w="2129" w:type="dxa"/>
          </w:tcPr>
          <w:p>
            <w:pPr>
              <w:pStyle w:val="Compact"/>
              <w:spacing w:after="40"/>
              <w:jc w:val="left"/>
            </w:pPr>
            <w:r>
              <w:rPr>
                <w:sz w:val="18"/>
              </w:rPr>
              <w:t xml:space="preserve">RBC 29, 35–40, 89–101; RBI/2026-27/230 [VERIFY]</w:t>
            </w:r>
          </w:p>
        </w:tc>
        <w:tc>
          <w:tcPr>
            <w:tcW w:w="1811" w:type="dxa"/>
          </w:tcPr>
          <w:p>
            <w:pPr>
              <w:pStyle w:val="Compact"/>
              <w:spacing w:after="40"/>
              <w:jc w:val="left"/>
            </w:pPr>
            <w:r>
              <w:rPr>
                <w:sz w:val="18"/>
              </w:rPr>
              <w:t xml:space="preserve">Cl. 3.8, 4.8; Sch. 2</w:t>
            </w:r>
          </w:p>
        </w:tc>
        <w:tc>
          <w:tcPr>
            <w:tcW w:w="1490" w:type="dxa"/>
          </w:tcPr>
          <w:p>
            <w:pPr>
              <w:pStyle w:val="Compact"/>
              <w:spacing w:after="40"/>
              <w:jc w:val="left"/>
            </w:pPr>
            <w:r>
              <w:rPr>
                <w:sz w:val="18"/>
              </w:rPr>
              <w:t xml:space="preserve">Templates; guard-rails</w:t>
            </w:r>
          </w:p>
        </w:tc>
      </w:tr>
      <w:tr>
        <w:tc>
          <w:tcPr>
            <w:tcW w:w="1056" w:type="dxa"/>
          </w:tcPr>
          <w:p>
            <w:pPr>
              <w:pStyle w:val="Compact"/>
              <w:spacing w:after="40"/>
              <w:jc w:val="left"/>
            </w:pPr>
            <w:r>
              <w:rPr>
                <w:sz w:val="18"/>
              </w:rPr>
              <w:t xml:space="preserve">97</w:t>
            </w:r>
          </w:p>
        </w:tc>
        <w:tc>
          <w:tcPr>
            <w:tcW w:w="3152" w:type="dxa"/>
          </w:tcPr>
          <w:p>
            <w:pPr>
              <w:pStyle w:val="Compact"/>
              <w:spacing w:after="40"/>
              <w:jc w:val="left"/>
            </w:pPr>
            <w:r>
              <w:rPr>
                <w:sz w:val="18"/>
              </w:rPr>
              <w:t xml:space="preserve">Internal audit retained; statutory and IS audit support</w:t>
            </w:r>
          </w:p>
        </w:tc>
        <w:tc>
          <w:tcPr>
            <w:tcW w:w="2129" w:type="dxa"/>
          </w:tcPr>
          <w:p>
            <w:pPr>
              <w:pStyle w:val="Compact"/>
              <w:spacing w:after="40"/>
              <w:jc w:val="left"/>
            </w:pPr>
            <w:r>
              <w:rPr>
                <w:sz w:val="18"/>
              </w:rPr>
              <w:t xml:space="preserve">IAF 39–40; AUD 6, 11; CYB 55–58</w:t>
            </w:r>
          </w:p>
        </w:tc>
        <w:tc>
          <w:tcPr>
            <w:tcW w:w="1811" w:type="dxa"/>
          </w:tcPr>
          <w:p>
            <w:pPr>
              <w:pStyle w:val="Compact"/>
              <w:spacing w:after="40"/>
              <w:jc w:val="left"/>
            </w:pPr>
            <w:r>
              <w:rPr>
                <w:sz w:val="18"/>
              </w:rPr>
              <w:t xml:space="preserve">Cl. 3.3(c), 9.10</w:t>
            </w:r>
          </w:p>
        </w:tc>
        <w:tc>
          <w:tcPr>
            <w:tcW w:w="1490" w:type="dxa"/>
          </w:tcPr>
          <w:p>
            <w:pPr>
              <w:pStyle w:val="Compact"/>
              <w:spacing w:after="40"/>
              <w:jc w:val="left"/>
            </w:pPr>
            <w:r>
              <w:rPr>
                <w:sz w:val="18"/>
              </w:rPr>
              <w:t xml:space="preserve">Audit-mode logs</w:t>
            </w:r>
          </w:p>
        </w:tc>
      </w:tr>
      <w:tr>
        <w:tc>
          <w:tcPr>
            <w:tcW w:w="1056" w:type="dxa"/>
          </w:tcPr>
          <w:p>
            <w:pPr>
              <w:pStyle w:val="Compact"/>
              <w:spacing w:after="40"/>
              <w:jc w:val="left"/>
            </w:pPr>
            <w:r>
              <w:rPr>
                <w:sz w:val="18"/>
              </w:rPr>
              <w:t xml:space="preserve">98</w:t>
            </w:r>
          </w:p>
        </w:tc>
        <w:tc>
          <w:tcPr>
            <w:tcW w:w="3152" w:type="dxa"/>
          </w:tcPr>
          <w:p>
            <w:pPr>
              <w:pStyle w:val="Compact"/>
              <w:spacing w:after="40"/>
              <w:jc w:val="left"/>
            </w:pPr>
            <w:r>
              <w:rPr>
                <w:sz w:val="18"/>
              </w:rPr>
              <w:t xml:space="preserve">Fraud accountability of vendors</w:t>
            </w:r>
          </w:p>
        </w:tc>
        <w:tc>
          <w:tcPr>
            <w:tcW w:w="2129" w:type="dxa"/>
          </w:tcPr>
          <w:p>
            <w:pPr>
              <w:pStyle w:val="Compact"/>
              <w:spacing w:after="40"/>
              <w:jc w:val="left"/>
            </w:pPr>
            <w:r>
              <w:rPr>
                <w:sz w:val="18"/>
              </w:rPr>
              <w:t xml:space="preserve">FRM 31, 6(1)</w:t>
            </w:r>
          </w:p>
        </w:tc>
        <w:tc>
          <w:tcPr>
            <w:tcW w:w="1811" w:type="dxa"/>
          </w:tcPr>
          <w:p>
            <w:pPr>
              <w:pStyle w:val="Compact"/>
              <w:spacing w:after="40"/>
              <w:jc w:val="left"/>
            </w:pPr>
            <w:r>
              <w:rPr>
                <w:sz w:val="18"/>
              </w:rPr>
              <w:t xml:space="preserve">Cl. 8.11, 21.1(e)</w:t>
            </w:r>
          </w:p>
        </w:tc>
        <w:tc>
          <w:tcPr>
            <w:tcW w:w="1490" w:type="dxa"/>
          </w:tcPr>
          <w:p>
            <w:pPr>
              <w:pStyle w:val="Compact"/>
              <w:spacing w:after="40"/>
              <w:jc w:val="left"/>
            </w:pPr>
            <w:r>
              <w:rPr>
                <w:sz w:val="18"/>
              </w:rPr>
              <w:t xml:space="preserve">Clause text</w:t>
            </w:r>
          </w:p>
        </w:tc>
      </w:tr>
    </w:tbl>
    <w:bookmarkEnd w:id="161"/>
    <w:bookmarkStart w:id="162" w:name="part-f-data-protection-and-cyber-law"/>
    <w:p>
      <w:pPr>
        <w:pStyle w:val="Heading2"/>
      </w:pPr>
      <w:r>
        <w:t xml:space="preserve">Part F — Data protection and cyber law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99"/>
        <w:gridCol w:w="2790"/>
        <w:gridCol w:w="2120"/>
        <w:gridCol w:w="2037"/>
        <w:gridCol w:w="1692"/>
      </w:tblGrid>
      <w:tr>
        <w:trPr>
          <w:tblHeader w:val="true"/>
          <w:tblHeader w:val="true"/>
        </w:trPr>
        <w:tc>
          <w:tcPr>
            <w:tcW w:w="999" w:type="dxa"/>
            <w:shd w:val="clear" w:color="auto" w:fill="1F3A5F"/>
          </w:tcPr>
          <w:p>
            <w:pPr>
              <w:pStyle w:val="Compact"/>
              <w:spacing w:after="40"/>
              <w:jc w:val="left"/>
            </w:pPr>
            <w:r>
              <w:rPr>
                <w:b/>
                <w:color w:val="FFFFFF"/>
                <w:sz w:val="18"/>
              </w:rPr>
              <w:t xml:space="preserve">#</w:t>
            </w:r>
          </w:p>
        </w:tc>
        <w:tc>
          <w:tcPr>
            <w:tcW w:w="2790" w:type="dxa"/>
            <w:shd w:val="clear" w:color="auto" w:fill="1F3A5F"/>
          </w:tcPr>
          <w:p>
            <w:pPr>
              <w:pStyle w:val="Compact"/>
              <w:spacing w:after="40"/>
              <w:jc w:val="left"/>
            </w:pPr>
            <w:r>
              <w:rPr>
                <w:b/>
                <w:color w:val="FFFFFF"/>
                <w:sz w:val="18"/>
              </w:rPr>
              <w:t xml:space="preserve">Requirement</w:t>
            </w:r>
          </w:p>
        </w:tc>
        <w:tc>
          <w:tcPr>
            <w:tcW w:w="2120" w:type="dxa"/>
            <w:shd w:val="clear" w:color="auto" w:fill="1F3A5F"/>
          </w:tcPr>
          <w:p>
            <w:pPr>
              <w:pStyle w:val="Compact"/>
              <w:spacing w:after="40"/>
              <w:jc w:val="left"/>
            </w:pPr>
            <w:r>
              <w:rPr>
                <w:b/>
                <w:color w:val="FFFFFF"/>
                <w:sz w:val="18"/>
              </w:rPr>
              <w:t xml:space="preserve">Source</w:t>
            </w:r>
          </w:p>
        </w:tc>
        <w:tc>
          <w:tcPr>
            <w:tcW w:w="2037" w:type="dxa"/>
            <w:shd w:val="clear" w:color="auto" w:fill="1F3A5F"/>
          </w:tcPr>
          <w:p>
            <w:pPr>
              <w:pStyle w:val="Compact"/>
              <w:spacing w:after="40"/>
              <w:jc w:val="left"/>
            </w:pPr>
            <w:r>
              <w:rPr>
                <w:b/>
                <w:color w:val="FFFFFF"/>
                <w:sz w:val="18"/>
              </w:rPr>
              <w:t xml:space="preserve">Implemented in</w:t>
            </w:r>
          </w:p>
        </w:tc>
        <w:tc>
          <w:tcPr>
            <w:tcW w:w="1692" w:type="dxa"/>
            <w:shd w:val="clear" w:color="auto" w:fill="1F3A5F"/>
          </w:tcPr>
          <w:p>
            <w:pPr>
              <w:pStyle w:val="Compact"/>
              <w:spacing w:after="40"/>
              <w:jc w:val="left"/>
            </w:pPr>
            <w:r>
              <w:rPr>
                <w:b/>
                <w:color w:val="FFFFFF"/>
                <w:sz w:val="18"/>
              </w:rPr>
              <w:t xml:space="preserve">Evidence</w:t>
            </w:r>
          </w:p>
        </w:tc>
      </w:tr>
      <w:tr>
        <w:tc>
          <w:tcPr>
            <w:tcW w:w="999" w:type="dxa"/>
          </w:tcPr>
          <w:p>
            <w:pPr>
              <w:pStyle w:val="Compact"/>
              <w:spacing w:after="40"/>
              <w:jc w:val="left"/>
            </w:pPr>
            <w:r>
              <w:rPr>
                <w:sz w:val="18"/>
              </w:rPr>
              <w:t xml:space="preserve">99</w:t>
            </w:r>
          </w:p>
        </w:tc>
        <w:tc>
          <w:tcPr>
            <w:tcW w:w="2790" w:type="dxa"/>
          </w:tcPr>
          <w:p>
            <w:pPr>
              <w:pStyle w:val="Compact"/>
              <w:spacing w:after="40"/>
              <w:jc w:val="left"/>
            </w:pPr>
            <w:r>
              <w:rPr>
                <w:sz w:val="18"/>
              </w:rPr>
              <w:t xml:space="preserve">Processor engaged under valid contract</w:t>
            </w:r>
          </w:p>
        </w:tc>
        <w:tc>
          <w:tcPr>
            <w:tcW w:w="2120" w:type="dxa"/>
          </w:tcPr>
          <w:p>
            <w:pPr>
              <w:pStyle w:val="Compact"/>
              <w:spacing w:after="40"/>
              <w:jc w:val="left"/>
            </w:pPr>
            <w:r>
              <w:rPr>
                <w:sz w:val="18"/>
              </w:rPr>
              <w:t xml:space="preserve">DPDP Act s.8(2)</w:t>
            </w:r>
          </w:p>
        </w:tc>
        <w:tc>
          <w:tcPr>
            <w:tcW w:w="2037" w:type="dxa"/>
          </w:tcPr>
          <w:p>
            <w:pPr>
              <w:pStyle w:val="Compact"/>
              <w:spacing w:after="40"/>
              <w:jc w:val="left"/>
            </w:pPr>
            <w:r>
              <w:rPr>
                <w:sz w:val="18"/>
              </w:rPr>
              <w:t xml:space="preserve">Cl. 10.2; Sch. 4</w:t>
            </w:r>
          </w:p>
        </w:tc>
        <w:tc>
          <w:tcPr>
            <w:tcW w:w="1692" w:type="dxa"/>
          </w:tcPr>
          <w:p>
            <w:pPr>
              <w:pStyle w:val="Compact"/>
              <w:spacing w:after="40"/>
              <w:jc w:val="left"/>
            </w:pPr>
            <w:r>
              <w:rPr>
                <w:sz w:val="18"/>
              </w:rPr>
              <w:t xml:space="preserve">This Schedule</w:t>
            </w:r>
          </w:p>
        </w:tc>
      </w:tr>
      <w:tr>
        <w:tc>
          <w:tcPr>
            <w:tcW w:w="999" w:type="dxa"/>
          </w:tcPr>
          <w:p>
            <w:pPr>
              <w:pStyle w:val="Compact"/>
              <w:spacing w:after="40"/>
              <w:jc w:val="left"/>
            </w:pPr>
            <w:r>
              <w:rPr>
                <w:sz w:val="18"/>
              </w:rPr>
              <w:t xml:space="preserve">100</w:t>
            </w:r>
          </w:p>
        </w:tc>
        <w:tc>
          <w:tcPr>
            <w:tcW w:w="2790" w:type="dxa"/>
          </w:tcPr>
          <w:p>
            <w:pPr>
              <w:pStyle w:val="Compact"/>
              <w:spacing w:after="40"/>
              <w:jc w:val="left"/>
            </w:pPr>
            <w:r>
              <w:rPr>
                <w:sz w:val="18"/>
              </w:rPr>
              <w:t xml:space="preserve">Reasonable security safeguards; one-year retention of logs, personal data and traffic data</w:t>
            </w:r>
          </w:p>
        </w:tc>
        <w:tc>
          <w:tcPr>
            <w:tcW w:w="2120" w:type="dxa"/>
          </w:tcPr>
          <w:p>
            <w:pPr>
              <w:pStyle w:val="Compact"/>
              <w:spacing w:after="40"/>
              <w:jc w:val="left"/>
            </w:pPr>
            <w:r>
              <w:rPr>
                <w:sz w:val="18"/>
              </w:rPr>
              <w:t xml:space="preserve">DPDP Act s.8(5); Rules r.6(1)(e)–(f), 8(3)</w:t>
            </w:r>
          </w:p>
        </w:tc>
        <w:tc>
          <w:tcPr>
            <w:tcW w:w="2037" w:type="dxa"/>
          </w:tcPr>
          <w:p>
            <w:pPr>
              <w:pStyle w:val="Compact"/>
              <w:spacing w:after="40"/>
              <w:jc w:val="left"/>
            </w:pPr>
            <w:r>
              <w:rPr>
                <w:sz w:val="18"/>
              </w:rPr>
              <w:t xml:space="preserve">Cl. 10.9, 10.14, 11.5(c)(iii); Sch. 4 Pt D, Pt F</w:t>
            </w:r>
          </w:p>
        </w:tc>
        <w:tc>
          <w:tcPr>
            <w:tcW w:w="1692" w:type="dxa"/>
          </w:tcPr>
          <w:p>
            <w:pPr>
              <w:pStyle w:val="Compact"/>
              <w:spacing w:after="40"/>
              <w:jc w:val="left"/>
            </w:pPr>
            <w:r>
              <w:rPr>
                <w:sz w:val="18"/>
              </w:rPr>
              <w:t xml:space="preserve">Controls; retention configuration</w:t>
            </w:r>
          </w:p>
        </w:tc>
      </w:tr>
      <w:tr>
        <w:tc>
          <w:tcPr>
            <w:tcW w:w="999" w:type="dxa"/>
          </w:tcPr>
          <w:p>
            <w:pPr>
              <w:pStyle w:val="Compact"/>
              <w:spacing w:after="40"/>
              <w:jc w:val="left"/>
            </w:pPr>
            <w:r>
              <w:rPr>
                <w:sz w:val="18"/>
              </w:rPr>
              <w:t xml:space="preserve">101</w:t>
            </w:r>
          </w:p>
        </w:tc>
        <w:tc>
          <w:tcPr>
            <w:tcW w:w="2790" w:type="dxa"/>
          </w:tcPr>
          <w:p>
            <w:pPr>
              <w:pStyle w:val="Compact"/>
              <w:spacing w:after="40"/>
              <w:jc w:val="left"/>
            </w:pPr>
            <w:r>
              <w:rPr>
                <w:sz w:val="18"/>
              </w:rPr>
              <w:t xml:space="preserve">Breach intimation; 72-hour report</w:t>
            </w:r>
          </w:p>
        </w:tc>
        <w:tc>
          <w:tcPr>
            <w:tcW w:w="2120" w:type="dxa"/>
          </w:tcPr>
          <w:p>
            <w:pPr>
              <w:pStyle w:val="Compact"/>
              <w:spacing w:after="40"/>
              <w:jc w:val="left"/>
            </w:pPr>
            <w:r>
              <w:rPr>
                <w:sz w:val="18"/>
              </w:rPr>
              <w:t xml:space="preserve">DPDP Act s.8(6); Rules r.7</w:t>
            </w:r>
          </w:p>
        </w:tc>
        <w:tc>
          <w:tcPr>
            <w:tcW w:w="2037" w:type="dxa"/>
          </w:tcPr>
          <w:p>
            <w:pPr>
              <w:pStyle w:val="Compact"/>
              <w:spacing w:after="40"/>
              <w:jc w:val="left"/>
            </w:pPr>
            <w:r>
              <w:rPr>
                <w:sz w:val="18"/>
              </w:rPr>
              <w:t xml:space="preserve">Cl. 12.5; Sch. 4 Pt K</w:t>
            </w:r>
          </w:p>
        </w:tc>
        <w:tc>
          <w:tcPr>
            <w:tcW w:w="1692" w:type="dxa"/>
          </w:tcPr>
          <w:p>
            <w:pPr>
              <w:pStyle w:val="Compact"/>
              <w:spacing w:after="40"/>
              <w:jc w:val="left"/>
            </w:pPr>
            <w:r>
              <w:rPr>
                <w:sz w:val="18"/>
              </w:rPr>
              <w:t xml:space="preserve">Notification records</w:t>
            </w:r>
          </w:p>
        </w:tc>
      </w:tr>
      <w:tr>
        <w:tc>
          <w:tcPr>
            <w:tcW w:w="999" w:type="dxa"/>
          </w:tcPr>
          <w:p>
            <w:pPr>
              <w:pStyle w:val="Compact"/>
              <w:spacing w:after="40"/>
              <w:jc w:val="left"/>
            </w:pPr>
            <w:r>
              <w:rPr>
                <w:sz w:val="18"/>
              </w:rPr>
              <w:t xml:space="preserve">102</w:t>
            </w:r>
          </w:p>
        </w:tc>
        <w:tc>
          <w:tcPr>
            <w:tcW w:w="2790" w:type="dxa"/>
          </w:tcPr>
          <w:p>
            <w:pPr>
              <w:pStyle w:val="Compact"/>
              <w:spacing w:after="40"/>
              <w:jc w:val="left"/>
            </w:pPr>
            <w:r>
              <w:rPr>
                <w:sz w:val="18"/>
              </w:rPr>
              <w:t xml:space="preserve">Erasure subject to legal retention</w:t>
            </w:r>
          </w:p>
        </w:tc>
        <w:tc>
          <w:tcPr>
            <w:tcW w:w="2120" w:type="dxa"/>
          </w:tcPr>
          <w:p>
            <w:pPr>
              <w:pStyle w:val="Compact"/>
              <w:spacing w:after="40"/>
              <w:jc w:val="left"/>
            </w:pPr>
            <w:r>
              <w:rPr>
                <w:sz w:val="18"/>
              </w:rPr>
              <w:t xml:space="preserve">DPDP Act ss.8(7), 17</w:t>
            </w:r>
          </w:p>
        </w:tc>
        <w:tc>
          <w:tcPr>
            <w:tcW w:w="2037" w:type="dxa"/>
          </w:tcPr>
          <w:p>
            <w:pPr>
              <w:pStyle w:val="Compact"/>
              <w:spacing w:after="40"/>
              <w:jc w:val="left"/>
            </w:pPr>
            <w:r>
              <w:rPr>
                <w:sz w:val="18"/>
              </w:rPr>
              <w:t xml:space="preserve">Cl. 10.9, 10.10</w:t>
            </w:r>
          </w:p>
        </w:tc>
        <w:tc>
          <w:tcPr>
            <w:tcW w:w="1692" w:type="dxa"/>
          </w:tcPr>
          <w:p>
            <w:pPr>
              <w:pStyle w:val="Compact"/>
              <w:spacing w:after="40"/>
              <w:jc w:val="left"/>
            </w:pPr>
            <w:r>
              <w:rPr>
                <w:sz w:val="18"/>
              </w:rPr>
              <w:t xml:space="preserve">Erasure log</w:t>
            </w:r>
          </w:p>
        </w:tc>
      </w:tr>
      <w:tr>
        <w:tc>
          <w:tcPr>
            <w:tcW w:w="999" w:type="dxa"/>
          </w:tcPr>
          <w:p>
            <w:pPr>
              <w:pStyle w:val="Compact"/>
              <w:spacing w:after="40"/>
              <w:jc w:val="left"/>
            </w:pPr>
            <w:r>
              <w:rPr>
                <w:sz w:val="18"/>
              </w:rPr>
              <w:t xml:space="preserve">103</w:t>
            </w:r>
          </w:p>
        </w:tc>
        <w:tc>
          <w:tcPr>
            <w:tcW w:w="2790" w:type="dxa"/>
          </w:tcPr>
          <w:p>
            <w:pPr>
              <w:pStyle w:val="Compact"/>
              <w:spacing w:after="40"/>
              <w:jc w:val="left"/>
            </w:pPr>
            <w:r>
              <w:rPr>
                <w:sz w:val="18"/>
              </w:rPr>
              <w:t xml:space="preserve">Children and persons with disability</w:t>
            </w:r>
          </w:p>
        </w:tc>
        <w:tc>
          <w:tcPr>
            <w:tcW w:w="2120" w:type="dxa"/>
          </w:tcPr>
          <w:p>
            <w:pPr>
              <w:pStyle w:val="Compact"/>
              <w:spacing w:after="40"/>
              <w:jc w:val="left"/>
            </w:pPr>
            <w:r>
              <w:rPr>
                <w:sz w:val="18"/>
              </w:rPr>
              <w:t xml:space="preserve">DPDP Act s.9; Rules r.10–11</w:t>
            </w:r>
          </w:p>
        </w:tc>
        <w:tc>
          <w:tcPr>
            <w:tcW w:w="2037" w:type="dxa"/>
          </w:tcPr>
          <w:p>
            <w:pPr>
              <w:pStyle w:val="Compact"/>
              <w:spacing w:after="40"/>
              <w:jc w:val="left"/>
            </w:pPr>
            <w:r>
              <w:rPr>
                <w:sz w:val="18"/>
              </w:rPr>
              <w:t xml:space="preserve">Sch. 4 Pt H</w:t>
            </w:r>
          </w:p>
        </w:tc>
        <w:tc>
          <w:tcPr>
            <w:tcW w:w="1692" w:type="dxa"/>
          </w:tcPr>
          <w:p>
            <w:pPr>
              <w:pStyle w:val="Compact"/>
              <w:spacing w:after="40"/>
              <w:jc w:val="left"/>
            </w:pPr>
            <w:r>
              <w:rPr>
                <w:sz w:val="18"/>
              </w:rPr>
              <w:t xml:space="preserve">Consent evidence</w:t>
            </w:r>
          </w:p>
        </w:tc>
      </w:tr>
      <w:tr>
        <w:tc>
          <w:tcPr>
            <w:tcW w:w="999" w:type="dxa"/>
          </w:tcPr>
          <w:p>
            <w:pPr>
              <w:pStyle w:val="Compact"/>
              <w:spacing w:after="40"/>
              <w:jc w:val="left"/>
            </w:pPr>
            <w:r>
              <w:rPr>
                <w:sz w:val="18"/>
              </w:rPr>
              <w:t xml:space="preserve">104</w:t>
            </w:r>
          </w:p>
        </w:tc>
        <w:tc>
          <w:tcPr>
            <w:tcW w:w="2790" w:type="dxa"/>
          </w:tcPr>
          <w:p>
            <w:pPr>
              <w:pStyle w:val="Compact"/>
              <w:spacing w:after="40"/>
              <w:jc w:val="left"/>
            </w:pPr>
            <w:r>
              <w:rPr>
                <w:sz w:val="18"/>
              </w:rPr>
              <w:t xml:space="preserve">Data Principal rights; 90-day grievance</w:t>
            </w:r>
          </w:p>
        </w:tc>
        <w:tc>
          <w:tcPr>
            <w:tcW w:w="2120" w:type="dxa"/>
          </w:tcPr>
          <w:p>
            <w:pPr>
              <w:pStyle w:val="Compact"/>
              <w:spacing w:after="40"/>
              <w:jc w:val="left"/>
            </w:pPr>
            <w:r>
              <w:rPr>
                <w:sz w:val="18"/>
              </w:rPr>
              <w:t xml:space="preserve">DPDP Act ss.11–14; Rules r.14(3)</w:t>
            </w:r>
          </w:p>
        </w:tc>
        <w:tc>
          <w:tcPr>
            <w:tcW w:w="2037" w:type="dxa"/>
          </w:tcPr>
          <w:p>
            <w:pPr>
              <w:pStyle w:val="Compact"/>
              <w:spacing w:after="40"/>
              <w:jc w:val="left"/>
            </w:pPr>
            <w:r>
              <w:rPr>
                <w:sz w:val="18"/>
              </w:rPr>
              <w:t xml:space="preserve">Cl. 10.11; Sch. 4 Pt L</w:t>
            </w:r>
          </w:p>
        </w:tc>
        <w:tc>
          <w:tcPr>
            <w:tcW w:w="1692" w:type="dxa"/>
          </w:tcPr>
          <w:p>
            <w:pPr>
              <w:pStyle w:val="Compact"/>
              <w:spacing w:after="40"/>
              <w:jc w:val="left"/>
            </w:pPr>
            <w:r>
              <w:rPr>
                <w:sz w:val="18"/>
              </w:rPr>
              <w:t xml:space="preserve">Request register</w:t>
            </w:r>
          </w:p>
        </w:tc>
      </w:tr>
      <w:tr>
        <w:tc>
          <w:tcPr>
            <w:tcW w:w="999" w:type="dxa"/>
          </w:tcPr>
          <w:p>
            <w:pPr>
              <w:pStyle w:val="Compact"/>
              <w:spacing w:after="40"/>
              <w:jc w:val="left"/>
            </w:pPr>
            <w:r>
              <w:rPr>
                <w:sz w:val="18"/>
              </w:rPr>
              <w:t xml:space="preserve">105</w:t>
            </w:r>
          </w:p>
        </w:tc>
        <w:tc>
          <w:tcPr>
            <w:tcW w:w="2790" w:type="dxa"/>
          </w:tcPr>
          <w:p>
            <w:pPr>
              <w:pStyle w:val="Compact"/>
              <w:spacing w:after="40"/>
              <w:jc w:val="left"/>
            </w:pPr>
            <w:r>
              <w:rPr>
                <w:sz w:val="18"/>
              </w:rPr>
              <w:t xml:space="preserve">Cross-border restrictions</w:t>
            </w:r>
          </w:p>
        </w:tc>
        <w:tc>
          <w:tcPr>
            <w:tcW w:w="2120" w:type="dxa"/>
          </w:tcPr>
          <w:p>
            <w:pPr>
              <w:pStyle w:val="Compact"/>
              <w:spacing w:after="40"/>
              <w:jc w:val="left"/>
            </w:pPr>
            <w:r>
              <w:rPr>
                <w:sz w:val="18"/>
              </w:rPr>
              <w:t xml:space="preserve">DPDP Act s.16; Rules r.15</w:t>
            </w:r>
          </w:p>
        </w:tc>
        <w:tc>
          <w:tcPr>
            <w:tcW w:w="2037" w:type="dxa"/>
          </w:tcPr>
          <w:p>
            <w:pPr>
              <w:pStyle w:val="Compact"/>
              <w:spacing w:after="40"/>
              <w:jc w:val="left"/>
            </w:pPr>
            <w:r>
              <w:rPr>
                <w:sz w:val="18"/>
              </w:rPr>
              <w:t xml:space="preserve">Cl. 10.4</w:t>
            </w:r>
          </w:p>
        </w:tc>
        <w:tc>
          <w:tcPr>
            <w:tcW w:w="1692" w:type="dxa"/>
          </w:tcPr>
          <w:p>
            <w:pPr>
              <w:pStyle w:val="Compact"/>
              <w:spacing w:after="40"/>
              <w:jc w:val="left"/>
            </w:pPr>
            <w:r>
              <w:rPr>
                <w:sz w:val="18"/>
              </w:rPr>
              <w:t xml:space="preserve">Architecture</w:t>
            </w:r>
          </w:p>
        </w:tc>
      </w:tr>
      <w:tr>
        <w:tc>
          <w:tcPr>
            <w:tcW w:w="999" w:type="dxa"/>
          </w:tcPr>
          <w:p>
            <w:pPr>
              <w:pStyle w:val="Compact"/>
              <w:spacing w:after="40"/>
              <w:jc w:val="left"/>
            </w:pPr>
            <w:r>
              <w:rPr>
                <w:sz w:val="18"/>
              </w:rPr>
              <w:t xml:space="preserve">106</w:t>
            </w:r>
          </w:p>
        </w:tc>
        <w:tc>
          <w:tcPr>
            <w:tcW w:w="2790" w:type="dxa"/>
          </w:tcPr>
          <w:p>
            <w:pPr>
              <w:pStyle w:val="Compact"/>
              <w:spacing w:after="40"/>
              <w:jc w:val="left"/>
            </w:pPr>
            <w:r>
              <w:rPr>
                <w:sz w:val="18"/>
              </w:rPr>
              <w:t xml:space="preserve">Six-hour CERT-In reporting; 180-day logs in India; NTP</w:t>
            </w:r>
          </w:p>
        </w:tc>
        <w:tc>
          <w:tcPr>
            <w:tcW w:w="2120" w:type="dxa"/>
          </w:tcPr>
          <w:p>
            <w:pPr>
              <w:pStyle w:val="Compact"/>
              <w:spacing w:after="40"/>
              <w:jc w:val="left"/>
            </w:pPr>
            <w:r>
              <w:rPr>
                <w:sz w:val="18"/>
              </w:rPr>
              <w:t xml:space="preserve">CERT-In Directions (IT Act s.70B(6))</w:t>
            </w:r>
          </w:p>
        </w:tc>
        <w:tc>
          <w:tcPr>
            <w:tcW w:w="2037" w:type="dxa"/>
          </w:tcPr>
          <w:p>
            <w:pPr>
              <w:pStyle w:val="Compact"/>
              <w:spacing w:after="40"/>
              <w:jc w:val="left"/>
            </w:pPr>
            <w:r>
              <w:rPr>
                <w:sz w:val="18"/>
              </w:rPr>
              <w:t xml:space="preserve">Cl. 10.4, 11.5(c), (e), 12.4</w:t>
            </w:r>
          </w:p>
        </w:tc>
        <w:tc>
          <w:tcPr>
            <w:tcW w:w="1692" w:type="dxa"/>
          </w:tcPr>
          <w:p>
            <w:pPr>
              <w:pStyle w:val="Compact"/>
              <w:spacing w:after="40"/>
              <w:jc w:val="left"/>
            </w:pPr>
            <w:r>
              <w:rPr>
                <w:sz w:val="18"/>
              </w:rPr>
              <w:t xml:space="preserve">CERT-In references</w:t>
            </w:r>
          </w:p>
        </w:tc>
      </w:tr>
      <w:tr>
        <w:tc>
          <w:tcPr>
            <w:tcW w:w="999" w:type="dxa"/>
          </w:tcPr>
          <w:p>
            <w:pPr>
              <w:pStyle w:val="Compact"/>
              <w:spacing w:after="40"/>
              <w:jc w:val="left"/>
            </w:pPr>
            <w:r>
              <w:rPr>
                <w:sz w:val="18"/>
              </w:rPr>
              <w:t xml:space="preserve">107</w:t>
            </w:r>
          </w:p>
        </w:tc>
        <w:tc>
          <w:tcPr>
            <w:tcW w:w="2790" w:type="dxa"/>
          </w:tcPr>
          <w:p>
            <w:pPr>
              <w:pStyle w:val="Compact"/>
              <w:spacing w:after="40"/>
              <w:jc w:val="left"/>
            </w:pPr>
            <w:r>
              <w:rPr>
                <w:sz w:val="18"/>
              </w:rPr>
              <w:t xml:space="preserve">Reasonable security practices; contractual confidentiality</w:t>
            </w:r>
          </w:p>
        </w:tc>
        <w:tc>
          <w:tcPr>
            <w:tcW w:w="2120" w:type="dxa"/>
          </w:tcPr>
          <w:p>
            <w:pPr>
              <w:pStyle w:val="Compact"/>
              <w:spacing w:after="40"/>
              <w:jc w:val="left"/>
            </w:pPr>
            <w:r>
              <w:rPr>
                <w:sz w:val="18"/>
              </w:rPr>
              <w:t xml:space="preserve">IT Act ss.43A, 72A</w:t>
            </w:r>
          </w:p>
        </w:tc>
        <w:tc>
          <w:tcPr>
            <w:tcW w:w="2037" w:type="dxa"/>
          </w:tcPr>
          <w:p>
            <w:pPr>
              <w:pStyle w:val="Compact"/>
              <w:spacing w:after="40"/>
              <w:jc w:val="left"/>
            </w:pPr>
            <w:r>
              <w:rPr>
                <w:sz w:val="18"/>
              </w:rPr>
              <w:t xml:space="preserve">Cl. 8.2, 10.14; Art. 18</w:t>
            </w:r>
          </w:p>
        </w:tc>
        <w:tc>
          <w:tcPr>
            <w:tcW w:w="1692" w:type="dxa"/>
          </w:tcPr>
          <w:p>
            <w:pPr>
              <w:pStyle w:val="Compact"/>
              <w:spacing w:after="40"/>
              <w:jc w:val="left"/>
            </w:pPr>
            <w:r>
              <w:rPr>
                <w:sz w:val="18"/>
              </w:rPr>
              <w:t xml:space="preserve">ISMS</w:t>
            </w:r>
          </w:p>
        </w:tc>
      </w:tr>
      <w:tr>
        <w:tc>
          <w:tcPr>
            <w:tcW w:w="999" w:type="dxa"/>
          </w:tcPr>
          <w:p>
            <w:pPr>
              <w:pStyle w:val="Compact"/>
              <w:spacing w:after="40"/>
              <w:jc w:val="left"/>
            </w:pPr>
            <w:r>
              <w:rPr>
                <w:sz w:val="18"/>
              </w:rPr>
              <w:t xml:space="preserve">108</w:t>
            </w:r>
          </w:p>
        </w:tc>
        <w:tc>
          <w:tcPr>
            <w:tcW w:w="2790" w:type="dxa"/>
          </w:tcPr>
          <w:p>
            <w:pPr>
              <w:pStyle w:val="Compact"/>
              <w:spacing w:after="40"/>
              <w:jc w:val="left"/>
            </w:pPr>
            <w:r>
              <w:rPr>
                <w:sz w:val="18"/>
              </w:rPr>
              <w:t xml:space="preserve">Aadhaar sharing restrictions; vault</w:t>
            </w:r>
          </w:p>
        </w:tc>
        <w:tc>
          <w:tcPr>
            <w:tcW w:w="2120" w:type="dxa"/>
          </w:tcPr>
          <w:p>
            <w:pPr>
              <w:pStyle w:val="Compact"/>
              <w:spacing w:after="40"/>
              <w:jc w:val="left"/>
            </w:pPr>
            <w:r>
              <w:rPr>
                <w:sz w:val="18"/>
              </w:rPr>
              <w:t xml:space="preserve">Aadhaar Act s.29; UIDAI Circular 14 of 2025 [VERIFY]</w:t>
            </w:r>
          </w:p>
        </w:tc>
        <w:tc>
          <w:tcPr>
            <w:tcW w:w="2037" w:type="dxa"/>
          </w:tcPr>
          <w:p>
            <w:pPr>
              <w:pStyle w:val="Compact"/>
              <w:spacing w:after="40"/>
              <w:jc w:val="left"/>
            </w:pPr>
            <w:r>
              <w:rPr>
                <w:sz w:val="18"/>
              </w:rPr>
              <w:t xml:space="preserve">Cl. 10.12; Sch. 4 Pt H</w:t>
            </w:r>
          </w:p>
        </w:tc>
        <w:tc>
          <w:tcPr>
            <w:tcW w:w="1692" w:type="dxa"/>
          </w:tcPr>
          <w:p>
            <w:pPr>
              <w:pStyle w:val="Compact"/>
              <w:spacing w:after="40"/>
              <w:jc w:val="left"/>
            </w:pPr>
            <w:r>
              <w:rPr>
                <w:sz w:val="18"/>
              </w:rPr>
              <w:t xml:space="preserve">Vault design</w:t>
            </w:r>
          </w:p>
        </w:tc>
      </w:tr>
    </w:tbl>
    <w:p>
      <w:r>
        <w:pict>
          <v:rect style="width:0;height:1.5pt" o:hralign="center" o:hrstd="t" o:hr="t"/>
        </w:pict>
      </w:r>
    </w:p>
    <w:p>
      <w:r>
        <w:br w:type="page"/>
      </w:r>
    </w:p>
    <w:bookmarkEnd w:id="162"/>
    <w:bookmarkEnd w:id="163"/>
    <w:bookmarkStart w:id="171" w:name="Xe557c5426cd7e936298252af86d6a02fbce4440"/>
    <w:p>
      <w:pPr>
        <w:pStyle w:val="Heading1"/>
      </w:pPr>
      <w:r>
        <w:t xml:space="preserve">SCHEDULE 15 — Forms of Undertaking and Declaration</w:t>
      </w:r>
    </w:p>
    <w:p>
      <w:pPr>
        <w:pStyle w:val="FirstParagraph"/>
      </w:pPr>
      <w:r>
        <w:rPr>
          <w:iCs/>
          <w:i/>
        </w:rPr>
        <w:t xml:space="preserve">Drafting note: Delivered before production processing (Clause 2.6(b)), annually with the vendor assurance pack (Clause 8.5) and on any change (Clauses 3.6, 8.6). A false declaration is a breach of Clause 20.2(a) and may ground termination under Clause 24.3 (material breach) or, for Form 15A, Clause 24.4(d).</w:t>
      </w:r>
    </w:p>
    <w:p>
      <w:pPr>
        <w:pStyle w:val="BodyText"/>
      </w:pPr>
      <w:r>
        <w:rPr>
          <w:bCs/>
          <w:b/>
        </w:rPr>
        <w:t xml:space="preserve">Execution of Forms.</w:t>
      </w:r>
      <w:r>
        <w:t xml:space="preserve"> </w:t>
      </w:r>
      <w:r>
        <w:t xml:space="preserve">Each Form is given on the letterhead of the Service Provider (or, for Form 15B, signed by the individual or the Sub-contractor). Every signature is accompanied by the signatory’s full name, designation, DIN (for a director) or employee ID, place and date, and a Form given by an entity states the board resolution or other authority under which the signatory acts. Where a Form refers to an Annexure, the Annexure is attached to and forms part of that Form and states</w:t>
      </w:r>
      <w:r>
        <w:t xml:space="preserve"> </w:t>
      </w:r>
      <w:r>
        <w:t xml:space="preserve">‘</w:t>
      </w:r>
      <w:r>
        <w:t xml:space="preserve">Nil</w:t>
      </w:r>
      <w:r>
        <w:t xml:space="preserve">’</w:t>
      </w:r>
      <w:r>
        <w:t xml:space="preserve"> </w:t>
      </w:r>
      <w:r>
        <w:t xml:space="preserve">where nothing is to be disclosed.</w:t>
      </w:r>
    </w:p>
    <w:bookmarkStart w:id="164" w:name="Xedae5b990efbac0a5b4e8ca66713e5a65afd233"/>
    <w:p>
      <w:pPr>
        <w:pStyle w:val="Heading2"/>
      </w:pPr>
      <w:r>
        <w:t xml:space="preserve">Form 15A — Ownership and Control Declaration (Clause 3.6)</w:t>
      </w:r>
    </w:p>
    <w:p>
      <w:pPr>
        <w:pStyle w:val="FirstParagraph"/>
      </w:pPr>
      <w:r>
        <w:t xml:space="preserve">To: [Company]. We, [Service Provider], declare that: (1) we are [not] a member of the Company’s group (OUT para 6(2)); (2) [if not:] we are not owned or controlled by any director, key managerial personnel or approver of this outsourcing arrangement of the Company, or any of their relatives, as those terms are defined in the Companies Act, 2013 and its Rules (OUT paras 18(vi), 59) [or: the relationship described in the Annexure is the subject of an exception approved by the Company’s [Board / Committee] on [●] with disclosure (OUT para 59, proviso; para 13(iv))]; (3) [if group:] the conditions in Clause 3.6, Option B are met (OUT paras 45–51, 90–92); (4) our shareholders holding [10]% or more, directors and key managerial personnel are listed in the Annexure; (5) we will notify any change within [7] days. Signed: ________ Director. Date [●].</w:t>
      </w:r>
    </w:p>
    <w:bookmarkEnd w:id="164"/>
    <w:bookmarkStart w:id="165" w:name="Xfad7f2786a1b995568c047eece5696b6a7969f5"/>
    <w:p>
      <w:pPr>
        <w:pStyle w:val="Heading2"/>
      </w:pPr>
      <w:r>
        <w:t xml:space="preserve">Form 15B — Personnel Non-Disclosure Undertaking (Clause 18.5)</w:t>
      </w:r>
    </w:p>
    <w:p>
      <w:pPr>
        <w:pStyle w:val="FirstParagraph"/>
      </w:pPr>
      <w:r>
        <w:t xml:space="preserve">I, [name], [designation], of [Service Provider / Sub-contractor], assigned to services for [Company], undertake that I will: (1) access the Company’s and its customers’ information only as required for my tasks and only through authorised, logged means (OUT para 24); (2) keep it confidential during and after my assignment and employment, without limit of time for customer information (OUT paras 34(xi), 74(xix); KYC para 61; IT Act s.72A); (3) not copy, download, photograph, transfer outside India or store it on any personal device or unapproved service; (4) comply with the Company Policies notified to me (CYB para 97) and report any suspected Incident immediately. I understand that breach may lead to disciplinary action and civil and criminal liability. Signed: ________ Employee ID [●]. Date [●].</w:t>
      </w:r>
    </w:p>
    <w:p>
      <w:pPr>
        <w:pStyle w:val="BodyText"/>
      </w:pPr>
      <w:r>
        <w:rPr>
          <w:bCs/>
          <w:b/>
        </w:rPr>
        <w:t xml:space="preserve">Sub-contractor variant.</w:t>
      </w:r>
      <w:r>
        <w:t xml:space="preserve"> </w:t>
      </w:r>
      <w:r>
        <w:t xml:space="preserve">To: [Company] and [Service Provider]. We, [Sub-contractor], CIN [●], engaged by [Service Provider] for [function], undertake to the Company that we will comply with paragraphs (1) to (4) above as if references to</w:t>
      </w:r>
      <w:r>
        <w:t xml:space="preserve"> </w:t>
      </w:r>
      <w:r>
        <w:t xml:space="preserve">‘</w:t>
      </w:r>
      <w:r>
        <w:t xml:space="preserve">I</w:t>
      </w:r>
      <w:r>
        <w:t xml:space="preserve">’</w:t>
      </w:r>
      <w:r>
        <w:t xml:space="preserve"> </w:t>
      </w:r>
      <w:r>
        <w:t xml:space="preserve">were to us, will procure that each of our personnel with access to the Company’s or its customers’ information signs an undertaking in the form above, and will return or destroy that information on completion of our engagement (OUT paras 34(xi), 74(xix)). Signed for and on behalf of [Sub-contractor]: ________ Name [●] Designation [●]. Date [●].</w:t>
      </w:r>
    </w:p>
    <w:bookmarkEnd w:id="165"/>
    <w:bookmarkStart w:id="166" w:name="X23423eaceadb246c5cf0ef3e07288096f4f02bf"/>
    <w:p>
      <w:pPr>
        <w:pStyle w:val="Heading2"/>
      </w:pPr>
      <w:r>
        <w:t xml:space="preserve">Form 15C — Background Verification Confirmation (Clauses 11.9, 19.2)</w:t>
      </w:r>
    </w:p>
    <w:p>
      <w:pPr>
        <w:pStyle w:val="FirstParagraph"/>
      </w:pPr>
      <w:r>
        <w:t xml:space="preserve">To: [Company]. We confirm that each person listed in the Annexure with access to the Tenant Environment or Company Data has completed background verification (identity, address, employment, education and criminal record, to the extent permitted by law) by [agency] on the dates stated with satisfactory results; that persons with privileged access were subject to rigorous screening (CYB para 21(4)); and that re-verification is scheduled every [3] years. Records are available for audit under Schedule 6. Signed: ________ [Head of HR / Information security officer]. Date [●].</w:t>
      </w:r>
    </w:p>
    <w:bookmarkEnd w:id="166"/>
    <w:bookmarkStart w:id="167" w:name="X3ca3957b193e89facf5c568033ef45fc47a626f"/>
    <w:p>
      <w:pPr>
        <w:pStyle w:val="Heading2"/>
      </w:pPr>
      <w:r>
        <w:t xml:space="preserve">Form 15D — Data Localisation Declaration (Clause 10.4)</w:t>
      </w:r>
    </w:p>
    <w:p>
      <w:pPr>
        <w:pStyle w:val="FirstParagraph"/>
      </w:pPr>
      <w:r>
        <w:t xml:space="preserve">To: [Company]. We declare that all Company Data, including backups, DR copies, logs, audit trails, analytics stores and AI inference data, is stored and processed only on infrastructure in India at the locations in Schedule 10; that no Company Data is accessed or processed outside India except as approved in writing under Clause 10.4; that ICT system logs are maintained within Indian jurisdiction; and that we will notify the Company before any change (OUT para 74(vi); CF para 14(4)). Signed: ________ [CTO / Information security officer]. Date [●].</w:t>
      </w:r>
    </w:p>
    <w:bookmarkEnd w:id="167"/>
    <w:bookmarkStart w:id="168" w:name="Xc830eaa162abc77b706b6d24f6365d7f3642f29"/>
    <w:p>
      <w:pPr>
        <w:pStyle w:val="Heading2"/>
      </w:pPr>
      <w:r>
        <w:t xml:space="preserve">Form 15E — Conflict of Interest Declaration (Clause 8.6(d))</w:t>
      </w:r>
    </w:p>
    <w:p>
      <w:pPr>
        <w:pStyle w:val="FirstParagraph"/>
      </w:pPr>
      <w:r>
        <w:t xml:space="preserve">To: [Company]. We declare that: (a) no director, key managerial personnel or employee of the Company, or their relative, holds any interest in or receives any benefit from us, except as disclosed in the Annexure; (b) we provide the Platform to other regulated entities only on segregated terms and have no other conflict with our duties to the Company; (c) no inducement has been offered or given in connection with this Agreement (Clause 8.12); and (d) we will disclose any conflict within [7] days (OUT paras 13(iv), 71(ii)). Signed: ________ Director. Date [●].</w:t>
      </w:r>
    </w:p>
    <w:bookmarkEnd w:id="168"/>
    <w:bookmarkStart w:id="169" w:name="X4c62fb3a361dd1a8014d83ef5e47868bbdc58dc"/>
    <w:p>
      <w:pPr>
        <w:pStyle w:val="Heading2"/>
      </w:pPr>
      <w:r>
        <w:t xml:space="preserve">Form 15F — Code Integrity Certificate (Clauses 5.5(c), 8.7)</w:t>
      </w:r>
    </w:p>
    <w:p>
      <w:pPr>
        <w:pStyle w:val="FirstParagraph"/>
      </w:pPr>
      <w:r>
        <w:t xml:space="preserve">To: [Company]. Application: Finbyx Platform, Release [version], Modules [●]. Occasion: [onboarding / pre-go-live / material change described as ●]. We certify that, based on the secure development controls, static and dynamic testing, software composition analysis and independent testing summarised in the attachment (report references [●]), the application is free of known vulnerabilities, malware and any covert channels in the code; residual findings, if any, are listed with compensating controls and target dates approved by the Company (CYB para 106). Signed: ________ [CTO]. Countersigned: ________ [Information security officer]. Date [●].</w:t>
      </w:r>
    </w:p>
    <w:bookmarkEnd w:id="169"/>
    <w:bookmarkStart w:id="170" w:name="Xc16caa12d49b8d8f50edfa5bab05def13d2e53d"/>
    <w:p>
      <w:pPr>
        <w:pStyle w:val="Heading2"/>
      </w:pPr>
      <w:r>
        <w:t xml:space="preserve">Form 15G — Undertaking on Supervisory Access and RBI Directions (Clauses 3.10, 8.8, 9.5)</w:t>
      </w:r>
    </w:p>
    <w:p>
      <w:pPr>
        <w:pStyle w:val="FirstParagraph"/>
      </w:pPr>
      <w:r>
        <w:t xml:space="preserve">To: [Company]. We undertake that we and each Sub-contractor engaged on the Services will: (a) permit RBI, the National Housing Bank (for an HFC) and persons authorised by them to inspect us and our books and accounts and to access the Company’s IT infrastructure, applications, data, documents and other information given to, stored or processed by us, without notice (OUT paras 34(viii)–(ix), 74(xii), 81); (b) comply with RBI directions on the Services (OUT paras 47(v), 74(xiv)); and (c) co-operate with the relevant authorities in the Company’s insolvency or resolution (OUT para 74(xvi)). Signed: ________ Director. Date [●].</w:t>
      </w:r>
    </w:p>
    <w:p>
      <w:r>
        <w:pict>
          <v:rect style="width:0;height:1.5pt" o:hralign="center" o:hrstd="t" o:hr="t"/>
        </w:pict>
      </w:r>
    </w:p>
    <w:p>
      <w:r>
        <w:br w:type="page"/>
      </w:r>
    </w:p>
    <w:bookmarkEnd w:id="170"/>
    <w:bookmarkEnd w:id="171"/>
    <w:bookmarkStart w:id="174" w:name="schedule-16-insurance-requirements"/>
    <w:p>
      <w:pPr>
        <w:pStyle w:val="Heading1"/>
      </w:pPr>
      <w:r>
        <w:t xml:space="preserve">SCHEDULE 16 — Insurance Requirements</w:t>
      </w:r>
    </w:p>
    <w:p>
      <w:pPr>
        <w:pStyle w:val="FirstParagraph"/>
      </w:pPr>
      <w:r>
        <w:rPr>
          <w:iCs/>
          <w:i/>
        </w:rPr>
        <w:t xml:space="preserve">Drafting note: Specifies the policies and minimum limits under Clause 23.1. Set amounts with a broker against the Article 22 caps; insurance does not limit liability (Clause 23.3). The Company’s own risk framework considers applicable insurance covers (CYB para 95(1)). Insurability of regulatory fines and penalties in India is uncertain [VERIFY].</w:t>
      </w:r>
    </w:p>
    <w:bookmarkStart w:id="172" w:name="part-a-policies-and-minimum-limits"/>
    <w:p>
      <w:pPr>
        <w:pStyle w:val="Heading2"/>
      </w:pPr>
      <w:r>
        <w:t xml:space="preserve">Part A — Policies and Minimum Limits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76"/>
        <w:gridCol w:w="3011"/>
        <w:gridCol w:w="4651"/>
      </w:tblGrid>
      <w:tr>
        <w:trPr>
          <w:tblHeader w:val="true"/>
          <w:tblHeader w:val="true"/>
        </w:trPr>
        <w:tc>
          <w:tcPr>
            <w:tcW w:w="1976" w:type="dxa"/>
            <w:shd w:val="clear" w:color="auto" w:fill="1F3A5F"/>
          </w:tcPr>
          <w:p>
            <w:pPr>
              <w:pStyle w:val="Compact"/>
              <w:spacing w:after="40"/>
              <w:jc w:val="left"/>
            </w:pPr>
            <w:r>
              <w:rPr>
                <w:b/>
                <w:color w:val="FFFFFF"/>
                <w:sz w:val="18"/>
              </w:rPr>
              <w:t xml:space="preserve">Policy</w:t>
            </w:r>
          </w:p>
        </w:tc>
        <w:tc>
          <w:tcPr>
            <w:tcW w:w="3011" w:type="dxa"/>
            <w:shd w:val="clear" w:color="auto" w:fill="1F3A5F"/>
          </w:tcPr>
          <w:p>
            <w:pPr>
              <w:pStyle w:val="Compact"/>
              <w:spacing w:after="40"/>
              <w:jc w:val="left"/>
            </w:pPr>
            <w:r>
              <w:rPr>
                <w:b/>
                <w:color w:val="FFFFFF"/>
                <w:sz w:val="18"/>
              </w:rPr>
              <w:t xml:space="preserve">Minimum limit</w:t>
            </w:r>
          </w:p>
        </w:tc>
        <w:tc>
          <w:tcPr>
            <w:tcW w:w="4651" w:type="dxa"/>
            <w:shd w:val="clear" w:color="auto" w:fill="1F3A5F"/>
          </w:tcPr>
          <w:p>
            <w:pPr>
              <w:pStyle w:val="Compact"/>
              <w:spacing w:after="40"/>
              <w:jc w:val="left"/>
            </w:pPr>
            <w:r>
              <w:rPr>
                <w:b/>
                <w:color w:val="FFFFFF"/>
                <w:sz w:val="18"/>
              </w:rPr>
              <w:t xml:space="preserve">Key terms</w:t>
            </w:r>
          </w:p>
        </w:tc>
      </w:tr>
      <w:tr>
        <w:tc>
          <w:tcPr>
            <w:tcW w:w="1976" w:type="dxa"/>
          </w:tcPr>
          <w:p>
            <w:pPr>
              <w:pStyle w:val="Compact"/>
              <w:spacing w:after="40"/>
              <w:jc w:val="left"/>
            </w:pPr>
            <w:r>
              <w:rPr>
                <w:sz w:val="18"/>
              </w:rPr>
              <w:t xml:space="preserve">Professional indemnity / technology errors and omissions</w:t>
            </w:r>
          </w:p>
        </w:tc>
        <w:tc>
          <w:tcPr>
            <w:tcW w:w="3011" w:type="dxa"/>
          </w:tcPr>
          <w:p>
            <w:pPr>
              <w:pStyle w:val="Compact"/>
              <w:spacing w:after="40"/>
              <w:jc w:val="left"/>
            </w:pPr>
            <w:r>
              <w:rPr>
                <w:sz w:val="18"/>
              </w:rPr>
              <w:t xml:space="preserve">₹[●] crore per claim and aggregate [Recommended: not less than the general cap in Clause 22.3]</w:t>
            </w:r>
          </w:p>
        </w:tc>
        <w:tc>
          <w:tcPr>
            <w:tcW w:w="4651" w:type="dxa"/>
          </w:tcPr>
          <w:p>
            <w:pPr>
              <w:pStyle w:val="Compact"/>
              <w:spacing w:after="40"/>
              <w:jc w:val="left"/>
            </w:pPr>
            <w:r>
              <w:rPr>
                <w:sz w:val="18"/>
              </w:rPr>
              <w:t xml:space="preserve">Negligent acts, errors, omissions, failure of software or services; defence costs</w:t>
            </w:r>
          </w:p>
        </w:tc>
      </w:tr>
      <w:tr>
        <w:tc>
          <w:tcPr>
            <w:tcW w:w="1976" w:type="dxa"/>
          </w:tcPr>
          <w:p>
            <w:pPr>
              <w:pStyle w:val="Compact"/>
              <w:spacing w:after="40"/>
              <w:jc w:val="left"/>
            </w:pPr>
            <w:r>
              <w:rPr>
                <w:sz w:val="18"/>
              </w:rPr>
              <w:t xml:space="preserve">Cyber liability (first and third party)</w:t>
            </w:r>
          </w:p>
        </w:tc>
        <w:tc>
          <w:tcPr>
            <w:tcW w:w="3011" w:type="dxa"/>
          </w:tcPr>
          <w:p>
            <w:pPr>
              <w:pStyle w:val="Compact"/>
              <w:spacing w:after="40"/>
              <w:jc w:val="left"/>
            </w:pPr>
            <w:r>
              <w:rPr>
                <w:sz w:val="18"/>
              </w:rPr>
              <w:t xml:space="preserve">₹[●] crore aggregate [Recommended: not less than the Data Super-Cap under Clause 22.4 where selected]</w:t>
            </w:r>
          </w:p>
        </w:tc>
        <w:tc>
          <w:tcPr>
            <w:tcW w:w="4651" w:type="dxa"/>
          </w:tcPr>
          <w:p>
            <w:pPr>
              <w:pStyle w:val="Compact"/>
              <w:spacing w:after="40"/>
              <w:jc w:val="left"/>
            </w:pPr>
            <w:r>
              <w:rPr>
                <w:sz w:val="18"/>
              </w:rPr>
              <w:t xml:space="preserve">Breach response (forensics, notification, call centre, credit monitoring), privacy and network security liability, regulatory defence and penalties where insurable, business interruption including dependent business interruption from the cloud service provider, cyber extortion and ransomware, data restoration</w:t>
            </w:r>
          </w:p>
        </w:tc>
      </w:tr>
      <w:tr>
        <w:tc>
          <w:tcPr>
            <w:tcW w:w="1976" w:type="dxa"/>
          </w:tcPr>
          <w:p>
            <w:pPr>
              <w:pStyle w:val="Compact"/>
              <w:spacing w:after="40"/>
              <w:jc w:val="left"/>
            </w:pPr>
            <w:r>
              <w:rPr>
                <w:sz w:val="18"/>
              </w:rPr>
              <w:t xml:space="preserve">Commercial general liability</w:t>
            </w:r>
          </w:p>
        </w:tc>
        <w:tc>
          <w:tcPr>
            <w:tcW w:w="3011" w:type="dxa"/>
          </w:tcPr>
          <w:p>
            <w:pPr>
              <w:pStyle w:val="Compact"/>
              <w:spacing w:after="40"/>
              <w:jc w:val="left"/>
            </w:pPr>
            <w:r>
              <w:rPr>
                <w:sz w:val="18"/>
              </w:rPr>
              <w:t xml:space="preserve">₹[●] crore per occurrence</w:t>
            </w:r>
          </w:p>
        </w:tc>
        <w:tc>
          <w:tcPr>
            <w:tcW w:w="4651" w:type="dxa"/>
          </w:tcPr>
          <w:p>
            <w:pPr>
              <w:pStyle w:val="Compact"/>
              <w:spacing w:after="40"/>
              <w:jc w:val="left"/>
            </w:pPr>
            <w:r>
              <w:rPr>
                <w:sz w:val="18"/>
              </w:rPr>
              <w:t xml:space="preserve">Bodily injury and property damage at Company premises</w:t>
            </w:r>
          </w:p>
        </w:tc>
      </w:tr>
      <w:tr>
        <w:tc>
          <w:tcPr>
            <w:tcW w:w="1976" w:type="dxa"/>
          </w:tcPr>
          <w:p>
            <w:pPr>
              <w:pStyle w:val="Compact"/>
              <w:spacing w:after="40"/>
              <w:jc w:val="left"/>
            </w:pPr>
            <w:r>
              <w:rPr>
                <w:sz w:val="18"/>
              </w:rPr>
              <w:t xml:space="preserve">Crime / fidelity</w:t>
            </w:r>
          </w:p>
        </w:tc>
        <w:tc>
          <w:tcPr>
            <w:tcW w:w="3011" w:type="dxa"/>
          </w:tcPr>
          <w:p>
            <w:pPr>
              <w:pStyle w:val="Compact"/>
              <w:spacing w:after="40"/>
              <w:jc w:val="left"/>
            </w:pPr>
            <w:r>
              <w:rPr>
                <w:sz w:val="18"/>
              </w:rPr>
              <w:t xml:space="preserve">₹[●] crore</w:t>
            </w:r>
          </w:p>
        </w:tc>
        <w:tc>
          <w:tcPr>
            <w:tcW w:w="4651" w:type="dxa"/>
          </w:tcPr>
          <w:p>
            <w:pPr>
              <w:pStyle w:val="Compact"/>
              <w:spacing w:after="40"/>
              <w:jc w:val="left"/>
            </w:pPr>
            <w:r>
              <w:rPr>
                <w:sz w:val="18"/>
              </w:rPr>
              <w:t xml:space="preserve">Employee dishonesty, computer and funds-transfer fraud, social engineering, with client-property extension</w:t>
            </w:r>
          </w:p>
        </w:tc>
      </w:tr>
      <w:tr>
        <w:tc>
          <w:tcPr>
            <w:tcW w:w="1976" w:type="dxa"/>
          </w:tcPr>
          <w:p>
            <w:pPr>
              <w:pStyle w:val="Compact"/>
              <w:spacing w:after="40"/>
              <w:jc w:val="left"/>
            </w:pPr>
            <w:r>
              <w:rPr>
                <w:sz w:val="18"/>
              </w:rPr>
              <w:t xml:space="preserve">Employees’ compensation</w:t>
            </w:r>
          </w:p>
        </w:tc>
        <w:tc>
          <w:tcPr>
            <w:tcW w:w="3011" w:type="dxa"/>
          </w:tcPr>
          <w:p>
            <w:pPr>
              <w:pStyle w:val="Compact"/>
              <w:spacing w:after="40"/>
              <w:jc w:val="left"/>
            </w:pPr>
            <w:r>
              <w:rPr>
                <w:sz w:val="18"/>
              </w:rPr>
              <w:t xml:space="preserve">As required by the Code on Social Security, 2020 (in force from 21 November 2025, replacing the Employees’ Compensation Act, 1923)</w:t>
            </w:r>
          </w:p>
        </w:tc>
        <w:tc>
          <w:tcPr>
            <w:tcW w:w="4651" w:type="dxa"/>
          </w:tcPr>
          <w:p>
            <w:pPr>
              <w:pStyle w:val="Compact"/>
              <w:spacing w:after="40"/>
              <w:jc w:val="left"/>
            </w:pPr>
            <w:r>
              <w:rPr>
                <w:sz w:val="18"/>
              </w:rPr>
              <w:t xml:space="preserve">Statutory</w:t>
            </w:r>
          </w:p>
        </w:tc>
      </w:tr>
    </w:tbl>
    <w:bookmarkEnd w:id="172"/>
    <w:bookmarkStart w:id="173" w:name="part-b-policy-conditions"/>
    <w:p>
      <w:pPr>
        <w:pStyle w:val="Heading2"/>
      </w:pPr>
      <w:r>
        <w:t xml:space="preserve">Part B — Policy Conditions</w:t>
      </w:r>
    </w:p>
    <w:p>
      <w:pPr>
        <w:numPr>
          <w:ilvl w:val="0"/>
          <w:numId w:val="1055"/>
        </w:numPr>
        <w:pStyle w:val="Compact"/>
      </w:pPr>
      <w:r>
        <w:t xml:space="preserve">Insurers registered with the Insurance Regulatory and Development Authority of India (Clause 23.1).</w:t>
      </w:r>
    </w:p>
    <w:p>
      <w:pPr>
        <w:numPr>
          <w:ilvl w:val="0"/>
          <w:numId w:val="1055"/>
        </w:numPr>
        <w:pStyle w:val="Compact"/>
      </w:pPr>
      <w:r>
        <w:t xml:space="preserve">Maintained for the Term and Exit Period, and claims-made policies for [3] years after, with a retroactive date no later than the Effective Date (Clause 23.1).</w:t>
      </w:r>
    </w:p>
    <w:p>
      <w:pPr>
        <w:numPr>
          <w:ilvl w:val="0"/>
          <w:numId w:val="1055"/>
        </w:numPr>
        <w:pStyle w:val="Compact"/>
      </w:pPr>
      <w:r>
        <w:t xml:space="preserve">The Company named as additional insured or interested party under the cyber, general liability and crime policies where the insurer permits; waiver of subrogation where available.</w:t>
      </w:r>
    </w:p>
    <w:p>
      <w:pPr>
        <w:numPr>
          <w:ilvl w:val="0"/>
          <w:numId w:val="1055"/>
        </w:numPr>
        <w:pStyle w:val="Compact"/>
      </w:pPr>
      <w:r>
        <w:t xml:space="preserve">Certificates on the Effective Date and each renewal; notice within [7] days of cancellation, non-renewal, material reduction or a significant claim affecting available limits (Clause 23.2).</w:t>
      </w:r>
    </w:p>
    <w:p>
      <w:pPr>
        <w:numPr>
          <w:ilvl w:val="0"/>
          <w:numId w:val="1055"/>
        </w:numPr>
        <w:pStyle w:val="Compact"/>
      </w:pPr>
      <w:r>
        <w:t xml:space="preserve">Sub-contractors handling Company Data carry cyber and professional indemnity cover appropriate to their role. Deductibles are borne by the Service Provider. Failure to maintain cover is a material breach (Clause 24.3); the Company may procure cover and set off the cost (Clause 16.8).</w:t>
      </w:r>
    </w:p>
    <w:p>
      <w:r>
        <w:pict>
          <v:rect style="width:0;height:1.5pt" o:hralign="center" o:hrstd="t" o:hr="t"/>
        </w:pict>
      </w:r>
    </w:p>
    <w:p>
      <w:r>
        <w:br w:type="page"/>
      </w:r>
    </w:p>
    <w:bookmarkEnd w:id="173"/>
    <w:bookmarkEnd w:id="174"/>
    <w:bookmarkStart w:id="179" w:name="drafting-notes-and-sources"/>
    <w:p>
      <w:pPr>
        <w:pStyle w:val="Heading1"/>
      </w:pPr>
      <w:r>
        <w:t xml:space="preserve">DRAFTING NOTES AND SOURCES</w:t>
      </w:r>
    </w:p>
    <w:p>
      <w:pPr>
        <w:pStyle w:val="FirstParagraph"/>
      </w:pPr>
      <w:r>
        <w:rPr>
          <w:iCs/>
          <w:i/>
        </w:rPr>
        <w:t xml:space="preserve">Not part of the executed Agreement. Delete before execution.</w:t>
      </w:r>
    </w:p>
    <w:bookmarkStart w:id="175" w:name="a.-customisation-points"/>
    <w:p>
      <w:pPr>
        <w:pStyle w:val="Heading2"/>
      </w:pPr>
      <w:r>
        <w:t xml:space="preserve">A. Customisation Points</w:t>
      </w:r>
    </w:p>
    <w:p>
      <w:pPr>
        <w:numPr>
          <w:ilvl w:val="0"/>
          <w:numId w:val="1056"/>
        </w:numPr>
        <w:pStyle w:val="Compact"/>
      </w:pPr>
      <w:r>
        <w:rPr>
          <w:bCs/>
          <w:b/>
        </w:rPr>
        <w:t xml:space="preserve">Layer and category</w:t>
      </w:r>
      <w:r>
        <w:t xml:space="preserve"> </w:t>
      </w:r>
      <w:r>
        <w:t xml:space="preserve">(Schedule 1, Part A): drive CYB chapter and OUT Chapter IV applicability; the Uniform Standard (Clause 1.5(b)) applies regardless. Re-confirm at renewal and on any layer change.</w:t>
      </w:r>
    </w:p>
    <w:p>
      <w:pPr>
        <w:numPr>
          <w:ilvl w:val="0"/>
          <w:numId w:val="1056"/>
        </w:numPr>
        <w:pStyle w:val="Compact"/>
      </w:pPr>
      <w:r>
        <w:rPr>
          <w:bCs/>
          <w:b/>
        </w:rPr>
        <w:t xml:space="preserve">Critical Applications and Critical Services</w:t>
      </w:r>
      <w:r>
        <w:t xml:space="preserve"> </w:t>
      </w:r>
      <w:r>
        <w:t xml:space="preserve">(Schedule 1, Part A; Schedule 2, Part A.3): defaults M4, M6, M7, M10, M13; they drive RTO/RPO (Schedule 8), the Persistent Service Failure threshold (Schedule 3, Part I) and escrow scope (Schedule 13).</w:t>
      </w:r>
    </w:p>
    <w:p>
      <w:pPr>
        <w:numPr>
          <w:ilvl w:val="0"/>
          <w:numId w:val="1056"/>
        </w:numPr>
        <w:pStyle w:val="Compact"/>
      </w:pPr>
      <w:r>
        <w:rPr>
          <w:bCs/>
          <w:b/>
        </w:rPr>
        <w:t xml:space="preserve">Deployment option</w:t>
      </w:r>
      <w:r>
        <w:t xml:space="preserve"> </w:t>
      </w:r>
      <w:r>
        <w:t xml:space="preserve">(Schedule 1, Part C): Option C changes who contracts with the CSP (Schedule 10, row 1) and may change materiality; keep all controls.</w:t>
      </w:r>
    </w:p>
    <w:p>
      <w:pPr>
        <w:numPr>
          <w:ilvl w:val="0"/>
          <w:numId w:val="1056"/>
        </w:numPr>
        <w:pStyle w:val="Compact"/>
      </w:pPr>
      <w:r>
        <w:rPr>
          <w:bCs/>
          <w:b/>
        </w:rPr>
        <w:t xml:space="preserve">Pricing model</w:t>
      </w:r>
      <w:r>
        <w:t xml:space="preserve"> </w:t>
      </w:r>
      <w:r>
        <w:t xml:space="preserve">(Schedule 1, Part F.2): choose one option and align metering with Part E.</w:t>
      </w:r>
    </w:p>
    <w:p>
      <w:pPr>
        <w:numPr>
          <w:ilvl w:val="0"/>
          <w:numId w:val="1056"/>
        </w:numPr>
        <w:pStyle w:val="Compact"/>
      </w:pPr>
      <w:r>
        <w:rPr>
          <w:bCs/>
          <w:b/>
        </w:rPr>
        <w:t xml:space="preserve">Service levels</w:t>
      </w:r>
      <w:r>
        <w:t xml:space="preserve"> </w:t>
      </w:r>
      <w:r>
        <w:t xml:space="preserve">(Schedule 3): Tier 1 at 99.9% or 99.95%; credit cap 25% or 35%; minimum threshold for Critical Applications (default 99.5%); optional deemed Persistent Service Failure events.</w:t>
      </w:r>
    </w:p>
    <w:p>
      <w:pPr>
        <w:numPr>
          <w:ilvl w:val="0"/>
          <w:numId w:val="1056"/>
        </w:numPr>
        <w:pStyle w:val="Compact"/>
      </w:pPr>
      <w:r>
        <w:rPr>
          <w:bCs/>
          <w:b/>
        </w:rPr>
        <w:t xml:space="preserve">Incident notification</w:t>
      </w:r>
      <w:r>
        <w:t xml:space="preserve">: [2] hours initial and [4] hours information pack (Clause 12.2); never longer than leaves the Company enough of its six hours (OUT para 61).</w:t>
      </w:r>
    </w:p>
    <w:p>
      <w:pPr>
        <w:numPr>
          <w:ilvl w:val="0"/>
          <w:numId w:val="1056"/>
        </w:numPr>
        <w:pStyle w:val="Compact"/>
      </w:pPr>
      <w:r>
        <w:rPr>
          <w:bCs/>
          <w:b/>
        </w:rPr>
        <w:t xml:space="preserve">Escrow</w:t>
      </w:r>
      <w:r>
        <w:t xml:space="preserve"> </w:t>
      </w:r>
      <w:r>
        <w:t xml:space="preserve">(Schedule 13): agent, deposit frequency, verification level, fees, operational continuity option (Clause 26.7).</w:t>
      </w:r>
    </w:p>
    <w:p>
      <w:pPr>
        <w:numPr>
          <w:ilvl w:val="0"/>
          <w:numId w:val="1056"/>
        </w:numPr>
        <w:pStyle w:val="Compact"/>
      </w:pPr>
      <w:r>
        <w:rPr>
          <w:bCs/>
          <w:b/>
        </w:rPr>
        <w:t xml:space="preserve">Exit</w:t>
      </w:r>
      <w:r>
        <w:t xml:space="preserve"> </w:t>
      </w:r>
      <w:r>
        <w:t xml:space="preserve">(Schedule 9): Minimum Exit Period ([12] months), post-cut-over read-only access ([12] months), step-in mechanism with the CSP (Part F), continuity data copy (Schedule 8, Part F.2).</w:t>
      </w:r>
    </w:p>
    <w:p>
      <w:pPr>
        <w:numPr>
          <w:ilvl w:val="0"/>
          <w:numId w:val="1056"/>
        </w:numPr>
        <w:pStyle w:val="Compact"/>
      </w:pPr>
      <w:r>
        <w:rPr>
          <w:bCs/>
          <w:b/>
        </w:rPr>
        <w:t xml:space="preserve">Liability and insurance</w:t>
      </w:r>
      <w:r>
        <w:t xml:space="preserve">: Data Super-Cap option (Clause 22.4) and matching cyber cover (Schedule 16).</w:t>
      </w:r>
    </w:p>
    <w:p>
      <w:pPr>
        <w:numPr>
          <w:ilvl w:val="0"/>
          <w:numId w:val="1056"/>
        </w:numPr>
        <w:pStyle w:val="Compact"/>
      </w:pPr>
      <w:r>
        <w:rPr>
          <w:bCs/>
          <w:b/>
        </w:rPr>
        <w:t xml:space="preserve">Aadhaar route</w:t>
      </w:r>
      <w:r>
        <w:t xml:space="preserve"> </w:t>
      </w:r>
      <w:r>
        <w:t xml:space="preserve">(Schedule 1, Part C; Schedule 4, Part H): default is no storage of full Aadhaar numbers.</w:t>
      </w:r>
    </w:p>
    <w:p>
      <w:pPr>
        <w:numPr>
          <w:ilvl w:val="0"/>
          <w:numId w:val="1056"/>
        </w:numPr>
        <w:pStyle w:val="Compact"/>
      </w:pPr>
      <w:r>
        <w:rPr>
          <w:bCs/>
          <w:b/>
        </w:rPr>
        <w:t xml:space="preserve">HFC</w:t>
      </w:r>
      <w:r>
        <w:t xml:space="preserve">: NHB replaces RBI for cyber incident reporting and is added alongside RBI for supervision and inspection (Clause 1.5(c); CYB para 141, Note); AUD does not apply to HFC auditors (AUD para 3).</w:t>
      </w:r>
      <w:r>
        <w:t xml:space="preserve"> </w:t>
      </w:r>
      <w:r>
        <w:rPr>
          <w:bCs/>
          <w:b/>
        </w:rPr>
        <w:t xml:space="preserve">Bank</w:t>
      </w:r>
      <w:r>
        <w:t xml:space="preserve">: substitute the commercial-bank Directions throughout.</w:t>
      </w:r>
    </w:p>
    <w:p>
      <w:pPr>
        <w:numPr>
          <w:ilvl w:val="0"/>
          <w:numId w:val="1056"/>
        </w:numPr>
        <w:pStyle w:val="Compact"/>
      </w:pPr>
      <w:r>
        <w:rPr>
          <w:bCs/>
          <w:b/>
        </w:rPr>
        <w:t xml:space="preserve">Group Service Provider</w:t>
      </w:r>
      <w:r>
        <w:t xml:space="preserve">: Clause 3.6 Option B and Form 15A item (3) (OUT paras 45–51, 90–92).</w:t>
      </w:r>
    </w:p>
    <w:bookmarkEnd w:id="175"/>
    <w:bookmarkStart w:id="176" w:name="b.-open-verify-items"/>
    <w:p>
      <w:pPr>
        <w:pStyle w:val="Heading2"/>
      </w:pPr>
      <w:r>
        <w:t xml:space="preserve">B. Open [VERIFY] Items</w:t>
      </w:r>
    </w:p>
    <w:p>
      <w:pPr>
        <w:numPr>
          <w:ilvl w:val="0"/>
          <w:numId w:val="1057"/>
        </w:numPr>
        <w:pStyle w:val="Compact"/>
      </w:pPr>
      <w:r>
        <w:t xml:space="preserve">Whether MeitY’s proposal to compress the 18-month DPDP transition to 12 months has been notified; commencement is otherwise verified (G.S.R. 843(E) and 846(E): substantive sections, DPDP Rules 3, 5–16, 22 and 23 and s.44(2) from 13 May 2027) (Schedule 4 note; Clause 10.14 note).</w:t>
      </w:r>
    </w:p>
    <w:p>
      <w:pPr>
        <w:numPr>
          <w:ilvl w:val="0"/>
          <w:numId w:val="1057"/>
        </w:numPr>
        <w:pStyle w:val="Compact"/>
      </w:pPr>
      <w:r>
        <w:t xml:space="preserve">[Closed: DPDP Rules numbering verified — Rule 6(1)(a)–(g), Rule 8(3), Rule 13(1) and (3), Rule 14(3) and Rule 15.]</w:t>
      </w:r>
    </w:p>
    <w:p>
      <w:pPr>
        <w:numPr>
          <w:ilvl w:val="0"/>
          <w:numId w:val="1057"/>
        </w:numPr>
        <w:pStyle w:val="Compact"/>
      </w:pPr>
      <w:r>
        <w:t xml:space="preserve">Any Central Government order under DPDP Rule 15 restricting transfers to specified foreign States, and any data categories notified for localisation under Rule 13(4) (Schedule 4, Parts E, M; Schedule 14 row 105).</w:t>
      </w:r>
    </w:p>
    <w:p>
      <w:pPr>
        <w:numPr>
          <w:ilvl w:val="0"/>
          <w:numId w:val="1057"/>
        </w:numPr>
        <w:pStyle w:val="Compact"/>
      </w:pPr>
      <w:r>
        <w:t xml:space="preserve">UIDAI Circular No. 14 of 2025 (4 November 2025) on Aadhaar Data Vaults, and the licensing route for technology providers (Schedule 4, Part H; Schedule 14 row 108).</w:t>
      </w:r>
    </w:p>
    <w:p>
      <w:pPr>
        <w:numPr>
          <w:ilvl w:val="0"/>
          <w:numId w:val="1057"/>
        </w:numPr>
        <w:pStyle w:val="Compact"/>
      </w:pPr>
      <w:r>
        <w:t xml:space="preserve">RBC Third Amendment Directions (RBI/2026-27/230, 6 August 2026, effective 1 January 2027): call-recording retention and recovery conduct paragraphs (Schedule 4, Part F; Schedule 14 row 96); text not supplied.</w:t>
      </w:r>
    </w:p>
    <w:p>
      <w:pPr>
        <w:numPr>
          <w:ilvl w:val="0"/>
          <w:numId w:val="1057"/>
        </w:numPr>
        <w:pStyle w:val="Compact"/>
      </w:pPr>
      <w:r>
        <w:t xml:space="preserve">CERT-In Directions: 180-day log retention within Indian jurisdiction, NTP synchronisation and the CERT-In FAQ position on logs stored outside India.</w:t>
      </w:r>
    </w:p>
    <w:p>
      <w:pPr>
        <w:numPr>
          <w:ilvl w:val="0"/>
          <w:numId w:val="1057"/>
        </w:numPr>
        <w:pStyle w:val="Compact"/>
      </w:pPr>
      <w:r>
        <w:t xml:space="preserve">Current DAKSH incident template and CERT-In reporting form fields (Schedule 7, Part C).</w:t>
      </w:r>
    </w:p>
    <w:p>
      <w:pPr>
        <w:numPr>
          <w:ilvl w:val="0"/>
          <w:numId w:val="1057"/>
        </w:numPr>
        <w:pStyle w:val="Compact"/>
      </w:pPr>
      <w:r>
        <w:t xml:space="preserve">Cloud region names, MeitY empanelment and India residency of each Sub-contractor; per-model India residency of AI inference (Schedule 10).</w:t>
      </w:r>
    </w:p>
    <w:p>
      <w:pPr>
        <w:numPr>
          <w:ilvl w:val="0"/>
          <w:numId w:val="1057"/>
        </w:numPr>
        <w:pStyle w:val="Compact"/>
      </w:pPr>
      <w:r>
        <w:t xml:space="preserve">India presence and vault location of the Escrow Agent; enforceability of escrow release and CSP step-in against the IBC moratorium (Schedule 9, Part F; Schedule 13).</w:t>
      </w:r>
    </w:p>
    <w:p>
      <w:pPr>
        <w:numPr>
          <w:ilvl w:val="0"/>
          <w:numId w:val="1057"/>
        </w:numPr>
        <w:pStyle w:val="Compact"/>
      </w:pPr>
      <w:r>
        <w:t xml:space="preserve">RBI FREE-AI framework (August 2025) status (Schedule 5, row 24).</w:t>
      </w:r>
    </w:p>
    <w:p>
      <w:pPr>
        <w:numPr>
          <w:ilvl w:val="0"/>
          <w:numId w:val="1057"/>
        </w:numPr>
        <w:pStyle w:val="Compact"/>
      </w:pPr>
      <w:r>
        <w:t xml:space="preserve">[Closed: the Code on Social Security, 2020 has been in force since 21 November 2025 (Schedule 16).]</w:t>
      </w:r>
    </w:p>
    <w:p>
      <w:pPr>
        <w:numPr>
          <w:ilvl w:val="0"/>
          <w:numId w:val="1057"/>
        </w:numPr>
        <w:pStyle w:val="Compact"/>
      </w:pPr>
      <w:r>
        <w:t xml:space="preserve">Insurability of regulatory fines and penalties (Schedule 16).</w:t>
      </w:r>
    </w:p>
    <w:p>
      <w:pPr>
        <w:numPr>
          <w:ilvl w:val="0"/>
          <w:numId w:val="1057"/>
        </w:numPr>
        <w:pStyle w:val="Compact"/>
      </w:pPr>
      <w:r>
        <w:t xml:space="preserve">Commercial-bank equivalents of OUT and CYB (general note).</w:t>
      </w:r>
    </w:p>
    <w:bookmarkEnd w:id="176"/>
    <w:bookmarkStart w:id="177" w:name="c.-cross-references"/>
    <w:p>
      <w:pPr>
        <w:pStyle w:val="Heading2"/>
      </w:pPr>
      <w:r>
        <w:t xml:space="preserve">C. Cross-references</w:t>
      </w:r>
    </w:p>
    <w:p>
      <w:pPr>
        <w:pStyle w:val="FirstParagraph"/>
      </w:pPr>
      <w:r>
        <w:t xml:space="preserve">All references to Articles and Clauses were aligned with the final MSA body (msa_body.md, Articles 1–33), including Clauses 1.1 (Detection, Exit Period, Minimum Exit Period, Critical Application, Material Adverse Event), 1.3, 1.5(b) (Uniform Standard), 3.6, 4.5–4.10, 5.4–5.7, 6.1–6.8 (Persistent Service Failure at 6.5), 7.7 (Company Third-Party Providers), 8.4–8.14, 9.1–9.14, 10.1–10.14, 11.1–11.14, 12.2–12.10, 13.1–13.8, 14.1–14.8, 15.1–15.6, 16.2–16.9, 19.2–19.3, 21.1, 21.6, 22.3–22.5 (Data Super-Cap), 23.1–23.3, 24.1–24.8, 25.1–25.6, 26.1–26.8 (Deposit Materials at 26.3), 27.1–27.4, 28.2–28.4, 30.6, 32.3 and 33.7.</w:t>
      </w:r>
    </w:p>
    <w:bookmarkEnd w:id="177"/>
    <w:bookmarkStart w:id="178" w:name="d.-sources"/>
    <w:p>
      <w:pPr>
        <w:pStyle w:val="Heading2"/>
      </w:pPr>
      <w:r>
        <w:t xml:space="preserve">D. Sources</w:t>
      </w:r>
    </w:p>
    <w:p>
      <w:pPr>
        <w:pStyle w:val="FirstParagraph"/>
      </w:pPr>
      <w:r>
        <w:rPr>
          <w:bCs/>
          <w:b/>
        </w:rPr>
        <w:t xml:space="preserve">Supplied official texts (verified by search of the supplied files):</w:t>
      </w:r>
      <w:r>
        <w:t xml:space="preserve"> </w:t>
      </w:r>
      <w:r>
        <w:t xml:space="preserve">OUT (RBI/DOR/2025-26/363) paras 3, 5, 6, 13, 15, 17–18, 22–28, 30, 33–34, 38, 40–44, 47, 53–57, 58–59, 61, 64, 67, 69–71, 73–92, 95, 97–99; CYB (RBI/DoS/2026-27/461) paras 3, 4(7), 7–9, 18(4), 21, 24–36, 39–46, 57, 59, 62, 64, 73, 77, 82, 91–93, 95, 97, 99, 101–126, 127–146; CF paras 10, 12–18; KYC (RBI/DOR/2025-26/361) paras 13, 23, 24, 25, 27, 47, 61, 63; RBC (RBI/DOR/2025-26/362) paras 29, 35–40, 89–101; CIR (RBI/DOR/2025-26/349) paras 6, 10, 34–35; AUD (RBI/DoS/2026-27/468) paras 3, 5–6, 11–12; IAF (RBI/DoS/2026-27/464) paras 39–40. Finbyx Master Prompt v1.4: Parts 3, 6.2, 7 (M1–M23), 7A.0, 10.3, 10.4, 10.6 and Appendix B.</w:t>
      </w:r>
    </w:p>
    <w:p>
      <w:pPr>
        <w:pStyle w:val="BodyText"/>
      </w:pPr>
      <w:r>
        <w:rPr>
          <w:bCs/>
          <w:b/>
        </w:rPr>
        <w:t xml:space="preserve">Web sources consulted (19 October 2026):</w:t>
      </w:r>
    </w:p>
    <w:p>
      <w:pPr>
        <w:numPr>
          <w:ilvl w:val="0"/>
          <w:numId w:val="1058"/>
        </w:numPr>
        <w:pStyle w:val="Compact"/>
      </w:pPr>
      <w:r>
        <w:t xml:space="preserve">DPDP Rules, Rule 7 (breach intimation, 72 hours): https://dpdpa.com/dpdparules/rule7.html</w:t>
      </w:r>
    </w:p>
    <w:p>
      <w:pPr>
        <w:numPr>
          <w:ilvl w:val="0"/>
          <w:numId w:val="1058"/>
        </w:numPr>
        <w:pStyle w:val="Compact"/>
      </w:pPr>
      <w:r>
        <w:t xml:space="preserve">KPMG, DPDP Rules 2025 guidance (Rule 6 safeguards, one-year logs, Rule 14(3) 90 days, children): https://assets.kpmg.com/content/dam/kpmgsites/in/pdf/2025/11/dpdp-rules-2025-guidance-to-dpdp-act-implementation.pdf</w:t>
      </w:r>
    </w:p>
    <w:p>
      <w:pPr>
        <w:numPr>
          <w:ilvl w:val="0"/>
          <w:numId w:val="1058"/>
        </w:numPr>
        <w:pStyle w:val="Compact"/>
      </w:pPr>
      <w:r>
        <w:t xml:space="preserve">AMLEGALS, DPDP Rules notified (G.S.R. 846(E), 13 November 2025; phased commencement): https://amlegals.com/dpdp-rules-notified-immediate-actions/</w:t>
      </w:r>
    </w:p>
    <w:p>
      <w:pPr>
        <w:numPr>
          <w:ilvl w:val="0"/>
          <w:numId w:val="1058"/>
        </w:numPr>
        <w:pStyle w:val="Compact"/>
      </w:pPr>
      <w:r>
        <w:t xml:space="preserve">Nishith Desai Associates, CERT-In Directions of 28 April 2022 (six hours; 180-day logs in India; NTP; s.70B(7)): https://nishithdesai.com/research-and-articles/hotline/technology-law-analysis/cyber-security-india-revamps-rules-on-mandatory-incident-reporting-allied-compliances-5507</w:t>
      </w:r>
    </w:p>
    <w:p>
      <w:pPr>
        <w:numPr>
          <w:ilvl w:val="0"/>
          <w:numId w:val="1058"/>
        </w:numPr>
        <w:pStyle w:val="Compact"/>
      </w:pPr>
      <w:r>
        <w:t xml:space="preserve">Khaitan &amp; Co, Ergo update on CERT-In Directions: https://khaitanco.com/sites/default/files/2022-04/Ergo_30042022.pdf</w:t>
      </w:r>
    </w:p>
    <w:p>
      <w:pPr>
        <w:numPr>
          <w:ilvl w:val="0"/>
          <w:numId w:val="1058"/>
        </w:numPr>
        <w:pStyle w:val="Compact"/>
      </w:pPr>
      <w:r>
        <w:t xml:space="preserve">Software escrow in India (EscrowTech India): https://itweb.co.za/article/software-escrow-finds-new-markets-in-india/o1Jr5Mxj4WevKdWL</w:t>
      </w:r>
    </w:p>
    <w:p>
      <w:pPr>
        <w:numPr>
          <w:ilvl w:val="0"/>
          <w:numId w:val="1058"/>
        </w:numPr>
        <w:pStyle w:val="Compact"/>
      </w:pPr>
      <w:r>
        <w:t xml:space="preserve">NCC Group escrow agreements: https://www.nccgroup.com/uk/our-services/software-escrow-and-verification/escrow-services/software-escrow-agreements/</w:t>
      </w:r>
    </w:p>
    <w:p>
      <w:pPr>
        <w:numPr>
          <w:ilvl w:val="0"/>
          <w:numId w:val="1058"/>
        </w:numPr>
        <w:pStyle w:val="Compact"/>
      </w:pPr>
      <w:r>
        <w:t xml:space="preserve">PwC India, escrow agreements: https://www.pwc.in/assets/pdfs/forensics/dispute-perspectives-vol-5-escrow-agreements.pdf</w:t>
      </w:r>
    </w:p>
    <w:p>
      <w:pPr>
        <w:numPr>
          <w:ilvl w:val="0"/>
          <w:numId w:val="1058"/>
        </w:numPr>
        <w:pStyle w:val="Compact"/>
      </w:pPr>
      <w:r>
        <w:t xml:space="preserve">SCL, escrow in a SaaS environment: https://scl.org/?p=4008</w:t>
      </w:r>
    </w:p>
    <w:p>
      <w:pPr>
        <w:numPr>
          <w:ilvl w:val="0"/>
          <w:numId w:val="1058"/>
        </w:numPr>
        <w:pStyle w:val="Compact"/>
      </w:pPr>
      <w:r>
        <w:t xml:space="preserve">Service credit bands (market sample clauses): https://www.lawinsider.com/clause/credits-for-service-availability-level-failure</w:t>
      </w:r>
    </w:p>
    <w:p>
      <w:pPr>
        <w:numPr>
          <w:ilvl w:val="0"/>
          <w:numId w:val="1058"/>
        </w:numPr>
        <w:pStyle w:val="Compact"/>
      </w:pPr>
      <w:r>
        <w:t xml:space="preserve">Cyber and professional indemnity insurance for Indian IT and fintech providers: https://www.barandbench.com/law-firms/view-point/indias-fintech-boom-needs-a-new-conversation-on-liability-insurance and https://bimakavach.com/blog/insurance-for-saas-industry</w:t>
      </w:r>
    </w:p>
    <w:p>
      <w:pPr>
        <w:numPr>
          <w:ilvl w:val="0"/>
          <w:numId w:val="1058"/>
        </w:numPr>
        <w:pStyle w:val="Compact"/>
      </w:pPr>
      <w:r>
        <w:t xml:space="preserve">NIST SP 800-210 (cited in OUT para 97(iv)): https://nvlpubs.nist.gov/nistpubs/SpecialPublications/NIST.SP.800-210.pdf</w:t>
      </w:r>
    </w:p>
    <w:p>
      <w:pPr>
        <w:numPr>
          <w:ilvl w:val="0"/>
          <w:numId w:val="1058"/>
        </w:numPr>
        <w:pStyle w:val="Compact"/>
      </w:pPr>
      <w:r>
        <w:t xml:space="preserve">RBI DAKSH portal (CYB paras 28, 141): https://daksh.rbi.org.in</w:t>
      </w:r>
    </w:p>
    <w:p>
      <w:pPr>
        <w:numPr>
          <w:ilvl w:val="0"/>
          <w:numId w:val="1058"/>
        </w:numPr>
        <w:pStyle w:val="Compact"/>
      </w:pPr>
      <w:r>
        <w:t xml:space="preserve">DPDP Act commencement notification G.S.R. 843(E), 13 November 2025 (section-wise dates): https://dpdp.myndsolution.com/wiki/notifications/gsr-843e-2025-commencement/</w:t>
      </w:r>
    </w:p>
    <w:p>
      <w:pPr>
        <w:numPr>
          <w:ilvl w:val="0"/>
          <w:numId w:val="1058"/>
        </w:numPr>
        <w:pStyle w:val="Compact"/>
      </w:pPr>
      <w:r>
        <w:t xml:space="preserve">DPDP Rules, Rule 13 (SDF: annual DPIA and audit; algorithmic due diligence): https://www.dpdpa.com/dpdparules/rule13.html</w:t>
      </w:r>
    </w:p>
    <w:p>
      <w:pPr>
        <w:numPr>
          <w:ilvl w:val="0"/>
          <w:numId w:val="1058"/>
        </w:numPr>
        <w:pStyle w:val="Compact"/>
      </w:pPr>
      <w:r>
        <w:t xml:space="preserve">DPDP Rules, Rule 15 (G.S.R. 846(E)): https://dpdp.myndsolution.com/wiki/rules/rule-15-transfer-of-personal-data-outside-the-territory-of-india/</w:t>
      </w:r>
    </w:p>
    <w:p>
      <w:pPr>
        <w:numPr>
          <w:ilvl w:val="0"/>
          <w:numId w:val="1058"/>
        </w:numPr>
        <w:pStyle w:val="Compact"/>
      </w:pPr>
      <w:r>
        <w:t xml:space="preserve">Labour Codes in force from 21 November 2025: https://ksandk.com/labour-employment/all-four-labour-codes-enforced-from-21-november-2025/</w:t>
      </w:r>
    </w:p>
    <w:bookmarkEnd w:id="178"/>
    <w:bookmarkEnd w:id="179"/>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Finbyx Master Services Agreement (model) · v1.0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Cambria" w:cs="Cambria" w:eastAsia="Cambria" w:hAnsi="Cambria"/>
      <w:sz w:val="21"/>
    </w:rPr>
  </w:style>
  <w:style w:styleId="BodyText" w:type="paragraph">
    <w:name w:val="Body Text"/>
    <w:basedOn w:val="Normal"/>
    <w:link w:val="BodyTextChar"/>
    <w:pPr>
      <w:spacing w:after="120" w:before="180"/>
      <w:jc w:val="both"/>
    </w:pPr>
    <w:qFormat/>
    <w:rPr>
      <w:rFonts w:ascii="Cambria" w:cs="Cambria" w:eastAsia="Cambria" w:hAnsi="Cambria"/>
      <w:sz w:val="21"/>
    </w:rPr>
  </w:style>
  <w:style w:customStyle="1" w:styleId="FirstParagraph" w:type="paragraph">
    <w:name w:val="First Paragraph"/>
    <w:basedOn w:val="BodyText"/>
    <w:next w:val="BodyText"/>
    <w:qFormat/>
    <w:pPr>
      <w:spacing w:after="120"/>
      <w:jc w:val="both"/>
    </w:pPr>
    <w:rPr>
      <w:rFonts w:ascii="Cambria" w:cs="Cambria" w:eastAsia="Cambria" w:hAnsi="Cambria"/>
      <w:sz w:val="21"/>
    </w:rPr>
  </w:style>
  <w:style w:customStyle="1" w:styleId="Compact" w:type="paragraph">
    <w:name w:val="Compact"/>
    <w:basedOn w:val="BodyText"/>
    <w:qFormat/>
    <w:pPr>
      <w:spacing w:after="36" w:before="36"/>
    </w:pPr>
    <w:rPr>
      <w:rFonts w:ascii="Cambria" w:cs="Cambria" w:eastAsia="Cambria" w:hAnsi="Cambria"/>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2026-10-19T14:07:51Z</dcterms:created>
  <dcterms:modified xsi:type="dcterms:W3CDTF">2026-10-19T14:07:51Z</dcterms:modified>
</cp:coreProperties>
</file>

<file path=docProps/custom.xml><?xml version="1.0" encoding="utf-8"?>
<Properties xmlns="http://schemas.openxmlformats.org/officeDocument/2006/custom-properties" xmlns:vt="http://schemas.openxmlformats.org/officeDocument/2006/docPropsVTypes"/>
</file>