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LENDING SERVICE PROVIDER AGREEMENT (Digital Lending)</w:t>
      </w:r>
    </w:p>
    <w:p>
      <w:pPr>
        <w:pStyle w:val="BodyText"/>
      </w:pPr>
      <w:r>
        <w:rPr>
          <w:bCs/>
          <w:b/>
        </w:rPr>
        <w:t xml:space="preserve">between [NAME OF NBFC] (the</w:t>
      </w:r>
      <w:r>
        <w:rPr>
          <w:bCs/>
          <w:b/>
        </w:rPr>
        <w:t xml:space="preserve"> </w:t>
      </w:r>
      <w:r>
        <w:rPr>
          <w:bCs/>
          <w:b/>
        </w:rPr>
        <w:t xml:space="preserve">“</w:t>
      </w:r>
      <w:r>
        <w:rPr>
          <w:bCs/>
          <w:b/>
        </w:rPr>
        <w:t xml:space="preserve">RE</w:t>
      </w:r>
      <w:r>
        <w:rPr>
          <w:bCs/>
          <w:b/>
        </w:rPr>
        <w:t xml:space="preserve">”</w:t>
      </w:r>
      <w:r>
        <w:rPr>
          <w:bCs/>
          <w:b/>
        </w:rPr>
        <w:t xml:space="preserve">) and [INFRABYX GROUP COMPANY] (Udofin) (the</w:t>
      </w:r>
      <w:r>
        <w:rPr>
          <w:bCs/>
          <w:b/>
        </w:rPr>
        <w:t xml:space="preserve"> </w:t>
      </w:r>
      <w:r>
        <w:rPr>
          <w:bCs/>
          <w:b/>
        </w:rPr>
        <w:t xml:space="preserve">“</w:t>
      </w:r>
      <w:r>
        <w:rPr>
          <w:bCs/>
          <w:b/>
        </w:rPr>
        <w:t xml:space="preserve">LSP</w:t>
      </w:r>
      <w:r>
        <w:rPr>
          <w:bCs/>
          <w:b/>
        </w:rPr>
        <w:t xml:space="preserve">”</w:t>
      </w:r>
      <w:r>
        <w:rPr>
          <w:bCs/>
          <w:b/>
        </w:rPr>
        <w:t xml:space="preserve">)</w:t>
      </w:r>
    </w:p>
    <w:p>
      <w:pPr>
        <w:pStyle w:val="BodyText"/>
      </w:pPr>
      <w:r>
        <w:rPr>
          <w:iCs/>
          <w:i/>
        </w:rPr>
        <w:t xml:space="preserve">Model agreement. Complete or select the bracketed text (</w:t>
      </w:r>
      <w:r>
        <w:rPr>
          <w:rStyle w:val="VerbatimChar"/>
          <w:iCs/>
          <w:i/>
        </w:rPr>
        <w:t xml:space="preserve">[●]</w:t>
      </w:r>
      <w:r>
        <w:rPr>
          <w:iCs/>
          <w:i/>
        </w:rPr>
        <w:t xml:space="preserve">,</w:t>
      </w:r>
      <w:r>
        <w:rPr>
          <w:iCs/>
          <w:i/>
        </w:rPr>
        <w:t xml:space="preserve"> </w:t>
      </w:r>
      <w:r>
        <w:rPr>
          <w:rStyle w:val="VerbatimChar"/>
          <w:iCs/>
          <w:i/>
        </w:rPr>
        <w:t xml:space="preserve">[Option A / Option B]</w:t>
      </w:r>
      <w:r>
        <w:rPr>
          <w:iCs/>
          <w:i/>
        </w:rPr>
        <w:t xml:space="preserve">) for each RE.</w:t>
      </w:r>
      <w:r>
        <w:rPr>
          <w:iCs/>
          <w:i/>
        </w:rPr>
        <w:t xml:space="preserve"> </w:t>
      </w:r>
      <w:r>
        <w:rPr>
          <w:bCs/>
          <w:b/>
          <w:iCs/>
          <w:i/>
        </w:rPr>
        <w:t xml:space="preserve">[Mandatory — RBI]</w:t>
      </w:r>
      <w:r>
        <w:rPr>
          <w:iCs/>
          <w:i/>
        </w:rPr>
        <w:t xml:space="preserve"> </w:t>
      </w:r>
      <w:r>
        <w:rPr>
          <w:iCs/>
          <w:i/>
        </w:rPr>
        <w:t xml:space="preserve">marks a term that implements an RBI Direction and</w:t>
      </w:r>
      <w:r>
        <w:rPr>
          <w:iCs/>
          <w:i/>
        </w:rPr>
        <w:t xml:space="preserve"> </w:t>
      </w:r>
      <w:r>
        <w:rPr>
          <w:bCs/>
          <w:b/>
          <w:iCs/>
          <w:i/>
        </w:rPr>
        <w:t xml:space="preserve">[Mandatory — Law]</w:t>
      </w:r>
      <w:r>
        <w:rPr>
          <w:iCs/>
          <w:i/>
        </w:rPr>
        <w:t xml:space="preserve"> </w:t>
      </w:r>
      <w:r>
        <w:rPr>
          <w:iCs/>
          <w:i/>
        </w:rPr>
        <w:t xml:space="preserve">a term that implements a statute. These are regulatory floors: they may not be deleted, diluted or traded for commercial terms.</w:t>
      </w:r>
      <w:r>
        <w:rPr>
          <w:iCs/>
          <w:i/>
        </w:rPr>
        <w:t xml:space="preserve"> </w:t>
      </w:r>
      <w:r>
        <w:rPr>
          <w:bCs/>
          <w:b/>
          <w:iCs/>
          <w:i/>
        </w:rPr>
        <w:t xml:space="preserve">[Option]</w:t>
      </w:r>
      <w:r>
        <w:rPr>
          <w:iCs/>
          <w:i/>
        </w:rPr>
        <w:t xml:space="preserve"> </w:t>
      </w:r>
      <w:r>
        <w:rPr>
          <w:iCs/>
          <w:i/>
        </w:rPr>
        <w:t xml:space="preserve">marks a commercial choice. Unmarked clauses are the recommended standard and may be negotiated. Delete italic drafting notes before execution.</w:t>
      </w:r>
    </w:p>
    <w:p>
      <w:pPr>
        <w:pStyle w:val="BodyText"/>
      </w:pPr>
      <w:r>
        <w:rPr>
          <w:iCs/>
          <w:i/>
        </w:rPr>
        <w:t xml:space="preserve">Drafting note: Drafted for an NBFC, including an HFC (CF para 3(1)(vii)). For a bank RE, the Commercial Banks Directions on digital lending, outsourcing, KYC and conduct apply, and every citation must be re-mapped [VERIFY: bank Directions not in the supplied pack].</w:t>
      </w:r>
    </w:p>
    <w:p>
      <w:pPr>
        <w:pStyle w:val="BodyText"/>
      </w:pPr>
      <w:r>
        <w:t xml:space="preserve">THIS LENDING SERVICE PROVIDER AGREEMENT (the</w:t>
      </w:r>
      <w:r>
        <w:t xml:space="preserve"> </w:t>
      </w:r>
      <w:r>
        <w:t xml:space="preserve">“</w:t>
      </w:r>
      <w:r>
        <w:rPr>
          <w:bCs/>
          <w:b/>
        </w:rPr>
        <w:t xml:space="preserve">Agreement</w:t>
      </w:r>
      <w:r>
        <w:t xml:space="preserve">”</w:t>
      </w:r>
      <w:r>
        <w:t xml:space="preserve">) is made at [place] on [●] 20[●] (the</w:t>
      </w:r>
      <w:r>
        <w:t xml:space="preserve"> </w:t>
      </w:r>
      <w:r>
        <w:t xml:space="preserve">“</w:t>
      </w:r>
      <w:r>
        <w:rPr>
          <w:bCs/>
          <w:b/>
        </w:rPr>
        <w:t xml:space="preserve">Execution Date</w:t>
      </w:r>
      <w:r>
        <w:t xml:space="preserve">”</w:t>
      </w:r>
      <w:r>
        <w:t xml:space="preserve">)</w:t>
      </w:r>
    </w:p>
    <w:p>
      <w:pPr>
        <w:pStyle w:val="BodyText"/>
      </w:pPr>
      <w:r>
        <w:rPr>
          <w:bCs/>
          <w:b/>
        </w:rPr>
        <w:t xml:space="preserve">BETWEEN</w:t>
      </w:r>
    </w:p>
    <w:p>
      <w:pPr>
        <w:pStyle w:val="BodyText"/>
      </w:pPr>
      <w:r>
        <w:rPr>
          <w:bCs/>
          <w:b/>
        </w:rPr>
        <w:t xml:space="preserve">[NAME OF NBFC]</w:t>
      </w:r>
      <w:r>
        <w:t xml:space="preserve">, a company incorporated under the [Companies Act, 2013 / Companies Act, 1956], CIN [●], holding Certificate of Registration No. [●] dated [●] issued by the Reserve Bank of India under section 45-IA of the Reserve Bank of India Act, 1934 [</w:t>
      </w:r>
      <w:r>
        <w:rPr>
          <w:iCs/>
          <w:i/>
        </w:rPr>
        <w:t xml:space="preserve">for an HFC:</w:t>
      </w:r>
      <w:r>
        <w:t xml:space="preserve"> </w:t>
      </w:r>
      <w:r>
        <w:t xml:space="preserve">section 29A of the National Housing Bank Act, 1987], classified as [NBFC-ICC / NBFC-MFI / HFC / ●] in the [Base / Middle / Upper] Layer, with its registered office at [●], acting through [name, designation] authorised by [board / committee] resolution dated [●] (the</w:t>
      </w:r>
      <w:r>
        <w:t xml:space="preserve"> </w:t>
      </w:r>
      <w:r>
        <w:t xml:space="preserve">“</w:t>
      </w:r>
      <w:r>
        <w:rPr>
          <w:bCs/>
          <w:b/>
        </w:rPr>
        <w:t xml:space="preserve">RE</w:t>
      </w:r>
      <w:r>
        <w:t xml:space="preserve">”</w:t>
      </w:r>
      <w:r>
        <w:t xml:space="preserve">, which expression includes its successors and permitted assigns), of the</w:t>
      </w:r>
      <w:r>
        <w:t xml:space="preserve"> </w:t>
      </w:r>
      <w:r>
        <w:rPr>
          <w:bCs/>
          <w:b/>
        </w:rPr>
        <w:t xml:space="preserve">FIRST PART</w:t>
      </w:r>
      <w:r>
        <w:t xml:space="preserve">;</w:t>
      </w:r>
    </w:p>
    <w:p>
      <w:pPr>
        <w:pStyle w:val="BodyText"/>
      </w:pPr>
      <w:r>
        <w:rPr>
          <w:bCs/>
          <w:b/>
        </w:rPr>
        <w:t xml:space="preserve">AND</w:t>
      </w:r>
    </w:p>
    <w:p>
      <w:pPr>
        <w:pStyle w:val="BodyText"/>
      </w:pPr>
      <w:r>
        <w:rPr>
          <w:bCs/>
          <w:b/>
        </w:rPr>
        <w:t xml:space="preserve">[INFRABYX GROUP COMPANY]</w:t>
      </w:r>
      <w:r>
        <w:t xml:space="preserve">, a company incorporated under the Companies Act, 2013, CIN [●], PAN [●], GSTIN [●], with its registered office at [●], which owns and operates the digital lending platform and apps marketed as</w:t>
      </w:r>
      <w:r>
        <w:t xml:space="preserve"> </w:t>
      </w:r>
      <w:r>
        <w:t xml:space="preserve">“</w:t>
      </w:r>
      <w:r>
        <w:rPr>
          <w:bCs/>
          <w:b/>
        </w:rPr>
        <w:t xml:space="preserve">Udofin</w:t>
      </w:r>
      <w:r>
        <w:t xml:space="preserve">”</w:t>
      </w:r>
      <w:r>
        <w:t xml:space="preserve">, acting through [name, designation] authorised by board resolution dated [●] (the</w:t>
      </w:r>
      <w:r>
        <w:t xml:space="preserve"> </w:t>
      </w:r>
      <w:r>
        <w:t xml:space="preserve">“</w:t>
      </w:r>
      <w:r>
        <w:rPr>
          <w:bCs/>
          <w:b/>
        </w:rPr>
        <w:t xml:space="preserve">LSP</w:t>
      </w:r>
      <w:r>
        <w:t xml:space="preserve">”</w:t>
      </w:r>
      <w:r>
        <w:t xml:space="preserve">, which expression includes its successors and permitted assigns), of the</w:t>
      </w:r>
      <w:r>
        <w:t xml:space="preserve"> </w:t>
      </w:r>
      <w:r>
        <w:rPr>
          <w:bCs/>
          <w:b/>
        </w:rPr>
        <w:t xml:space="preserve">SECOND PART</w:t>
      </w:r>
      <w:r>
        <w:t xml:space="preserve">.</w:t>
      </w:r>
    </w:p>
    <w:p>
      <w:pPr>
        <w:pStyle w:val="BodyText"/>
      </w:pPr>
      <w:r>
        <w:rPr>
          <w:iCs/>
          <w:i/>
        </w:rPr>
        <w:t xml:space="preserve">Drafting note: A DLG provider must be incorporated as a company under the Companies Act, 2013 (CF para 19). Section 2(20) of the Companies Act, 2013 defines</w:t>
      </w:r>
      <w:r>
        <w:rPr>
          <w:iCs/>
          <w:i/>
        </w:rPr>
        <w:t xml:space="preserve"> </w:t>
      </w:r>
      <w:r>
        <w:rPr>
          <w:iCs/>
          <w:i/>
        </w:rPr>
        <w:t xml:space="preserve">“</w:t>
      </w:r>
      <w:r>
        <w:rPr>
          <w:iCs/>
          <w:i/>
        </w:rPr>
        <w:t xml:space="preserve">company</w:t>
      </w:r>
      <w:r>
        <w:rPr>
          <w:iCs/>
          <w:i/>
        </w:rPr>
        <w:t xml:space="preserve">”</w:t>
      </w:r>
      <w:r>
        <w:rPr>
          <w:iCs/>
          <w:i/>
        </w:rPr>
        <w:t xml:space="preserve"> </w:t>
      </w:r>
      <w:r>
        <w:rPr>
          <w:iCs/>
          <w:i/>
        </w:rPr>
        <w:t xml:space="preserve">to include a company incorporated under any previous company law, so an entity incorporated under the 1956 Act is generally regarded as eligible; record the RE’s documented policy view on this point [VERIFY]. An LLP, partnership or foreign company is not eligible. Confirm the entity and CIN before execution.</w:t>
      </w:r>
    </w:p>
    <w:bookmarkStart w:id="20" w:name="recitals"/>
    <w:p>
      <w:pPr>
        <w:pStyle w:val="Heading2"/>
      </w:pPr>
      <w:r>
        <w:t xml:space="preserve">RECITALS</w:t>
      </w:r>
    </w:p>
    <w:p>
      <w:pPr>
        <w:numPr>
          <w:ilvl w:val="0"/>
          <w:numId w:val="1001"/>
        </w:numPr>
      </w:pPr>
      <w:r>
        <w:t xml:space="preserve">The RE is a non-banking financial company registered with the Reserve Bank of India (</w:t>
      </w:r>
      <w:r>
        <w:t xml:space="preserve">“</w:t>
      </w:r>
      <w:r>
        <w:rPr>
          <w:bCs/>
          <w:b/>
        </w:rPr>
        <w:t xml:space="preserve">RBI</w:t>
      </w:r>
      <w:r>
        <w:t xml:space="preserve">”</w:t>
      </w:r>
      <w:r>
        <w:t xml:space="preserve">) that extends credit, including through Digital Lending, under its Board-approved credit policy.</w:t>
      </w:r>
    </w:p>
    <w:p>
      <w:pPr>
        <w:numPr>
          <w:ilvl w:val="0"/>
          <w:numId w:val="1001"/>
        </w:numPr>
      </w:pPr>
      <w:r>
        <w:t xml:space="preserve">The LSP operates the Udofin platform (Android and iOS apps, a web application, interfaces and portals), through which it sources, onboards and services borrowers for several regulated entities. Each Udofin app and web journey is a Digital Lending App (CF para 4(1)(x)).</w:t>
      </w:r>
    </w:p>
    <w:p>
      <w:pPr>
        <w:numPr>
          <w:ilvl w:val="0"/>
          <w:numId w:val="1001"/>
        </w:numPr>
      </w:pPr>
      <w:r>
        <w:t xml:space="preserve">A lending service provider is</w:t>
      </w:r>
      <w:r>
        <w:t xml:space="preserve"> </w:t>
      </w:r>
      <w:r>
        <w:t xml:space="preserve">“</w:t>
      </w:r>
      <w:r>
        <w:t xml:space="preserve">an agent of an NBFC …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w:t>
      </w:r>
      <w:r>
        <w:t xml:space="preserve">(CF para 4(1)(xix)).</w:t>
      </w:r>
    </w:p>
    <w:p>
      <w:pPr>
        <w:numPr>
          <w:ilvl w:val="0"/>
          <w:numId w:val="1001"/>
        </w:numPr>
      </w:pPr>
      <w:r>
        <w:t xml:space="preserve">Digital lending through an LSP must be carried out under a contract that clearly defines the roles, rights and obligations of each party (CF para 6(1)). Such a contract does not dilute the RE’s obligations, and the RE remains fully responsible and liable for all acts and omissions of the LSP (CF para 6(7)).</w:t>
      </w:r>
    </w:p>
    <w:p>
      <w:pPr>
        <w:numPr>
          <w:ilvl w:val="0"/>
          <w:numId w:val="1001"/>
        </w:numPr>
      </w:pPr>
      <w:r>
        <w:t xml:space="preserve">The arrangement is outsourcing of financial services under Chapter III of the OUT Directions (OUT paras 4(1), 58(3)(iii)) and, to the extent the LSP hosts systems or data for the RE, may also be IT outsourcing under Chapter IV (OUT paras 5(1), 58(2)), as the RE assesses.</w:t>
      </w:r>
    </w:p>
    <w:p>
      <w:pPr>
        <w:numPr>
          <w:ilvl w:val="0"/>
          <w:numId w:val="1001"/>
        </w:numPr>
      </w:pPr>
      <w:r>
        <w:t xml:space="preserve">The RE has carried out enhanced due diligence on the LSP (CF para 6(2); OUT paras 29–32, 71) and obtained the approvals required by its outsourcing policy.</w:t>
      </w:r>
    </w:p>
    <w:p>
      <w:pPr>
        <w:numPr>
          <w:ilvl w:val="0"/>
          <w:numId w:val="1001"/>
        </w:numPr>
      </w:pPr>
      <w:r>
        <w:t xml:space="preserve">The LSP has agreements with more than one lender, so CF para 7 applies to the display of offers on the Udofin DLAs.</w:t>
      </w:r>
    </w:p>
    <w:p>
      <w:pPr>
        <w:numPr>
          <w:ilvl w:val="0"/>
          <w:numId w:val="1001"/>
        </w:numPr>
      </w:pPr>
      <w:r>
        <w:t xml:space="preserve">The RE wishes to appoint the LSP, on a non-exclusive basis, to perform the LSP Functions. The Parties may also agree recovery-agent services or a Default Loss Guarantee, but only by executing Schedule 10 or Schedule 11.</w:t>
      </w:r>
    </w:p>
    <w:p>
      <w:pPr>
        <w:pStyle w:val="FirstParagraph"/>
      </w:pPr>
      <w:r>
        <w:t xml:space="preserve">NOW THE PARTIES AGREE AS FOLLOWS:</w:t>
      </w:r>
    </w:p>
    <w:bookmarkEnd w:id="20"/>
    <w:bookmarkStart w:id="21" w:name="definitions-and-interpretation"/>
    <w:p>
      <w:pPr>
        <w:pStyle w:val="Heading1"/>
      </w:pPr>
      <w:r>
        <w:t xml:space="preserve">1. DEFINITIONS AND INTERPRETATION</w:t>
      </w:r>
    </w:p>
    <w:p>
      <w:pPr>
        <w:pStyle w:val="FirstParagraph"/>
      </w:pPr>
      <w:r>
        <w:rPr>
          <w:bCs/>
          <w:b/>
        </w:rPr>
        <w:t xml:space="preserve">1.1 Definitions.</w:t>
      </w:r>
      <w:r>
        <w:t xml:space="preserve"> </w:t>
      </w:r>
      <w:r>
        <w:t xml:space="preserve">In this Agreement:</w:t>
      </w:r>
    </w:p>
    <w:p>
      <w:pPr>
        <w:pStyle w:val="BodyText"/>
      </w:pPr>
      <w:r>
        <w:t xml:space="preserve">“</w:t>
      </w:r>
      <w:r>
        <w:rPr>
          <w:bCs/>
          <w:b/>
        </w:rPr>
        <w:t xml:space="preserve">Applicable Law</w:t>
      </w:r>
      <w:r>
        <w:t xml:space="preserve">”</w:t>
      </w:r>
      <w:r>
        <w:t xml:space="preserve"> </w:t>
      </w:r>
      <w:r>
        <w:t xml:space="preserve">means all Indian statutes, rules, regulations, directions, circulars, orders and judgments applicable to a Party, the Services, the Loans or the processing of Personal Data, including the Regulatory Requirements.</w:t>
      </w:r>
    </w:p>
    <w:p>
      <w:pPr>
        <w:pStyle w:val="BodyText"/>
      </w:pPr>
      <w:r>
        <w:t xml:space="preserve">“</w:t>
      </w:r>
      <w:r>
        <w:rPr>
          <w:bCs/>
          <w:b/>
        </w:rPr>
        <w:t xml:space="preserve">Affiliate</w:t>
      </w:r>
      <w:r>
        <w:t xml:space="preserve">”</w:t>
      </w:r>
      <w:r>
        <w:t xml:space="preserve"> </w:t>
      </w:r>
      <w:r>
        <w:t xml:space="preserve">means, for a company, its holding company, subsidiaries and fellow subsidiaries.</w:t>
      </w:r>
    </w:p>
    <w:p>
      <w:pPr>
        <w:pStyle w:val="BodyText"/>
      </w:pPr>
      <w:r>
        <w:t xml:space="preserve">“</w:t>
      </w:r>
      <w:r>
        <w:rPr>
          <w:bCs/>
          <w:b/>
        </w:rPr>
        <w:t xml:space="preserve">APR</w:t>
      </w:r>
      <w:r>
        <w:t xml:space="preserve">”</w:t>
      </w:r>
      <w:r>
        <w:t xml:space="preserve"> </w:t>
      </w:r>
      <w:r>
        <w:t xml:space="preserve">means the annual cost of credit to the borrower, including the interest rate and all other charges associated with the credit facility (RBC para 6(1); CF para 4(1)(ii)).</w:t>
      </w:r>
    </w:p>
    <w:p>
      <w:pPr>
        <w:pStyle w:val="BodyText"/>
      </w:pPr>
      <w:r>
        <w:t xml:space="preserve">“</w:t>
      </w:r>
      <w:r>
        <w:rPr>
          <w:bCs/>
          <w:b/>
        </w:rPr>
        <w:t xml:space="preserve">Audit Trail</w:t>
      </w:r>
      <w:r>
        <w:t xml:space="preserve">”</w:t>
      </w:r>
      <w:r>
        <w:t xml:space="preserve"> </w:t>
      </w:r>
      <w:r>
        <w:t xml:space="preserve">means a complete, time-stamped, tamper-evident record of an event, consent, instruction or change that identifies the actor, the action, the data affected and the time.</w:t>
      </w:r>
    </w:p>
    <w:p>
      <w:pPr>
        <w:pStyle w:val="BodyText"/>
      </w:pPr>
      <w:r>
        <w:t xml:space="preserve">“</w:t>
      </w:r>
      <w:r>
        <w:rPr>
          <w:bCs/>
          <w:b/>
        </w:rPr>
        <w:t xml:space="preserve">Basic Minimal Data</w:t>
      </w:r>
      <w:r>
        <w:t xml:space="preserve">”</w:t>
      </w:r>
      <w:r>
        <w:t xml:space="preserve"> </w:t>
      </w:r>
      <w:r>
        <w:t xml:space="preserve">means the personal information of a Borrower that the LSP may store under CF para 14(1), namely name, address, contact details and other basic minimal data required to perform the Services, as listed exhaustively in Part B of Schedule 7.</w:t>
      </w:r>
    </w:p>
    <w:p>
      <w:pPr>
        <w:pStyle w:val="BodyText"/>
      </w:pPr>
      <w:r>
        <w:t xml:space="preserve">“</w:t>
      </w:r>
      <w:r>
        <w:rPr>
          <w:bCs/>
          <w:b/>
        </w:rPr>
        <w:t xml:space="preserve">Borrower</w:t>
      </w:r>
      <w:r>
        <w:t xml:space="preserve">”</w:t>
      </w:r>
      <w:r>
        <w:t xml:space="preserve"> </w:t>
      </w:r>
      <w:r>
        <w:t xml:space="preserve">means a person who applies for, is offered or avails a Loan through a DLA, and includes a co-borrower and a guarantor where the context requires.</w:t>
      </w:r>
    </w:p>
    <w:p>
      <w:pPr>
        <w:pStyle w:val="BodyText"/>
      </w:pPr>
      <w:r>
        <w:t xml:space="preserve">“</w:t>
      </w:r>
      <w:r>
        <w:rPr>
          <w:bCs/>
          <w:b/>
        </w:rPr>
        <w:t xml:space="preserve">Commencement Date</w:t>
      </w:r>
      <w:r>
        <w:t xml:space="preserve">”</w:t>
      </w:r>
      <w:r>
        <w:t xml:space="preserve"> </w:t>
      </w:r>
      <w:r>
        <w:t xml:space="preserve">means the date of the RE’s written go-live notice under Clause 2.5.</w:t>
      </w:r>
    </w:p>
    <w:p>
      <w:pPr>
        <w:pStyle w:val="BodyText"/>
      </w:pPr>
      <w:r>
        <w:t xml:space="preserve">“</w:t>
      </w:r>
      <w:r>
        <w:rPr>
          <w:bCs/>
          <w:b/>
        </w:rPr>
        <w:t xml:space="preserve">Consent</w:t>
      </w:r>
      <w:r>
        <w:t xml:space="preserve">”</w:t>
      </w:r>
      <w:r>
        <w:t xml:space="preserve"> </w:t>
      </w:r>
      <w:r>
        <w:t xml:space="preserve">means a free, specific, informed, unconditional and unambiguous indication of a Borrower’s wishes, given by a clear affirmative action for a stated purpose, recorded with an Audit Trail, and compliant with CF para 13 and, once in force, sections 5 and 6 of the DPDP Act.</w:t>
      </w:r>
    </w:p>
    <w:p>
      <w:pPr>
        <w:pStyle w:val="BodyText"/>
      </w:pPr>
      <w:r>
        <w:t xml:space="preserve">“</w:t>
      </w:r>
      <w:r>
        <w:rPr>
          <w:bCs/>
          <w:b/>
        </w:rPr>
        <w:t xml:space="preserve">Cooling-off Period</w:t>
      </w:r>
      <w:r>
        <w:t xml:space="preserve">”</w:t>
      </w:r>
      <w:r>
        <w:t xml:space="preserve"> </w:t>
      </w:r>
      <w:r>
        <w:t xml:space="preserve">means the period fixed by the RE’s credit policy under CF para 11(1), not less than one day, as stated for each Product in Schedule 4.</w:t>
      </w:r>
    </w:p>
    <w:p>
      <w:pPr>
        <w:pStyle w:val="BodyText"/>
      </w:pPr>
      <w:r>
        <w:t xml:space="preserve">“</w:t>
      </w:r>
      <w:r>
        <w:rPr>
          <w:bCs/>
          <w:b/>
        </w:rPr>
        <w:t xml:space="preserve">Cyber Incident</w:t>
      </w:r>
      <w:r>
        <w:t xml:space="preserve">”</w:t>
      </w:r>
      <w:r>
        <w:t xml:space="preserve"> </w:t>
      </w:r>
      <w:r>
        <w:t xml:space="preserve">means any actual or suspected event affecting the confidentiality, integrity or availability of the Udofin Platform, a DLA, RE Data or Borrower data, including a Personal Data Breach, unauthorised access, malware, denial of service, credential or key compromise, and any incident type listed in the CERT-In Directions.</w:t>
      </w:r>
    </w:p>
    <w:p>
      <w:pPr>
        <w:pStyle w:val="BodyText"/>
      </w:pPr>
      <w:r>
        <w:t xml:space="preserve">“</w:t>
      </w:r>
      <w:r>
        <w:rPr>
          <w:bCs/>
          <w:b/>
        </w:rPr>
        <w:t xml:space="preserve">Data Protection Laws</w:t>
      </w:r>
      <w:r>
        <w:t xml:space="preserve">”</w:t>
      </w:r>
      <w:r>
        <w:t xml:space="preserve"> </w:t>
      </w:r>
      <w:r>
        <w:t xml:space="preserve">means the IT Act and its rules (including, until they cease to apply, the Information Technology (Reasonable Security Practices and Procedures and Sensitive Personal Data or Information) Rules, 2011), the DPDP Act, the DPDP Rules, the Aadhaar Act, CICRA and CF paras 13–16.</w:t>
      </w:r>
    </w:p>
    <w:p>
      <w:pPr>
        <w:pStyle w:val="BodyText"/>
      </w:pPr>
      <w:r>
        <w:t xml:space="preserve">“</w:t>
      </w:r>
      <w:r>
        <w:rPr>
          <w:bCs/>
          <w:b/>
        </w:rPr>
        <w:t xml:space="preserve">DLA</w:t>
      </w:r>
      <w:r>
        <w:t xml:space="preserve">”</w:t>
      </w:r>
      <w:r>
        <w:t xml:space="preserve"> </w:t>
      </w:r>
      <w:r>
        <w:t xml:space="preserve">means a Digital Lending App as defined in CF para 4(1)(x), and in this Agreement each DLA listed in Schedule 3, including each Udofin DLA.</w:t>
      </w:r>
    </w:p>
    <w:p>
      <w:pPr>
        <w:pStyle w:val="BodyText"/>
      </w:pPr>
      <w:r>
        <w:t xml:space="preserve">“</w:t>
      </w:r>
      <w:r>
        <w:rPr>
          <w:bCs/>
          <w:b/>
        </w:rPr>
        <w:t xml:space="preserve">DLG</w:t>
      </w:r>
      <w:r>
        <w:t xml:space="preserve">”</w:t>
      </w:r>
      <w:r>
        <w:t xml:space="preserve"> </w:t>
      </w:r>
      <w:r>
        <w:t xml:space="preserve">or</w:t>
      </w:r>
      <w:r>
        <w:t xml:space="preserve"> </w:t>
      </w:r>
      <w:r>
        <w:t xml:space="preserve">“</w:t>
      </w:r>
      <w:r>
        <w:rPr>
          <w:bCs/>
          <w:b/>
        </w:rPr>
        <w:t xml:space="preserve">Default Loss Guarantee</w:t>
      </w:r>
      <w:r>
        <w:t xml:space="preserve">”</w:t>
      </w:r>
      <w:r>
        <w:t xml:space="preserve"> </w:t>
      </w:r>
      <w:r>
        <w:t xml:space="preserve">has the meaning in CF para 4(1)(viii): a contract, by whatever name called, under which another entity guarantees to compensate the RE for loss due to default up to a percentage of the loan portfolio specified upfront, including any implicit guarantee of similar nature linked to portfolio performance and specified upfront.</w:t>
      </w:r>
    </w:p>
    <w:p>
      <w:pPr>
        <w:pStyle w:val="BodyText"/>
      </w:pPr>
      <w:r>
        <w:t xml:space="preserve">“</w:t>
      </w:r>
      <w:r>
        <w:rPr>
          <w:bCs/>
          <w:b/>
        </w:rPr>
        <w:t xml:space="preserve">DLG Agreement</w:t>
      </w:r>
      <w:r>
        <w:t xml:space="preserve">”</w:t>
      </w:r>
      <w:r>
        <w:t xml:space="preserve"> </w:t>
      </w:r>
      <w:r>
        <w:t xml:space="preserve">means the agreement in the form of Schedule 11, if executed.</w:t>
      </w:r>
    </w:p>
    <w:p>
      <w:pPr>
        <w:pStyle w:val="BodyText"/>
      </w:pPr>
      <w:r>
        <w:t xml:space="preserve">“</w:t>
      </w:r>
      <w:r>
        <w:rPr>
          <w:bCs/>
          <w:b/>
        </w:rPr>
        <w:t xml:space="preserve">Digital Lending</w:t>
      </w:r>
      <w:r>
        <w:t xml:space="preserve">”</w:t>
      </w:r>
      <w:r>
        <w:t xml:space="preserve"> </w:t>
      </w:r>
      <w:r>
        <w:t xml:space="preserve">has the meaning in CF para 4(1)(ix).</w:t>
      </w:r>
    </w:p>
    <w:p>
      <w:pPr>
        <w:pStyle w:val="BodyText"/>
      </w:pPr>
      <w:r>
        <w:t xml:space="preserve">“</w:t>
      </w:r>
      <w:r>
        <w:rPr>
          <w:bCs/>
          <w:b/>
        </w:rPr>
        <w:t xml:space="preserve">End-use Beneficiary</w:t>
      </w:r>
      <w:r>
        <w:t xml:space="preserve">”</w:t>
      </w:r>
      <w:r>
        <w:t xml:space="preserve"> </w:t>
      </w:r>
      <w:r>
        <w:t xml:space="preserve">means a person to whose bank account a Loan for a specific end use is disbursed directly under CF para 10(1), as permitted for a Product in Schedule 4.</w:t>
      </w:r>
    </w:p>
    <w:p>
      <w:pPr>
        <w:pStyle w:val="BodyText"/>
      </w:pPr>
      <w:r>
        <w:t xml:space="preserve">“</w:t>
      </w:r>
      <w:r>
        <w:rPr>
          <w:bCs/>
          <w:b/>
        </w:rPr>
        <w:t xml:space="preserve">Equator</w:t>
      </w:r>
      <w:r>
        <w:t xml:space="preserve">”</w:t>
      </w:r>
      <w:r>
        <w:t xml:space="preserve"> </w:t>
      </w:r>
      <w:r>
        <w:t xml:space="preserve">means the online dispute resolution platform</w:t>
      </w:r>
      <w:r>
        <w:t xml:space="preserve"> </w:t>
      </w:r>
      <w:r>
        <w:t xml:space="preserve">“</w:t>
      </w:r>
      <w:r>
        <w:t xml:space="preserve">Equator Resolution</w:t>
      </w:r>
      <w:r>
        <w:t xml:space="preserve">”</w:t>
      </w:r>
      <w:r>
        <w:t xml:space="preserve"> </w:t>
      </w:r>
      <w:r>
        <w:t xml:space="preserve">operated by [●], an Affiliate of the LSP.</w:t>
      </w:r>
    </w:p>
    <w:p>
      <w:pPr>
        <w:pStyle w:val="BodyText"/>
      </w:pPr>
      <w:r>
        <w:t xml:space="preserve">“</w:t>
      </w:r>
      <w:r>
        <w:rPr>
          <w:bCs/>
          <w:b/>
        </w:rPr>
        <w:t xml:space="preserve">Fees</w:t>
      </w:r>
      <w:r>
        <w:t xml:space="preserve">”</w:t>
      </w:r>
      <w:r>
        <w:t xml:space="preserve"> </w:t>
      </w:r>
      <w:r>
        <w:t xml:space="preserve">means the fees payable by the RE to the LSP under Schedule 1.</w:t>
      </w:r>
    </w:p>
    <w:p>
      <w:pPr>
        <w:pStyle w:val="BodyText"/>
      </w:pPr>
      <w:r>
        <w:t xml:space="preserve">“</w:t>
      </w:r>
      <w:r>
        <w:rPr>
          <w:bCs/>
          <w:b/>
        </w:rPr>
        <w:t xml:space="preserve">Good Industry Practice</w:t>
      </w:r>
      <w:r>
        <w:t xml:space="preserve">”</w:t>
      </w:r>
      <w:r>
        <w:t xml:space="preserve"> </w:t>
      </w:r>
      <w:r>
        <w:t xml:space="preserve">means the skill, care and diligence expected of an experienced provider of digital lending services to Indian regulated entities, and not less than the standard the RE would apply if it performed the activity itself (OUT para 18(v)).</w:t>
      </w:r>
    </w:p>
    <w:p>
      <w:pPr>
        <w:pStyle w:val="BodyText"/>
      </w:pPr>
      <w:r>
        <w:t xml:space="preserve">“</w:t>
      </w:r>
      <w:r>
        <w:rPr>
          <w:bCs/>
          <w:b/>
        </w:rPr>
        <w:t xml:space="preserve">Governmental Authority</w:t>
      </w:r>
      <w:r>
        <w:t xml:space="preserve">”</w:t>
      </w:r>
      <w:r>
        <w:t xml:space="preserve"> </w:t>
      </w:r>
      <w:r>
        <w:t xml:space="preserve">means any Indian government, statutory or regulatory authority, court or tribunal, including RBI, the National Housing Bank, FIU-IND, UIDAI, CERT-In, the Data Protection Board of India, the Central Consumer Protection Authority, TRAI and the Department of Telecommunications.</w:t>
      </w:r>
    </w:p>
    <w:p>
      <w:pPr>
        <w:pStyle w:val="BodyText"/>
      </w:pPr>
      <w:r>
        <w:t xml:space="preserve">“</w:t>
      </w:r>
      <w:r>
        <w:rPr>
          <w:bCs/>
          <w:b/>
        </w:rPr>
        <w:t xml:space="preserve">GRO</w:t>
      </w:r>
      <w:r>
        <w:t xml:space="preserve">”</w:t>
      </w:r>
      <w:r>
        <w:t xml:space="preserve"> </w:t>
      </w:r>
      <w:r>
        <w:t xml:space="preserve">means the RE’s Grievance Redressal Officer, and</w:t>
      </w:r>
      <w:r>
        <w:t xml:space="preserve"> </w:t>
      </w:r>
      <w:r>
        <w:t xml:space="preserve">“</w:t>
      </w:r>
      <w:r>
        <w:rPr>
          <w:bCs/>
          <w:b/>
        </w:rPr>
        <w:t xml:space="preserve">Nodal GRO</w:t>
      </w:r>
      <w:r>
        <w:t xml:space="preserve">”</w:t>
      </w:r>
      <w:r>
        <w:t xml:space="preserve"> </w:t>
      </w:r>
      <w:r>
        <w:t xml:space="preserve">means the nodal grievance redressal officer designated by the LSP under CF para 12(1).</w:t>
      </w:r>
    </w:p>
    <w:p>
      <w:pPr>
        <w:pStyle w:val="BodyText"/>
      </w:pPr>
      <w:r>
        <w:t xml:space="preserve">“</w:t>
      </w:r>
      <w:r>
        <w:rPr>
          <w:bCs/>
          <w:b/>
        </w:rPr>
        <w:t xml:space="preserve">Infrabyx Group</w:t>
      </w:r>
      <w:r>
        <w:t xml:space="preserve">”</w:t>
      </w:r>
      <w:r>
        <w:t xml:space="preserve"> </w:t>
      </w:r>
      <w:r>
        <w:t xml:space="preserve">means [Infrabyx ●] and its Affiliates.</w:t>
      </w:r>
    </w:p>
    <w:p>
      <w:pPr>
        <w:pStyle w:val="BodyText"/>
      </w:pPr>
      <w:r>
        <w:t xml:space="preserve">“</w:t>
      </w:r>
      <w:r>
        <w:rPr>
          <w:bCs/>
          <w:b/>
        </w:rPr>
        <w:t xml:space="preserve">KFS</w:t>
      </w:r>
      <w:r>
        <w:t xml:space="preserve">”</w:t>
      </w:r>
      <w:r>
        <w:t xml:space="preserve"> </w:t>
      </w:r>
      <w:r>
        <w:t xml:space="preserve">means the Key Facts Statement issued by the RE under RBC para 29 and CF para 9(1).</w:t>
      </w:r>
    </w:p>
    <w:p>
      <w:pPr>
        <w:pStyle w:val="BodyText"/>
      </w:pPr>
      <w:r>
        <w:t xml:space="preserve">“</w:t>
      </w:r>
      <w:r>
        <w:rPr>
          <w:bCs/>
          <w:b/>
        </w:rPr>
        <w:t xml:space="preserve">KYC Decision</w:t>
      </w:r>
      <w:r>
        <w:t xml:space="preserve">”</w:t>
      </w:r>
      <w:r>
        <w:t xml:space="preserve"> </w:t>
      </w:r>
      <w:r>
        <w:t xml:space="preserve">means the RE’s determination of compliance with KYC norms for a Borrower, including customer acceptance and risk categorisation.</w:t>
      </w:r>
    </w:p>
    <w:p>
      <w:pPr>
        <w:pStyle w:val="BodyText"/>
      </w:pPr>
      <w:r>
        <w:t xml:space="preserve">“</w:t>
      </w:r>
      <w:r>
        <w:rPr>
          <w:bCs/>
          <w:b/>
        </w:rPr>
        <w:t xml:space="preserve">Loan</w:t>
      </w:r>
      <w:r>
        <w:t xml:space="preserve">”</w:t>
      </w:r>
      <w:r>
        <w:t xml:space="preserve"> </w:t>
      </w:r>
      <w:r>
        <w:t xml:space="preserve">means any credit facility extended by the RE that is sourced, onboarded, serviced or monitored, wholly or partly, through a DLA or with the LSP’s support.</w:t>
      </w:r>
    </w:p>
    <w:p>
      <w:pPr>
        <w:pStyle w:val="BodyText"/>
      </w:pPr>
      <w:r>
        <w:t xml:space="preserve">“</w:t>
      </w:r>
      <w:r>
        <w:rPr>
          <w:bCs/>
          <w:b/>
        </w:rPr>
        <w:t xml:space="preserve">Loan Documents</w:t>
      </w:r>
      <w:r>
        <w:t xml:space="preserve">”</w:t>
      </w:r>
      <w:r>
        <w:t xml:space="preserve"> </w:t>
      </w:r>
      <w:r>
        <w:t xml:space="preserve">means the KFS, sanction letter, loan agreement and enclosures, summary of the loan product, terms and conditions, repayment schedule, mandates and other documents the RE issues for a Loan.</w:t>
      </w:r>
    </w:p>
    <w:p>
      <w:pPr>
        <w:pStyle w:val="BodyText"/>
      </w:pPr>
      <w:r>
        <w:t xml:space="preserve">“</w:t>
      </w:r>
      <w:r>
        <w:rPr>
          <w:bCs/>
          <w:b/>
        </w:rPr>
        <w:t xml:space="preserve">LSP Functions</w:t>
      </w:r>
      <w:r>
        <w:t xml:space="preserve">”</w:t>
      </w:r>
      <w:r>
        <w:t xml:space="preserve"> </w:t>
      </w:r>
      <w:r>
        <w:t xml:space="preserve">means the activities allocated to the LSP in the Responsibility Matrix in Part A of Schedule 2, as activated for each Product in Part B of Schedule 2 and, for Recovery Agent Services, as attached under Clause 2.6.</w:t>
      </w:r>
    </w:p>
    <w:p>
      <w:pPr>
        <w:pStyle w:val="BodyText"/>
      </w:pPr>
      <w:r>
        <w:t xml:space="preserve">“</w:t>
      </w:r>
      <w:r>
        <w:rPr>
          <w:bCs/>
          <w:b/>
        </w:rPr>
        <w:t xml:space="preserve">LSP Personnel</w:t>
      </w:r>
      <w:r>
        <w:t xml:space="preserve">”</w:t>
      </w:r>
      <w:r>
        <w:t xml:space="preserve"> </w:t>
      </w:r>
      <w:r>
        <w:t xml:space="preserve">means the directors, employees, agents and contractors of the LSP and of its Sub-contractors engaged in the Services.</w:t>
      </w:r>
    </w:p>
    <w:p>
      <w:pPr>
        <w:pStyle w:val="BodyText"/>
      </w:pPr>
      <w:r>
        <w:t xml:space="preserve">“</w:t>
      </w:r>
      <w:r>
        <w:rPr>
          <w:bCs/>
          <w:b/>
        </w:rPr>
        <w:t xml:space="preserve">Matching Mechanism</w:t>
      </w:r>
      <w:r>
        <w:t xml:space="preserve">”</w:t>
      </w:r>
      <w:r>
        <w:t xml:space="preserve"> </w:t>
      </w:r>
      <w:r>
        <w:t xml:space="preserve">means the documented and versioned mechanism by which the LSP matches a Borrower’s request with lenders (Schedule 5).</w:t>
      </w:r>
    </w:p>
    <w:p>
      <w:pPr>
        <w:pStyle w:val="BodyText"/>
      </w:pPr>
      <w:r>
        <w:t xml:space="preserve">“</w:t>
      </w:r>
      <w:r>
        <w:rPr>
          <w:bCs/>
          <w:b/>
        </w:rPr>
        <w:t xml:space="preserve">Material Adverse Event</w:t>
      </w:r>
      <w:r>
        <w:t xml:space="preserve">”</w:t>
      </w:r>
      <w:r>
        <w:t xml:space="preserve"> </w:t>
      </w:r>
      <w:r>
        <w:t xml:space="preserve">means an event listed in Clause 17.1.</w:t>
      </w:r>
    </w:p>
    <w:p>
      <w:pPr>
        <w:pStyle w:val="BodyText"/>
      </w:pPr>
      <w:r>
        <w:t xml:space="preserve">“</w:t>
      </w:r>
      <w:r>
        <w:rPr>
          <w:bCs/>
          <w:b/>
        </w:rPr>
        <w:t xml:space="preserve">Personal Data</w:t>
      </w:r>
      <w:r>
        <w:t xml:space="preserve">”</w:t>
      </w:r>
      <w:r>
        <w:t xml:space="preserve"> </w:t>
      </w:r>
      <w:r>
        <w:t xml:space="preserve">means data about an individual who is identifiable by or in relation to it, including personal information and sensitive personal data or information under the IT Act;</w:t>
      </w:r>
      <w:r>
        <w:t xml:space="preserve"> </w:t>
      </w:r>
      <w:r>
        <w:t xml:space="preserve">“</w:t>
      </w:r>
      <w:r>
        <w:rPr>
          <w:bCs/>
          <w:b/>
        </w:rPr>
        <w:t xml:space="preserve">Personal Data Breach</w:t>
      </w:r>
      <w:r>
        <w:t xml:space="preserve">”</w:t>
      </w:r>
      <w:r>
        <w:t xml:space="preserve"> </w:t>
      </w:r>
      <w:r>
        <w:t xml:space="preserve">has the meaning in section 2(u) of the DPDP Act and includes any breach of security or leakage of confidential customer information under OUT paras 28 and 69(iii).</w:t>
      </w:r>
    </w:p>
    <w:p>
      <w:pPr>
        <w:pStyle w:val="BodyText"/>
      </w:pPr>
      <w:r>
        <w:t xml:space="preserve">“</w:t>
      </w:r>
      <w:r>
        <w:rPr>
          <w:bCs/>
          <w:b/>
        </w:rPr>
        <w:t xml:space="preserve">Product</w:t>
      </w:r>
      <w:r>
        <w:t xml:space="preserve">”</w:t>
      </w:r>
      <w:r>
        <w:t xml:space="preserve"> </w:t>
      </w:r>
      <w:r>
        <w:t xml:space="preserve">means a loan product of the RE offered through the DLAs, as described in Schedule 4.</w:t>
      </w:r>
    </w:p>
    <w:p>
      <w:pPr>
        <w:pStyle w:val="BodyText"/>
      </w:pPr>
      <w:r>
        <w:t xml:space="preserve">“</w:t>
      </w:r>
      <w:r>
        <w:rPr>
          <w:bCs/>
          <w:b/>
        </w:rPr>
        <w:t xml:space="preserve">RBC Third Amendment</w:t>
      </w:r>
      <w:r>
        <w:t xml:space="preserve">”</w:t>
      </w:r>
      <w:r>
        <w:t xml:space="preserve"> </w:t>
      </w:r>
      <w:r>
        <w:t xml:space="preserve">means the Reserve Bank of India (Non-Banking Financial Companies – Responsible Business Conduct) Third Amendment Directions, 2026 (RBI/2026-27/230, DOR.MCS.REC.No.199/01-01-039/2026-27, 6 August 2026), which with effect from 1 January 2027 deletes RBC sub-paragraphs 7(7)–(8) and paragraphs 26, 27 and 89–100 and inserts Section J (paras 100A–100AB) [VERIFY: gazetted text not in the supplied pack; paragraph references taken from the RBI website].</w:t>
      </w:r>
    </w:p>
    <w:p>
      <w:pPr>
        <w:pStyle w:val="BodyText"/>
      </w:pPr>
      <w:r>
        <w:t xml:space="preserve">“</w:t>
      </w:r>
      <w:r>
        <w:rPr>
          <w:bCs/>
          <w:b/>
        </w:rPr>
        <w:t xml:space="preserve">RE Data</w:t>
      </w:r>
      <w:r>
        <w:t xml:space="preserve">”</w:t>
      </w:r>
      <w:r>
        <w:t xml:space="preserve"> </w:t>
      </w:r>
      <w:r>
        <w:t xml:space="preserve">has the meaning in Clause 23.2.</w:t>
      </w:r>
    </w:p>
    <w:p>
      <w:pPr>
        <w:pStyle w:val="BodyText"/>
      </w:pPr>
      <w:r>
        <w:t xml:space="preserve">“</w:t>
      </w:r>
      <w:r>
        <w:rPr>
          <w:bCs/>
          <w:b/>
        </w:rPr>
        <w:t xml:space="preserve">Recovery Agent Services</w:t>
      </w:r>
      <w:r>
        <w:t xml:space="preserve">”</w:t>
      </w:r>
      <w:r>
        <w:t xml:space="preserve"> </w:t>
      </w:r>
      <w:r>
        <w:t xml:space="preserve">means the services in Schedule 10, if executed.</w:t>
      </w:r>
    </w:p>
    <w:p>
      <w:pPr>
        <w:pStyle w:val="BodyText"/>
      </w:pPr>
      <w:r>
        <w:t xml:space="preserve">“</w:t>
      </w:r>
      <w:r>
        <w:rPr>
          <w:bCs/>
          <w:b/>
        </w:rPr>
        <w:t xml:space="preserve">Regulatory Requirements</w:t>
      </w:r>
      <w:r>
        <w:t xml:space="preserve">”</w:t>
      </w:r>
      <w:r>
        <w:t xml:space="preserve"> </w:t>
      </w:r>
      <w:r>
        <w:t xml:space="preserve">means the Directions listed in Clause 1.2 and every other RBI (and, for an HFC, National Housing Bank) direction, circular or instruction applicable to the RE or the Services, as amended or replaced.</w:t>
      </w:r>
    </w:p>
    <w:p>
      <w:pPr>
        <w:pStyle w:val="BodyText"/>
      </w:pPr>
      <w:r>
        <w:t xml:space="preserve">“</w:t>
      </w:r>
      <w:r>
        <w:rPr>
          <w:bCs/>
          <w:b/>
        </w:rPr>
        <w:t xml:space="preserve">RB-IOS</w:t>
      </w:r>
      <w:r>
        <w:t xml:space="preserve">”</w:t>
      </w:r>
      <w:r>
        <w:t xml:space="preserve"> </w:t>
      </w:r>
      <w:r>
        <w:t xml:space="preserve">means the Reserve Bank – Integrated Ombudsman Scheme, 2021, or any scheme replacing it, as applicable to the RE.</w:t>
      </w:r>
    </w:p>
    <w:p>
      <w:pPr>
        <w:pStyle w:val="BodyText"/>
      </w:pPr>
      <w:r>
        <w:t xml:space="preserve">“</w:t>
      </w:r>
      <w:r>
        <w:rPr>
          <w:bCs/>
          <w:b/>
        </w:rPr>
        <w:t xml:space="preserve">Services</w:t>
      </w:r>
      <w:r>
        <w:t xml:space="preserve">”</w:t>
      </w:r>
      <w:r>
        <w:t xml:space="preserve"> </w:t>
      </w:r>
      <w:r>
        <w:t xml:space="preserve">means the LSP Functions and all other obligations of the LSP under this Agreement and, where executed, Schedules 10 and 11.</w:t>
      </w:r>
    </w:p>
    <w:p>
      <w:pPr>
        <w:pStyle w:val="BodyText"/>
      </w:pPr>
      <w:r>
        <w:t xml:space="preserve">“</w:t>
      </w:r>
      <w:r>
        <w:rPr>
          <w:bCs/>
          <w:b/>
        </w:rPr>
        <w:t xml:space="preserve">Sub-contractor</w:t>
      </w:r>
      <w:r>
        <w:t xml:space="preserve">”</w:t>
      </w:r>
      <w:r>
        <w:t xml:space="preserve"> </w:t>
      </w:r>
      <w:r>
        <w:t xml:space="preserve">means any person, including an Affiliate of the LSP, engaged by the LSP to perform any part of the Services or to process any RE Data, including cloud, KYC, communications and payment-technology providers and recovery agencies.</w:t>
      </w:r>
    </w:p>
    <w:p>
      <w:pPr>
        <w:pStyle w:val="BodyText"/>
      </w:pPr>
      <w:r>
        <w:t xml:space="preserve">“</w:t>
      </w:r>
      <w:r>
        <w:rPr>
          <w:bCs/>
          <w:b/>
        </w:rPr>
        <w:t xml:space="preserve">Udofin DLA</w:t>
      </w:r>
      <w:r>
        <w:t xml:space="preserve">”</w:t>
      </w:r>
      <w:r>
        <w:t xml:space="preserve"> </w:t>
      </w:r>
      <w:r>
        <w:t xml:space="preserve">means each of the Udofin Android app (Google Play Store), the Udofin iOS app (Apple App Store), the Udofin web application, and each white-label or co-branded app or web journey operated by the LSP, through which a Product is offered.</w:t>
      </w:r>
    </w:p>
    <w:p>
      <w:pPr>
        <w:pStyle w:val="BodyText"/>
      </w:pPr>
      <w:r>
        <w:t xml:space="preserve">“</w:t>
      </w:r>
      <w:r>
        <w:rPr>
          <w:bCs/>
          <w:b/>
        </w:rPr>
        <w:t xml:space="preserve">Udofin Platform</w:t>
      </w:r>
      <w:r>
        <w:t xml:space="preserve">”</w:t>
      </w:r>
      <w:r>
        <w:t xml:space="preserve"> </w:t>
      </w:r>
      <w:r>
        <w:t xml:space="preserve">means the software, infrastructure, apps, portals, interfaces and data stores owned or operated by the LSP for the Services.</w:t>
      </w:r>
    </w:p>
    <w:p>
      <w:pPr>
        <w:pStyle w:val="BodyText"/>
      </w:pPr>
      <w:r>
        <w:t xml:space="preserve">“</w:t>
      </w:r>
      <w:r>
        <w:rPr>
          <w:bCs/>
          <w:b/>
        </w:rPr>
        <w:t xml:space="preserve">Working Day</w:t>
      </w:r>
      <w:r>
        <w:t xml:space="preserve">”</w:t>
      </w:r>
      <w:r>
        <w:t xml:space="preserve"> </w:t>
      </w:r>
      <w:r>
        <w:t xml:space="preserve">means a day on which the RE’s registered office is open for business, other than a public holiday under section 25 of the Negotiable Instruments Act, 1881; for any time limit in a Regulatory Requirement it has the meaning given there.</w:t>
      </w:r>
    </w:p>
    <w:p>
      <w:pPr>
        <w:pStyle w:val="BodyText"/>
      </w:pPr>
      <w:r>
        <w:rPr>
          <w:bCs/>
          <w:b/>
        </w:rPr>
        <w:t xml:space="preserve">1.2 Regulatory abbreviations.</w:t>
      </w:r>
      <w:r>
        <w:t xml:space="preserve"> </w:t>
      </w:r>
      <w:r>
        <w:t xml:space="preserve">References to a paragraph of the following are to that paragraph as amended or replaced: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80"/>
        <w:gridCol w:w="7058"/>
      </w:tblGrid>
      <w:tr>
        <w:trPr>
          <w:tblHeader w:val="true"/>
          <w:tblHeader w:val="true"/>
        </w:trPr>
        <w:tc>
          <w:tcPr>
            <w:tcW w:w="2580" w:type="dxa"/>
            <w:shd w:val="clear" w:color="auto" w:fill="1F3A5F"/>
          </w:tcPr>
          <w:p>
            <w:pPr>
              <w:pStyle w:val="Compact"/>
              <w:spacing w:after="40"/>
              <w:jc w:val="left"/>
            </w:pPr>
            <w:r>
              <w:rPr>
                <w:b/>
                <w:color w:val="FFFFFF"/>
                <w:sz w:val="18"/>
              </w:rPr>
              <w:t xml:space="preserve">Abbreviation</w:t>
            </w:r>
          </w:p>
        </w:tc>
        <w:tc>
          <w:tcPr>
            <w:tcW w:w="7058" w:type="dxa"/>
            <w:shd w:val="clear" w:color="auto" w:fill="1F3A5F"/>
          </w:tcPr>
          <w:p>
            <w:pPr>
              <w:pStyle w:val="Compact"/>
              <w:spacing w:after="40"/>
              <w:jc w:val="left"/>
            </w:pPr>
            <w:r>
              <w:rPr>
                <w:b/>
                <w:color w:val="FFFFFF"/>
                <w:sz w:val="18"/>
              </w:rPr>
              <w:t xml:space="preserve">Direction or law</w:t>
            </w:r>
          </w:p>
        </w:tc>
      </w:tr>
      <w:tr>
        <w:tc>
          <w:tcPr>
            <w:tcW w:w="2580" w:type="dxa"/>
          </w:tcPr>
          <w:p>
            <w:pPr>
              <w:pStyle w:val="Compact"/>
              <w:spacing w:after="40"/>
              <w:jc w:val="left"/>
            </w:pPr>
            <w:r>
              <w:rPr>
                <w:sz w:val="18"/>
              </w:rPr>
              <w:t xml:space="preserve">CF</w:t>
            </w:r>
          </w:p>
        </w:tc>
        <w:tc>
          <w:tcPr>
            <w:tcW w:w="7058" w:type="dxa"/>
          </w:tcPr>
          <w:p>
            <w:pPr>
              <w:pStyle w:val="Compact"/>
              <w:spacing w:after="40"/>
              <w:jc w:val="left"/>
            </w:pPr>
            <w:r>
              <w:rPr>
                <w:sz w:val="18"/>
              </w:rPr>
              <w:t xml:space="preserve">RBI (NBFCs – Credit Facilities) Directions, 2025 (RBI/DOR/2025-26/347)</w:t>
            </w:r>
          </w:p>
        </w:tc>
      </w:tr>
      <w:tr>
        <w:tc>
          <w:tcPr>
            <w:tcW w:w="2580" w:type="dxa"/>
          </w:tcPr>
          <w:p>
            <w:pPr>
              <w:pStyle w:val="Compact"/>
              <w:spacing w:after="40"/>
              <w:jc w:val="left"/>
            </w:pPr>
            <w:r>
              <w:rPr>
                <w:sz w:val="18"/>
              </w:rPr>
              <w:t xml:space="preserve">OUT</w:t>
            </w:r>
          </w:p>
        </w:tc>
        <w:tc>
          <w:tcPr>
            <w:tcW w:w="7058" w:type="dxa"/>
          </w:tcPr>
          <w:p>
            <w:pPr>
              <w:pStyle w:val="Compact"/>
              <w:spacing w:after="40"/>
              <w:jc w:val="left"/>
            </w:pPr>
            <w:r>
              <w:rPr>
                <w:sz w:val="18"/>
              </w:rPr>
              <w:t xml:space="preserve">RBI (NBFCs – Managing Risks in Outsourcing) Directions, 2025 (RBI/DOR/2025-26/363)</w:t>
            </w:r>
          </w:p>
        </w:tc>
      </w:tr>
      <w:tr>
        <w:tc>
          <w:tcPr>
            <w:tcW w:w="2580" w:type="dxa"/>
          </w:tcPr>
          <w:p>
            <w:pPr>
              <w:pStyle w:val="Compact"/>
              <w:spacing w:after="40"/>
              <w:jc w:val="left"/>
            </w:pPr>
            <w:r>
              <w:rPr>
                <w:sz w:val="18"/>
              </w:rPr>
              <w:t xml:space="preserve">RBC</w:t>
            </w:r>
          </w:p>
        </w:tc>
        <w:tc>
          <w:tcPr>
            <w:tcW w:w="7058" w:type="dxa"/>
          </w:tcPr>
          <w:p>
            <w:pPr>
              <w:pStyle w:val="Compact"/>
              <w:spacing w:after="40"/>
              <w:jc w:val="left"/>
            </w:pPr>
            <w:r>
              <w:rPr>
                <w:sz w:val="18"/>
              </w:rPr>
              <w:t xml:space="preserve">RBI (NBFCs – Responsible Business Conduct) Directions, 2025 (RBI/DOR/2025-26/362), as amended including by the RBC Third Amendment</w:t>
            </w:r>
          </w:p>
        </w:tc>
      </w:tr>
      <w:tr>
        <w:tc>
          <w:tcPr>
            <w:tcW w:w="2580" w:type="dxa"/>
          </w:tcPr>
          <w:p>
            <w:pPr>
              <w:pStyle w:val="Compact"/>
              <w:spacing w:after="40"/>
              <w:jc w:val="left"/>
            </w:pPr>
            <w:r>
              <w:rPr>
                <w:sz w:val="18"/>
              </w:rPr>
              <w:t xml:space="preserve">KYC</w:t>
            </w:r>
          </w:p>
        </w:tc>
        <w:tc>
          <w:tcPr>
            <w:tcW w:w="7058" w:type="dxa"/>
          </w:tcPr>
          <w:p>
            <w:pPr>
              <w:pStyle w:val="Compact"/>
              <w:spacing w:after="40"/>
              <w:jc w:val="left"/>
            </w:pPr>
            <w:r>
              <w:rPr>
                <w:sz w:val="18"/>
              </w:rPr>
              <w:t xml:space="preserve">RBI (NBFCs – Know Your Customer) Directions, 2025 (RBI/DOR/2025-26/361)</w:t>
            </w:r>
          </w:p>
        </w:tc>
      </w:tr>
      <w:tr>
        <w:tc>
          <w:tcPr>
            <w:tcW w:w="2580" w:type="dxa"/>
          </w:tcPr>
          <w:p>
            <w:pPr>
              <w:pStyle w:val="Compact"/>
              <w:spacing w:after="40"/>
              <w:jc w:val="left"/>
            </w:pPr>
            <w:r>
              <w:rPr>
                <w:sz w:val="18"/>
              </w:rPr>
              <w:t xml:space="preserve">CIR</w:t>
            </w:r>
          </w:p>
        </w:tc>
        <w:tc>
          <w:tcPr>
            <w:tcW w:w="7058" w:type="dxa"/>
          </w:tcPr>
          <w:p>
            <w:pPr>
              <w:pStyle w:val="Compact"/>
              <w:spacing w:after="40"/>
              <w:jc w:val="left"/>
            </w:pPr>
            <w:r>
              <w:rPr>
                <w:sz w:val="18"/>
              </w:rPr>
              <w:t xml:space="preserve">RBI (NBFCs – Credit Information Reporting) Directions, 2025 (RBI/DOR/2025-26/349)</w:t>
            </w:r>
          </w:p>
        </w:tc>
      </w:tr>
      <w:tr>
        <w:tc>
          <w:tcPr>
            <w:tcW w:w="2580" w:type="dxa"/>
          </w:tcPr>
          <w:p>
            <w:pPr>
              <w:pStyle w:val="Compact"/>
              <w:spacing w:after="40"/>
              <w:jc w:val="left"/>
            </w:pPr>
            <w:r>
              <w:rPr>
                <w:sz w:val="18"/>
              </w:rPr>
              <w:t xml:space="preserve">AA</w:t>
            </w:r>
          </w:p>
        </w:tc>
        <w:tc>
          <w:tcPr>
            <w:tcW w:w="7058" w:type="dxa"/>
          </w:tcPr>
          <w:p>
            <w:pPr>
              <w:pStyle w:val="Compact"/>
              <w:spacing w:after="40"/>
              <w:jc w:val="left"/>
            </w:pPr>
            <w:r>
              <w:rPr>
                <w:sz w:val="18"/>
              </w:rPr>
              <w:t xml:space="preserve">RBI (NBFCs – Account Aggregator) Directions, 2025 (RBI/DoR/2025-26/368)</w:t>
            </w:r>
          </w:p>
        </w:tc>
      </w:tr>
      <w:tr>
        <w:tc>
          <w:tcPr>
            <w:tcW w:w="2580" w:type="dxa"/>
          </w:tcPr>
          <w:p>
            <w:pPr>
              <w:pStyle w:val="Compact"/>
              <w:spacing w:after="40"/>
              <w:jc w:val="left"/>
            </w:pPr>
            <w:r>
              <w:rPr>
                <w:sz w:val="18"/>
              </w:rPr>
              <w:t xml:space="preserve">CYB</w:t>
            </w:r>
          </w:p>
        </w:tc>
        <w:tc>
          <w:tcPr>
            <w:tcW w:w="7058" w:type="dxa"/>
          </w:tcPr>
          <w:p>
            <w:pPr>
              <w:pStyle w:val="Compact"/>
              <w:spacing w:after="40"/>
              <w:jc w:val="left"/>
            </w:pPr>
            <w:r>
              <w:rPr>
                <w:sz w:val="18"/>
              </w:rPr>
              <w:t xml:space="preserve">RBI (NBFCs – Cybersecurity, Technology: Risk, Resilience and Assurance Framework) Directions, 2026 (RBI/DoS/2026-27/461), in the Chapter applicable to the RE</w:t>
            </w:r>
          </w:p>
        </w:tc>
      </w:tr>
      <w:tr>
        <w:tc>
          <w:tcPr>
            <w:tcW w:w="2580" w:type="dxa"/>
          </w:tcPr>
          <w:p>
            <w:pPr>
              <w:pStyle w:val="Compact"/>
              <w:spacing w:after="40"/>
              <w:jc w:val="left"/>
            </w:pPr>
            <w:r>
              <w:rPr>
                <w:sz w:val="18"/>
              </w:rPr>
              <w:t xml:space="preserve">FRM</w:t>
            </w:r>
          </w:p>
        </w:tc>
        <w:tc>
          <w:tcPr>
            <w:tcW w:w="7058" w:type="dxa"/>
          </w:tcPr>
          <w:p>
            <w:pPr>
              <w:pStyle w:val="Compact"/>
              <w:spacing w:after="40"/>
              <w:jc w:val="left"/>
            </w:pPr>
            <w:r>
              <w:rPr>
                <w:sz w:val="18"/>
              </w:rPr>
              <w:t xml:space="preserve">RBI (NBFCs – Fraud Risk Management) Directions, 2026 (RBI/DoS/2026-27/463)</w:t>
            </w:r>
          </w:p>
        </w:tc>
      </w:tr>
      <w:tr>
        <w:tc>
          <w:tcPr>
            <w:tcW w:w="2580" w:type="dxa"/>
          </w:tcPr>
          <w:p>
            <w:pPr>
              <w:pStyle w:val="Compact"/>
              <w:spacing w:after="40"/>
              <w:jc w:val="left"/>
            </w:pPr>
            <w:r>
              <w:rPr>
                <w:sz w:val="18"/>
              </w:rPr>
              <w:t xml:space="preserve">CMP</w:t>
            </w:r>
          </w:p>
        </w:tc>
        <w:tc>
          <w:tcPr>
            <w:tcW w:w="7058" w:type="dxa"/>
          </w:tcPr>
          <w:p>
            <w:pPr>
              <w:pStyle w:val="Compact"/>
              <w:spacing w:after="40"/>
              <w:jc w:val="left"/>
            </w:pPr>
            <w:r>
              <w:rPr>
                <w:sz w:val="18"/>
              </w:rPr>
              <w:t xml:space="preserve">RBI (NBFCs – Compliance Function) Directions, 2026 (RBI/DoS/2026-27/460), where applicable to the RE</w:t>
            </w:r>
          </w:p>
        </w:tc>
      </w:tr>
      <w:tr>
        <w:tc>
          <w:tcPr>
            <w:tcW w:w="2580" w:type="dxa"/>
          </w:tcPr>
          <w:p>
            <w:pPr>
              <w:pStyle w:val="Compact"/>
              <w:spacing w:after="40"/>
              <w:jc w:val="left"/>
            </w:pPr>
            <w:r>
              <w:rPr>
                <w:sz w:val="18"/>
              </w:rPr>
              <w:t xml:space="preserve">TDCR</w:t>
            </w:r>
          </w:p>
        </w:tc>
        <w:tc>
          <w:tcPr>
            <w:tcW w:w="7058" w:type="dxa"/>
          </w:tcPr>
          <w:p>
            <w:pPr>
              <w:pStyle w:val="Compact"/>
              <w:spacing w:after="40"/>
              <w:jc w:val="left"/>
            </w:pPr>
            <w:r>
              <w:rPr>
                <w:sz w:val="18"/>
              </w:rPr>
              <w:t xml:space="preserve">RBI (NBFCs – Transfer and Distribution of Credit Risk) Directions, 2025 (RBI/DOR/2025-26/352)</w:t>
            </w:r>
          </w:p>
        </w:tc>
      </w:tr>
      <w:tr>
        <w:tc>
          <w:tcPr>
            <w:tcW w:w="2580" w:type="dxa"/>
          </w:tcPr>
          <w:p>
            <w:pPr>
              <w:pStyle w:val="Compact"/>
              <w:spacing w:after="40"/>
              <w:jc w:val="left"/>
            </w:pPr>
            <w:r>
              <w:rPr>
                <w:sz w:val="18"/>
              </w:rPr>
              <w:t xml:space="preserve">RSA</w:t>
            </w:r>
          </w:p>
        </w:tc>
        <w:tc>
          <w:tcPr>
            <w:tcW w:w="7058" w:type="dxa"/>
          </w:tcPr>
          <w:p>
            <w:pPr>
              <w:pStyle w:val="Compact"/>
              <w:spacing w:after="40"/>
              <w:jc w:val="left"/>
            </w:pPr>
            <w:r>
              <w:rPr>
                <w:sz w:val="18"/>
              </w:rPr>
              <w:t xml:space="preserve">RBI (NBFCs – Resolution of Stressed Assets) Directions, 2025 (RBI/DOR/2025-26/357)</w:t>
            </w:r>
          </w:p>
        </w:tc>
      </w:tr>
      <w:tr>
        <w:tc>
          <w:tcPr>
            <w:tcW w:w="2580" w:type="dxa"/>
          </w:tcPr>
          <w:p>
            <w:pPr>
              <w:pStyle w:val="Compact"/>
              <w:spacing w:after="40"/>
              <w:jc w:val="left"/>
            </w:pPr>
            <w:r>
              <w:rPr>
                <w:sz w:val="18"/>
              </w:rPr>
              <w:t xml:space="preserve">CICRA</w:t>
            </w:r>
          </w:p>
        </w:tc>
        <w:tc>
          <w:tcPr>
            <w:tcW w:w="7058" w:type="dxa"/>
          </w:tcPr>
          <w:p>
            <w:pPr>
              <w:pStyle w:val="Compact"/>
              <w:spacing w:after="40"/>
              <w:jc w:val="left"/>
            </w:pPr>
            <w:r>
              <w:rPr>
                <w:sz w:val="18"/>
              </w:rPr>
              <w:t xml:space="preserve">Credit Information Companies (Regulation) Act, 2005</w:t>
            </w:r>
          </w:p>
        </w:tc>
      </w:tr>
      <w:tr>
        <w:tc>
          <w:tcPr>
            <w:tcW w:w="2580" w:type="dxa"/>
          </w:tcPr>
          <w:p>
            <w:pPr>
              <w:pStyle w:val="Compact"/>
              <w:spacing w:after="40"/>
              <w:jc w:val="left"/>
            </w:pPr>
            <w:r>
              <w:rPr>
                <w:sz w:val="18"/>
              </w:rPr>
              <w:t xml:space="preserve">IT Act</w:t>
            </w:r>
          </w:p>
        </w:tc>
        <w:tc>
          <w:tcPr>
            <w:tcW w:w="7058" w:type="dxa"/>
          </w:tcPr>
          <w:p>
            <w:pPr>
              <w:pStyle w:val="Compact"/>
              <w:spacing w:after="40"/>
              <w:jc w:val="left"/>
            </w:pPr>
            <w:r>
              <w:rPr>
                <w:sz w:val="18"/>
              </w:rPr>
              <w:t xml:space="preserve">Information Technology Act, 2000</w:t>
            </w:r>
          </w:p>
        </w:tc>
      </w:tr>
      <w:tr>
        <w:tc>
          <w:tcPr>
            <w:tcW w:w="2580" w:type="dxa"/>
          </w:tcPr>
          <w:p>
            <w:pPr>
              <w:pStyle w:val="Compact"/>
              <w:spacing w:after="40"/>
              <w:jc w:val="left"/>
            </w:pPr>
            <w:r>
              <w:rPr>
                <w:sz w:val="18"/>
              </w:rPr>
              <w:t xml:space="preserve">CERT-In Directions</w:t>
            </w:r>
          </w:p>
        </w:tc>
        <w:tc>
          <w:tcPr>
            <w:tcW w:w="7058" w:type="dxa"/>
          </w:tcPr>
          <w:p>
            <w:pPr>
              <w:pStyle w:val="Compact"/>
              <w:spacing w:after="40"/>
              <w:jc w:val="left"/>
            </w:pPr>
            <w:r>
              <w:rPr>
                <w:sz w:val="18"/>
              </w:rPr>
              <w:t xml:space="preserve">CERT-In Directions No. 20(3)/2022-CERT-In dated 28 April 2022 under section 70B(6) of the IT Act</w:t>
            </w:r>
          </w:p>
        </w:tc>
      </w:tr>
      <w:tr>
        <w:tc>
          <w:tcPr>
            <w:tcW w:w="2580" w:type="dxa"/>
          </w:tcPr>
          <w:p>
            <w:pPr>
              <w:pStyle w:val="Compact"/>
              <w:spacing w:after="40"/>
              <w:jc w:val="left"/>
            </w:pPr>
            <w:r>
              <w:rPr>
                <w:sz w:val="18"/>
              </w:rPr>
              <w:t xml:space="preserve">DPDP Act / DPDP Rules</w:t>
            </w:r>
          </w:p>
        </w:tc>
        <w:tc>
          <w:tcPr>
            <w:tcW w:w="7058" w:type="dxa"/>
          </w:tcPr>
          <w:p>
            <w:pPr>
              <w:pStyle w:val="Compact"/>
              <w:spacing w:after="40"/>
              <w:jc w:val="left"/>
            </w:pPr>
            <w:r>
              <w:rPr>
                <w:sz w:val="18"/>
              </w:rPr>
              <w:t xml:space="preserve">Digital Personal Data Protection Act, 2023 / Digital Personal Data Protection Rules, 2025 (G.S.R. 846(E), 13 November 2025)</w:t>
            </w:r>
          </w:p>
        </w:tc>
      </w:tr>
      <w:tr>
        <w:tc>
          <w:tcPr>
            <w:tcW w:w="2580" w:type="dxa"/>
          </w:tcPr>
          <w:p>
            <w:pPr>
              <w:pStyle w:val="Compact"/>
              <w:spacing w:after="40"/>
              <w:jc w:val="left"/>
            </w:pPr>
            <w:r>
              <w:rPr>
                <w:sz w:val="18"/>
              </w:rPr>
              <w:t xml:space="preserve">Aadhaar Act</w:t>
            </w:r>
          </w:p>
        </w:tc>
        <w:tc>
          <w:tcPr>
            <w:tcW w:w="7058" w:type="dxa"/>
          </w:tcPr>
          <w:p>
            <w:pPr>
              <w:pStyle w:val="Compact"/>
              <w:spacing w:after="40"/>
              <w:jc w:val="left"/>
            </w:pPr>
            <w:r>
              <w:rPr>
                <w:sz w:val="18"/>
              </w:rPr>
              <w:t xml:space="preserve">Aadhaar (Targeted Delivery of Financial and Other Subsidies, Benefits and Services) Act, 2016</w:t>
            </w:r>
          </w:p>
        </w:tc>
      </w:tr>
      <w:tr>
        <w:tc>
          <w:tcPr>
            <w:tcW w:w="2580" w:type="dxa"/>
          </w:tcPr>
          <w:p>
            <w:pPr>
              <w:pStyle w:val="Compact"/>
              <w:spacing w:after="40"/>
              <w:jc w:val="left"/>
            </w:pPr>
            <w:r>
              <w:rPr>
                <w:sz w:val="18"/>
              </w:rPr>
              <w:t xml:space="preserve">PMLA</w:t>
            </w:r>
          </w:p>
        </w:tc>
        <w:tc>
          <w:tcPr>
            <w:tcW w:w="7058" w:type="dxa"/>
          </w:tcPr>
          <w:p>
            <w:pPr>
              <w:pStyle w:val="Compact"/>
              <w:spacing w:after="40"/>
              <w:jc w:val="left"/>
            </w:pPr>
            <w:r>
              <w:rPr>
                <w:sz w:val="18"/>
              </w:rPr>
              <w:t xml:space="preserve">Prevention of Money-laundering Act, 2002</w:t>
            </w:r>
          </w:p>
        </w:tc>
      </w:tr>
    </w:tbl>
    <w:p>
      <w:pPr>
        <w:pStyle w:val="BodyText"/>
      </w:pPr>
      <w:r>
        <w:rPr>
          <w:bCs/>
          <w:b/>
        </w:rPr>
        <w:t xml:space="preserve">1.3 Interpretation.</w:t>
      </w:r>
      <w:r>
        <w:t xml:space="preserve"> </w:t>
      </w:r>
      <w:r>
        <w:t xml:space="preserve">Headings do not affect interpretation.</w:t>
      </w:r>
      <w:r>
        <w:t xml:space="preserve"> </w:t>
      </w:r>
      <w:r>
        <w:t xml:space="preserve">“</w:t>
      </w:r>
      <w:r>
        <w:t xml:space="preserve">Including</w:t>
      </w:r>
      <w:r>
        <w:t xml:space="preserve">”</w:t>
      </w:r>
      <w:r>
        <w:t xml:space="preserve"> </w:t>
      </w:r>
      <w:r>
        <w:t xml:space="preserve">means including without limitation. The Schedules form part of this Agreement.</w:t>
      </w:r>
      <w:r>
        <w:t xml:space="preserve"> </w:t>
      </w:r>
      <w:r>
        <w:t xml:space="preserve">“</w:t>
      </w:r>
      <w:r>
        <w:t xml:space="preserve">In writing</w:t>
      </w:r>
      <w:r>
        <w:t xml:space="preserve">”</w:t>
      </w:r>
      <w:r>
        <w:t xml:space="preserve"> </w:t>
      </w:r>
      <w:r>
        <w:t xml:space="preserve">includes email, except for notices under Articles 30 and 33, which follow Article 35. Times are Indian Standard Time. No rule of construction applies against a Party because it prepared this Agreement.</w:t>
      </w:r>
    </w:p>
    <w:p>
      <w:pPr>
        <w:pStyle w:val="BodyText"/>
      </w:pPr>
      <w:r>
        <w:rPr>
          <w:bCs/>
          <w:b/>
        </w:rPr>
        <w:t xml:space="preserve">1.4 Precedence.</w:t>
      </w:r>
      <w:r>
        <w:t xml:space="preserve"> </w:t>
      </w:r>
      <w:r>
        <w:t xml:space="preserve">(a) A Regulatory Requirement prevails over every provision of this Agreement, and any inconsistent provision shall be read down or severed to comply with it. (b) Subject to (a), the body of this Agreement prevails over the Schedules, except that Schedule 7 (data), Schedule 10 (recovery) and Schedule 11 (DLG) prevail in their subject areas where they impose a stricter obligation on the LSP. (c) Notwithstanding (b), where the body and a Schedule set different timelines or standards for the same obligation of the LSP, the stricter applies.</w:t>
      </w:r>
    </w:p>
    <w:p>
      <w:pPr>
        <w:pStyle w:val="BodyText"/>
      </w:pPr>
      <w:r>
        <w:rPr>
          <w:bCs/>
          <w:b/>
        </w:rPr>
        <w:t xml:space="preserve">1.5 Regulatory floor.</w:t>
      </w:r>
      <w:r>
        <w:t xml:space="preserve"> </w:t>
      </w:r>
      <w:r>
        <w:t xml:space="preserve">[Mandatory — RBI] No provision marked [Mandatory — RBI] or [Mandatory — Law], and no obligation implementing a Regulatory Requirement, may be waived, varied, suspended, offset by a service credit or fee adjustment, or limited by any liability cap except as Article 28 expressly allows (CF para 6(7); OUT para 9).</w:t>
      </w:r>
    </w:p>
    <w:p>
      <w:pPr>
        <w:pStyle w:val="BodyText"/>
      </w:pPr>
      <w:r>
        <w:rPr>
          <w:bCs/>
          <w:b/>
        </w:rPr>
        <w:t xml:space="preserve">1.6 Amended Directions.</w:t>
      </w:r>
      <w:r>
        <w:t xml:space="preserve"> </w:t>
      </w:r>
      <w:r>
        <w:t xml:space="preserve">A reference to an amended, renumbered or replaced Regulatory Requirement is a reference to it as amended, renumbered or replaced, and the Parties shall comply with the change from its effective date under Clause 3.8 whether or not this Agreement is formally amended.</w:t>
      </w:r>
    </w:p>
    <w:bookmarkEnd w:id="21"/>
    <w:bookmarkStart w:id="22" w:name="appointment-and-non-exclusivity"/>
    <w:p>
      <w:pPr>
        <w:pStyle w:val="Heading1"/>
      </w:pPr>
      <w:r>
        <w:t xml:space="preserve">2. APPOINTMENT AND NON-EXCLUSIVITY</w:t>
      </w:r>
    </w:p>
    <w:p>
      <w:pPr>
        <w:pStyle w:val="FirstParagraph"/>
      </w:pPr>
      <w:r>
        <w:rPr>
          <w:bCs/>
          <w:b/>
        </w:rPr>
        <w:t xml:space="preserve">2.1 Appointment.</w:t>
      </w:r>
      <w:r>
        <w:t xml:space="preserve"> </w:t>
      </w:r>
      <w:r>
        <w:t xml:space="preserve">The RE appoints the LSP as its lending service provider to perform the LSP Functions for the Products through the DLAs, with effect from the Commencement Date, and the LSP accepts.</w:t>
      </w:r>
    </w:p>
    <w:p>
      <w:pPr>
        <w:pStyle w:val="BodyText"/>
      </w:pPr>
      <w:r>
        <w:rPr>
          <w:bCs/>
          <w:b/>
        </w:rPr>
        <w:t xml:space="preserve">2.2 Legal relationship.</w:t>
      </w:r>
      <w:r>
        <w:t xml:space="preserve"> </w:t>
      </w:r>
      <w:r>
        <w:t xml:space="preserve">[Mandatory — RBI] As required by OUT para 33: (a) in performing the LSP Functions the LSP acts as the</w:t>
      </w:r>
      <w:r>
        <w:t xml:space="preserve"> </w:t>
      </w:r>
      <w:r>
        <w:rPr>
          <w:bCs/>
          <w:b/>
        </w:rPr>
        <w:t xml:space="preserve">agent of the RE</w:t>
      </w:r>
      <w:r>
        <w:t xml:space="preserve"> </w:t>
      </w:r>
      <w:r>
        <w:t xml:space="preserve">(CF para 4(1)(xix); Indian Contract Act, 1872, Chapter X), only within the authority in Schedule 2; (b) the LSP has no authority to take any decision reserved to the RE under Clause 3.3, vary any Loan term, make any statement for the RE other than RE-approved content (Schedule 15), or otherwise bind the RE; and (c) in all other respects the LSP is an independent contractor, and no partnership, joint venture or employment is created.</w:t>
      </w:r>
    </w:p>
    <w:p>
      <w:pPr>
        <w:pStyle w:val="BodyText"/>
      </w:pPr>
      <w:r>
        <w:rPr>
          <w:bCs/>
          <w:b/>
        </w:rPr>
        <w:t xml:space="preserve">2.3 Non-exclusivity.</w:t>
      </w:r>
      <w:r>
        <w:t xml:space="preserve"> </w:t>
      </w:r>
      <w:r>
        <w:t xml:space="preserve">The appointment is non-exclusive. The RE may use other LSPs and its own DLAs. The LSP may act for other lenders, subject to Article 6, Clause 15.9 and Article 24.</w:t>
      </w:r>
    </w:p>
    <w:p>
      <w:pPr>
        <w:pStyle w:val="BodyText"/>
      </w:pPr>
      <w:r>
        <w:rPr>
          <w:bCs/>
          <w:b/>
        </w:rPr>
        <w:t xml:space="preserve">2.4 Products and DLAs.</w:t>
      </w:r>
      <w:r>
        <w:t xml:space="preserve"> </w:t>
      </w:r>
      <w:r>
        <w:t xml:space="preserve">The LSP shall act only for the Products in Schedule 4 and only through the DLAs in Schedule 3. The RE may add, suspend or withdraw a Product or DLA by written notice.</w:t>
      </w:r>
    </w:p>
    <w:p>
      <w:pPr>
        <w:pStyle w:val="BodyText"/>
      </w:pPr>
      <w:r>
        <w:rPr>
          <w:bCs/>
          <w:b/>
        </w:rPr>
        <w:t xml:space="preserve">2.5 Conditions to go-live.</w:t>
      </w:r>
      <w:r>
        <w:t xml:space="preserve"> </w:t>
      </w:r>
      <w:r>
        <w:t xml:space="preserve">The LSP shall not source Borrowers for, or display offers of, the RE until the RE issues a written go-live notice confirming that:</w:t>
      </w:r>
    </w:p>
    <w:p>
      <w:pPr>
        <w:numPr>
          <w:ilvl w:val="0"/>
          <w:numId w:val="1002"/>
        </w:numPr>
      </w:pPr>
      <w:r>
        <w:t xml:space="preserve">[Mandatory — RBI] the RE has completed due diligence under Article 4 and obtained the approvals its outsourcing policy requires, including for a material outsourcing (OUT paras 10–12, 14, 20; CF para 6(2));</w:t>
      </w:r>
    </w:p>
    <w:p>
      <w:pPr>
        <w:numPr>
          <w:ilvl w:val="0"/>
          <w:numId w:val="1002"/>
        </w:numPr>
      </w:pPr>
      <w:r>
        <w:t xml:space="preserve">[Mandatory — RBI] each DLA has been reported on CIMS in the Annex-I format and certified under CF para 18(3)–(4) (CF para 18(1));</w:t>
      </w:r>
    </w:p>
    <w:p>
      <w:pPr>
        <w:numPr>
          <w:ilvl w:val="0"/>
          <w:numId w:val="1002"/>
        </w:numPr>
      </w:pPr>
      <w:r>
        <w:t xml:space="preserve">[Mandatory — RBI] the RE’s website carries the CF para 9(4) details, including the LSP, its DLAs and the activities it is engaged for;</w:t>
      </w:r>
    </w:p>
    <w:p>
      <w:pPr>
        <w:numPr>
          <w:ilvl w:val="0"/>
          <w:numId w:val="1002"/>
        </w:numPr>
      </w:pPr>
      <w:r>
        <w:t xml:space="preserve">[Mandatory — RBI] the LSP’s Nodal GRO is designated and displayed as Article 14 requires (CF para 12);</w:t>
      </w:r>
    </w:p>
    <w:p>
      <w:pPr>
        <w:numPr>
          <w:ilvl w:val="0"/>
          <w:numId w:val="1002"/>
        </w:numPr>
      </w:pPr>
      <w:r>
        <w:t xml:space="preserve">[Mandatory — RBI] the LSP’s privacy and storage policies comply with CF paras 14(2) and 15 and the RE has reviewed them;</w:t>
      </w:r>
    </w:p>
    <w:p>
      <w:pPr>
        <w:numPr>
          <w:ilvl w:val="0"/>
          <w:numId w:val="1002"/>
        </w:numPr>
      </w:pPr>
      <w:r>
        <w:t xml:space="preserve">where the CMP Directions apply, each Product has passed the RE’s new-product approval, including evaluation by the Chief Compliance Officer (CMP paras 9(7), 31);</w:t>
      </w:r>
    </w:p>
    <w:p>
      <w:pPr>
        <w:numPr>
          <w:ilvl w:val="0"/>
          <w:numId w:val="1002"/>
        </w:numPr>
      </w:pPr>
      <w:r>
        <w:t xml:space="preserve">the integration has been certified under Schedule 16, including a test of the fund-flow controls in Schedule 6;</w:t>
      </w:r>
    </w:p>
    <w:p>
      <w:pPr>
        <w:numPr>
          <w:ilvl w:val="0"/>
          <w:numId w:val="1002"/>
        </w:numPr>
      </w:pPr>
      <w:r>
        <w:t xml:space="preserve">the LSP has delivered the Schedule 17 declarations; and</w:t>
      </w:r>
    </w:p>
    <w:p>
      <w:pPr>
        <w:numPr>
          <w:ilvl w:val="0"/>
          <w:numId w:val="1002"/>
        </w:numPr>
      </w:pPr>
      <w:r>
        <w:t xml:space="preserve">where DLG is to apply to a Product, the DLG Agreement has been executed and Article 13 is satisfied.</w:t>
      </w:r>
    </w:p>
    <w:p>
      <w:pPr>
        <w:pStyle w:val="FirstParagraph"/>
      </w:pPr>
      <w:r>
        <w:rPr>
          <w:bCs/>
          <w:b/>
        </w:rPr>
        <w:t xml:space="preserve">2.6 Optional modules.</w:t>
      </w:r>
      <w:r>
        <w:t xml:space="preserve"> </w:t>
      </w:r>
      <w:r>
        <w:t xml:space="preserve">[Option] Recovery Agent Services and DLG apply only after Schedule 10 or Schedule 11 is executed by both Parties. Each may be attached to all or selected Products, and the RE may suspend or detach it by notice without affecting the rest of this Agreement.</w:t>
      </w:r>
    </w:p>
    <w:p>
      <w:pPr>
        <w:pStyle w:val="BodyText"/>
      </w:pPr>
      <w:r>
        <w:rPr>
          <w:bCs/>
          <w:b/>
        </w:rPr>
        <w:t xml:space="preserve">2.7 Group arrangement.</w:t>
      </w:r>
      <w:r>
        <w:t xml:space="preserve"> </w:t>
      </w:r>
      <w:r>
        <w:t xml:space="preserve">[Option, where the RE is in the Infrabyx Group] The RE shall have a Board-approved policy and a service level agreement for the group arrangement (OUT paras 12(1)(vi), 45), select the LSP on objective grounds, deal at arm’s length and apply the same risk management as for an unrelated provider (OUT paras 51, 91–92); tell Borrowers which entity offers each Product (OUT para 46); and ensure that no communication suggests that the RE is responsible for any group entity’s obligations (OUT para 50). The LSP shall comply with RBI directions on the RE’s outsourced activities (OUT para 47(v)).</w:t>
      </w:r>
    </w:p>
    <w:bookmarkEnd w:id="22"/>
    <w:bookmarkStart w:id="23" w:name="X82d6e639327c47accd2e826736b6d8a2a6be978"/>
    <w:p>
      <w:pPr>
        <w:pStyle w:val="Heading1"/>
      </w:pPr>
      <w:r>
        <w:t xml:space="preserve">3. REGULATORY FRAMEWORK AND ALLOCATION OF RESPONSIBILITIES</w:t>
      </w:r>
    </w:p>
    <w:p>
      <w:pPr>
        <w:pStyle w:val="FirstParagraph"/>
      </w:pPr>
      <w:r>
        <w:rPr>
          <w:bCs/>
          <w:b/>
        </w:rPr>
        <w:t xml:space="preserve">3.1 Framework.</w:t>
      </w:r>
      <w:r>
        <w:t xml:space="preserve"> </w:t>
      </w:r>
      <w:r>
        <w:t xml:space="preserve">The Services are governed by CF Chapter III (paras 6–30), OUT Chapters II–IV, RBC, KYC and PMLA, CIR and CICRA, AA, CYB, FRM, TDCR (for co-lent Loans), the Data Protection Laws, the CERT-In Directions, the Consumer Protection Act, 2019 with the Guidelines for Prevention and Regulation of Dark Patterns, 2023, and the Telecom Commercial Communications Customer Preference Regulations, 2018.</w:t>
      </w:r>
    </w:p>
    <w:p>
      <w:pPr>
        <w:pStyle w:val="BodyText"/>
      </w:pPr>
      <w:r>
        <w:rPr>
          <w:bCs/>
          <w:b/>
        </w:rPr>
        <w:t xml:space="preserve">3.2 RE remains fully responsible.</w:t>
      </w:r>
      <w:r>
        <w:t xml:space="preserve"> </w:t>
      </w:r>
      <w:r>
        <w:t xml:space="preserve">[Mandatory — RBI] This Agreement does not dilute or absolve the RE of any statutory or regulatory obligation, and the RE remains fully responsible and liable for all acts and omissions of the LSP (CF para 6(7)). Outsourcing does not diminish the obligations of the RE, its Board and senior management, who keep ultimate responsibility for and control of the outsourced activity (OUT paras 9, 17). The RE’s rights against the LSP are rights of recourse between the Parties only and shall not be raised against any Borrower or RBI.</w:t>
      </w:r>
    </w:p>
    <w:p>
      <w:pPr>
        <w:pStyle w:val="BodyText"/>
      </w:pPr>
      <w:r>
        <w:rPr>
          <w:bCs/>
          <w:b/>
        </w:rPr>
        <w:t xml:space="preserve">3.3 Functions reserved to the RE.</w:t>
      </w:r>
      <w:r>
        <w:t xml:space="preserve"> </w:t>
      </w:r>
      <w:r>
        <w:t xml:space="preserve">[Mandatory — RBI] The following remain with the RE and shall be performed only by its officers or by rule sets it owns and controls:</w:t>
      </w:r>
    </w:p>
    <w:p>
      <w:pPr>
        <w:numPr>
          <w:ilvl w:val="0"/>
          <w:numId w:val="1003"/>
        </w:numPr>
      </w:pPr>
      <w:r>
        <w:t xml:space="preserve">sanction or rejection of a Loan, credit limits and limit increases, and credit-policy deviations (OUT para 15; CF para 8);</w:t>
      </w:r>
    </w:p>
    <w:p>
      <w:pPr>
        <w:numPr>
          <w:ilvl w:val="0"/>
          <w:numId w:val="1003"/>
        </w:numPr>
      </w:pPr>
      <w:r>
        <w:t xml:space="preserve">the KYC Decision (KYC para 13; OUT para 15), V-CIP (KYC para 27(2)(i)) and upload of KYC records to CKYCR;</w:t>
      </w:r>
    </w:p>
    <w:p>
      <w:pPr>
        <w:numPr>
          <w:ilvl w:val="0"/>
          <w:numId w:val="1003"/>
        </w:numPr>
      </w:pPr>
      <w:r>
        <w:t xml:space="preserve">pricing, including interest, fees, penal charges and APR (RBC paras 22–24, 29–30);</w:t>
      </w:r>
    </w:p>
    <w:p>
      <w:pPr>
        <w:numPr>
          <w:ilvl w:val="0"/>
          <w:numId w:val="1003"/>
        </w:numPr>
      </w:pPr>
      <w:r>
        <w:t xml:space="preserve">issue of the KFS, sanction letter and Loan Documents;</w:t>
      </w:r>
    </w:p>
    <w:p>
      <w:pPr>
        <w:numPr>
          <w:ilvl w:val="0"/>
          <w:numId w:val="1003"/>
        </w:numPr>
      </w:pPr>
      <w:r>
        <w:t xml:space="preserve">asset classification, provisioning, write-off and CIC reporting (CF para 17; CIR paras 9–10);</w:t>
      </w:r>
    </w:p>
    <w:p>
      <w:pPr>
        <w:numPr>
          <w:ilvl w:val="0"/>
          <w:numId w:val="1003"/>
        </w:numPr>
      </w:pPr>
      <w:r>
        <w:t xml:space="preserve">internal audit, compliance and strategic functions (OUT para 15);</w:t>
      </w:r>
    </w:p>
    <w:p>
      <w:pPr>
        <w:numPr>
          <w:ilvl w:val="0"/>
          <w:numId w:val="1003"/>
        </w:numPr>
      </w:pPr>
      <w:r>
        <w:t xml:space="preserve">ownership of grievance redressal (CF para 12(3); OUT para 56);</w:t>
      </w:r>
    </w:p>
    <w:p>
      <w:pPr>
        <w:numPr>
          <w:ilvl w:val="0"/>
          <w:numId w:val="1003"/>
        </w:numPr>
      </w:pPr>
      <w:r>
        <w:t xml:space="preserve">recovery policy, appointment of recovery agents, settlement, compromise, waiver, restructuring, legal action and any referral to ADR (OUT para 15; RSA para 16);</w:t>
      </w:r>
    </w:p>
    <w:p>
      <w:pPr>
        <w:numPr>
          <w:ilvl w:val="0"/>
          <w:numId w:val="1003"/>
        </w:numPr>
      </w:pPr>
      <w:r>
        <w:t xml:space="preserve">CTR and STR reporting to FIU-IND (OUT para 19);</w:t>
      </w:r>
    </w:p>
    <w:p>
      <w:pPr>
        <w:numPr>
          <w:ilvl w:val="0"/>
          <w:numId w:val="1003"/>
        </w:numPr>
      </w:pPr>
      <w:r>
        <w:t xml:space="preserve">fraud classification and reporting (FRM paras 6, 40); and</w:t>
      </w:r>
    </w:p>
    <w:p>
      <w:pPr>
        <w:numPr>
          <w:ilvl w:val="0"/>
          <w:numId w:val="1003"/>
        </w:numPr>
      </w:pPr>
      <w:r>
        <w:t xml:space="preserve">invocation of any DLG (CF para 27(1)).</w:t>
      </w:r>
    </w:p>
    <w:p>
      <w:pPr>
        <w:pStyle w:val="FirstParagraph"/>
      </w:pPr>
      <w:r>
        <w:t xml:space="preserve">The LSP may collect, validate, compute and present information for these functions, but each shall be recorded in the Udofin Platform as performed by a named RE officer or by a versioned RE rule set, and no LSP role or credential shall be able to set or change its outcome.</w:t>
      </w:r>
    </w:p>
    <w:p>
      <w:pPr>
        <w:pStyle w:val="BodyText"/>
      </w:pPr>
      <w:r>
        <w:rPr>
          <w:bCs/>
          <w:b/>
        </w:rPr>
        <w:t xml:space="preserve">3.4 LSP Functions.</w:t>
      </w:r>
      <w:r>
        <w:t xml:space="preserve"> </w:t>
      </w:r>
      <w:r>
        <w:t xml:space="preserve">The Responsibility Matrix in Part A of Schedule 2 allocates each activity between the Parties and is exhaustive of the LSP Functions; Part B of Schedule 2 records the activities activated for each Product. The LSP shall perform no activity for the RE outside Schedule 2. Where Schedule 2 is silent, the activity is reserved to the RE.</w:t>
      </w:r>
    </w:p>
    <w:p>
      <w:pPr>
        <w:pStyle w:val="BodyText"/>
      </w:pPr>
      <w:r>
        <w:rPr>
          <w:bCs/>
          <w:b/>
        </w:rPr>
        <w:t xml:space="preserve">3.5 Prohibitions.</w:t>
      </w:r>
      <w:r>
        <w:t xml:space="preserve"> </w:t>
      </w:r>
      <w:r>
        <w:t xml:space="preserve">[Mandatory — RBI] The LSP shall not, and shall ensure that no LSP Personnel or Sub-contractor shall:</w:t>
      </w:r>
    </w:p>
    <w:p>
      <w:pPr>
        <w:numPr>
          <w:ilvl w:val="0"/>
          <w:numId w:val="1004"/>
        </w:numPr>
      </w:pPr>
      <w:r>
        <w:t xml:space="preserve">lend its own funds to a Borrower or bear credit risk on a Loan, except under a DLG Agreement that complies with Article 13;</w:t>
      </w:r>
    </w:p>
    <w:p>
      <w:pPr>
        <w:numPr>
          <w:ilvl w:val="0"/>
          <w:numId w:val="1004"/>
        </w:numPr>
      </w:pPr>
      <w:r>
        <w:t xml:space="preserve">receive, hold, route, pool, net or control, directly or indirectly, any money flowing between the RE and a Borrower, or operate any pass-through, pool, nodal, escrow or virtual account in that flow (CF para 10(1)–(3)), save cash collected under Clause 12.8;</w:t>
      </w:r>
    </w:p>
    <w:p>
      <w:pPr>
        <w:numPr>
          <w:ilvl w:val="0"/>
          <w:numId w:val="1004"/>
        </w:numPr>
      </w:pPr>
      <w:r>
        <w:t xml:space="preserve">charge or collect from a Borrower, directly or indirectly, any fee or amount for any service under this Agreement (whether called a platform, convenience, processing, membership or report fee or otherwise), or deduct any amount from a disbursement or recovery (CF para 10(4)–(5));</w:t>
      </w:r>
    </w:p>
    <w:p>
      <w:pPr>
        <w:numPr>
          <w:ilvl w:val="0"/>
          <w:numId w:val="1004"/>
        </w:numPr>
      </w:pPr>
      <w:r>
        <w:t xml:space="preserve">represent that it is a lender, that a Loan is a</w:t>
      </w:r>
      <w:r>
        <w:t xml:space="preserve"> </w:t>
      </w:r>
      <w:r>
        <w:t xml:space="preserve">“</w:t>
      </w:r>
      <w:r>
        <w:t xml:space="preserve">Udofin</w:t>
      </w:r>
      <w:r>
        <w:t xml:space="preserve">”</w:t>
      </w:r>
      <w:r>
        <w:t xml:space="preserve"> </w:t>
      </w:r>
      <w:r>
        <w:t xml:space="preserve">loan or approved by the LSP, or that the LSP is registered, licensed, approved or endorsed by RBI, including by reason of a DLA appearing in CIMS or any RBI list (CF para 18(6));</w:t>
      </w:r>
    </w:p>
    <w:p>
      <w:pPr>
        <w:numPr>
          <w:ilvl w:val="0"/>
          <w:numId w:val="1004"/>
        </w:numPr>
      </w:pPr>
      <w:r>
        <w:t xml:space="preserve">issue any KFS or Loan Document in its own name or alter any figure or content issued by the RE;</w:t>
      </w:r>
    </w:p>
    <w:p>
      <w:pPr>
        <w:numPr>
          <w:ilvl w:val="0"/>
          <w:numId w:val="1004"/>
        </w:numPr>
      </w:pPr>
      <w:r>
        <w:t xml:space="preserve">perform or appear to perform any function in Clause 3.3;</w:t>
      </w:r>
    </w:p>
    <w:p>
      <w:pPr>
        <w:numPr>
          <w:ilvl w:val="0"/>
          <w:numId w:val="1004"/>
        </w:numPr>
      </w:pPr>
      <w:r>
        <w:t xml:space="preserve">act as payment aggregator or gateway in the money flow of a Loan;</w:t>
      </w:r>
    </w:p>
    <w:p>
      <w:pPr>
        <w:numPr>
          <w:ilvl w:val="0"/>
          <w:numId w:val="1004"/>
        </w:numPr>
      </w:pPr>
      <w:r>
        <w:t xml:space="preserve">access any device resource in breach of Clause 15.3;</w:t>
      </w:r>
    </w:p>
    <w:p>
      <w:pPr>
        <w:numPr>
          <w:ilvl w:val="0"/>
          <w:numId w:val="1004"/>
        </w:numPr>
      </w:pPr>
      <w:r>
        <w:t xml:space="preserve">initiate, offer or display any increase in a credit limit unless the RE has approved it on an explicit Borrower request that the RE has received, evaluated and recorded (CF para 8(2)); or</w:t>
      </w:r>
    </w:p>
    <w:p>
      <w:pPr>
        <w:numPr>
          <w:ilvl w:val="0"/>
          <w:numId w:val="1004"/>
        </w:numPr>
      </w:pPr>
      <w:r>
        <w:t xml:space="preserve">bundle or cross-sell any third-party product with a Loan unless the RE has approved it in Schedule 4, the Borrower has given explicit Consent, and the charges appear in the KFS and APR (RBC para 29(4)–(5)).</w:t>
      </w:r>
    </w:p>
    <w:p>
      <w:pPr>
        <w:pStyle w:val="FirstParagraph"/>
      </w:pPr>
      <w:r>
        <w:rPr>
          <w:bCs/>
          <w:b/>
        </w:rPr>
        <w:t xml:space="preserve">3.6 RE obligations.</w:t>
      </w:r>
      <w:r>
        <w:t xml:space="preserve"> </w:t>
      </w:r>
      <w:r>
        <w:t xml:space="preserve">The RE shall:</w:t>
      </w:r>
    </w:p>
    <w:p>
      <w:pPr>
        <w:numPr>
          <w:ilvl w:val="0"/>
          <w:numId w:val="1005"/>
        </w:numPr>
      </w:pPr>
      <w:r>
        <w:t xml:space="preserve">maintain Board-approved credit, outsourcing, KYC, fair practices, grievance, recovery, penal-charges and (if applicable) DLG policies, and give the LSP the relevant extracts;</w:t>
      </w:r>
    </w:p>
    <w:p>
      <w:pPr>
        <w:numPr>
          <w:ilvl w:val="0"/>
          <w:numId w:val="1005"/>
        </w:numPr>
      </w:pPr>
      <w:r>
        <w:t xml:space="preserve">[Mandatory — RBI] keep on its website, at a prominent single place, the CF para 9(4) details, updated within [five] Working Days of any change;</w:t>
      </w:r>
    </w:p>
    <w:p>
      <w:pPr>
        <w:numPr>
          <w:ilvl w:val="0"/>
          <w:numId w:val="1005"/>
        </w:numPr>
      </w:pPr>
      <w:r>
        <w:t xml:space="preserve">[Mandatory — RBI] report and update the DLAs on CIMS (CF para 18; Clause 5.2);</w:t>
      </w:r>
    </w:p>
    <w:p>
      <w:pPr>
        <w:numPr>
          <w:ilvl w:val="0"/>
          <w:numId w:val="1005"/>
        </w:numPr>
      </w:pPr>
      <w:r>
        <w:t xml:space="preserve">[Mandatory — RBI] monitor portfolios originated with the LSP’s support under its policy (CF para 6(4));</w:t>
      </w:r>
    </w:p>
    <w:p>
      <w:pPr>
        <w:numPr>
          <w:ilvl w:val="0"/>
          <w:numId w:val="1005"/>
        </w:numPr>
      </w:pPr>
      <w:r>
        <w:t xml:space="preserve">[Mandatory — RBI] where Schedule 10 applies, guide the LSP to act responsibly as recovery agent in compliance with RBC (CF para 6(5));</w:t>
      </w:r>
    </w:p>
    <w:p>
      <w:pPr>
        <w:numPr>
          <w:ilvl w:val="0"/>
          <w:numId w:val="1005"/>
        </w:numPr>
      </w:pPr>
      <w:r>
        <w:t xml:space="preserve">take credit decisions and KYC Decisions, and issue the KFS and Loan Documents, within the Schedule 18 timelines;</w:t>
      </w:r>
    </w:p>
    <w:p>
      <w:pPr>
        <w:numPr>
          <w:ilvl w:val="0"/>
          <w:numId w:val="1005"/>
        </w:numPr>
      </w:pPr>
      <w:r>
        <w:t xml:space="preserve">supply accurate product, pricing and eligibility data through the Schedule 16 interfaces and notify changes promptly; and</w:t>
      </w:r>
    </w:p>
    <w:p>
      <w:pPr>
        <w:numPr>
          <w:ilvl w:val="0"/>
          <w:numId w:val="1005"/>
        </w:numPr>
      </w:pPr>
      <w:r>
        <w:t xml:space="preserve">pay the Fees under Article 22.</w:t>
      </w:r>
    </w:p>
    <w:p>
      <w:pPr>
        <w:pStyle w:val="FirstParagraph"/>
      </w:pPr>
      <w:r>
        <w:rPr>
          <w:bCs/>
          <w:b/>
        </w:rPr>
        <w:t xml:space="preserve">3.7 RBI directions.</w:t>
      </w:r>
      <w:r>
        <w:t xml:space="preserve"> </w:t>
      </w:r>
      <w:r>
        <w:t xml:space="preserve">[Mandatory — RBI] The LSP shall comply with RBI directions on the activities outsourced to it and with the RE’s instructions implementing them (OUT paras 47(v), 74(xiv)), and shall ensure that it and each DLA comply with CF Chapter III (CF para 6(6)).</w:t>
      </w:r>
    </w:p>
    <w:p>
      <w:pPr>
        <w:pStyle w:val="BodyText"/>
      </w:pPr>
      <w:r>
        <w:rPr>
          <w:bCs/>
          <w:b/>
        </w:rPr>
        <w:t xml:space="preserve">3.8 Regulatory change.</w:t>
      </w:r>
      <w:r>
        <w:t xml:space="preserve"> </w:t>
      </w:r>
      <w:r>
        <w:t xml:space="preserve">Each Party shall notify the other of a new or amended Regulatory Requirement within [five] Working Days of becoming aware of it, and the RE’s compliance function shall issue its written interpretation for the Services. The LSP shall implement the change by the regulator’s effective date or, if none, within the period the RE reasonably sets, and the RE may suspend any affected Product, DLA or function meanwhile. Changes required by rules of general application to LSPs are at the LSP’s cost; changes driven only by the RE’s policy choices are charged under Schedule 1. Neither force majeure nor a pending Dispute excuses delay.</w:t>
      </w:r>
    </w:p>
    <w:p>
      <w:pPr>
        <w:pStyle w:val="BodyText"/>
      </w:pPr>
      <w:r>
        <w:rPr>
          <w:bCs/>
          <w:b/>
        </w:rPr>
        <w:t xml:space="preserve">3.9 Layer applicability.</w:t>
      </w:r>
      <w:r>
        <w:t xml:space="preserve"> </w:t>
      </w:r>
      <w:r>
        <w:t xml:space="preserve">Schedule 8, para 8.1 records the RE’s type and layer and therefore whether OUT Chapter IV (Middle Layer and above: OUT para 3(2)), which CYB Chapter, and the CMP Directions apply. Regardless of layer, the LSP shall meet the obligations in Articles 16, 17, 19, 20, 21 and 31 derived from OUT Chapter IV and CYB, which the Parties adopt as contractual standards.</w:t>
      </w:r>
    </w:p>
    <w:bookmarkEnd w:id="23"/>
    <w:bookmarkStart w:id="24" w:name="Xa59caaab4dbd9272c8381aeb8a7d9e8218d69cc"/>
    <w:p>
      <w:pPr>
        <w:pStyle w:val="Heading1"/>
      </w:pPr>
      <w:r>
        <w:t xml:space="preserve">4. DUE DILIGENCE, ELIGIBILITY AND ONGOING MONITORING OF THE LSP</w:t>
      </w:r>
    </w:p>
    <w:p>
      <w:pPr>
        <w:pStyle w:val="FirstParagraph"/>
      </w:pPr>
      <w:r>
        <w:rPr>
          <w:bCs/>
          <w:b/>
        </w:rPr>
        <w:t xml:space="preserve">4.1 Enhanced due diligence.</w:t>
      </w:r>
      <w:r>
        <w:t xml:space="preserve"> </w:t>
      </w:r>
      <w:r>
        <w:t xml:space="preserve">[Mandatory — RBI] Before this Agreement, before each renewal and on any material change in scope, the RE conducts enhanced due diligence covering the LSP’s technical capabilities, the robustness of its data privacy policies and storage systems, fairness in conduct with borrowers, past record of conduct and ability to comply with all applicable regulations and statutes (CF para 6(2)), and the financial, operational, legal and reputational, concentration, complaints, litigation, staff and sub-contractor vetting, security, business continuity, conflict, data-segregation and cyber factors in OUT paras 29–32 and 71. The LSP shall provide and keep current the information in Schedule 17.</w:t>
      </w:r>
    </w:p>
    <w:p>
      <w:pPr>
        <w:pStyle w:val="BodyText"/>
      </w:pPr>
      <w:r>
        <w:rPr>
          <w:bCs/>
          <w:b/>
        </w:rPr>
        <w:t xml:space="preserve">4.2 Eligibility.</w:t>
      </w:r>
      <w:r>
        <w:t xml:space="preserve"> </w:t>
      </w:r>
      <w:r>
        <w:t xml:space="preserve">The LSP represents and undertakes throughout the Term that: (a) it is a company incorporated under the Companies Act, 2013 [Mandatory — RBI where DLG is provided: CF para 19]; (b) neither it nor any director or key managerial personnel is subject to any order, or pending proceeding, that bars it from acting as a service provider, recovery agent or LSP, save as disclosed in Schedule 17; (c) no app or website it operates has been removed from an app store or blocked under section 69A of the IT Act in the last [three] years, save as disclosed; and (d) it has the resources to perform the Services to Good Industry Practice.</w:t>
      </w:r>
    </w:p>
    <w:p>
      <w:pPr>
        <w:pStyle w:val="BodyText"/>
      </w:pPr>
      <w:r>
        <w:rPr>
          <w:bCs/>
          <w:b/>
        </w:rPr>
        <w:t xml:space="preserve">4.3 Ownership and control bar.</w:t>
      </w:r>
      <w:r>
        <w:t xml:space="preserve"> </w:t>
      </w:r>
      <w:r>
        <w:t xml:space="preserve">[Mandatory — RBI] Unless the LSP is a group company of the RE: (a) the LSP is not owned or controlled by any director of the RE or a relative of a director (OUT para 18(vi)), and this admits no exception; and (b) the LSP is not owned or controlled by any key managerial personnel of the RE, any approver of this arrangement or a relative of any of them (OUT para 59), unless the RE’s Board or a Board committee has approved an exception with disclosure, oversight and monitoring (OUT paras 13(iv), 59 proviso), recorded in Schedule 17.</w:t>
      </w:r>
      <w:r>
        <w:t xml:space="preserve"> </w:t>
      </w:r>
      <w:r>
        <w:t xml:space="preserve">“</w:t>
      </w:r>
      <w:r>
        <w:t xml:space="preserve">Control</w:t>
      </w:r>
      <w:r>
        <w:t xml:space="preserve">”</w:t>
      </w:r>
      <w:r>
        <w:t xml:space="preserve">,</w:t>
      </w:r>
      <w:r>
        <w:t xml:space="preserve"> </w:t>
      </w:r>
      <w:r>
        <w:t xml:space="preserve">“</w:t>
      </w:r>
      <w:r>
        <w:t xml:space="preserve">director</w:t>
      </w:r>
      <w:r>
        <w:t xml:space="preserve">”</w:t>
      </w:r>
      <w:r>
        <w:t xml:space="preserve">,</w:t>
      </w:r>
      <w:r>
        <w:t xml:space="preserve"> </w:t>
      </w:r>
      <w:r>
        <w:t xml:space="preserve">“</w:t>
      </w:r>
      <w:r>
        <w:t xml:space="preserve">key managerial personnel</w:t>
      </w:r>
      <w:r>
        <w:t xml:space="preserve">”</w:t>
      </w:r>
      <w:r>
        <w:t xml:space="preserve"> </w:t>
      </w:r>
      <w:r>
        <w:t xml:space="preserve">and</w:t>
      </w:r>
      <w:r>
        <w:t xml:space="preserve"> </w:t>
      </w:r>
      <w:r>
        <w:t xml:space="preserve">“</w:t>
      </w:r>
      <w:r>
        <w:t xml:space="preserve">relative</w:t>
      </w:r>
      <w:r>
        <w:t xml:space="preserve">”</w:t>
      </w:r>
      <w:r>
        <w:t xml:space="preserve"> </w:t>
      </w:r>
      <w:r>
        <w:t xml:space="preserve">have their Companies Act, 2013 meanings. The LSP shall deliver a declaration of its shareholders holding [two] per cent or more, directors and key managerial personnel on the Execution Date, annually within [30] days of each financial year-end, and within [seven] days of any change.</w:t>
      </w:r>
    </w:p>
    <w:p>
      <w:pPr>
        <w:pStyle w:val="BodyText"/>
      </w:pPr>
      <w:r>
        <w:rPr>
          <w:bCs/>
          <w:b/>
        </w:rPr>
        <w:t xml:space="preserve">4.4 Periodic review.</w:t>
      </w:r>
      <w:r>
        <w:t xml:space="preserve"> </w:t>
      </w:r>
      <w:r>
        <w:t xml:space="preserve">[Mandatory — RBI] The RE shall periodically review the LSP’s conduct against this Agreement and may act on any deviation (CF para 6(3)), and shall at least annually review the LSP’s financial and operational condition (OUT paras 38, 80). The LSP shall support each review with the Schedule 19 reports, access under Article 19 and an updated Schedule 17 pack at least annually and within [30] days of a material change.</w:t>
      </w:r>
    </w:p>
    <w:p>
      <w:pPr>
        <w:pStyle w:val="BodyText"/>
      </w:pPr>
      <w:r>
        <w:rPr>
          <w:bCs/>
          <w:b/>
        </w:rPr>
        <w:t xml:space="preserve">4.5 Portfolio monitoring.</w:t>
      </w:r>
      <w:r>
        <w:t xml:space="preserve"> </w:t>
      </w:r>
      <w:r>
        <w:t xml:space="preserve">[Mandatory — RBI] The LSP shall supply the data the RE needs to monitor LSP-originated portfolios under its policy (CF para 6(4)), including funnel, approval, rejection, complaint, early-delinquency and vintage data, as set out in Schedule 19.</w:t>
      </w:r>
    </w:p>
    <w:p>
      <w:pPr>
        <w:pStyle w:val="BodyText"/>
      </w:pPr>
      <w:r>
        <w:rPr>
          <w:bCs/>
          <w:b/>
        </w:rPr>
        <w:t xml:space="preserve">4.6 Certifications.</w:t>
      </w:r>
      <w:r>
        <w:t xml:space="preserve"> </w:t>
      </w:r>
      <w:r>
        <w:t xml:space="preserve">The LSP shall share independent reviews and recognised certifications (including [ISO/IEC 27001] and [SOC 2 Type II]), on which the RE may rely under its risk assessment without losing responsibility for assurance (OUT paras 31, 79).</w:t>
      </w:r>
    </w:p>
    <w:p>
      <w:pPr>
        <w:pStyle w:val="BodyText"/>
      </w:pPr>
      <w:r>
        <w:rPr>
          <w:bCs/>
          <w:b/>
        </w:rPr>
        <w:t xml:space="preserve">4.7 Deviations.</w:t>
      </w:r>
      <w:r>
        <w:t xml:space="preserve"> </w:t>
      </w:r>
      <w:r>
        <w:t xml:space="preserve">On any deviation, the RE may require a remediation plan within [ten] Working Days, suspend under Clause 30.2, or terminate under Clause 30.3.</w:t>
      </w:r>
    </w:p>
    <w:p>
      <w:pPr>
        <w:pStyle w:val="BodyText"/>
      </w:pPr>
      <w:r>
        <w:rPr>
          <w:bCs/>
          <w:b/>
        </w:rPr>
        <w:t xml:space="preserve">4.8 Change in control.</w:t>
      </w:r>
      <w:r>
        <w:t xml:space="preserve"> </w:t>
      </w:r>
      <w:r>
        <w:t xml:space="preserve">The LSP shall give at least [30] days’ notice (or, where advance notice is unlawful, immediate notice) of any change in control, merger, demerger or transfer of the Udofin business, or change of director or key managerial personnel. The RE may treat it as a material change requiring fresh due diligence.</w:t>
      </w:r>
    </w:p>
    <w:p>
      <w:pPr>
        <w:pStyle w:val="BodyText"/>
      </w:pPr>
      <w:r>
        <w:rPr>
          <w:bCs/>
          <w:b/>
        </w:rPr>
        <w:t xml:space="preserve">4.9 Materiality and records.</w:t>
      </w:r>
      <w:r>
        <w:t xml:space="preserve"> </w:t>
      </w:r>
      <w:r>
        <w:t xml:space="preserve">The RE shall assess materiality (OUT paras 14, 58(2)), record this arrangement in its central record of material outsourcing for half-yearly Board or Risk Management Committee review (OUT paras 12(1)(vii), 36) and, where OUT Chapter IV applies, in its IT-outsourcing inventory and dependency map (OUT paras 64(2), 82). The LSP shall provide the information required, including its Sub-contractors and supply chain (OUT para 74(xi)).</w:t>
      </w:r>
    </w:p>
    <w:bookmarkEnd w:id="24"/>
    <w:bookmarkStart w:id="25" w:name="digital-lending-apps-and-platform"/>
    <w:p>
      <w:pPr>
        <w:pStyle w:val="Heading1"/>
      </w:pPr>
      <w:r>
        <w:t xml:space="preserve">5. DIGITAL LENDING APPS AND PLATFORM</w:t>
      </w:r>
    </w:p>
    <w:p>
      <w:pPr>
        <w:pStyle w:val="FirstParagraph"/>
      </w:pPr>
      <w:r>
        <w:rPr>
          <w:bCs/>
          <w:b/>
        </w:rPr>
        <w:t xml:space="preserve">5.1 DLAs covered.</w:t>
      </w:r>
      <w:r>
        <w:t xml:space="preserve"> </w:t>
      </w:r>
      <w:r>
        <w:t xml:space="preserve">Each Udofin DLA offering a Product is a DLA of the RE. Schedule 3 lists every DLA, one line per DLA per platform (each app store, the web, each white-label variant), with the Annex-I particulars.</w:t>
      </w:r>
    </w:p>
    <w:p>
      <w:pPr>
        <w:pStyle w:val="BodyText"/>
      </w:pPr>
      <w:r>
        <w:rPr>
          <w:bCs/>
          <w:b/>
        </w:rPr>
        <w:t xml:space="preserve">5.2 CIMS reporting.</w:t>
      </w:r>
      <w:r>
        <w:t xml:space="preserve"> </w:t>
      </w:r>
      <w:r>
        <w:t xml:space="preserve">[Mandatory — RBI] (a) The RE shall report every DLA offering a Product on CIMS in the Annex-I format and update the list when a DLA is added or the engagement with a DLA ceases (CF para 18(1)–(2)). (b) The LSP shall give the RE the complete Annex-I particulars (DLA name; owner; platform or store; link; name, email, telephone and mobile of the grievance redressal officer; RE website) at least [ten] Working Days before a DLA offers any Product, and the same notice of any launch, rename, link change, change of Nodal GRO, withdrawal or delisting (or, where the change is outside its control, within [one] Working Day, and for an unplanned change of Nodal GRO immediately, as Clause 14.2 requires). (c) The RE shall file within [five] Working Days and confirm the filing. (d) The LSP shall not offer any Product on a DLA until the RE confirms in writing that it has been reported.</w:t>
      </w:r>
    </w:p>
    <w:p>
      <w:pPr>
        <w:pStyle w:val="BodyText"/>
      </w:pPr>
      <w:r>
        <w:rPr>
          <w:bCs/>
          <w:b/>
        </w:rPr>
        <w:t xml:space="preserve">5.3 Certification support.</w:t>
      </w:r>
      <w:r>
        <w:t xml:space="preserve"> </w:t>
      </w:r>
      <w:r>
        <w:t xml:space="preserve">[Mandatory — RBI] Before each CIMS filing and at least [half-yearly], the LSP shall give the RE an evidence pack (screenshots, the permission manifest of each mobile build, policy versions, Sub-contractor list) enabling the RE’s Chief Compliance Officer or Board-designated official to certify the matters in CF para 18(3)–(4): the DLA links to the RE’s website; the LSP’s Nodal GRO is prominently displayed; data collection and storage comply with CF paras 13–14; and the DLA is disclosed on the RE’s website under CF para 9(4).</w:t>
      </w:r>
    </w:p>
    <w:p>
      <w:pPr>
        <w:pStyle w:val="BodyText"/>
      </w:pPr>
      <w:r>
        <w:rPr>
          <w:bCs/>
          <w:b/>
        </w:rPr>
        <w:t xml:space="preserve">5.4 Accuracy.</w:t>
      </w:r>
      <w:r>
        <w:t xml:space="preserve"> </w:t>
      </w:r>
      <w:r>
        <w:t xml:space="preserve">[Mandatory — RBI] The LSP shall ensure the DLA data it supplies is correct and timely, since RBI publishes the CIMS data automatically without verifying it (CF para 18(5)).</w:t>
      </w:r>
    </w:p>
    <w:p>
      <w:pPr>
        <w:pStyle w:val="BodyText"/>
      </w:pPr>
      <w:r>
        <w:rPr>
          <w:bCs/>
          <w:b/>
        </w:rPr>
        <w:t xml:space="preserve">5.5 No RBI endorsement claim.</w:t>
      </w:r>
      <w:r>
        <w:t xml:space="preserve"> </w:t>
      </w:r>
      <w:r>
        <w:t xml:space="preserve">[Mandatory — RBI] The LSP shall not treat or present, and shall ensure that no associated entity treats or presents, the reporting of a DLA on CIMS or its appearance in any RBI list as any registration, authorisation or endorsement by RBI, in marketing or otherwise (CF para 18(6)).</w:t>
      </w:r>
    </w:p>
    <w:p>
      <w:pPr>
        <w:pStyle w:val="BodyText"/>
      </w:pPr>
      <w:r>
        <w:rPr>
          <w:bCs/>
          <w:b/>
        </w:rPr>
        <w:t xml:space="preserve">5.6 Mandatory DLA content.</w:t>
      </w:r>
      <w:r>
        <w:t xml:space="preserve"> </w:t>
      </w:r>
      <w:r>
        <w:t xml:space="preserve">[Mandatory — RBI] While a Product is offered, each DLA shall:</w:t>
      </w:r>
    </w:p>
    <w:p>
      <w:pPr>
        <w:numPr>
          <w:ilvl w:val="0"/>
          <w:numId w:val="1006"/>
        </w:numPr>
      </w:pPr>
      <w:r>
        <w:t xml:space="preserve">name the RE as lender on every offer, KFS, document, payment and servicing screen, and describe the LSP only as a lending service provider facilitating loans from the RE;</w:t>
      </w:r>
    </w:p>
    <w:p>
      <w:pPr>
        <w:numPr>
          <w:ilvl w:val="0"/>
          <w:numId w:val="1006"/>
        </w:numPr>
      </w:pPr>
      <w:r>
        <w:t xml:space="preserve">link to the RE’s CF para 9(4) web page (CF paras 9(5), 18(4)(i));</w:t>
      </w:r>
    </w:p>
    <w:p>
      <w:pPr>
        <w:numPr>
          <w:ilvl w:val="0"/>
          <w:numId w:val="1006"/>
        </w:numPr>
      </w:pPr>
      <w:r>
        <w:t xml:space="preserve">prominently display the contact details of the LSP’s Nodal GRO and the RE’s GRO (CF para 12(2); OUT para 57(2));</w:t>
      </w:r>
    </w:p>
    <w:p>
      <w:pPr>
        <w:numPr>
          <w:ilvl w:val="0"/>
          <w:numId w:val="1006"/>
        </w:numPr>
      </w:pPr>
      <w:r>
        <w:t xml:space="preserve">provide complaint lodging (CF para 12(3));</w:t>
      </w:r>
    </w:p>
    <w:p>
      <w:pPr>
        <w:numPr>
          <w:ilvl w:val="0"/>
          <w:numId w:val="1006"/>
        </w:numPr>
      </w:pPr>
      <w:r>
        <w:t xml:space="preserve">disclose the LSP’s privacy policy, including third parties that collect personal information through the DLA (CF para 15), and its data storage policy (CF para 14(2));</w:t>
      </w:r>
    </w:p>
    <w:p>
      <w:pPr>
        <w:numPr>
          <w:ilvl w:val="0"/>
          <w:numId w:val="1006"/>
        </w:numPr>
      </w:pPr>
      <w:r>
        <w:t xml:space="preserve">list the lenders the LSP acts for and the activities it performs for the RE; and</w:t>
      </w:r>
    </w:p>
    <w:p>
      <w:pPr>
        <w:numPr>
          <w:ilvl w:val="0"/>
          <w:numId w:val="1006"/>
        </w:numPr>
      </w:pPr>
      <w:r>
        <w:t xml:space="preserve">state in product literature that the RE uses the LSP’s services, describing its role broadly (OUT para 55).</w:t>
      </w:r>
    </w:p>
    <w:p>
      <w:pPr>
        <w:pStyle w:val="FirstParagraph"/>
      </w:pPr>
      <w:r>
        <w:rPr>
          <w:bCs/>
          <w:b/>
        </w:rPr>
        <w:t xml:space="preserve">5.7 App stores.</w:t>
      </w:r>
      <w:r>
        <w:t xml:space="preserve"> </w:t>
      </w:r>
      <w:r>
        <w:t xml:space="preserve">[Mandatory — Platform policy] The LSP shall keep each Udofin DLA compliant with the lending and personal-loan policies of each app store. For Google Play this includes: the financial features declaration and India personal-loan documentation; listing only lenders that appear on RBI’s list of</w:t>
      </w:r>
      <w:r>
        <w:t xml:space="preserve"> </w:t>
      </w:r>
      <w:r>
        <w:t xml:space="preserve">“</w:t>
      </w:r>
      <w:r>
        <w:t xml:space="preserve">Digital lending apps (DLAs) deployed by Regulated Entities</w:t>
      </w:r>
      <w:r>
        <w:t xml:space="preserve">”</w:t>
      </w:r>
      <w:r>
        <w:t xml:space="preserve">; declaring that the LSP facilitates lending by registered entities and naming all of them in the app description; requesting none of the permissions the policy prohibits for personal-loan apps (including external storage, media, contacts, precise location, phone numbers and the full installed-packages list); and the store’s loan-tenor and APR-disclosure rules [VERIFY: Google Play Financial Services policy and Apple App Review Guidelines at each submission]. The RE shall supply its Certificate of Registration and other documents a store requires.</w:t>
      </w:r>
    </w:p>
    <w:p>
      <w:pPr>
        <w:pStyle w:val="BodyText"/>
      </w:pPr>
      <w:r>
        <w:rPr>
          <w:bCs/>
          <w:b/>
        </w:rPr>
        <w:t xml:space="preserve">5.8 DLA change control.</w:t>
      </w:r>
      <w:r>
        <w:t xml:space="preserve"> </w:t>
      </w:r>
      <w:r>
        <w:t xml:space="preserve">The LSP shall not change any disclosure under Clause 5.6 or Article 6, any consent or permission under Article 15, the presentation of any KFS, offer or Loan Document, the cooling-off journey or the payment journey without the RE’s prior written approval under Schedule 16, save urgent fixes for a security vulnerability or regulatory breach notified within [24] hours.</w:t>
      </w:r>
    </w:p>
    <w:p>
      <w:pPr>
        <w:pStyle w:val="BodyText"/>
      </w:pPr>
      <w:r>
        <w:rPr>
          <w:bCs/>
          <w:b/>
        </w:rPr>
        <w:t xml:space="preserve">5.9 Accessibility.</w:t>
      </w:r>
      <w:r>
        <w:t xml:space="preserve"> </w:t>
      </w:r>
      <w:r>
        <w:t xml:space="preserve">The DLAs shall not exclude persons with disabilities (RBC para 28) and shall follow the RE’s measures implementing the Supreme Court order of 30 April 2025 in</w:t>
      </w:r>
      <w:r>
        <w:t xml:space="preserve"> </w:t>
      </w:r>
      <w:r>
        <w:rPr>
          <w:iCs/>
          <w:i/>
        </w:rPr>
        <w:t xml:space="preserve">Pragya Prasun v Union of India</w:t>
      </w:r>
      <w:r>
        <w:t xml:space="preserve"> </w:t>
      </w:r>
      <w:r>
        <w:t xml:space="preserve">(RBC para 105); liveness checks shall not exclude persons with special needs (KYC para 27(1)(v), 27(2)(i)).</w:t>
      </w:r>
    </w:p>
    <w:p>
      <w:pPr>
        <w:pStyle w:val="BodyText"/>
      </w:pPr>
      <w:r>
        <w:rPr>
          <w:bCs/>
          <w:b/>
        </w:rPr>
        <w:t xml:space="preserve">5.10 Impersonation.</w:t>
      </w:r>
      <w:r>
        <w:t xml:space="preserve"> </w:t>
      </w:r>
      <w:r>
        <w:t xml:space="preserve">The LSP shall monitor app stores, social media and the web for fake apps, handles, sites and payment links impersonating the LSP, a DLA or the RE, notify the RE within [24] hours of detection, and pursue takedown and Borrower alerts with the RE (CYB para 34, where applicable).</w:t>
      </w:r>
    </w:p>
    <w:bookmarkEnd w:id="25"/>
    <w:bookmarkStart w:id="26" w:name="X05aa2f24e54c7a1069d57cf6bae86d7e4cbb00e"/>
    <w:p>
      <w:pPr>
        <w:pStyle w:val="Heading1"/>
      </w:pPr>
      <w:r>
        <w:t xml:space="preserve">6. CUSTOMER ACQUISITION, MARKETING AND DISCLOSURES</w:t>
      </w:r>
    </w:p>
    <w:p>
      <w:pPr>
        <w:pStyle w:val="FirstParagraph"/>
      </w:pPr>
      <w:r>
        <w:rPr>
          <w:bCs/>
          <w:b/>
        </w:rPr>
        <w:t xml:space="preserve">6.1 Sourcing.</w:t>
      </w:r>
      <w:r>
        <w:t xml:space="preserve"> </w:t>
      </w:r>
      <w:r>
        <w:t xml:space="preserve">The LSP shall source Borrowers only through the DLAs and channels approved in Schedule 15 and against the RE’s published eligibility rules. Any pre-screen shall be shown as indicative, never as the RE’s decision.</w:t>
      </w:r>
    </w:p>
    <w:p>
      <w:pPr>
        <w:pStyle w:val="BodyText"/>
      </w:pPr>
      <w:r>
        <w:rPr>
          <w:bCs/>
          <w:b/>
        </w:rPr>
        <w:t xml:space="preserve">6.2 Multi-lender digital view.</w:t>
      </w:r>
      <w:r>
        <w:t xml:space="preserve"> </w:t>
      </w:r>
      <w:r>
        <w:t xml:space="preserve">[Mandatory — RBI] Because the LSP has agreements with multiple lenders, the LSP shall (and the RE shall ensure that it does) (CF para 7):</w:t>
      </w:r>
    </w:p>
    <w:p>
      <w:pPr>
        <w:numPr>
          <w:ilvl w:val="0"/>
          <w:numId w:val="1007"/>
        </w:numPr>
      </w:pPr>
      <w:r>
        <w:t xml:space="preserve">show on the DLA a digital view of all loan offers matching the Borrower’s request that meet the Borrower’s requirement, and disclose in that view the names of the unmatched lenders (CF para 7(1));</w:t>
      </w:r>
    </w:p>
    <w:p>
      <w:pPr>
        <w:numPr>
          <w:ilvl w:val="0"/>
          <w:numId w:val="1007"/>
        </w:numPr>
      </w:pPr>
      <w:r>
        <w:t xml:space="preserve">show for each matching offer the lender’s name, the amount and tenor, the APR, the monthly repayment obligation and the penal charges (if applicable), so that the Borrower can make a fair comparison, with a link to each lender’s KFS (CF para 7(3));</w:t>
      </w:r>
    </w:p>
    <w:p>
      <w:pPr>
        <w:numPr>
          <w:ilvl w:val="0"/>
          <w:numId w:val="1007"/>
        </w:numPr>
      </w:pPr>
      <w:r>
        <w:t xml:space="preserve">keep the content unbiased and objective, without directly or indirectly promoting or pushing any lender’s product, and without dark patterns or deceptive patterns as defined in section 2(e) of the CCPA Guidelines for Prevention and Regulation of Dark Patterns, 2023 (CF para 7(4)); and</w:t>
      </w:r>
    </w:p>
    <w:p>
      <w:pPr>
        <w:numPr>
          <w:ilvl w:val="0"/>
          <w:numId w:val="1007"/>
        </w:numPr>
      </w:pPr>
      <w:r>
        <w:t xml:space="preserve">take each offer’s figures and KFS only from the issuing lender, without computing, rounding or editing them, and may independently recompute the APR only to flag to the issuing lender (and, for the RE’s offers, the RE) any difference exceeding [0.05] percentage points; the LSP shall not alter, suppress or reorder an offer on that ground, and a lender-confirmed withdrawal is shown in the unmatched list with a neutral reason (Schedule 5, paras 5.2–5.3; CF para 7(1)).</w:t>
      </w:r>
    </w:p>
    <w:p>
      <w:pPr>
        <w:pStyle w:val="FirstParagraph"/>
      </w:pPr>
      <w:r>
        <w:rPr>
          <w:bCs/>
          <w:b/>
        </w:rPr>
        <w:t xml:space="preserve">6.3 Matching Mechanism.</w:t>
      </w:r>
      <w:r>
        <w:t xml:space="preserve"> </w:t>
      </w:r>
      <w:r>
        <w:t xml:space="preserve">[Mandatory — RBI] The LSP may use any matching mechanism, but shall apply a consistent approach to similarly placed borrowers and products and document the mechanism and every change to it (CF para 7(2)). The LSP shall describe it in plain language and by version in Schedule 5, record the version used for every offer set, give the RE [15] Working Days’ notice of any change with reasons, and make the documentation and change log available to the RE, its auditors and RBI. Its inputs shall be only the Borrower’s request and data, lenders’ published eligibility rules and lenders’ eligibility responses; never Fees, DLG exposure, conversion targets or other commercial factors.</w:t>
      </w:r>
    </w:p>
    <w:p>
      <w:pPr>
        <w:pStyle w:val="BodyText"/>
      </w:pPr>
      <w:r>
        <w:rPr>
          <w:bCs/>
          <w:b/>
        </w:rPr>
        <w:t xml:space="preserve">6.4 Ranking.</w:t>
      </w:r>
      <w:r>
        <w:t xml:space="preserve"> </w:t>
      </w:r>
      <w:r>
        <w:t xml:space="preserve">[Mandatory — RBI] Offers may be ranked only on a metric publicly pre-disclosed on the LSP’s website and in the DLA before the offers appear (CF para 7(4)); the default is [APR ascending, ties by monthly repayment obligation]. There shall be no pre-selected offer,</w:t>
      </w:r>
      <w:r>
        <w:t xml:space="preserve"> </w:t>
      </w:r>
      <w:r>
        <w:t xml:space="preserve">“</w:t>
      </w:r>
      <w:r>
        <w:t xml:space="preserve">recommended</w:t>
      </w:r>
      <w:r>
        <w:t xml:space="preserve">”</w:t>
      </w:r>
      <w:r>
        <w:t xml:space="preserve">,</w:t>
      </w:r>
      <w:r>
        <w:t xml:space="preserve"> </w:t>
      </w:r>
      <w:r>
        <w:t xml:space="preserve">“</w:t>
      </w:r>
      <w:r>
        <w:t xml:space="preserve">best</w:t>
      </w:r>
      <w:r>
        <w:t xml:space="preserve">”</w:t>
      </w:r>
      <w:r>
        <w:t xml:space="preserve"> </w:t>
      </w:r>
      <w:r>
        <w:t xml:space="preserve">or</w:t>
      </w:r>
      <w:r>
        <w:t xml:space="preserve"> </w:t>
      </w:r>
      <w:r>
        <w:t xml:space="preserve">“</w:t>
      </w:r>
      <w:r>
        <w:t xml:space="preserve">sponsored</w:t>
      </w:r>
      <w:r>
        <w:t xml:space="preserve">”</w:t>
      </w:r>
      <w:r>
        <w:t xml:space="preserve"> </w:t>
      </w:r>
      <w:r>
        <w:t xml:space="preserve">label, unequal prominence, countdown timer, false scarcity, confirm-shaming or paid placement.</w:t>
      </w:r>
    </w:p>
    <w:p>
      <w:pPr>
        <w:pStyle w:val="BodyText"/>
      </w:pPr>
      <w:r>
        <w:rPr>
          <w:bCs/>
          <w:b/>
        </w:rPr>
        <w:t xml:space="preserve">6.5 Neutrality review.</w:t>
      </w:r>
      <w:r>
        <w:t xml:space="preserve"> </w:t>
      </w:r>
      <w:r>
        <w:t xml:space="preserve">Before every release affecting the offer journey, and at least [half-yearly], the LSP shall review the journey against the dark patterns listed in the 2023 Guidelines and this Article and share the result with the RE.</w:t>
      </w:r>
    </w:p>
    <w:p>
      <w:pPr>
        <w:pStyle w:val="BodyText"/>
      </w:pPr>
      <w:r>
        <w:rPr>
          <w:bCs/>
          <w:b/>
        </w:rPr>
        <w:t xml:space="preserve">6.6 Single-lender journeys and filtering.</w:t>
      </w:r>
      <w:r>
        <w:t xml:space="preserve"> </w:t>
      </w:r>
      <w:r>
        <w:t xml:space="preserve">[Option] For a journey showing only the RE’s offers (co-branded or RE-branded), the Parties [shall apply Clauses 6.2–6.4 / rely on the legal opinion recorded in Schedule 5] [VERIFY: whether CF para 7 applies to a single-lender journey of a multi-lender LSP]. Where an app-store rule prevents an offer from appearing on a DLA, the lender shall be named in the digital view with the reason and the alternative route.</w:t>
      </w:r>
    </w:p>
    <w:p>
      <w:pPr>
        <w:pStyle w:val="BodyText"/>
      </w:pPr>
      <w:r>
        <w:rPr>
          <w:bCs/>
          <w:b/>
        </w:rPr>
        <w:t xml:space="preserve">6.7 Marketing content.</w:t>
      </w:r>
      <w:r>
        <w:t xml:space="preserve"> </w:t>
      </w:r>
      <w:r>
        <w:t xml:space="preserve">The LSP shall use only content, scripts, notifications and campaigns approved by the RE under Schedule 15. Content shall be accurate and not misleading (no</w:t>
      </w:r>
      <w:r>
        <w:t xml:space="preserve"> </w:t>
      </w:r>
      <w:r>
        <w:t xml:space="preserve">“</w:t>
      </w:r>
      <w:r>
        <w:t xml:space="preserve">instant</w:t>
      </w:r>
      <w:r>
        <w:t xml:space="preserve">”</w:t>
      </w:r>
      <w:r>
        <w:t xml:space="preserve">,</w:t>
      </w:r>
      <w:r>
        <w:t xml:space="preserve"> </w:t>
      </w:r>
      <w:r>
        <w:t xml:space="preserve">“</w:t>
      </w:r>
      <w:r>
        <w:t xml:space="preserve">guaranteed</w:t>
      </w:r>
      <w:r>
        <w:t xml:space="preserve">”</w:t>
      </w:r>
      <w:r>
        <w:t xml:space="preserve"> </w:t>
      </w:r>
      <w:r>
        <w:t xml:space="preserve">or</w:t>
      </w:r>
      <w:r>
        <w:t xml:space="preserve"> </w:t>
      </w:r>
      <w:r>
        <w:t xml:space="preserve">“</w:t>
      </w:r>
      <w:r>
        <w:t xml:space="preserve">pre-approved</w:t>
      </w:r>
      <w:r>
        <w:t xml:space="preserve">”</w:t>
      </w:r>
      <w:r>
        <w:t xml:space="preserve"> </w:t>
      </w:r>
      <w:r>
        <w:t xml:space="preserve">claim unless true of the RE’s decision; no rate without the APR), shall name the RE as lender, shall comply with the Consumer Protection Act, 2019, CCPA guidelines and the ASCI code, and shall refer to RBI only as Clause 5.5 permits.</w:t>
      </w:r>
    </w:p>
    <w:p>
      <w:pPr>
        <w:pStyle w:val="BodyText"/>
      </w:pPr>
      <w:r>
        <w:rPr>
          <w:bCs/>
          <w:b/>
        </w:rPr>
        <w:t xml:space="preserve">6.8 Telemarketing.</w:t>
      </w:r>
      <w:r>
        <w:t xml:space="preserve"> </w:t>
      </w:r>
      <w:r>
        <w:t xml:space="preserve">[Mandatory — RBI] Promotional calls and messages shall be made only through telemarketers, numbers and headers registered under TRAI and DoT rules, in compliance with the Telecom Commercial Communications Customer Preference Regulations, 2018, after giving the RE the telemarketers’ details and registered numbers for furnishing to TRAI (RBC para 101). LSP Personnel who solicit customers shall be trained in hours of calling, privacy and correct product terms, and shall undertake to follow the RE’s code of conduct (RBC paras 98–99 until 31 December 2026; thereafter the RE’s code of conduct and DSA/DMA policy [VERIFY: provision replacing RBC paras 98–99 for DSAs/DMAs after the Third Amendment]).</w:t>
      </w:r>
    </w:p>
    <w:p>
      <w:pPr>
        <w:pStyle w:val="BodyText"/>
      </w:pPr>
      <w:r>
        <w:rPr>
          <w:bCs/>
          <w:b/>
        </w:rPr>
        <w:t xml:space="preserve">6.9 Language.</w:t>
      </w:r>
      <w:r>
        <w:t xml:space="preserve"> </w:t>
      </w:r>
      <w:r>
        <w:t xml:space="preserve">[Mandatory — RBI] Communications to Borrowers shall be in the vernacular or a language the Borrower understands (RBC para 10), and the KFS shall be in such a language (RBC para 29(1)). The DLAs shall support at least English, Hindi and [●].</w:t>
      </w:r>
    </w:p>
    <w:p>
      <w:pPr>
        <w:pStyle w:val="BodyText"/>
      </w:pPr>
      <w:r>
        <w:rPr>
          <w:bCs/>
          <w:b/>
        </w:rPr>
        <w:t xml:space="preserve">6.10 Marketing consent.</w:t>
      </w:r>
      <w:r>
        <w:t xml:space="preserve"> </w:t>
      </w:r>
      <w:r>
        <w:t xml:space="preserve">Marketing communications require a separate, unbundled Consent that is not a condition of any Loan, is never pre-ticked and can be withdrawn as easily as given.</w:t>
      </w:r>
    </w:p>
    <w:p>
      <w:pPr>
        <w:pStyle w:val="BodyText"/>
      </w:pPr>
      <w:r>
        <w:rPr>
          <w:bCs/>
          <w:b/>
        </w:rPr>
        <w:t xml:space="preserve">6.11 Third-party products.</w:t>
      </w:r>
      <w:r>
        <w:t xml:space="preserve"> </w:t>
      </w:r>
      <w:r>
        <w:t xml:space="preserve">Insurance or any other product offered with a Loan must be approved in Schedule 4, taken only with explicit Consent, and disclosed in the KFS and APR (RBC para 29(4)). The LSP shall not act as an insurance intermediary without registration under the Insurance Act, 1938 and IRDAI regulations.</w:t>
      </w:r>
    </w:p>
    <w:p>
      <w:pPr>
        <w:pStyle w:val="BodyText"/>
      </w:pPr>
      <w:r>
        <w:rPr>
          <w:bCs/>
          <w:b/>
        </w:rPr>
        <w:t xml:space="preserve">6.12 Offer records.</w:t>
      </w:r>
      <w:r>
        <w:t xml:space="preserve"> </w:t>
      </w:r>
      <w:r>
        <w:t xml:space="preserve">For each offer set shown, the LSP shall keep, for the Schedule 7 period, the matched and unmatched lenders, ranking-metric and Matching Mechanism versions, displayed figures and KFS links, the Borrower’s choice and timestamps.</w:t>
      </w:r>
    </w:p>
    <w:bookmarkEnd w:id="26"/>
    <w:bookmarkStart w:id="27" w:name="onboarding-kyc-and-credit-information"/>
    <w:p>
      <w:pPr>
        <w:pStyle w:val="Heading1"/>
      </w:pPr>
      <w:r>
        <w:t xml:space="preserve">7. ONBOARDING, KYC AND CREDIT INFORMATION</w:t>
      </w:r>
    </w:p>
    <w:p>
      <w:pPr>
        <w:pStyle w:val="FirstParagraph"/>
      </w:pPr>
      <w:r>
        <w:rPr>
          <w:bCs/>
          <w:b/>
        </w:rPr>
        <w:t xml:space="preserve">7.1 KYC.</w:t>
      </w:r>
      <w:r>
        <w:t xml:space="preserve"> </w:t>
      </w:r>
      <w:r>
        <w:t xml:space="preserve">[Mandatory — RBI] The RE performs customer due diligence under its KYC policy and does not outsource the decision-making function of determining compliance with KYC norms (KYC para 13). The LSP, as the RE’s agent for the technology in Schedule 2, captures and transmits the information, documents, consents and evidence the RE needs, and shall show no KYC outcome other than the KYC Decision received from the RE.</w:t>
      </w:r>
    </w:p>
    <w:p>
      <w:pPr>
        <w:pStyle w:val="BodyText"/>
      </w:pPr>
      <w:r>
        <w:rPr>
          <w:bCs/>
          <w:b/>
        </w:rPr>
        <w:t xml:space="preserve">7.2 Permitted modes.</w:t>
      </w:r>
      <w:r>
        <w:t xml:space="preserve"> </w:t>
      </w:r>
      <w:r>
        <w:t xml:space="preserve">The LSP shall support only the modes the RE enables in Schedule 4, each in compliance with the KYC Directions:</w:t>
      </w:r>
    </w:p>
    <w:p>
      <w:pPr>
        <w:numPr>
          <w:ilvl w:val="0"/>
          <w:numId w:val="1008"/>
        </w:numPr>
      </w:pPr>
      <w:r>
        <w:t xml:space="preserve">[Mandatory — RBI] Aadhaar OTP e-KYC in non-face-to-face mode only if the RE is notified under the first proviso to section 11A(1) of PMLA [VERIFY: RE’s notification], with specific consent and subject to KYC para 25, including term loans only, aggregate sanctions not exceeding ₹60,000 in a year, and full CDD within one year;</w:t>
      </w:r>
    </w:p>
    <w:p>
      <w:pPr>
        <w:numPr>
          <w:ilvl w:val="0"/>
          <w:numId w:val="1008"/>
        </w:numPr>
      </w:pPr>
      <w:r>
        <w:t xml:space="preserve">offline verification of Aadhaar and equivalent e-documents (including DigiLocker), with the Aadhaar number redacted where authentication is not required (KYC para 23, Explanation 1);</w:t>
      </w:r>
    </w:p>
    <w:p>
      <w:pPr>
        <w:numPr>
          <w:ilvl w:val="0"/>
          <w:numId w:val="1008"/>
        </w:numPr>
      </w:pPr>
      <w:r>
        <w:t xml:space="preserve">CKYCR download using the KYC Identifier with explicit consent (KYC para 23(4));</w:t>
      </w:r>
    </w:p>
    <w:p>
      <w:pPr>
        <w:numPr>
          <w:ilvl w:val="0"/>
          <w:numId w:val="1008"/>
        </w:numPr>
      </w:pPr>
      <w:r>
        <w:t xml:space="preserve">[Mandatory — RBI] V-CIP only as the RE’s process, run by specially trained RE officials (KYC para 27(2)(i)) on infrastructure meeting KYC para 27(1), with all data and recordings moved to the RE’s own servers immediately after the session and no data retained by the LSP or any technology provider (KYC para 27(1)(i)); and</w:t>
      </w:r>
    </w:p>
    <w:p>
      <w:pPr>
        <w:numPr>
          <w:ilvl w:val="0"/>
          <w:numId w:val="1008"/>
        </w:numPr>
      </w:pPr>
      <w:r>
        <w:t xml:space="preserve">PAN verification against the issuer’s database.</w:t>
      </w:r>
    </w:p>
    <w:p>
      <w:pPr>
        <w:pStyle w:val="FirstParagraph"/>
      </w:pPr>
      <w:r>
        <w:rPr>
          <w:bCs/>
          <w:b/>
        </w:rPr>
        <w:t xml:space="preserve">7.3 Aadhaar.</w:t>
      </w:r>
      <w:r>
        <w:t xml:space="preserve"> </w:t>
      </w:r>
      <w:r>
        <w:t xml:space="preserve">[Mandatory — Law] The LSP shall handle Aadhaar numbers and information only as the Aadhaar Act and its regulations permit (KYC para 23, Explanation 3), shall store no unmasked Aadhaar number outside the RE’s Aadhaar data vault, and shall collect no core biometric information.</w:t>
      </w:r>
    </w:p>
    <w:p>
      <w:pPr>
        <w:pStyle w:val="BodyText"/>
      </w:pPr>
      <w:r>
        <w:rPr>
          <w:bCs/>
          <w:b/>
        </w:rPr>
        <w:t xml:space="preserve">7.4 Economic profile.</w:t>
      </w:r>
      <w:r>
        <w:t xml:space="preserve"> </w:t>
      </w:r>
      <w:r>
        <w:t xml:space="preserve">[Mandatory — RBI] The LSP shall capture with evidence, and pass to the RE, the economic-profile data the RE needs to assess creditworthiness, at minimum age, occupation and income (CF para 8(1)). For collateral-free Products it shall also capture household composition and income, so the RE can apply CF Chapter V.</w:t>
      </w:r>
    </w:p>
    <w:p>
      <w:pPr>
        <w:pStyle w:val="BodyText"/>
      </w:pPr>
      <w:r>
        <w:rPr>
          <w:bCs/>
          <w:b/>
        </w:rPr>
        <w:t xml:space="preserve">7.5 Credit information.</w:t>
      </w:r>
      <w:r>
        <w:t xml:space="preserve"> </w:t>
      </w:r>
      <w:r>
        <w:t xml:space="preserve">[Mandatory — RBI] Every CIC enquiry shall be made under the RE’s membership and credentials (CIR para 6), for the Borrower’s application to the RE, after the LSP records the Borrower’s Consent and purpose. The LSP shall make no enquiry in its own name for a Product, hold CIC access only through a connector approved by the RE, and use credit information only for that application, in compliance with CICRA. The RE alone reports to CICs (CF para 17; CIR paras 9–10); the LSP shall pass complete and timely repayment events so that no repayment goes unreported (CIR para 10(3)).</w:t>
      </w:r>
    </w:p>
    <w:p>
      <w:pPr>
        <w:pStyle w:val="BodyText"/>
      </w:pPr>
      <w:r>
        <w:rPr>
          <w:bCs/>
          <w:b/>
        </w:rPr>
        <w:t xml:space="preserve">7.6 Account Aggregator.</w:t>
      </w:r>
      <w:r>
        <w:t xml:space="preserve"> </w:t>
      </w:r>
      <w:r>
        <w:t xml:space="preserve">The RE is the Financial Information User (AA para 8(12)) and is named in the consent artefact; the LSP acts only as the RE’s technology service provider, and data is used only as the consent artefact specifies (AA para 28) [VERIFY: current AA-ecosystem rules for technology service providers].</w:t>
      </w:r>
    </w:p>
    <w:p>
      <w:pPr>
        <w:pStyle w:val="BodyText"/>
      </w:pPr>
      <w:r>
        <w:rPr>
          <w:bCs/>
          <w:b/>
        </w:rPr>
        <w:t xml:space="preserve">7.7 Risk signals and STRs.</w:t>
      </w:r>
      <w:r>
        <w:t xml:space="preserve"> </w:t>
      </w:r>
      <w:r>
        <w:t xml:space="preserve">Fraud and device-risk signals are information for the RE; the LSP shall not decline or hold an application on them except under an RE-approved rule set. [Mandatory — RBI] The LSP shall promptly report to the RE’s Principal Officer any indication of a suspicious transaction or attempt, without tipping off the Borrower; reporting to FIU-IND is the RE’s (OUT para 19).</w:t>
      </w:r>
    </w:p>
    <w:p>
      <w:pPr>
        <w:pStyle w:val="BodyText"/>
      </w:pPr>
      <w:r>
        <w:rPr>
          <w:bCs/>
          <w:b/>
        </w:rPr>
        <w:t xml:space="preserve">7.8 KYC records.</w:t>
      </w:r>
      <w:r>
        <w:t xml:space="preserve"> </w:t>
      </w:r>
      <w:r>
        <w:t xml:space="preserve">KYC records are the RE’s records, delivered through Schedule 16 and retained by the RE as KYC and PMLA require; the LSP keeps them only as Basic Minimal Data or transiently under Clause 15.5.</w:t>
      </w:r>
    </w:p>
    <w:bookmarkEnd w:id="27"/>
    <w:bookmarkStart w:id="28" w:name="X86195f356fc9a7e5beeabe6834743b4db858f86"/>
    <w:p>
      <w:pPr>
        <w:pStyle w:val="Heading1"/>
      </w:pPr>
      <w:r>
        <w:t xml:space="preserve">8. LOAN PRODUCTS, CREDIT DECISION, KFS AND LOAN DOCUMENTATION</w:t>
      </w:r>
    </w:p>
    <w:p>
      <w:pPr>
        <w:pStyle w:val="FirstParagraph"/>
      </w:pPr>
      <w:r>
        <w:rPr>
          <w:bCs/>
          <w:b/>
        </w:rPr>
        <w:t xml:space="preserve">8.1 Product terms.</w:t>
      </w:r>
      <w:r>
        <w:t xml:space="preserve"> </w:t>
      </w:r>
      <w:r>
        <w:t xml:space="preserve">The RE sets each Product’s eligibility, amount, tenor, pricing, charges, penal charges, Cooling-off Period, prepayment terms, repayment modes and any End-use Beneficiary in Schedule 4, and publishes its interest-rate model and risk gradation (RBC paras 22–24).</w:t>
      </w:r>
    </w:p>
    <w:p>
      <w:pPr>
        <w:pStyle w:val="BodyText"/>
      </w:pPr>
      <w:r>
        <w:rPr>
          <w:bCs/>
          <w:b/>
        </w:rPr>
        <w:t xml:space="preserve">8.2 Credit decision.</w:t>
      </w:r>
      <w:r>
        <w:t xml:space="preserve"> </w:t>
      </w:r>
      <w:r>
        <w:t xml:space="preserve">[Mandatory — RBI] The RE takes every credit decision (OUT para 15). If the Udofin Platform hosts an RE rule set, the RE owns, approves and versions it, each decision is recorded as the RE’s with the rule-set version, and the LSP shall not change it.</w:t>
      </w:r>
    </w:p>
    <w:p>
      <w:pPr>
        <w:pStyle w:val="BodyText"/>
      </w:pPr>
      <w:r>
        <w:rPr>
          <w:bCs/>
          <w:b/>
        </w:rPr>
        <w:t xml:space="preserve">8.3 DLG not used in underwriting.</w:t>
      </w:r>
      <w:r>
        <w:t xml:space="preserve"> </w:t>
      </w:r>
      <w:r>
        <w:t xml:space="preserve">[Mandatory — RBI] No DLG shall substitute for credit appraisal, and DLG data shall not be an input to any decision, eligibility rule, offer, ranking or routing (CF para 20(2)).</w:t>
      </w:r>
    </w:p>
    <w:p>
      <w:pPr>
        <w:pStyle w:val="BodyText"/>
      </w:pPr>
      <w:r>
        <w:rPr>
          <w:bCs/>
          <w:b/>
        </w:rPr>
        <w:t xml:space="preserve">8.4 KFS.</w:t>
      </w:r>
      <w:r>
        <w:t xml:space="preserve"> </w:t>
      </w:r>
      <w:r>
        <w:t xml:space="preserve">[Mandatory — RBI] (a) The RE issues a KFS for every Loan in the RBC standard format, with a unique proposal number, APR computation sheet and amortisation schedule, in a language the Borrower understands (RBC para 29(1)–(3); CF para 9(1)). (b) The KFS is valid for at least three working days for Loans of seven days’ tenor or more and one working day for shorter Loans, and binds the RE if accepted within validity (RBC para 29(2)). (c) The LSP shall display the KFS unaltered and in full before acceptance, present the RE’s explanation, record the Borrower’s acknowledgement of understanding and the acceptance time, and pass them to the RE (RBC para 29(1)). (d) The LSP shall block and report any attempt to charge a fee not in the KFS (RBC para 29(5)). (e) The KFS shall be the summary box of the loan agreement (RBC para 29(6)).</w:t>
      </w:r>
    </w:p>
    <w:p>
      <w:pPr>
        <w:pStyle w:val="BodyText"/>
      </w:pPr>
      <w:r>
        <w:rPr>
          <w:bCs/>
          <w:b/>
        </w:rPr>
        <w:t xml:space="preserve">8.5 Sanction and agreement.</w:t>
      </w:r>
      <w:r>
        <w:t xml:space="preserve"> </w:t>
      </w:r>
      <w:r>
        <w:t xml:space="preserve">[Mandatory — RBI] The RE conveys sanction in writing in a language the Borrower understands, with the annualised interest rate and its method of application, and penal charges in bold in the agreement (RBC para 13); furnishes the agreement and all enclosures at sanction or disbursement (RBC para 14); and discloses penal charges upfront in the agreement and KFS (RBC para 30(6)).</w:t>
      </w:r>
    </w:p>
    <w:p>
      <w:pPr>
        <w:pStyle w:val="BodyText"/>
      </w:pPr>
      <w:r>
        <w:rPr>
          <w:bCs/>
          <w:b/>
        </w:rPr>
        <w:t xml:space="preserve">8.6 Execution.</w:t>
      </w:r>
      <w:r>
        <w:t xml:space="preserve"> </w:t>
      </w:r>
      <w:r>
        <w:t xml:space="preserve">The LSP orchestrates execution by an electronic signature or authentication technique under section 3A of, and the Second Schedule to, the IT Act, through an e-sign provider engaged [by the RE / by the LSP as Sub-contractor], and procures stamp duty on the RE’s account under the applicable State law [VERIFY: e-stamping per State]. No document is marked executed without the provider’s evidence.</w:t>
      </w:r>
    </w:p>
    <w:p>
      <w:pPr>
        <w:pStyle w:val="BodyText"/>
      </w:pPr>
      <w:r>
        <w:rPr>
          <w:bCs/>
          <w:b/>
        </w:rPr>
        <w:t xml:space="preserve">8.7 Automatic flow of documents.</w:t>
      </w:r>
      <w:r>
        <w:t xml:space="preserve"> </w:t>
      </w:r>
      <w:r>
        <w:t xml:space="preserve">[Mandatory — RBI] Digitally signed documents on the RE’s letterhead (KFS, summary of the loan product, sanction letter, terms and conditions, account statements, and the RE’s and LSP’s privacy policies on storage and use of Borrower data) shall flow automatically to the Borrower’s registered and verified email or SMS on execution of the loan contract or transaction (CF para 9(3)), compliant with the IT Act. The LSP delivers them on the RE’s behalf where instructed and shall not re-render or alter them.</w:t>
      </w:r>
    </w:p>
    <w:p>
      <w:pPr>
        <w:pStyle w:val="BodyText"/>
      </w:pPr>
      <w:r>
        <w:rPr>
          <w:bCs/>
          <w:b/>
        </w:rPr>
        <w:t xml:space="preserve">8.8 Changes, prepayment.</w:t>
      </w:r>
      <w:r>
        <w:t xml:space="preserve"> </w:t>
      </w:r>
      <w:r>
        <w:t xml:space="preserve">Changes to Loan terms are made only by the RE, prospectively and with notice in the Borrower’s language (RBC para 15). Prepayment terms follow RBC paras 33–34 and are shown as issued in the sanction letter, agreement and KFS (RBC para 34(8)).</w:t>
      </w:r>
    </w:p>
    <w:p>
      <w:pPr>
        <w:pStyle w:val="BodyText"/>
      </w:pPr>
      <w:r>
        <w:rPr>
          <w:bCs/>
          <w:b/>
        </w:rPr>
        <w:t xml:space="preserve">8.9 New products.</w:t>
      </w:r>
      <w:r>
        <w:t xml:space="preserve"> </w:t>
      </w:r>
      <w:r>
        <w:t xml:space="preserve">No new Product, or material change to a Product or its journey, goes live before the RE’s new-product approval, including Chief Compliance Officer evaluation where CMP applies (CMP paras 9(7), 31); the LSP shall supply data for the RE’s six-month intensive monitoring (CMP para 15(2)).</w:t>
      </w:r>
    </w:p>
    <w:p>
      <w:pPr>
        <w:pStyle w:val="BodyText"/>
      </w:pPr>
      <w:r>
        <w:rPr>
          <w:bCs/>
          <w:b/>
        </w:rPr>
        <w:t xml:space="preserve">8.10 Co-lent Loans.</w:t>
      </w:r>
      <w:r>
        <w:t xml:space="preserve"> </w:t>
      </w:r>
      <w:r>
        <w:t xml:space="preserve">[Option] For a co-lent Product, the RE shall ensure compliance with TDCR without derogation from CF (TDCR para 98), the borrower disclosures TDCR requires, and a KFS reflecting blended terms. The LSP acts only for the RE in the role stated in Schedule 4 and shall not control the flow of funds between co-lenders (Clause 9.4).</w:t>
      </w:r>
    </w:p>
    <w:bookmarkEnd w:id="28"/>
    <w:bookmarkStart w:id="29" w:name="disbursement-repayment-and-fund-flows"/>
    <w:p>
      <w:pPr>
        <w:pStyle w:val="Heading1"/>
      </w:pPr>
      <w:r>
        <w:t xml:space="preserve">9. DISBURSEMENT, REPAYMENT AND FUND FLOWS</w:t>
      </w:r>
    </w:p>
    <w:p>
      <w:pPr>
        <w:pStyle w:val="FirstParagraph"/>
      </w:pPr>
      <w:r>
        <w:rPr>
          <w:bCs/>
          <w:b/>
        </w:rPr>
        <w:t xml:space="preserve">9.1 Disbursement.</w:t>
      </w:r>
      <w:r>
        <w:t xml:space="preserve"> </w:t>
      </w:r>
      <w:r>
        <w:t xml:space="preserve">[Mandatory — RBI] The RE shall disburse every Loan from its own account directly into the Borrower’s bank account, except (a) disbursals exclusively under a statutory or regulatory mandate, (b) flows between lenders in co-lending, and (c) disbursals for a specific end use permitted in Schedule 4, paid directly into the End-use Beneficiary’s bank account (CF para 10(1)). No disbursal shall go to any third-party account, including any account of the LSP, its Affiliates or Sub-contractors (CF para 10(1)). The LSP shall pass the RE its account-verification result; the RE disburses only after its own validation.</w:t>
      </w:r>
    </w:p>
    <w:p>
      <w:pPr>
        <w:pStyle w:val="BodyText"/>
      </w:pPr>
      <w:r>
        <w:rPr>
          <w:bCs/>
          <w:b/>
        </w:rPr>
        <w:t xml:space="preserve">9.2 Repayment.</w:t>
      </w:r>
      <w:r>
        <w:t xml:space="preserve"> </w:t>
      </w:r>
      <w:r>
        <w:t xml:space="preserve">[Mandatory — RBI] All servicing and repayment shall be made by the Borrower directly into the RE’s bank account, with no pass-through or pool account of any third party including the LSP (CF para 10(2)), and no third party, including the LSP, shall control the flow of funds between the Borrower’s and the RE’s accounts, directly or indirectly (CF para 10(3)).</w:t>
      </w:r>
    </w:p>
    <w:p>
      <w:pPr>
        <w:pStyle w:val="BodyText"/>
      </w:pPr>
      <w:r>
        <w:rPr>
          <w:bCs/>
          <w:b/>
        </w:rPr>
        <w:t xml:space="preserve">9.3 Payment rails.</w:t>
      </w:r>
      <w:r>
        <w:t xml:space="preserve"> </w:t>
      </w:r>
      <w:r>
        <w:t xml:space="preserve">Every payment link, collect request, UPI intent, virtual payment address, mandate (e-NACH, UPI AutoPay) and gateway transaction shall be created on the RE’s merchant, collection or sponsor-bank account, with the RE as merchant of record and settlement to the RE. The LSP holds only credentials the RE issues for creating payments and reading status, and cannot alter settlement, refund or debit any account. The Udofin Platform shall reject any beneficiary or settlement account other than the Borrower’s, an approved End-use Beneficiary’s or the RE’s. [VERIFY: legal opinion, recorded in Schedule 6, on whether a payment aggregator’s escrow or nodal account used for the RE’s collections is a third-party pool account under CF para 10(2).]</w:t>
      </w:r>
    </w:p>
    <w:p>
      <w:pPr>
        <w:pStyle w:val="BodyText"/>
      </w:pPr>
      <w:r>
        <w:rPr>
          <w:bCs/>
          <w:b/>
        </w:rPr>
        <w:t xml:space="preserve">9.4 Co-lending escrow.</w:t>
      </w:r>
      <w:r>
        <w:t xml:space="preserve"> </w:t>
      </w:r>
      <w:r>
        <w:t xml:space="preserve">[Mandatory — RBI] For co-lent Loans, all transactions between the co-lenders and with the Borrower go through a bank escrow account (TDCR para 117), and no third party other than the co-lenders, including the LSP, shall have direct or indirect control over the flow of funds at any time (CF para 10(1), Note). The LSP shall not be a signatory to or instruct that account.</w:t>
      </w:r>
    </w:p>
    <w:p>
      <w:pPr>
        <w:pStyle w:val="BodyText"/>
      </w:pPr>
      <w:r>
        <w:rPr>
          <w:bCs/>
          <w:b/>
        </w:rPr>
        <w:t xml:space="preserve">9.5 Salary advances.</w:t>
      </w:r>
      <w:r>
        <w:t xml:space="preserve"> </w:t>
      </w:r>
      <w:r>
        <w:t xml:space="preserve">[Option] For salary advances repaid by employer deduction, repayment goes directly from the employer’s account to the RE and the LSP has no control over the funds (CF para 10(1), proviso).</w:t>
      </w:r>
    </w:p>
    <w:p>
      <w:pPr>
        <w:pStyle w:val="BodyText"/>
      </w:pPr>
      <w:r>
        <w:rPr>
          <w:bCs/>
          <w:b/>
        </w:rPr>
        <w:t xml:space="preserve">9.6 Fees never borne by Borrowers.</w:t>
      </w:r>
      <w:r>
        <w:t xml:space="preserve"> </w:t>
      </w:r>
      <w:r>
        <w:t xml:space="preserve">[Mandatory — RBI] All fees, charges and reimbursements payable to the LSP are paid directly by the RE and are not charged to or collected from Borrowers by the LSP (CF para 10(4)), nor deducted from any disbursement or Borrower payment.</w:t>
      </w:r>
    </w:p>
    <w:p>
      <w:pPr>
        <w:pStyle w:val="BodyText"/>
      </w:pPr>
      <w:r>
        <w:rPr>
          <w:bCs/>
          <w:b/>
        </w:rPr>
        <w:t xml:space="preserve">9.7 Cash.</w:t>
      </w:r>
      <w:r>
        <w:t xml:space="preserve"> </w:t>
      </w:r>
      <w:r>
        <w:t xml:space="preserve">[Mandatory — RBI] The LSP shall accept cash only on delinquent Loans, where Schedule 10 is in force, under Clause 12.8 (CF para 10(5)).</w:t>
      </w:r>
    </w:p>
    <w:p>
      <w:pPr>
        <w:pStyle w:val="BodyText"/>
      </w:pPr>
      <w:r>
        <w:rPr>
          <w:bCs/>
          <w:b/>
        </w:rPr>
        <w:t xml:space="preserve">9.8 Refunds.</w:t>
      </w:r>
      <w:r>
        <w:t xml:space="preserve"> </w:t>
      </w:r>
      <w:r>
        <w:t xml:space="preserve">Refunds of excess payments, cooling-off exits or other amounts due to Borrowers are made by the RE directly to the Borrower’s bank account.</w:t>
      </w:r>
    </w:p>
    <w:p>
      <w:pPr>
        <w:pStyle w:val="BodyText"/>
      </w:pPr>
      <w:r>
        <w:rPr>
          <w:bCs/>
          <w:b/>
        </w:rPr>
        <w:t xml:space="preserve">9.9 Reconciliation.</w:t>
      </w:r>
      <w:r>
        <w:t xml:space="preserve"> </w:t>
      </w:r>
      <w:r>
        <w:t xml:space="preserve">The LSP shall send the RE the daily reconciliation file in Schedule 6 covering every payment instruction generated through the DLAs, so that the RE reconciles in time (OUT para 39) and can confirm that no money passed through any LSP account.</w:t>
      </w:r>
    </w:p>
    <w:p>
      <w:pPr>
        <w:pStyle w:val="BodyText"/>
      </w:pPr>
      <w:r>
        <w:rPr>
          <w:bCs/>
          <w:b/>
        </w:rPr>
        <w:t xml:space="preserve">9.10 Breach.</w:t>
      </w:r>
      <w:r>
        <w:t xml:space="preserve"> </w:t>
      </w:r>
      <w:r>
        <w:t xml:space="preserve">Any breach of this Article is a material breach incapable of remedy (Clause 30.3). Any money the LSP receives in breach is held in trust and shall be paid to the RE, for credit to the Borrower’s account, the same day without set-off.</w:t>
      </w:r>
    </w:p>
    <w:bookmarkEnd w:id="29"/>
    <w:bookmarkStart w:id="30" w:name="cooling-off-and-borrower-rights"/>
    <w:p>
      <w:pPr>
        <w:pStyle w:val="Heading1"/>
      </w:pPr>
      <w:r>
        <w:t xml:space="preserve">10. COOLING-OFF AND BORROWER RIGHTS</w:t>
      </w:r>
    </w:p>
    <w:p>
      <w:pPr>
        <w:pStyle w:val="FirstParagraph"/>
      </w:pPr>
      <w:r>
        <w:rPr>
          <w:bCs/>
          <w:b/>
        </w:rPr>
        <w:t xml:space="preserve">10.1 Cooling-off.</w:t>
      </w:r>
      <w:r>
        <w:t xml:space="preserve"> </w:t>
      </w:r>
      <w:r>
        <w:t xml:space="preserve">[Mandatory — RBI] Each Borrower has an explicit option to exit a Loan by paying the principal and proportionate APR without penalty during the Cooling-off Period, which the RE fixes in its credit policy at not less than one day (CF para 11(1)). Schedule 4 states the period and the event from which it runs [VERIFY: start event to be fixed in the RE’s policy; para 11 is silent]. The RE may retain a reasonable one-time processing fee on exit only if disclosed upfront in the KFS (CF para 11(2)).</w:t>
      </w:r>
    </w:p>
    <w:p>
      <w:pPr>
        <w:pStyle w:val="BodyText"/>
      </w:pPr>
      <w:r>
        <w:rPr>
          <w:bCs/>
          <w:b/>
        </w:rPr>
        <w:t xml:space="preserve">10.2 Exit journey.</w:t>
      </w:r>
      <w:r>
        <w:t xml:space="preserve"> </w:t>
      </w:r>
      <w:r>
        <w:t xml:space="preserve">Throughout the Cooling-off Period the DLA shall show a prominent exit option with the RE-computed exit amount, send exit requests to the RE immediately, and generate payment instructions only on the RE’s account. The LSP shall not discourage or delay an exit. After the period, prepayment is allowed under RBC (CF para 11(1); RBC paras 33–34).</w:t>
      </w:r>
    </w:p>
    <w:p>
      <w:pPr>
        <w:pStyle w:val="BodyText"/>
      </w:pPr>
      <w:r>
        <w:rPr>
          <w:bCs/>
          <w:b/>
        </w:rPr>
        <w:t xml:space="preserve">10.3 Data rights.</w:t>
      </w:r>
      <w:r>
        <w:t xml:space="preserve"> </w:t>
      </w:r>
      <w:r>
        <w:t xml:space="preserve">[Mandatory — RBI] Borrowers shall have the options in Clause 15.4, including revoking consent and requiring the RE and LSP to delete or forget their data (CF para 13(2)).</w:t>
      </w:r>
    </w:p>
    <w:p>
      <w:pPr>
        <w:pStyle w:val="BodyText"/>
      </w:pPr>
      <w:r>
        <w:rPr>
          <w:bCs/>
          <w:b/>
        </w:rPr>
        <w:t xml:space="preserve">10.4 Rights against the RE.</w:t>
      </w:r>
      <w:r>
        <w:t xml:space="preserve"> </w:t>
      </w:r>
      <w:r>
        <w:t xml:space="preserve">[Mandatory — RBI] Nothing in this Agreement affects a Borrower’s rights against the RE, including redress under Applicable Law (OUT para 54).</w:t>
      </w:r>
    </w:p>
    <w:p>
      <w:pPr>
        <w:pStyle w:val="BodyText"/>
      </w:pPr>
      <w:r>
        <w:rPr>
          <w:bCs/>
          <w:b/>
        </w:rPr>
        <w:t xml:space="preserve">10.5 Statements and documents.</w:t>
      </w:r>
      <w:r>
        <w:t xml:space="preserve"> </w:t>
      </w:r>
      <w:r>
        <w:t xml:space="preserve">The DLAs shall make available the statements, schedules, receipts, no-dues certificates and other documents the RE issues, as issued, including the quarterly statement under RBC para 31(6) where applicable.</w:t>
      </w:r>
    </w:p>
    <w:p>
      <w:pPr>
        <w:pStyle w:val="BodyText"/>
      </w:pPr>
      <w:r>
        <w:rPr>
          <w:bCs/>
          <w:b/>
        </w:rPr>
        <w:t xml:space="preserve">10.6 Non-discrimination.</w:t>
      </w:r>
      <w:r>
        <w:t xml:space="preserve"> </w:t>
      </w:r>
      <w:r>
        <w:t xml:space="preserve">The LSP shall not discriminate on grounds of disability (RBC para 28) or any ground prohibited by law, and no Matching Mechanism or hosted rule set shall use such a ground as input.</w:t>
      </w:r>
    </w:p>
    <w:bookmarkEnd w:id="30"/>
    <w:bookmarkStart w:id="31" w:name="X9856fc21234cbfe4557cfbdd08ac4088904749b"/>
    <w:p>
      <w:pPr>
        <w:pStyle w:val="Heading1"/>
      </w:pPr>
      <w:r>
        <w:t xml:space="preserve">11. SERVICING, REMINDERS AND COLLECTIONS SUPPORT</w:t>
      </w:r>
    </w:p>
    <w:p>
      <w:pPr>
        <w:pStyle w:val="FirstParagraph"/>
      </w:pPr>
      <w:r>
        <w:rPr>
          <w:bCs/>
          <w:b/>
        </w:rPr>
        <w:t xml:space="preserve">11.1 Servicing.</w:t>
      </w:r>
      <w:r>
        <w:t xml:space="preserve"> </w:t>
      </w:r>
      <w:r>
        <w:t xml:space="preserve">The LSP provides the servicing support in Schedule 2 (loan-account view from RE data, payment instructions on the RE’s account, documents, service requests, complaints) without altering RE data.</w:t>
      </w:r>
    </w:p>
    <w:p>
      <w:pPr>
        <w:pStyle w:val="BodyText"/>
      </w:pPr>
      <w:r>
        <w:rPr>
          <w:bCs/>
          <w:b/>
        </w:rPr>
        <w:t xml:space="preserve">11.2 Reminders.</w:t>
      </w:r>
      <w:r>
        <w:t xml:space="preserve"> </w:t>
      </w:r>
      <w:r>
        <w:t xml:space="preserve">The LSP may send pre-due and overdue reminders and payment links for the RE only with RE-approved templates (Schedule 15), through RE-approved channels, and under Clause 11.3. Reminders for non-compliance with material terms shall state the applicable penal charges, and each levy of penal charges and its reason shall be communicated (RBC para 30(7)).</w:t>
      </w:r>
    </w:p>
    <w:p>
      <w:pPr>
        <w:pStyle w:val="BodyText"/>
      </w:pPr>
      <w:r>
        <w:rPr>
          <w:bCs/>
          <w:b/>
        </w:rPr>
        <w:t xml:space="preserve">11.3 Contact rules.</w:t>
      </w:r>
      <w:r>
        <w:t xml:space="preserve"> </w:t>
      </w:r>
      <w:r>
        <w:t xml:space="preserve">[Mandatory — RBI] Every communication about an amount due shall comply with the RBC conduct rules in force when it is made:</w:t>
      </w:r>
    </w:p>
    <w:p>
      <w:pPr>
        <w:numPr>
          <w:ilvl w:val="0"/>
          <w:numId w:val="1009"/>
        </w:numPr>
      </w:pPr>
      <w:r>
        <w:rPr>
          <w:bCs/>
          <w:b/>
        </w:rPr>
        <w:t xml:space="preserve">to 31 December 2026:</w:t>
      </w:r>
      <w:r>
        <w:t xml:space="preserve"> </w:t>
      </w:r>
      <w:r>
        <w:t xml:space="preserve">no intimidation or harassment of any kind, verbal or physical, against any person; no acts intended to humiliate publicly or intrude on the privacy of the Borrower’s family, referees and friends; no inappropriate messages on mobile or social media; no threatening or anonymous calls; no persistent calls and no calls before 8:00 a.m. or after 7:00 p.m. for recovery of overdue loans; no false or misleading representations (RBC para 100); and for microfinance loans no calls before 9:00 a.m. or after 6:00 p.m. and none of the practices in RBC para 91;</w:t>
      </w:r>
    </w:p>
    <w:p>
      <w:pPr>
        <w:numPr>
          <w:ilvl w:val="0"/>
          <w:numId w:val="1009"/>
        </w:numPr>
      </w:pPr>
      <w:r>
        <w:rPr>
          <w:bCs/>
          <w:b/>
        </w:rPr>
        <w:t xml:space="preserve">from 1 January 2027:</w:t>
      </w:r>
      <w:r>
        <w:t xml:space="preserve"> </w:t>
      </w:r>
      <w:r>
        <w:t xml:space="preserve">RBC Section J, including contact only with the Borrower or guarantor (para 100Y(1)); contact or visits only between 08:00 and 19:00 unless the Borrower expressly asks or authorises otherwise (para 100Y(4)); no contact during bereavement, medical emergency or marriage functions (para 100Y(6)); written communications pre-approved by the RE and naming the sender (para 100Y(8)); no harsh practice listed in para 100Z, including excessive calling or messaging; and the RE GRO’s name and contact details in every recovery communication (para 100AA) [VERIFY: Third Amendment text].</w:t>
      </w:r>
    </w:p>
    <w:p>
      <w:pPr>
        <w:pStyle w:val="FirstParagraph"/>
      </w:pPr>
      <w:r>
        <w:t xml:space="preserve">These rules apply whether or not a Loan is covered by a DLG.</w:t>
      </w:r>
    </w:p>
    <w:p>
      <w:pPr>
        <w:pStyle w:val="BodyText"/>
      </w:pPr>
      <w:r>
        <w:rPr>
          <w:bCs/>
          <w:b/>
        </w:rPr>
        <w:t xml:space="preserve">11.4 No WhatsApp for debt collection.</w:t>
      </w:r>
      <w:r>
        <w:t xml:space="preserve"> </w:t>
      </w:r>
      <w:r>
        <w:t xml:space="preserve">The LSP shall not use WhatsApp, or any platform whose terms prohibit debt collection, for any overdue reminder, demand, recovery communication or notice. WhatsApp may be used only with the Borrower’s opt-in, for servicing messages that are not debt collection under the platform’s policy (application status, document delivery, pre-due reminders), and with the RE’s written approval [VERIFY: WhatsApp Business Messaging Policy, which bars use for</w:t>
      </w:r>
      <w:r>
        <w:t xml:space="preserve"> </w:t>
      </w:r>
      <w:r>
        <w:t xml:space="preserve">“</w:t>
      </w:r>
      <w:r>
        <w:t xml:space="preserve">debt collection</w:t>
      </w:r>
      <w:r>
        <w:t xml:space="preserve">”</w:t>
      </w:r>
      <w:r>
        <w:t xml:space="preserve"> </w:t>
      </w:r>
      <w:r>
        <w:t xml:space="preserve">irrespective of licences, and the business solution provider’s view on pre-due reminders].</w:t>
      </w:r>
    </w:p>
    <w:p>
      <w:pPr>
        <w:pStyle w:val="BodyText"/>
      </w:pPr>
      <w:r>
        <w:rPr>
          <w:bCs/>
          <w:b/>
        </w:rPr>
        <w:t xml:space="preserve">11.5 No third-party contact; no device data.</w:t>
      </w:r>
      <w:r>
        <w:t xml:space="preserve"> </w:t>
      </w:r>
      <w:r>
        <w:t xml:space="preserve">[Mandatory — RBI] The LSP shall not contact any reference, relative, friend, employer or co-worker about dues; shall not access or use contacts, call logs, SMS, photos, location history or other data on a Borrower’s device for recovery or any other purpose (CF para 13(1); RBC para 100; from 1 January 2027, RBC para 100U); shall not publish any Borrower’s name; and shall not perform skip tracing or asset search.</w:t>
      </w:r>
    </w:p>
    <w:p>
      <w:pPr>
        <w:pStyle w:val="BodyText"/>
      </w:pPr>
      <w:r>
        <w:rPr>
          <w:bCs/>
          <w:b/>
        </w:rPr>
        <w:t xml:space="preserve">11.6 Support is not recovery.</w:t>
      </w:r>
      <w:r>
        <w:t xml:space="preserve"> </w:t>
      </w:r>
      <w:r>
        <w:t xml:space="preserve">Unless Schedule 10 is in force for the Product and territory, the LSP shall not make recovery calls, make field visits, collect cash or otherwise act as recovery agent. Its overdue role is limited to RE-approved reminders, payment links, promise-to-pay capture and relaying requests to the RE.</w:t>
      </w:r>
    </w:p>
    <w:p>
      <w:pPr>
        <w:pStyle w:val="BodyText"/>
      </w:pPr>
      <w:r>
        <w:rPr>
          <w:bCs/>
          <w:b/>
        </w:rPr>
        <w:t xml:space="preserve">11.7 Hardship and settlement.</w:t>
      </w:r>
      <w:r>
        <w:t xml:space="preserve"> </w:t>
      </w:r>
      <w:r>
        <w:t xml:space="preserve">The LSP shall promptly route to the RE any sign of repayment difficulty and any request for restructuring, rescheduling, hardship relief or settlement. It may relay settlement requests and display RE-approved offers with the Borrower’s acceptance evidence, but shall not approve, price, promise or negotiate any settlement or waiver, which the RE decides under its Board-approved policy (RSA para 16).</w:t>
      </w:r>
    </w:p>
    <w:bookmarkEnd w:id="31"/>
    <w:bookmarkStart w:id="32" w:name="recovery-agent-services-optional"/>
    <w:p>
      <w:pPr>
        <w:pStyle w:val="Heading1"/>
      </w:pPr>
      <w:r>
        <w:t xml:space="preserve">12. RECOVERY AGENT SERVICES (OPTIONAL)</w:t>
      </w:r>
    </w:p>
    <w:p>
      <w:pPr>
        <w:pStyle w:val="FirstParagraph"/>
      </w:pPr>
      <w:r>
        <w:rPr>
          <w:bCs/>
          <w:b/>
        </w:rPr>
        <w:t xml:space="preserve">12.1 Only by addendum.</w:t>
      </w:r>
      <w:r>
        <w:t xml:space="preserve"> </w:t>
      </w:r>
      <w:r>
        <w:t xml:space="preserve">[Option] The LSP acts as recovery agent only to the extent the Parties execute Schedule 10, which specifies Products, buckets, territories, channels (tele-calling, digital, field), cash authority, fees and controls. No recovery role arises by implication, from servicing or from any DLG.</w:t>
      </w:r>
    </w:p>
    <w:p>
      <w:pPr>
        <w:pStyle w:val="BodyText"/>
      </w:pPr>
      <w:r>
        <w:rPr>
          <w:bCs/>
          <w:b/>
        </w:rPr>
        <w:t xml:space="preserve">12.2 Guidance and responsibility.</w:t>
      </w:r>
      <w:r>
        <w:t xml:space="preserve"> </w:t>
      </w:r>
      <w:r>
        <w:t xml:space="preserve">[Mandatory — RBI] The RE shall guide the LSP to act responsibly and ensure that it complies with RBC and related instructions (CF para 6(5)). The LSP shall follow the RE’s recovery policy, code of conduct and Fair Practices Code (RBC paras 7(7)–(8), 99; from 1 January 2027, RBC paras 100D–100G and 100J). The RE remains responsible for the LSP’s actions as recovery agent (OUT para 17).</w:t>
      </w:r>
    </w:p>
    <w:p>
      <w:pPr>
        <w:pStyle w:val="BodyText"/>
      </w:pPr>
      <w:r>
        <w:rPr>
          <w:bCs/>
          <w:b/>
        </w:rPr>
        <w:t xml:space="preserve">12.3 Notice before contact.</w:t>
      </w:r>
      <w:r>
        <w:t xml:space="preserve"> </w:t>
      </w:r>
      <w:r>
        <w:t xml:space="preserve">[Mandatory — RBI] (a) On each assignment or change of recovery agent for a defaulted Loan, the agent’s particulars shall be sent to the Borrower by email or SMS before the agent contacts the Borrower (CF para 9(6)); the Udofin Platform shall block any call, message or visit task until a delivered-notice record exists for that agent and Loan. (b) The RE provides the agent’s details when initiating recovery, and the agent carries the notice, the RE’s authorisation letter (both showing the contact details of the agency and the RE) and an identity card (RBC paras 95–96; from 1 January 2027, para 100X). (c) From 1 January 2027, agency details shall reach the Borrower or guarantor at least one day before the first in-person visit (RBC para 100L), and any change or termination of the agency shall be notified immediately (paras 100M–100N) [VERIFY: Third Amendment text].</w:t>
      </w:r>
    </w:p>
    <w:p>
      <w:pPr>
        <w:pStyle w:val="BodyText"/>
      </w:pPr>
      <w:r>
        <w:rPr>
          <w:bCs/>
          <w:b/>
        </w:rPr>
        <w:t xml:space="preserve">12.4 Conduct.</w:t>
      </w:r>
      <w:r>
        <w:t xml:space="preserve"> </w:t>
      </w:r>
      <w:r>
        <w:t xml:space="preserve">[Mandatory — RBI] In addition to Clauses 11.3 and 11.5, no agent shall use threatening or abusive language, use or threaten violence or harm to the Borrower’s family, assets or reputation, or mislead the Borrower about the debt or the consequences of non-payment (RBC paras 91, 100; from 1 January 2027, para 100Z); discuss dues with anyone but the Borrower or guarantor (para 100Y(1)); for microfinance loans, collect other than at the mutually agreed designated place, except at home or work after two or more successive failures to appear (RBC para 90; para 100Y(7)); or act so as to damage the RE’s integrity or reputation or breach customer confidentiality (RBC para 99; para 100V).</w:t>
      </w:r>
    </w:p>
    <w:p>
      <w:pPr>
        <w:pStyle w:val="BodyText"/>
      </w:pPr>
      <w:r>
        <w:rPr>
          <w:bCs/>
          <w:b/>
        </w:rPr>
        <w:t xml:space="preserve">12.5 Agent eligibility.</w:t>
      </w:r>
      <w:r>
        <w:t xml:space="preserve"> </w:t>
      </w:r>
      <w:r>
        <w:t xml:space="preserve">[Mandatory — RBI] Agents shall: (a) have passed antecedent verification, including police verification, before engagement and at the intervals the RE sets (RBC para 94; para 100H); (b) from 1 January 2027, hold the IIBF debt recovery agent certificate or an equivalent recognised certificate, agents engaged earlier having one year to obtain it (RBC para 100I) [VERIFY]; (c) be trained to act with care and sensitivity, including on calling hours and privacy (RBC para 98); and (d) give a written undertaking to follow the RE’s code of conduct (RBC para 99; para 100J).</w:t>
      </w:r>
    </w:p>
    <w:p>
      <w:pPr>
        <w:pStyle w:val="BodyText"/>
      </w:pPr>
      <w:r>
        <w:rPr>
          <w:bCs/>
          <w:b/>
        </w:rPr>
        <w:t xml:space="preserve">12.6 Calls, incentives, data.</w:t>
      </w:r>
      <w:r>
        <w:t xml:space="preserve"> </w:t>
      </w:r>
      <w:r>
        <w:t xml:space="preserve">[Mandatory — RBI from 1 January 2027; Option before] The LSP shall log the time and number of recovery calls, record them after telling the Borrower, and keep records at least six months from the call or until final disposal if sub judice (RBC para 100P) [VERIFY], its default being [12] months; shall ensure targets and incentives do not induce harsh practices (para 100Q); and shall give agents only the Borrower data needed for recovery, with penalties for misuse (para 100O).</w:t>
      </w:r>
    </w:p>
    <w:p>
      <w:pPr>
        <w:pStyle w:val="BodyText"/>
      </w:pPr>
      <w:r>
        <w:rPr>
          <w:bCs/>
          <w:b/>
        </w:rPr>
        <w:t xml:space="preserve">12.7 Website list.</w:t>
      </w:r>
      <w:r>
        <w:t xml:space="preserve"> </w:t>
      </w:r>
      <w:r>
        <w:t xml:space="preserve">[Mandatory — RBI] The LSP shall give the RE current details of every agency and agent, for the RE’s website (RBC para 97) and, from 1 January 2027, for updating within seven calendar days of any change (RBC para 100K).</w:t>
      </w:r>
    </w:p>
    <w:p>
      <w:pPr>
        <w:pStyle w:val="BodyText"/>
      </w:pPr>
      <w:r>
        <w:rPr>
          <w:bCs/>
          <w:b/>
        </w:rPr>
        <w:t xml:space="preserve">12.8 Cash recovery.</w:t>
      </w:r>
      <w:r>
        <w:t xml:space="preserve"> </w:t>
      </w:r>
      <w:r>
        <w:t xml:space="preserve">[Mandatory — RBI] Where Schedule 10 authorises cash collection on delinquent Loans: (a) every cash recovery shall be reflected in full in the Borrower’s account the same day (CF para 10(5)); (b) the agent shall issue at once an RE-approved receipt generated through the Udofin Platform and sent to the RE (from 1 January 2027, RBC para 100Y(9)); (c) the full amount shall be deposited in the RE’s designated account on the day of collection (or within any shorter time set in Schedule 10), so that the Borrower’s account is credited the same day, without deduction, set-off or netting; (d) the LSP’s fees for such recovery are paid by the RE and shall not be charged to the Borrower, directly or indirectly, or taken from the proceeds (CF para 10(5)); and (e) the LSP keeps a cash-in-transit ledger and bears the risk of cash until credited.</w:t>
      </w:r>
    </w:p>
    <w:p>
      <w:pPr>
        <w:pStyle w:val="BodyText"/>
      </w:pPr>
      <w:r>
        <w:rPr>
          <w:bCs/>
          <w:b/>
        </w:rPr>
        <w:t xml:space="preserve">12.9 Acts reserved to the RE.</w:t>
      </w:r>
      <w:r>
        <w:t xml:space="preserve"> </w:t>
      </w:r>
      <w:r>
        <w:t xml:space="preserve">The LSP shall not issue any legal, demand or recall notice in its own name; repossess or take possession of any asset; invoke any security or DLG; start proceedings under the Negotiable Instruments Act, 1881, the Payment and Settlement Systems Act, 2007, the SARFAESI Act, 2002, the Insolvency and Bankruptcy Code, 2016 or the Arbitration and Conciliation Act, 1996; or apply any device-locking or device-restriction mechanism.</w:t>
      </w:r>
    </w:p>
    <w:p>
      <w:pPr>
        <w:pStyle w:val="BodyText"/>
      </w:pPr>
      <w:r>
        <w:rPr>
          <w:bCs/>
          <w:b/>
        </w:rPr>
        <w:t xml:space="preserve">12.10 Grievance block, telecom rules, State laws.</w:t>
      </w:r>
      <w:r>
        <w:t xml:space="preserve"> </w:t>
      </w:r>
      <w:r>
        <w:t xml:space="preserve">[Mandatory — RBI] Every recovery communication shall carry the details of the RE’s recovery-grievance mechanism (RBC para 92; para 100AA), and recovery calls and messages shall comply with the Telecom Commercial Communications Customer Preference Regulations, 2018 (para 100AB). The LSP shall comply with any State law on coercive recovery identified in Schedule 10 for a territory [VERIFY: status of the Karnataka and Tamil Nadu Acts of 2025 for NBFCs].</w:t>
      </w:r>
    </w:p>
    <w:p>
      <w:pPr>
        <w:pStyle w:val="BodyText"/>
      </w:pPr>
      <w:r>
        <w:rPr>
          <w:bCs/>
          <w:b/>
        </w:rPr>
        <w:t xml:space="preserve">12.11 Withdrawal and compensation.</w:t>
      </w:r>
      <w:r>
        <w:t xml:space="preserve"> </w:t>
      </w:r>
      <w:r>
        <w:t xml:space="preserve">The RE may at any time, with immediate effect, withdraw allocations, suspend an agent or channel, or detach the module; all contact then stops at once, allocations and records return to the RE, and the RE notifies Borrowers. The LSP shall reimburse the RE for compensation the RE pays to a Borrower or guarantor for loss caused by the LSP’s recovery action in breach of RBC (from 1 January 2027, para 100F), without prejudice to Article 27.</w:t>
      </w:r>
    </w:p>
    <w:bookmarkEnd w:id="32"/>
    <w:bookmarkStart w:id="33" w:name="default-loss-guarantee-optional"/>
    <w:p>
      <w:pPr>
        <w:pStyle w:val="Heading1"/>
      </w:pPr>
      <w:r>
        <w:t xml:space="preserve">13. DEFAULT LOSS GUARANTEE (OPTIONAL)</w:t>
      </w:r>
    </w:p>
    <w:p>
      <w:pPr>
        <w:pStyle w:val="FirstParagraph"/>
      </w:pPr>
      <w:r>
        <w:rPr>
          <w:bCs/>
          <w:b/>
        </w:rPr>
        <w:t xml:space="preserve">13.1 Only by DLG Agreement.</w:t>
      </w:r>
      <w:r>
        <w:t xml:space="preserve"> </w:t>
      </w:r>
      <w:r>
        <w:t xml:space="preserve">[Option] The LSP provides DLG only under a DLG Agreement in the form of Schedule 11, an explicit and legally enforceable contract stating at least the extent of cover, the form in which it is maintained with the RE, the invocation timeline and the disclosure requirements (CF para 22).</w:t>
      </w:r>
    </w:p>
    <w:p>
      <w:pPr>
        <w:pStyle w:val="BodyText"/>
      </w:pPr>
      <w:r>
        <w:rPr>
          <w:bCs/>
          <w:b/>
        </w:rPr>
        <w:t xml:space="preserve">13.2 Eligibility.</w:t>
      </w:r>
      <w:r>
        <w:t xml:space="preserve"> </w:t>
      </w:r>
      <w:r>
        <w:t xml:space="preserve">[Mandatory — RBI] The RE may enter into DLG only with an LSP (or another lender engaged as an LSP) that is incorporated as a company under the Companies Act, 2013 (CF para 19).</w:t>
      </w:r>
    </w:p>
    <w:p>
      <w:pPr>
        <w:pStyle w:val="BodyText"/>
      </w:pPr>
      <w:r>
        <w:rPr>
          <w:bCs/>
          <w:b/>
        </w:rPr>
        <w:t xml:space="preserve">13.3 Policy and declaration.</w:t>
      </w:r>
      <w:r>
        <w:t xml:space="preserve"> </w:t>
      </w:r>
      <w:r>
        <w:t xml:space="preserve">[Mandatory — RBI] Before any DLG, the RE’s policy shall set the eligibility criteria for DLG providers, the nature and extent of cover, monitoring and review, and the fees payable to the provider (CF para 20(1)). On each entry or renewal, the LSP shall give a declaration certified by its statutory auditor of the aggregate DLG outstanding, the number of lenders, the number of portfolios covered and past default rates on similar portfolios (CF para 20(3)), in the Schedule 11 format. This is additional to Article 4 (CF para 20(4)).</w:t>
      </w:r>
    </w:p>
    <w:p>
      <w:pPr>
        <w:pStyle w:val="BodyText"/>
      </w:pPr>
      <w:r>
        <w:rPr>
          <w:bCs/>
          <w:b/>
        </w:rPr>
        <w:t xml:space="preserve">13.4 Excluded loans.</w:t>
      </w:r>
      <w:r>
        <w:t xml:space="preserve"> </w:t>
      </w:r>
      <w:r>
        <w:t xml:space="preserve">[Mandatory — RBI] No DLG on Loans covered by credit guarantee schemes run by trust funds (CF para 21(1)); guarantees under CF para 29 are not DLG.</w:t>
      </w:r>
    </w:p>
    <w:p>
      <w:pPr>
        <w:pStyle w:val="BodyText"/>
      </w:pPr>
      <w:r>
        <w:rPr>
          <w:bCs/>
          <w:b/>
        </w:rPr>
        <w:t xml:space="preserve">13.5 Forms.</w:t>
      </w:r>
      <w:r>
        <w:t xml:space="preserve"> </w:t>
      </w:r>
      <w:r>
        <w:t xml:space="preserve">[Mandatory — RBI] DLG may be held only as cash deposited with the RE, a fixed deposit with a Scheduled Commercial Bank with lien marked in favour of the RE, or a bank guarantee in favour of the RE (CF para 23).</w:t>
      </w:r>
    </w:p>
    <w:p>
      <w:pPr>
        <w:pStyle w:val="BodyText"/>
      </w:pPr>
      <w:r>
        <w:rPr>
          <w:bCs/>
          <w:b/>
        </w:rPr>
        <w:t xml:space="preserve">13.6 Cap and DLG Set.</w:t>
      </w:r>
      <w:r>
        <w:t xml:space="preserve"> </w:t>
      </w:r>
      <w:r>
        <w:t xml:space="preserve">[Mandatory — RBI] Total DLG cover on any outstanding portfolio specified upfront shall not exceed five per cent of the amount disbursed out of that portfolio at any time; for implicit guarantees the LSP shall not bear performance risk beyond the equivalent of five per cent of the underlying portfolio (CF para 24(1)). The portfolio shall consist of identifiable, measurable sanctioned loans (the</w:t>
      </w:r>
      <w:r>
        <w:t xml:space="preserve"> </w:t>
      </w:r>
      <w:r>
        <w:t xml:space="preserve">“</w:t>
      </w:r>
      <w:r>
        <w:rPr>
          <w:bCs/>
          <w:b/>
        </w:rPr>
        <w:t xml:space="preserve">DLG Set</w:t>
      </w:r>
      <w:r>
        <w:t xml:space="preserve">”</w:t>
      </w:r>
      <w:r>
        <w:t xml:space="preserve">), which stays fixed and is not dynamic (CF para 24(2)).</w:t>
      </w:r>
    </w:p>
    <w:p>
      <w:pPr>
        <w:pStyle w:val="BodyText"/>
      </w:pPr>
      <w:r>
        <w:rPr>
          <w:bCs/>
          <w:b/>
        </w:rPr>
        <w:t xml:space="preserve">13.7 Implicit guarantees count.</w:t>
      </w:r>
      <w:r>
        <w:t xml:space="preserve"> </w:t>
      </w:r>
      <w:r>
        <w:t xml:space="preserve">[Mandatory — RBI] Any arrangement linked to portfolio performance and specified upfront is DLG, by whatever name called (CF para 4(1)(viii)). The following are therefore DLG, count towards the Clause 13.6 cap and are valid only if documented in the DLG Agreement and satisfied solely from cover held in a form permitted by Clause 13.5 (CF para 23), never by withholding, netting or set-off of Fees (Schedule 1, para 1.9; Schedule 11, para 11.6); otherwise they are void: (a) any clawback, reversal, refund, holdback, deferral or reduction of Fees by reference to delinquency, default, loss or write-off; (b) any first-loss, loss-sharing, top-up or make-whole commitment; (c) any obligation to buy back defaulted Loans (which is prohibited in any event, because the LSP is not a permitted transferee under TDCR para 12(8) and a buy-back is not a CF para 23 form); and (d) any deposit, security or set-off right of the RE tied to portfolio performance. Fees based only on disbursement volume are not DLG.</w:t>
      </w:r>
    </w:p>
    <w:p>
      <w:pPr>
        <w:pStyle w:val="BodyText"/>
      </w:pPr>
      <w:r>
        <w:rPr>
          <w:bCs/>
          <w:b/>
        </w:rPr>
        <w:t xml:space="preserve">13.8 Invocation and tenor.</w:t>
      </w:r>
      <w:r>
        <w:t xml:space="preserve"> </w:t>
      </w:r>
      <w:r>
        <w:t xml:space="preserve">[Mandatory — RBI] (a) The RE shall invoke DLG within a maximum overdue period of 120 days, unless the Borrower makes good the dues earlier (CF para 27(1)). (b) The DLG Agreement shall run for not less than the longest tenor of the Loans in the DLG Set (CF para 27(2)). (c) Invoked DLG shall not be reinstated, including through recovery (CF para 25(4)). (d) Invoked DLG is not set off against individual Loans and Borrower liability is unaffected (CF para 25(2)); the DLAs shall never show a Loan as reduced by invocation. (e) Recoveries on Loans where DLG was invoked and realised may be shared as the DLG Agreement provides (CF para 25(3)).</w:t>
      </w:r>
    </w:p>
    <w:p>
      <w:pPr>
        <w:pStyle w:val="BodyText"/>
      </w:pPr>
      <w:r>
        <w:rPr>
          <w:bCs/>
          <w:b/>
        </w:rPr>
        <w:t xml:space="preserve">13.9 Prudential treatment.</w:t>
      </w:r>
      <w:r>
        <w:t xml:space="preserve"> </w:t>
      </w:r>
      <w:r>
        <w:t xml:space="preserve">[Mandatory — RBI] The RE classifies Loans regardless of DLG and provisions them under the RBI (NBFC – Income Recognition, Asset Classification and Provisioning) Directions, 2025 (CF para 25(1)), which permit an RE applying Ind AS to consider the DLG in Expected Credit Loss provisioning and require ECL to be recomputed after each invocation (paras 36A–36C of those Directions); capital treatment follows the capital-adequacy Directions (CF para 26(1)). A compliant DLG is neither synthetic securitisation nor loan participation (CF para 30(2)).</w:t>
      </w:r>
    </w:p>
    <w:p>
      <w:pPr>
        <w:pStyle w:val="BodyText"/>
      </w:pPr>
      <w:r>
        <w:rPr>
          <w:bCs/>
          <w:b/>
        </w:rPr>
        <w:t xml:space="preserve">13.10 Monthly disclosure.</w:t>
      </w:r>
      <w:r>
        <w:t xml:space="preserve"> </w:t>
      </w:r>
      <w:r>
        <w:t xml:space="preserve">[Mandatory — RBI] The LSP shall publish on its website, monthly and within seven working days after each month ends, the total number of portfolios and the amount of each on which DLG has been offered (CF para 28), and send the RE evidence of each publication. Naming the RE is optional, as agreed in Schedule 11.</w:t>
      </w:r>
    </w:p>
    <w:p>
      <w:pPr>
        <w:pStyle w:val="BodyText"/>
      </w:pPr>
      <w:r>
        <w:rPr>
          <w:bCs/>
          <w:b/>
        </w:rPr>
        <w:t xml:space="preserve">13.11 No collection rights.</w:t>
      </w:r>
      <w:r>
        <w:t xml:space="preserve"> </w:t>
      </w:r>
      <w:r>
        <w:t xml:space="preserve">[Mandatory — RBI] DLG is loss-sharing only. It gives the LSP no right, duty or authority to collect, to contact Borrowers about dues, to influence the RE’s recovery strategy, or to receive Borrower-level data beyond what is needed to validate invocations. Any recovery role arises only under Schedule 10. No DLG data shall be available to the matching, ranking, routing or collections functions of the Udofin Platform.</w:t>
      </w:r>
    </w:p>
    <w:p>
      <w:pPr>
        <w:pStyle w:val="BodyText"/>
      </w:pPr>
      <w:r>
        <w:rPr>
          <w:bCs/>
          <w:b/>
        </w:rPr>
        <w:t xml:space="preserve">13.12 Run-off.</w:t>
      </w:r>
      <w:r>
        <w:t xml:space="preserve"> </w:t>
      </w:r>
      <w:r>
        <w:t xml:space="preserve">On termination, DLG on each existing DLG Set continues for the Clause 13.8(b) period or until the set is repaid or written off, whichever is earlier, and Clause 13.10 continues for that period.</w:t>
      </w:r>
    </w:p>
    <w:bookmarkEnd w:id="33"/>
    <w:bookmarkStart w:id="34" w:name="grievance-redressal"/>
    <w:p>
      <w:pPr>
        <w:pStyle w:val="Heading1"/>
      </w:pPr>
      <w:r>
        <w:t xml:space="preserve">14. GRIEVANCE REDRESSAL</w:t>
      </w:r>
    </w:p>
    <w:p>
      <w:pPr>
        <w:pStyle w:val="FirstParagraph"/>
      </w:pPr>
      <w:r>
        <w:rPr>
          <w:bCs/>
          <w:b/>
        </w:rPr>
        <w:t xml:space="preserve">14.1 RE responsibility.</w:t>
      </w:r>
      <w:r>
        <w:t xml:space="preserve"> </w:t>
      </w:r>
      <w:r>
        <w:t xml:space="preserve">[Mandatory — RBI] Responsibility for grievance redressal remains with the RE (CF para 12(3)) and is not compromised by outsourcing (OUT para 56); the RE’s grievance machinery also handles issues about the LSP’s services (OUT para 57(2)).</w:t>
      </w:r>
    </w:p>
    <w:p>
      <w:pPr>
        <w:pStyle w:val="BodyText"/>
      </w:pPr>
      <w:r>
        <w:rPr>
          <w:bCs/>
          <w:b/>
        </w:rPr>
        <w:t xml:space="preserve">14.2 Nodal GRO.</w:t>
      </w:r>
      <w:r>
        <w:t xml:space="preserve"> </w:t>
      </w:r>
      <w:r>
        <w:t xml:space="preserve">[Mandatory — RBI] The LSP, having a borrower interface, designates a Nodal GRO (with an alternate) for digital lending complaints (CF para 12(1)), named in Schedule 9, and shall give [ten] Working Days’ notice of any change (immediate notice if unplanned) so the RE can update its website, KFS template and CIMS.</w:t>
      </w:r>
    </w:p>
    <w:p>
      <w:pPr>
        <w:pStyle w:val="BodyText"/>
      </w:pPr>
      <w:r>
        <w:rPr>
          <w:bCs/>
          <w:b/>
        </w:rPr>
        <w:t xml:space="preserve">14.3 Display and lodging.</w:t>
      </w:r>
      <w:r>
        <w:t xml:space="preserve"> </w:t>
      </w:r>
      <w:r>
        <w:t xml:space="preserve">[Mandatory — RBI] The contact details of the GRO and the Nodal GRO shall be prominently displayed on the RE’s and LSP’s websites, on each DLA and in the KFS (CF para 12(2)). Complaints can be lodged on each DLA and the LSP’s website (CF para 12(3)), without login where the complaint is about access, and each is acknowledged with a unique reference.</w:t>
      </w:r>
    </w:p>
    <w:p>
      <w:pPr>
        <w:pStyle w:val="BodyText"/>
      </w:pPr>
      <w:r>
        <w:rPr>
          <w:bCs/>
          <w:b/>
        </w:rPr>
        <w:t xml:space="preserve">14.4 Routing.</w:t>
      </w:r>
      <w:r>
        <w:t xml:space="preserve"> </w:t>
      </w:r>
      <w:r>
        <w:t xml:space="preserve">The LSP shall: (a) forward to the RE, within [one hour] and in any event the same Working Day, every complaint about the RE, a Product, a Loan, a decision, pricing, charges, recovery conduct or the LSP’s acts as agent, since the 30-day period in CF para 12(4) runs from the RE’s receipt; (b) resolve complaints solely about DLA technical functioning within the Schedule 9 timelines and report them to the RE; (c) never close, reject or settle a complaint about the RE’s decisions or conduct; and (d) show complaint status on the DLA.</w:t>
      </w:r>
    </w:p>
    <w:p>
      <w:pPr>
        <w:pStyle w:val="BodyText"/>
      </w:pPr>
      <w:r>
        <w:rPr>
          <w:bCs/>
          <w:b/>
        </w:rPr>
        <w:t xml:space="preserve">14.5 Escalation to RBI.</w:t>
      </w:r>
      <w:r>
        <w:t xml:space="preserve"> </w:t>
      </w:r>
      <w:r>
        <w:t xml:space="preserve">[Mandatory — RBI] If the RE rejects a complaint against the RE or the LSP wholly or partly, or the Borrower is dissatisfied with the reply, or there is no reply within 30 days of the RE’s receipt, the Borrower may complain on the CMS portal (https://cms.rbi.org.in) under the RB-IOS (as applicable) or in writing to the Centralised Receipt and Processing Centre, 4th Floor, Reserve Bank of India, Sector 17, Central Vista, Chandigarh 160017 (CF para 12(4); OUT para 57(4)). This shall be stated in every final reply and rejection and shown on the DLA from day 31 of an unresolved complaint.</w:t>
      </w:r>
    </w:p>
    <w:p>
      <w:pPr>
        <w:pStyle w:val="BodyText"/>
      </w:pPr>
      <w:r>
        <w:rPr>
          <w:bCs/>
          <w:b/>
        </w:rPr>
        <w:t xml:space="preserve">14.6 Recovery grievances.</w:t>
      </w:r>
      <w:r>
        <w:t xml:space="preserve"> </w:t>
      </w:r>
      <w:r>
        <w:t xml:space="preserve">[Mandatory — RBI] The RE’s recovery-grievance mechanism shall be disclosed to the Borrower at disbursal (RBC para 92 until 31 December 2026; thereafter under the RE’s recovery policy [VERIFY: provision replacing RBC para 92 after the RBC Third Amendment]) and in every recovery communication (from 1 January 2027, RBC para 100AA).</w:t>
      </w:r>
    </w:p>
    <w:p>
      <w:pPr>
        <w:pStyle w:val="BodyText"/>
      </w:pPr>
      <w:r>
        <w:rPr>
          <w:bCs/>
          <w:b/>
        </w:rPr>
        <w:t xml:space="preserve">14.7 Records.</w:t>
      </w:r>
      <w:r>
        <w:t xml:space="preserve"> </w:t>
      </w:r>
      <w:r>
        <w:t xml:space="preserve">The LSP shall keep an Audit Trail of every complaint, deliver the Schedule 19 grievance reports, and support the RE’s root-cause analysis and any Ombudsman proceeding.</w:t>
      </w:r>
    </w:p>
    <w:p>
      <w:pPr>
        <w:pStyle w:val="BodyText"/>
      </w:pPr>
      <w:r>
        <w:rPr>
          <w:bCs/>
          <w:b/>
        </w:rPr>
        <w:t xml:space="preserve">14.8 Borrower ADR.</w:t>
      </w:r>
      <w:r>
        <w:t xml:space="preserve"> </w:t>
      </w:r>
      <w:r>
        <w:t xml:space="preserve">[Option] A Borrower dispute may go to arbitration, conciliation, mediation or online dispute resolution (including Equator) only where the RE so decides and the Loan Documents provide for it, or the Borrower consents in writing after the dispute arises. Any arbitration clause in the Loan Documents shall name an independent institution and shall not allow unilateral appointment by the RE or a panel curated by it (</w:t>
      </w:r>
      <w:r>
        <w:rPr>
          <w:iCs/>
          <w:i/>
        </w:rPr>
        <w:t xml:space="preserve">Perkins Eastman v HSCC</w:t>
      </w:r>
      <w:r>
        <w:t xml:space="preserve"> </w:t>
      </w:r>
      <w:r>
        <w:t xml:space="preserve">(2020) 20 SCC 760;</w:t>
      </w:r>
      <w:r>
        <w:t xml:space="preserve"> </w:t>
      </w:r>
      <w:r>
        <w:rPr>
          <w:iCs/>
          <w:i/>
        </w:rPr>
        <w:t xml:space="preserve">CORE v ECI-SPIC-SMO-MCML (JV)</w:t>
      </w:r>
      <w:r>
        <w:t xml:space="preserve">, SC, 8 November 2024). The LSP shall not refer disputes or nominate, select or veto neutrals; it may link the Borrower to a case the RE has referred and show its status. ADR is never a substitute for, or precondition to, the RE’s grievance mechanism or the RB-IOS. Where Equator is used, the RE shall disclose that it is operated by an Affiliate of the LSP, and no neutral shall have any relationship with the RE, the LSP or the Infrabyx Group falling within the Fifth or Seventh Schedule to the Arbitration and Conciliation Act, 1996 (s.12(1), (5)); the LSP and its Affiliates shall have no role in appointing or paying the neutral, other than Equator’s published administrative fee.</w:t>
      </w:r>
    </w:p>
    <w:bookmarkEnd w:id="34"/>
    <w:bookmarkStart w:id="35" w:name="X1dfff6c73c2950ccb359364b3eccd969bf7ab82"/>
    <w:p>
      <w:pPr>
        <w:pStyle w:val="Heading1"/>
      </w:pPr>
      <w:r>
        <w:t xml:space="preserve">15. DATA PROTECTION, PRIVACY AND DATA LOCALISATION</w:t>
      </w:r>
    </w:p>
    <w:p>
      <w:pPr>
        <w:pStyle w:val="FirstParagraph"/>
      </w:pPr>
      <w:r>
        <w:rPr>
          <w:bCs/>
          <w:b/>
        </w:rPr>
        <w:t xml:space="preserve">15.1 Roles.</w:t>
      </w:r>
      <w:r>
        <w:t xml:space="preserve"> </w:t>
      </w:r>
      <w:r>
        <w:t xml:space="preserve">The RE is the data fiduciary for Borrower Personal Data processed for any Product or Loan, and the LSP processes it as data processor (DPDP Act, s.2(k)) on the RE’s instructions under Schedule 7. [Option: The LSP is an independent data fiduciary only for the purposes listed in Schedule 7, such as platform-account security, with separate Consent.] Where CF is stricter than the Data Protection Laws, CF applies.</w:t>
      </w:r>
    </w:p>
    <w:p>
      <w:pPr>
        <w:pStyle w:val="BodyText"/>
      </w:pPr>
      <w:r>
        <w:rPr>
          <w:bCs/>
          <w:b/>
        </w:rPr>
        <w:t xml:space="preserve">15.2 Collection.</w:t>
      </w:r>
      <w:r>
        <w:t xml:space="preserve"> </w:t>
      </w:r>
      <w:r>
        <w:t xml:space="preserve">[Mandatory — RBI] Data collection by a DLA shall be need-based and with the Borrower’s prior and explicit consent, with an Audit Trail (CF para 13(1)).</w:t>
      </w:r>
    </w:p>
    <w:p>
      <w:pPr>
        <w:pStyle w:val="BodyText"/>
      </w:pPr>
      <w:r>
        <w:rPr>
          <w:bCs/>
          <w:b/>
        </w:rPr>
        <w:t xml:space="preserve">15.3 Device resources.</w:t>
      </w:r>
      <w:r>
        <w:t xml:space="preserve"> </w:t>
      </w:r>
      <w:r>
        <w:t xml:space="preserve">[Mandatory — RBI] Each DLA shall</w:t>
      </w:r>
      <w:r>
        <w:t xml:space="preserve"> </w:t>
      </w:r>
      <w:r>
        <w:t xml:space="preserve">“</w:t>
      </w:r>
      <w:r>
        <w:t xml:space="preserve">desist from accessing mobile phone resources like file and media, contact list, call logs, telephony functions, etc.</w:t>
      </w:r>
      <w:r>
        <w:t xml:space="preserve">”</w:t>
      </w:r>
      <w:r>
        <w:t xml:space="preserve">; a one-time access may be taken for camera, microphone, location or any other facility necessary for onboarding or KYC only, with the Borrower’s explicit consent (CF para 13(1)). Accordingly: (a) mobile builds declare only the permissions that Part D of Schedule 7 allows, and the release process rejects any build declaring a prohibited one; (b) camera, microphone and approximate foreground location are requested only at the onboarding or KYC step needing them, used once, and not kept as standing permissions; (c) no DLA reads SMS, contacts, call logs, phone state, device identifiers, installed-app lists or files and media, and OTP autofill uses only platform mechanisms needing no SMS permission; and (d) later uploads use the operating system’s user-selected picker without storage permission [VERIFY: legal view that this is not</w:t>
      </w:r>
      <w:r>
        <w:t xml:space="preserve"> </w:t>
      </w:r>
      <w:r>
        <w:t xml:space="preserve">“</w:t>
      </w:r>
      <w:r>
        <w:t xml:space="preserve">accessing file and media</w:t>
      </w:r>
      <w:r>
        <w:t xml:space="preserve">”</w:t>
      </w:r>
      <w:r>
        <w:t xml:space="preserve">].</w:t>
      </w:r>
    </w:p>
    <w:p>
      <w:pPr>
        <w:pStyle w:val="BodyText"/>
      </w:pPr>
      <w:r>
        <w:rPr>
          <w:bCs/>
          <w:b/>
        </w:rPr>
        <w:t xml:space="preserve">15.4 Borrower choices.</w:t>
      </w:r>
      <w:r>
        <w:t xml:space="preserve"> </w:t>
      </w:r>
      <w:r>
        <w:t xml:space="preserve">[Mandatory — RBI] Borrowers shall be able to give or deny consent for specific data, restrict disclosure to third parties, choose data retention, revoke consent, and require the RE and LSP to delete or forget their data (CF para 13(2)). The purpose of each consent is disclosed at each stage (CF para 13(3)). Explicit consent is required before sharing Personal Data with any third party, unless sharing is required by statute or regulation (CF para 13(4)). Deletion requests for data the RE must retain by law go to the RE, and the Borrower is told why the data is retained.</w:t>
      </w:r>
    </w:p>
    <w:p>
      <w:pPr>
        <w:pStyle w:val="BodyText"/>
      </w:pPr>
      <w:r>
        <w:rPr>
          <w:bCs/>
          <w:b/>
        </w:rPr>
        <w:t xml:space="preserve">15.5 Basic Minimal Data only.</w:t>
      </w:r>
      <w:r>
        <w:t xml:space="preserve"> </w:t>
      </w:r>
      <w:r>
        <w:t xml:space="preserve">[Mandatory — RBI] The LSP shall not store Borrower personal information</w:t>
      </w:r>
      <w:r>
        <w:t xml:space="preserve"> </w:t>
      </w:r>
      <w:r>
        <w:t xml:space="preserve">“</w:t>
      </w:r>
      <w:r>
        <w:t xml:space="preserve">except some basic minimal data (viz., name, address, contact details of the customer, etc.)</w:t>
      </w:r>
      <w:r>
        <w:t xml:space="preserve">”</w:t>
      </w:r>
      <w:r>
        <w:t xml:space="preserve"> </w:t>
      </w:r>
      <w:r>
        <w:t xml:space="preserve">required for its operations within the scope of this Agreement (CF para 14(1)), as listed in Part B of Schedule 7. KYC artefacts, credit reports, AA data, bank statements and other documents are transient: transmitted to the RE and purged on the RE’s acknowledgement or within the Schedule 7 period, whichever is earlier. The RE remains responsible for the privacy and security of Borrower data on an ongoing basis (CF para 14(1)).</w:t>
      </w:r>
    </w:p>
    <w:p>
      <w:pPr>
        <w:pStyle w:val="BodyText"/>
      </w:pPr>
      <w:r>
        <w:rPr>
          <w:bCs/>
          <w:b/>
        </w:rPr>
        <w:t xml:space="preserve">15.6 Storage policy, biometrics, privacy policy.</w:t>
      </w:r>
      <w:r>
        <w:t xml:space="preserve"> </w:t>
      </w:r>
      <w:r>
        <w:t xml:space="preserve">[Mandatory — RBI] (a) The LSP shall publish prominently on its website and each DLA, at all times, a data-storage policy stating the data types stored, retention periods, use restrictions, destruction protocol and breach-handling standards (CF para 14(2)), consistent with the RE’s policy. (b) The LSP shall not collect or store biometric data unless allowed under statutory guidelines (CF para 14(3)); face-match and liveness run through a provider on the RE’s account, no face template is retained by the LSP, and device biometrics are used only as an operating-system pass or fail [VERIFY: whether KYC photographs or face templates are</w:t>
      </w:r>
      <w:r>
        <w:t xml:space="preserve"> </w:t>
      </w:r>
      <w:r>
        <w:t xml:space="preserve">“</w:t>
      </w:r>
      <w:r>
        <w:t xml:space="preserve">biometric data</w:t>
      </w:r>
      <w:r>
        <w:t xml:space="preserve">”</w:t>
      </w:r>
      <w:r>
        <w:t xml:space="preserve">]. (c) The LSP shall publish a comprehensive privacy policy compliant with law and RBI guidelines, naming the third parties allowed to collect personal information through the DLA (CF para 15), and give the RE each version for the Clause 8.7 document flow.</w:t>
      </w:r>
    </w:p>
    <w:p>
      <w:pPr>
        <w:pStyle w:val="BodyText"/>
      </w:pPr>
      <w:r>
        <w:rPr>
          <w:bCs/>
          <w:b/>
        </w:rPr>
        <w:t xml:space="preserve">15.7 Localisation.</w:t>
      </w:r>
      <w:r>
        <w:t xml:space="preserve"> </w:t>
      </w:r>
      <w:r>
        <w:t xml:space="preserve">[Mandatory — RBI] All data shall be stored only on servers in India; data processed outside India shall be deleted there and brought back to India within 24 hours of processing (CF para 14(4); OUT para 74(vi)). The LSP shall not process Borrower Personal Data outside India without the RE’s prior written consent, shall send none to analytics, crash-reporting, notification or AI services hosted abroad, and shall keep original records in India.</w:t>
      </w:r>
    </w:p>
    <w:p>
      <w:pPr>
        <w:pStyle w:val="BodyText"/>
      </w:pPr>
      <w:r>
        <w:rPr>
          <w:bCs/>
          <w:b/>
        </w:rPr>
        <w:t xml:space="preserve">15.8 Inventory and sharing.</w:t>
      </w:r>
      <w:r>
        <w:t xml:space="preserve"> </w:t>
      </w:r>
      <w:r>
        <w:t xml:space="preserve">[Mandatory — RBI] The LSP shall give the RE on request, and at least annually, details of the RE and customer data it captures, processes and stores (OUT para 74(vii)). Schedule 7 lists exhaustively the data the LSP may share with Borrowers or others (OUT para 74(viii)).</w:t>
      </w:r>
    </w:p>
    <w:p>
      <w:pPr>
        <w:pStyle w:val="BodyText"/>
      </w:pPr>
      <w:r>
        <w:rPr>
          <w:bCs/>
          <w:b/>
        </w:rPr>
        <w:t xml:space="preserve">15.9 Segregation and need to know.</w:t>
      </w:r>
      <w:r>
        <w:t xml:space="preserve"> </w:t>
      </w:r>
      <w:r>
        <w:t xml:space="preserve">[Mandatory — RBI] The LSP shall isolate and clearly identify the RE’s customer information, documents, records and assets, with no commingling with other lenders’ data; in its multi-tenant platform it shall keep the RE’s data logically separated so that only RE-authorised personnel can access it (OUT paras 26, 27, 70). Access by LSP Personnel shall be need-to-know, with controls against breach and misuse (OUT paras 24, 69(i)), and privileged access logs shall be available to the RE. A Borrower’s data from an application to the RE goes to another lender only within the Borrower’s Consent for that lender.</w:t>
      </w:r>
    </w:p>
    <w:p>
      <w:pPr>
        <w:pStyle w:val="BodyText"/>
      </w:pPr>
      <w:r>
        <w:rPr>
          <w:bCs/>
          <w:b/>
        </w:rPr>
        <w:t xml:space="preserve">15.10 DPDP Act.</w:t>
      </w:r>
      <w:r>
        <w:t xml:space="preserve"> </w:t>
      </w:r>
      <w:r>
        <w:t xml:space="preserve">[Mandatory — Law] Each Party shall comply with the DPDP Act and Rules as they come into force. The Rules were notified on 13 November 2025; consent-manager provisions apply from 13 November 2026, and notice, consent, security, breach-intimation, data-principal-rights, retention and processor provisions from 13 May 2027 [VERIFY: commencement notifications]. The LSP shall process Personal Data only on the RE’s documented instructions; keep reasonable security safeguards including encryption, access control, monitoring and logs retained at least one year; help the RE answer data-principal requests and give breach intimations; and erase data on instruction or when the purpose ends, subject to legal retention. Until then the LSP shall maintain reasonable security practices under section 43A of the IT Act and comply with section 72A.</w:t>
      </w:r>
    </w:p>
    <w:p>
      <w:pPr>
        <w:pStyle w:val="BodyText"/>
      </w:pPr>
      <w:r>
        <w:rPr>
          <w:bCs/>
          <w:b/>
        </w:rPr>
        <w:t xml:space="preserve">15.11 Prohibited uses.</w:t>
      </w:r>
      <w:r>
        <w:t xml:space="preserve"> </w:t>
      </w:r>
      <w:r>
        <w:t xml:space="preserve">The LSP shall not sell or rent Borrower data; use data obtained for the RE to market other lenders’ products without separate Consent; use it to train models or build profiles beyond the Services without the RE’s approval and Borrower Consent; or make automated decisions with legal or similar effect except under an RE rule set (Clause 8.2). No Product shall be offered to a person under eighteen.</w:t>
      </w:r>
    </w:p>
    <w:p>
      <w:pPr>
        <w:pStyle w:val="BodyText"/>
      </w:pPr>
      <w:r>
        <w:rPr>
          <w:bCs/>
          <w:b/>
        </w:rPr>
        <w:t xml:space="preserve">15.12 Return and deletion.</w:t>
      </w:r>
      <w:r>
        <w:t xml:space="preserve"> </w:t>
      </w:r>
      <w:r>
        <w:t xml:space="preserve">On termination, on request or when the purpose ends, the LSP shall return all RE Data in the Schedule 14 formats, then securely delete it (including backups within the Schedule 7 cycle) and deliver a certificate of deletion signed by an officer and, if the RE requires, verified by an independent auditor, listing any data retained by law (OUT paras 34(xii), 42, 87). During any transition the LSP shall not erase, purge, revoke, alter or change data unless the RE or a regulator specifically so advises (OUT para 87).</w:t>
      </w:r>
    </w:p>
    <w:bookmarkEnd w:id="35"/>
    <w:bookmarkStart w:id="36" w:name="X6524990f22d4e6534a22eb0126930830a25b3a1"/>
    <w:p>
      <w:pPr>
        <w:pStyle w:val="Heading1"/>
      </w:pPr>
      <w:r>
        <w:t xml:space="preserve">16. INFORMATION SECURITY, TECHNOLOGY STANDARDS AND CYBER RESILIENCE</w:t>
      </w:r>
    </w:p>
    <w:p>
      <w:pPr>
        <w:pStyle w:val="FirstParagraph"/>
      </w:pPr>
      <w:r>
        <w:rPr>
          <w:bCs/>
          <w:b/>
        </w:rPr>
        <w:t xml:space="preserve">16.1 Standards.</w:t>
      </w:r>
      <w:r>
        <w:t xml:space="preserve"> </w:t>
      </w:r>
      <w:r>
        <w:t xml:space="preserve">[Mandatory — RBI] The LSP shall comply with RBI’s and other relevant agencies’ technology and cybersecurity standards for digital lending (CF para 16), and with Schedule 8, which applies the CYB Chapter for the RE’s layer and, regardless of layer, the standards in this Article.</w:t>
      </w:r>
    </w:p>
    <w:p>
      <w:pPr>
        <w:pStyle w:val="BodyText"/>
      </w:pPr>
      <w:r>
        <w:rPr>
          <w:bCs/>
          <w:b/>
        </w:rPr>
        <w:t xml:space="preserve">16.2 Baseline.</w:t>
      </w:r>
      <w:r>
        <w:t xml:space="preserve"> </w:t>
      </w:r>
      <w:r>
        <w:t xml:space="preserve">The LSP shall: (a) secure mobile and web channels with end-to-end encryption, certificate pinning, app-integrity attestation and detection of rooted or tampered devices (CYB para 33, where applicable); (b) apply multi-factor authentication to privileged users and data export (CYB para 115, where applicable); (c) encrypt data at rest and in transit, with keys for RE Data [held in an India-located key-management service / controlled by the RE] (OUT para 97(vii), where applicable); (d) run a secure development lifecycle with SAST, DAST, dependency scanning and a software bill of materials per release; (e) commission independent vulnerability assessment at least every six months and penetration testing at least every twelve months, and before and after major releases, through CERT-In-empanelled auditors, remediating within Schedule 8 timelines (CYB paras 121–126, where applicable); (f) certify at onboarding and on each material change that the application is free of known vulnerabilities, malware and covert channels (CYB para 106, where applicable); and (g) comply with the RE’s information-security and acceptable-use policies for staff with access to RE systems or data (CYB para 97, where applicable).</w:t>
      </w:r>
    </w:p>
    <w:p>
      <w:pPr>
        <w:pStyle w:val="BodyText"/>
      </w:pPr>
      <w:r>
        <w:rPr>
          <w:bCs/>
          <w:b/>
        </w:rPr>
        <w:t xml:space="preserve">16.3 Logs.</w:t>
      </w:r>
      <w:r>
        <w:t xml:space="preserve"> </w:t>
      </w:r>
      <w:r>
        <w:t xml:space="preserve">[Mandatory — Law/RBI] The LSP shall keep logs of all ICT systems used for the Services securely in India for a rolling 180 days and synchronise clocks with NIC or NPL time servers (CERT-In Directions); retain administrative audit trails for the Schedule 8 period and give the RE access on request (CYB para 62, where applicable); and, where Schedule 8 so provides, feed logs and events to the RE’s security operations centre (OUT para 97(xi)).</w:t>
      </w:r>
    </w:p>
    <w:p>
      <w:pPr>
        <w:pStyle w:val="BodyText"/>
      </w:pPr>
      <w:r>
        <w:rPr>
          <w:bCs/>
          <w:b/>
        </w:rPr>
        <w:t xml:space="preserve">16.4 Integration, escrow, certification, AI.</w:t>
      </w:r>
      <w:r>
        <w:t xml:space="preserve"> </w:t>
      </w:r>
      <w:r>
        <w:t xml:space="preserve">Data between the Udofin Platform and the RE’s systems flows through authenticated, signed, idempotent interfaces (Schedule 16) with no manual change except through an audited maker-checker process. [Option] Where the RE treats a component as critical, its source code and all updates shall be escrowed under Schedule 8 (CYB para 105). The LSP shall [obtain within [12] months and] maintain [ISO/IEC 27001] [and SOC 2 Type II] for the Udofin Platform. Any AI tool used in the Services shall be disclosed to the RE, shall not perform any Clause 3.3 function, shall not process Borrower Personal Data outside India, and shall follow the RE’s model-governance rules in Schedule 8 [VERIFY: any RBI AI framework then applicable].</w:t>
      </w:r>
    </w:p>
    <w:bookmarkEnd w:id="36"/>
    <w:bookmarkStart w:id="37" w:name="incident-management-and-reporting"/>
    <w:p>
      <w:pPr>
        <w:pStyle w:val="Heading1"/>
      </w:pPr>
      <w:r>
        <w:t xml:space="preserve">17. INCIDENT MANAGEMENT AND REPORTING</w:t>
      </w:r>
    </w:p>
    <w:p>
      <w:pPr>
        <w:pStyle w:val="FirstParagraph"/>
      </w:pPr>
      <w:r>
        <w:rPr>
          <w:bCs/>
          <w:b/>
        </w:rPr>
        <w:t xml:space="preserve">17.1 Scope.</w:t>
      </w:r>
      <w:r>
        <w:t xml:space="preserve"> </w:t>
      </w:r>
      <w:r>
        <w:t xml:space="preserve">This Article covers every Cyber Incident and every</w:t>
      </w:r>
      <w:r>
        <w:t xml:space="preserve"> </w:t>
      </w:r>
      <w:r>
        <w:rPr>
          <w:bCs/>
          <w:b/>
        </w:rPr>
        <w:t xml:space="preserve">Material Adverse Event</w:t>
      </w:r>
      <w:r>
        <w:t xml:space="preserve">, namely: any Personal Data Breach or leakage of confidential customer information; denial of service or unavailability of a DLA or RE interface beyond the Schedule 18 thresholds; actual or suspected fraud involving a Loan, Borrower, LSP Personnel or the Udofin Platform; any breach of Article 9; removal, suspension or blocking of a DLA; any notice, inquiry, finding or order of a Governmental Authority about the Services; any material complaint trend or adverse media; and any event likely to affect performance of the Services (OUT para 74(iii)).</w:t>
      </w:r>
    </w:p>
    <w:p>
      <w:pPr>
        <w:pStyle w:val="BodyText"/>
      </w:pPr>
      <w:r>
        <w:rPr>
          <w:bCs/>
          <w:b/>
        </w:rPr>
        <w:t xml:space="preserve">17.2 Notification.</w:t>
      </w:r>
      <w:r>
        <w:t xml:space="preserve"> </w:t>
      </w:r>
      <w:r>
        <w:t xml:space="preserve">[Mandatory — RBI] The LSP shall report every Cyber Incident to the RE without undue delay and within [two] hours of detection by the LSP or a Sub-contractor, so that the RE can report it to RBI within six hours of detection by the service provider (OUT para 61; CYB paras 28, 141, where applicable), and every other Material Adverse Event within the Schedule 12 timelines and in any event within [24] hours of awareness, to the 24x7 contacts and in the format in Schedule 12, without waiting for confirmation or root cause. Updates follow at the Schedule 12 intervals, and a root-cause report within the Schedule 12 timelines and in any event within [ten] Working Days of closure.</w:t>
      </w:r>
    </w:p>
    <w:p>
      <w:pPr>
        <w:pStyle w:val="BodyText"/>
      </w:pPr>
      <w:r>
        <w:rPr>
          <w:bCs/>
          <w:b/>
        </w:rPr>
        <w:t xml:space="preserve">17.3 Customer-data breach.</w:t>
      </w:r>
      <w:r>
        <w:t xml:space="preserve"> </w:t>
      </w:r>
      <w:r>
        <w:t xml:space="preserve">[Mandatory — RBI] The LSP shall disclose every security breach to the RE (OUT para 25). The RE shall notify RBI immediately of any breach of security and leakage of confidential customer information and is liable to its customers for any damage (OUT paras 28, 69(iii)); the LSP is liable to the RE under Articles 27 and 28 for breaches attributable to it or its Sub-contractors (OUT para 34(v)).</w:t>
      </w:r>
    </w:p>
    <w:p>
      <w:pPr>
        <w:pStyle w:val="BodyText"/>
      </w:pPr>
      <w:r>
        <w:rPr>
          <w:bCs/>
          <w:b/>
        </w:rPr>
        <w:t xml:space="preserve">17.4 CERT-In and DPDP.</w:t>
      </w:r>
      <w:r>
        <w:t xml:space="preserve"> </w:t>
      </w:r>
      <w:r>
        <w:t xml:space="preserve">[Mandatory — Law] The LSP shall report reportable incidents to CERT-In within six hours of noticing them (CERT-In Directions), informing the RE at the same time and coordinating content where RE data is affected. Once section 8(6) of the DPDP Act and the related Rules are in force, the LSP shall give the RE everything needed to intimate a Personal Data Breach to the Data Protection Board and affected data principals without delay and to file the detailed report within 72 hours or such longer time as the Board allows [VERIFY: DPDP Rules, rule 7].</w:t>
      </w:r>
    </w:p>
    <w:p>
      <w:pPr>
        <w:pStyle w:val="BodyText"/>
      </w:pPr>
      <w:r>
        <w:rPr>
          <w:bCs/>
          <w:b/>
        </w:rPr>
        <w:t xml:space="preserve">17.5 Forensics and fraud.</w:t>
      </w:r>
      <w:r>
        <w:t xml:space="preserve"> </w:t>
      </w:r>
      <w:r>
        <w:t xml:space="preserve">The LSP shall preserve all evidence, allow the RE, its forensic auditors and Governmental Authorities to examine it, take part in the RE’s incident and crisis-communication drills (CYB paras 142, 146, where applicable), and report suspected fraud under Article 26.</w:t>
      </w:r>
    </w:p>
    <w:bookmarkEnd w:id="37"/>
    <w:bookmarkStart w:id="38" w:name="regulatory-reporting-and-cims"/>
    <w:p>
      <w:pPr>
        <w:pStyle w:val="Heading1"/>
      </w:pPr>
      <w:r>
        <w:t xml:space="preserve">18. REGULATORY REPORTING AND CIMS</w:t>
      </w:r>
    </w:p>
    <w:p>
      <w:pPr>
        <w:pStyle w:val="FirstParagraph"/>
      </w:pPr>
      <w:r>
        <w:rPr>
          <w:bCs/>
          <w:b/>
        </w:rPr>
        <w:t xml:space="preserve">18.1 CIMS.</w:t>
      </w:r>
      <w:r>
        <w:t xml:space="preserve"> </w:t>
      </w:r>
      <w:r>
        <w:t xml:space="preserve">[Mandatory — RBI] The LSP shall maintain the DLA register and give the RE the CIMS data under CF para 18 and Annex-I in the Schedule 3 format, as Clause 5.2 requires and at least [quarterly] as a reconciliation; the RE shall give the LSP evidence of each filing.</w:t>
      </w:r>
    </w:p>
    <w:p>
      <w:pPr>
        <w:pStyle w:val="BodyText"/>
      </w:pPr>
      <w:r>
        <w:rPr>
          <w:bCs/>
          <w:b/>
        </w:rPr>
        <w:t xml:space="preserve">18.2 Credit and other data.</w:t>
      </w:r>
      <w:r>
        <w:t xml:space="preserve"> </w:t>
      </w:r>
      <w:r>
        <w:t xml:space="preserve">[Mandatory — RBI] The RE reports to CICs all lending through the DLAs irrespective of nature or tenor (CF para 17(1)); the LSP supplies its captured data (including household income for microfinance) and complete repayment events within the Schedule 19 timelines, and any other data the RE needs for a return, certification, inspection or request, within Schedule 19 or any shorter regulatory deadline.</w:t>
      </w:r>
    </w:p>
    <w:p>
      <w:pPr>
        <w:pStyle w:val="BodyText"/>
      </w:pPr>
      <w:r>
        <w:rPr>
          <w:bCs/>
          <w:b/>
        </w:rPr>
        <w:t xml:space="preserve">18.3 Regulators.</w:t>
      </w:r>
      <w:r>
        <w:t xml:space="preserve"> </w:t>
      </w:r>
      <w:r>
        <w:t xml:space="preserve">The LSP shall not correspond with RBI or any other Governmental Authority for the RE or about the RE’s Loans, except as law requires or with the RE’s approval, and shall promptly tell the RE (unless legally barred) of any regulatory communication concerning the Services.</w:t>
      </w:r>
    </w:p>
    <w:bookmarkEnd w:id="38"/>
    <w:bookmarkStart w:id="39" w:name="audit-inspection-and-supervisory-access"/>
    <w:p>
      <w:pPr>
        <w:pStyle w:val="Heading1"/>
      </w:pPr>
      <w:r>
        <w:t xml:space="preserve">19. AUDIT, INSPECTION AND SUPERVISORY ACCESS</w:t>
      </w:r>
    </w:p>
    <w:p>
      <w:pPr>
        <w:pStyle w:val="FirstParagraph"/>
      </w:pPr>
      <w:r>
        <w:rPr>
          <w:bCs/>
          <w:b/>
        </w:rPr>
        <w:t xml:space="preserve">19.1 RE access and audit.</w:t>
      </w:r>
      <w:r>
        <w:t xml:space="preserve"> </w:t>
      </w:r>
      <w:r>
        <w:t xml:space="preserve">[Mandatory — RBI] The LSP shall give the RE access to all books, records and information relevant to the Services (OUT para 34(ii)) and unrestricted and effective access to related data, logs, alerts and business premises, subject to security protocols (OUT paras 74(ii), 81). The RE may audit the LSP and its Sub-contractors through its internal or external auditors or appointed agents, and obtain copies of audit or review reports on the LSP relating to the Services (OUT paras 34(vii), 74(i), 76), assessing performance, risk management and legal compliance (OUT para 78). The RE’s internal audit covers the outsourced activities (OUT para 12(2)(i)).</w:t>
      </w:r>
    </w:p>
    <w:p>
      <w:pPr>
        <w:pStyle w:val="BodyText"/>
      </w:pPr>
      <w:r>
        <w:rPr>
          <w:bCs/>
          <w:b/>
        </w:rPr>
        <w:t xml:space="preserve">19.2 RBI.</w:t>
      </w:r>
      <w:r>
        <w:t xml:space="preserve"> </w:t>
      </w:r>
      <w:r>
        <w:t xml:space="preserve">[Mandatory — RBI] RBI or persons it authorises may access the RE’s documents, transaction records and other information given to, stored or processed by the LSP within a reasonable time (OUT para 34(viii)), and may inspect the LSP and its books and accounts (OUT para 34(ix)), including any Sub-contractor and the RE’s infrastructure, applications, data and documents held by the LSP or its Sub-contractors (OUT para 74(xii)). The LSP shall not impede RBI’s supervision (OUT para 18(ii)). These rights extend to the National Housing Bank for an HFC, the RE’s statutory auditors and any authority entitled by law.</w:t>
      </w:r>
    </w:p>
    <w:p>
      <w:pPr>
        <w:pStyle w:val="BodyText"/>
      </w:pPr>
      <w:r>
        <w:rPr>
          <w:bCs/>
          <w:b/>
        </w:rPr>
        <w:t xml:space="preserve">19.3 Conduct of audits.</w:t>
      </w:r>
      <w:r>
        <w:t xml:space="preserve"> </w:t>
      </w:r>
      <w:r>
        <w:t xml:space="preserve">The RE may join pooled audits that meet its own contract’s requirements (OUT para 77). Scheduled audits need [ten] Working Days’ notice; none is needed after a Material Adverse Event, complaint trend, suspected fraud or regulatory request. The LSP provides facilities, staff and a read-only audit role. Each Party bears its own costs, but the LSP bears the RE’s reasonable costs of an audit revealing a material breach. The LSP shall remedy findings within the time the RE or regulator sets and report progress under Schedule 13, which sets the audit protocol.</w:t>
      </w:r>
    </w:p>
    <w:bookmarkEnd w:id="39"/>
    <w:bookmarkStart w:id="40" w:name="sub-contracting"/>
    <w:p>
      <w:pPr>
        <w:pStyle w:val="Heading1"/>
      </w:pPr>
      <w:r>
        <w:t xml:space="preserve">20. SUB-CONTRACTING</w:t>
      </w:r>
    </w:p>
    <w:p>
      <w:pPr>
        <w:pStyle w:val="FirstParagraph"/>
      </w:pPr>
      <w:r>
        <w:rPr>
          <w:bCs/>
          <w:b/>
        </w:rPr>
        <w:t xml:space="preserve">20.1 Consent.</w:t>
      </w:r>
      <w:r>
        <w:t xml:space="preserve"> </w:t>
      </w:r>
      <w:r>
        <w:t xml:space="preserve">[Mandatory — RBI] The LSP shall not sub-contract any part of the Services, or let any person process RE Data, without the RE’s prior written consent (OUT para 34(iv)). Approved Sub-contractors, their services, data and processing locations are listed in Part C of Schedule 17. The LSP shall seek the RE’s consent at least [30] days before engaging any new or replacement Sub-contractor; silence is not consent, and the RE may refuse on reasonable grounds, including concentration, conflict, data location and conduct record. No recovery agency may sub-delegate.</w:t>
      </w:r>
    </w:p>
    <w:p>
      <w:pPr>
        <w:pStyle w:val="BodyText"/>
      </w:pPr>
      <w:r>
        <w:rPr>
          <w:bCs/>
          <w:b/>
        </w:rPr>
        <w:t xml:space="preserve">20.2 Flow-down and liability.</w:t>
      </w:r>
      <w:r>
        <w:t xml:space="preserve"> </w:t>
      </w:r>
      <w:r>
        <w:t xml:space="preserve">[Mandatory — RBI] Each Sub-contractor shall be bound by written terms no less protective than this Agreement, including service standards, confidentiality, localisation, security, incident reporting, the RE’s audit rights and RBI’s access and inspection rights (OUT paras 74(i), 74(xii)); the LSP shall keep back-to-back terms with OEMs and cloud providers (OUT para 74(xviii)), is liable for its Sub-contractors’ performance and risk management as for its own (OUT para 74(xiii)), and shall give the RE information about third parties in its supply chain (OUT paras 74(xi), 82).</w:t>
      </w:r>
    </w:p>
    <w:bookmarkEnd w:id="40"/>
    <w:bookmarkStart w:id="41" w:name="business-continuity"/>
    <w:p>
      <w:pPr>
        <w:pStyle w:val="Heading1"/>
      </w:pPr>
      <w:r>
        <w:t xml:space="preserve">21. BUSINESS CONTINUITY</w:t>
      </w:r>
    </w:p>
    <w:p>
      <w:pPr>
        <w:pStyle w:val="FirstParagraph"/>
      </w:pPr>
      <w:r>
        <w:rPr>
          <w:bCs/>
          <w:b/>
        </w:rPr>
        <w:t xml:space="preserve">21.1 BCP.</w:t>
      </w:r>
      <w:r>
        <w:t xml:space="preserve"> </w:t>
      </w:r>
      <w:r>
        <w:t xml:space="preserve">[Mandatory — RBI] The LSP shall maintain and test a documented business continuity and disaster recovery framework (OUT paras 40, 83), with the recovery objectives in Schedule 14 and primary and DR sites in India, test DR at least [half-yearly] and the BCP at least [annually], share results, and join the RE’s joint exercises on request (OUT paras 40, 74(x); CYB paras 64, 138, where applicable).</w:t>
      </w:r>
    </w:p>
    <w:p>
      <w:pPr>
        <w:pStyle w:val="BodyText"/>
      </w:pPr>
      <w:r>
        <w:rPr>
          <w:bCs/>
          <w:b/>
        </w:rPr>
        <w:t xml:space="preserve">21.2 Essential personnel.</w:t>
      </w:r>
      <w:r>
        <w:t xml:space="preserve"> </w:t>
      </w:r>
      <w:r>
        <w:t xml:space="preserve">[Mandatory — RBI] Skilled staff providing core services are essential personnel, with back-up, able to operate critical functions on site in exigencies, including pandemics (OUT para 74(xvii)).</w:t>
      </w:r>
    </w:p>
    <w:p>
      <w:pPr>
        <w:pStyle w:val="BodyText"/>
      </w:pPr>
      <w:r>
        <w:rPr>
          <w:bCs/>
          <w:b/>
        </w:rPr>
        <w:t xml:space="preserve">21.3 Isolation and intervention.</w:t>
      </w:r>
      <w:r>
        <w:t xml:space="preserve"> </w:t>
      </w:r>
      <w:r>
        <w:t xml:space="preserve">[Mandatory — RBI] The LSP shall be able to isolate the RE’s information, records and assets so that, in adverse conditions or on termination, they can be removed to let the RE continue business, or deleted or rendered unusable (OUT para 42). The RE may intervene to continue operations, including by moving servicing of existing Loans to itself or another provider, without prohibitive cost or disruption to Borrowers (OUT para 43).</w:t>
      </w:r>
    </w:p>
    <w:p>
      <w:pPr>
        <w:pStyle w:val="BodyText"/>
      </w:pPr>
      <w:r>
        <w:rPr>
          <w:bCs/>
          <w:b/>
        </w:rPr>
        <w:t xml:space="preserve">21.4 Insolvency.</w:t>
      </w:r>
      <w:r>
        <w:t xml:space="preserve"> </w:t>
      </w:r>
      <w:r>
        <w:t xml:space="preserve">[Mandatory — RBI] The LSP shall cooperate with the authorities in the RE’s insolvency or resolution (OUT para 74(xvi)) and ensure that RE records stay available to the RE and RBI in the LSP’s own insolvency, through the Schedule 14 export and any escrow.</w:t>
      </w:r>
    </w:p>
    <w:p>
      <w:pPr>
        <w:pStyle w:val="BodyText"/>
      </w:pPr>
      <w:r>
        <w:rPr>
          <w:bCs/>
          <w:b/>
        </w:rPr>
        <w:t xml:space="preserve">21.5 Borrower priorities.</w:t>
      </w:r>
      <w:r>
        <w:t xml:space="preserve"> </w:t>
      </w:r>
      <w:r>
        <w:t xml:space="preserve">In any disruption, the LSP gives priority to payments to the RE, access to the KFS and Loan Documents, cooling-off exits and complaint lodging, and publishes RE-approved alternative channels.</w:t>
      </w:r>
    </w:p>
    <w:bookmarkEnd w:id="41"/>
    <w:bookmarkStart w:id="42" w:name="fees-and-payments"/>
    <w:p>
      <w:pPr>
        <w:pStyle w:val="Heading1"/>
      </w:pPr>
      <w:r>
        <w:t xml:space="preserve">22. FEES AND PAYMENTS</w:t>
      </w:r>
    </w:p>
    <w:p>
      <w:pPr>
        <w:pStyle w:val="FirstParagraph"/>
      </w:pPr>
      <w:r>
        <w:rPr>
          <w:bCs/>
          <w:b/>
        </w:rPr>
        <w:t xml:space="preserve">22.1 Fees.</w:t>
      </w:r>
      <w:r>
        <w:t xml:space="preserve"> </w:t>
      </w:r>
      <w:r>
        <w:t xml:space="preserve">The RE shall pay the Fees in Schedule 1. Only the RE pays the LSP.</w:t>
      </w:r>
    </w:p>
    <w:p>
      <w:pPr>
        <w:pStyle w:val="BodyText"/>
      </w:pPr>
      <w:r>
        <w:rPr>
          <w:bCs/>
          <w:b/>
        </w:rPr>
        <w:t xml:space="preserve">22.2 No Borrower charge.</w:t>
      </w:r>
      <w:r>
        <w:t xml:space="preserve"> </w:t>
      </w:r>
      <w:r>
        <w:t xml:space="preserve">[Mandatory — RBI] No amount payable to the LSP shall be charged to or collected from a Borrower, directly or indirectly, deducted from a disbursement or taken from recovery proceeds (CF para 10(4)–(5)). Any fee the RE charges a Borrower is the RE’s, appears in the KFS and is never described as the LSP’s.</w:t>
      </w:r>
    </w:p>
    <w:p>
      <w:pPr>
        <w:pStyle w:val="BodyText"/>
      </w:pPr>
      <w:r>
        <w:rPr>
          <w:bCs/>
          <w:b/>
        </w:rPr>
        <w:t xml:space="preserve">22.3 Fees and implicit DLG.</w:t>
      </w:r>
      <w:r>
        <w:t xml:space="preserve"> </w:t>
      </w:r>
      <w:r>
        <w:t xml:space="preserve">[Mandatory — RBI] No Fee may be clawed back, reversed, held back, deferred or reduced by reference to delinquency, default or loss, except within a DLG Agreement complying with Article 13 (CF paras 4(1)(viii), 24(1)). Fees shall not vary by the lender a Borrower chooses so as to create an incentive contrary to Clauses 6.2–6.4, and Fee data shall not feed the Matching Mechanism. Recovery fees (Schedule 10) shall not induce harsh practices; any DLG fee is set in the DLG Agreement consistently with the RE’s policy (CF para 20(1)).</w:t>
      </w:r>
    </w:p>
    <w:p>
      <w:pPr>
        <w:pStyle w:val="BodyText"/>
      </w:pPr>
      <w:r>
        <w:rPr>
          <w:bCs/>
          <w:b/>
        </w:rPr>
        <w:t xml:space="preserve">22.4 Invoicing.</w:t>
      </w:r>
      <w:r>
        <w:t xml:space="preserve"> </w:t>
      </w:r>
      <w:r>
        <w:t xml:space="preserve">The LSP invoices [monthly] in arrears with data reconciled to the RE’s records; the RE pays undisputed amounts within [30] days and may dispute in good faith within [15] days (Article 33). Fees exclude GST, payable against a valid tax invoice; the RE may deduct tax at source. The Parties reconcile inter-party entries [monthly] so the RE’s Audit Committee can review ageing of unreconciled items (OUT para 12(2)(ii)).</w:t>
      </w:r>
    </w:p>
    <w:bookmarkEnd w:id="42"/>
    <w:bookmarkStart w:id="43" w:name="intellectual-property-and-branding"/>
    <w:p>
      <w:pPr>
        <w:pStyle w:val="Heading1"/>
      </w:pPr>
      <w:r>
        <w:t xml:space="preserve">23. INTELLECTUAL PROPERTY AND BRANDING</w:t>
      </w:r>
    </w:p>
    <w:p>
      <w:pPr>
        <w:pStyle w:val="FirstParagraph"/>
      </w:pPr>
      <w:r>
        <w:rPr>
          <w:bCs/>
          <w:b/>
        </w:rPr>
        <w:t xml:space="preserve">23.1 LSP IP.</w:t>
      </w:r>
      <w:r>
        <w:t xml:space="preserve"> </w:t>
      </w:r>
      <w:r>
        <w:t xml:space="preserve">Rights in the Udofin Platform, the DLAs (excluding RE content and marks), the Matching Mechanism and the LSP’s know-how remain with the LSP or its licensors.</w:t>
      </w:r>
    </w:p>
    <w:p>
      <w:pPr>
        <w:pStyle w:val="BodyText"/>
      </w:pPr>
      <w:r>
        <w:rPr>
          <w:bCs/>
          <w:b/>
        </w:rPr>
        <w:t xml:space="preserve">23.2 RE Data.</w:t>
      </w:r>
      <w:r>
        <w:t xml:space="preserve"> </w:t>
      </w:r>
      <w:r>
        <w:t xml:space="preserve">All data about the RE, its Products, Loans and Borrowers, the Loan Documents and all records created for the RE (</w:t>
      </w:r>
      <w:r>
        <w:t xml:space="preserve">“</w:t>
      </w:r>
      <w:r>
        <w:rPr>
          <w:bCs/>
          <w:b/>
        </w:rPr>
        <w:t xml:space="preserve">RE Data</w:t>
      </w:r>
      <w:r>
        <w:t xml:space="preserve">”</w:t>
      </w:r>
      <w:r>
        <w:t xml:space="preserve">) belong to the RE, subject to Borrowers’ legal rights, and the LSP may use them only for the Services.</w:t>
      </w:r>
    </w:p>
    <w:p>
      <w:pPr>
        <w:pStyle w:val="BodyText"/>
      </w:pPr>
      <w:r>
        <w:rPr>
          <w:bCs/>
          <w:b/>
        </w:rPr>
        <w:t xml:space="preserve">23.3 RE marks.</w:t>
      </w:r>
      <w:r>
        <w:t xml:space="preserve"> </w:t>
      </w:r>
      <w:r>
        <w:t xml:space="preserve">The RE grants the LSP a non-exclusive, non-transferable, royalty-free licence for the Term to use its name and marks on the DLAs and approved material, only for the Services and under Schedule 15. The RE’s name shall be at least as prominent as the Udofin brand on every offer, KFS, document and payment screen. Neither Party shall use the other’s name to suggest that it guarantees the other’s obligations (OUT para 50).</w:t>
      </w:r>
    </w:p>
    <w:p>
      <w:pPr>
        <w:pStyle w:val="BodyText"/>
      </w:pPr>
      <w:r>
        <w:rPr>
          <w:bCs/>
          <w:b/>
        </w:rPr>
        <w:t xml:space="preserve">23.4 Options.</w:t>
      </w:r>
      <w:r>
        <w:t xml:space="preserve"> </w:t>
      </w:r>
      <w:r>
        <w:t xml:space="preserve">[Option] (a) For the Exit Period the LSP licenses the RE to use the Udofin servicing functions as needed to service existing Loans. (b) The LSP may use aggregated data that identifies no RE, Borrower or individual and cannot reasonably be re-identified, only to improve the platform and for statistics, subject to the Data Protection Laws and Clause 15.11.</w:t>
      </w:r>
    </w:p>
    <w:bookmarkEnd w:id="43"/>
    <w:bookmarkStart w:id="44" w:name="confidentiality"/>
    <w:p>
      <w:pPr>
        <w:pStyle w:val="Heading1"/>
      </w:pPr>
      <w:r>
        <w:t xml:space="preserve">24. CONFIDENTIALITY</w:t>
      </w:r>
    </w:p>
    <w:p>
      <w:pPr>
        <w:pStyle w:val="FirstParagraph"/>
      </w:pPr>
      <w:r>
        <w:rPr>
          <w:bCs/>
          <w:b/>
        </w:rPr>
        <w:t xml:space="preserve">24.1 Obligation.</w:t>
      </w:r>
      <w:r>
        <w:t xml:space="preserve"> </w:t>
      </w:r>
      <w:r>
        <w:t xml:space="preserve">[Mandatory — RBI] Each Party shall keep confidential all information of the other obtained under this Agreement (including RE Data, Borrower Personal Data, credit rules, pricing and technical information), use it only for this Agreement, and disclose it only to personnel, auditors, advisers and Sub-contractors who need it and are bound by equal obligations. Public or independently held information is excluded, but never Borrower Personal Data. The LSP shall ensure the confidentiality, security, preservation and protection of customer information in its custody (OUT para 23), and these terms are the non-disclosure agreement for information it retains (OUT para 74(xix)).</w:t>
      </w:r>
    </w:p>
    <w:p>
      <w:pPr>
        <w:pStyle w:val="BodyText"/>
      </w:pPr>
      <w:r>
        <w:rPr>
          <w:bCs/>
          <w:b/>
        </w:rPr>
        <w:t xml:space="preserve">24.2 Disclosures and other lenders.</w:t>
      </w:r>
      <w:r>
        <w:t xml:space="preserve"> </w:t>
      </w:r>
      <w:r>
        <w:t xml:space="preserve">A Party may disclose to RBI or another Governmental Authority, or as law or a court requires, with prior notice where lawful. The LSP shall not disclose the RE’s pricing, eligibility rules, approval rates, offers or performance data to any other lender, and shall keep information barriers for that purpose.</w:t>
      </w:r>
    </w:p>
    <w:p>
      <w:pPr>
        <w:pStyle w:val="BodyText"/>
      </w:pPr>
      <w:r>
        <w:rPr>
          <w:bCs/>
          <w:b/>
        </w:rPr>
        <w:t xml:space="preserve">24.3 Survival.</w:t>
      </w:r>
      <w:r>
        <w:t xml:space="preserve"> </w:t>
      </w:r>
      <w:r>
        <w:t xml:space="preserve">[Mandatory — RBI] Confidentiality of customer information survives expiry or termination without time limit (OUT para 34(xi)); other obligations survive for [five] years.</w:t>
      </w:r>
    </w:p>
    <w:bookmarkEnd w:id="44"/>
    <w:bookmarkStart w:id="45" w:name="Xf75ece651934e5a8029b9ffddf0f0e378f81d19"/>
    <w:p>
      <w:pPr>
        <w:pStyle w:val="Heading1"/>
      </w:pPr>
      <w:r>
        <w:t xml:space="preserve">25. REPRESENTATIONS, WARRANTIES AND UNDERTAKINGS</w:t>
      </w:r>
    </w:p>
    <w:p>
      <w:pPr>
        <w:pStyle w:val="FirstParagraph"/>
      </w:pPr>
      <w:r>
        <w:rPr>
          <w:bCs/>
          <w:b/>
        </w:rPr>
        <w:t xml:space="preserve">25.1 Mutual.</w:t>
      </w:r>
      <w:r>
        <w:t xml:space="preserve"> </w:t>
      </w:r>
      <w:r>
        <w:t xml:space="preserve">Each Party represents that it is duly incorporated in India, has authority to enter into and perform this Agreement (duly authorised by its board or committee), that this Agreement binds it, and that performance breaches no law, constitutional document or binding agreement.</w:t>
      </w:r>
    </w:p>
    <w:p>
      <w:pPr>
        <w:pStyle w:val="BodyText"/>
      </w:pPr>
      <w:r>
        <w:rPr>
          <w:bCs/>
          <w:b/>
        </w:rPr>
        <w:t xml:space="preserve">25.2 RE.</w:t>
      </w:r>
      <w:r>
        <w:t xml:space="preserve"> </w:t>
      </w:r>
      <w:r>
        <w:t xml:space="preserve">The RE represents and undertakes that it holds a valid Certificate of Registration and the layer stated above, has the policies in Clause 3.6(a), may offer each Product, and will promptly notify any cancellation, suspension or restriction of its registration, change of layer, or RBI direction affecting the Services.</w:t>
      </w:r>
    </w:p>
    <w:p>
      <w:pPr>
        <w:pStyle w:val="BodyText"/>
      </w:pPr>
      <w:r>
        <w:rPr>
          <w:bCs/>
          <w:b/>
        </w:rPr>
        <w:t xml:space="preserve">25.3 LSP.</w:t>
      </w:r>
      <w:r>
        <w:t xml:space="preserve"> </w:t>
      </w:r>
      <w:r>
        <w:t xml:space="preserve">The LSP represents and undertakes that: (a) it meets Clauses 4.2 and 4.3; (b) its due-diligence pack and Schedule 17 declarations are true and complete, and it will notify changes within [seven] days; (c) each DLA complies with Articles 5, 6 and 15; (d) it holds and uses no payment-aggregator role in any Loan money flow; (e) all customer-facing LSP Personnel are background-verified and trained in the RE’s Fair Practices Code; (f) no proceeding, investigation or complaint trend materially threatens its performance, save as disclosed; (g) it is financially sound enough to meet its commitments, including any DLG, under adverse conditions (OUT para 30(iv)); and (h) it will perform to Good Industry Practice and the standard the RE would apply itself (OUT para 18(v)).</w:t>
      </w:r>
    </w:p>
    <w:p>
      <w:pPr>
        <w:pStyle w:val="BodyText"/>
      </w:pPr>
      <w:r>
        <w:rPr>
          <w:bCs/>
          <w:b/>
        </w:rPr>
        <w:t xml:space="preserve">25.4 Repetition.</w:t>
      </w:r>
      <w:r>
        <w:t xml:space="preserve"> </w:t>
      </w:r>
      <w:r>
        <w:t xml:space="preserve">These representations are repeated on the Commencement Date and the first day of each month.</w:t>
      </w:r>
    </w:p>
    <w:bookmarkEnd w:id="45"/>
    <w:bookmarkStart w:id="46" w:name="fraud-risk-management-and-conduct"/>
    <w:p>
      <w:pPr>
        <w:pStyle w:val="Heading1"/>
      </w:pPr>
      <w:r>
        <w:t xml:space="preserve">26. FRAUD RISK MANAGEMENT AND CONDUCT</w:t>
      </w:r>
    </w:p>
    <w:p>
      <w:pPr>
        <w:pStyle w:val="FirstParagraph"/>
      </w:pPr>
      <w:r>
        <w:rPr>
          <w:bCs/>
          <w:b/>
        </w:rPr>
        <w:t xml:space="preserve">26.1 Controls and reporting.</w:t>
      </w:r>
      <w:r>
        <w:t xml:space="preserve"> </w:t>
      </w:r>
      <w:r>
        <w:t xml:space="preserve">The LSP shall maintain the fraud controls in Schedule 8 (identity and synthetic-identity fraud, account takeover, mule accounts, staff collusion, fake apps and payment links), report suspected or actual fraud to the RE immediately and within [24] hours, preserve evidence, and cooperate with the RE’s examination and its reporting to RBI and law-enforcement agencies (FRM paras 5, 40, 41).</w:t>
      </w:r>
    </w:p>
    <w:p>
      <w:pPr>
        <w:pStyle w:val="BodyText"/>
      </w:pPr>
      <w:r>
        <w:rPr>
          <w:bCs/>
          <w:b/>
        </w:rPr>
        <w:t xml:space="preserve">26.2 Accountability.</w:t>
      </w:r>
      <w:r>
        <w:t xml:space="preserve"> </w:t>
      </w:r>
      <w:r>
        <w:t xml:space="preserve">[Mandatory — RBI] The LSP is accountable to the RE where its, its personnel’s or a Sub-contractor’s wilful negligence or malpractice causes a fraud (FRM para 31), and acknowledges that the RE will follow the show-cause and reasoned-order process in FRM para 6 before classifying any person as fraudulent.</w:t>
      </w:r>
    </w:p>
    <w:p>
      <w:pPr>
        <w:pStyle w:val="BodyText"/>
      </w:pPr>
      <w:r>
        <w:rPr>
          <w:bCs/>
          <w:b/>
        </w:rPr>
        <w:t xml:space="preserve">26.3 Conduct.</w:t>
      </w:r>
      <w:r>
        <w:t xml:space="preserve"> </w:t>
      </w:r>
      <w:r>
        <w:t xml:space="preserve">LSP Personnel shall treat Borrowers fairly and without harassment or misrepresentation (RBC para 20), accept nothing from Borrowers, give nothing to RE officers in connection with this Agreement, and comply with the Prevention of Corruption Act, 1988. The LSP shall disclose and manage conflicts arising from multiple lenders, Fees and DLG, and shall not let them affect matching, ranking, display, servicing or contact. Mis-selling, dark patterns, pressure selling, false urgency, undisclosed tied products and repeat offers to Borrowers the RE has declined within its stated period are prohibited. The LSP shall maintain a whistle-blowing channel and report matters concerning the RE.</w:t>
      </w:r>
    </w:p>
    <w:bookmarkEnd w:id="46"/>
    <w:bookmarkStart w:id="47" w:name="indemnities"/>
    <w:p>
      <w:pPr>
        <w:pStyle w:val="Heading1"/>
      </w:pPr>
      <w:r>
        <w:t xml:space="preserve">27. INDEMNITIES</w:t>
      </w:r>
    </w:p>
    <w:p>
      <w:pPr>
        <w:pStyle w:val="FirstParagraph"/>
      </w:pPr>
      <w:r>
        <w:rPr>
          <w:bCs/>
          <w:b/>
        </w:rPr>
        <w:t xml:space="preserve">27.1 By the LSP.</w:t>
      </w:r>
      <w:r>
        <w:t xml:space="preserve"> </w:t>
      </w:r>
      <w:r>
        <w:t xml:space="preserve">The LSP shall indemnify the RE and its directors, officers and employees against all losses, liabilities, penalties, compensation, costs and reasonable legal fees arising from: (a) breach of any [Mandatory — RBI] or [Mandatory — Law] term, or of Article 9, 11, 12, 15, 16, 17 or 24; (b) any Personal Data Breach or Cyber Incident attributable to the LSP, LSP Personnel or a Sub-contractor; (c) any act or omission of any of them towards a Borrower in breach of this Agreement or Applicable Law, including compensation the RE pays under the RB-IOS or its policies; (d) any regulatory penalty on the RE attributable to the LSP; (e) any third-party IP claim relating to the Udofin Platform; and (f) fraud, wilful misconduct or gross negligence of any of them. No indemnity or other remedy under this Agreement compensates the RE for loss arising only from a Borrower’s default or the repayment performance of a Loan or portfolio; any such compensation is DLG and is permitted only under Article 13 (CF paras 4(1)(viii), 24(1)). This does not limit the LSP’s accountability where its, its personnel’s or a Sub-contractor’s wilful negligence or malpractice causes a fraud (FRM para 31).</w:t>
      </w:r>
    </w:p>
    <w:p>
      <w:pPr>
        <w:pStyle w:val="BodyText"/>
      </w:pPr>
      <w:r>
        <w:rPr>
          <w:bCs/>
          <w:b/>
        </w:rPr>
        <w:t xml:space="preserve">27.2 By the RE.</w:t>
      </w:r>
      <w:r>
        <w:t xml:space="preserve"> </w:t>
      </w:r>
      <w:r>
        <w:t xml:space="preserve">The RE shall indemnify the LSP against third-party claims arising from (a) the RE’s credit decisions, KYC Decisions, KFS, Loan Documents or pricing displayed unaltered by the LSP, (b) the LSP’s compliance with an RE instruction that the LSP flagged in writing beforehand as unlawful, or (c) the RE’s fraud, wilful misconduct or gross negligence.</w:t>
      </w:r>
    </w:p>
    <w:p>
      <w:pPr>
        <w:pStyle w:val="BodyText"/>
      </w:pPr>
      <w:r>
        <w:rPr>
          <w:bCs/>
          <w:b/>
        </w:rPr>
        <w:t xml:space="preserve">27.3 Procedure.</w:t>
      </w:r>
      <w:r>
        <w:t xml:space="preserve"> </w:t>
      </w:r>
      <w:r>
        <w:t xml:space="preserve">The claimant notifies promptly, does not settle without consent (not unreasonably withheld), and lets the indemnifier defend at its cost; but the RE always retains conduct of matters involving Borrowers, complaints or Governmental Authorities and may settle where fair treatment or a Regulatory Requirement requires.</w:t>
      </w:r>
    </w:p>
    <w:p>
      <w:pPr>
        <w:pStyle w:val="BodyText"/>
      </w:pPr>
      <w:r>
        <w:rPr>
          <w:bCs/>
          <w:b/>
        </w:rPr>
        <w:t xml:space="preserve">27.4 Regulatory responsibility.</w:t>
      </w:r>
      <w:r>
        <w:t xml:space="preserve"> </w:t>
      </w:r>
      <w:r>
        <w:t xml:space="preserve">[Mandatory — RBI] Indemnities are recourse between the Parties only; the RE discharges its duties to Borrowers and RBI first, without waiting for recovery (CF para 6(7); OUT para 28).</w:t>
      </w:r>
    </w:p>
    <w:bookmarkEnd w:id="47"/>
    <w:bookmarkStart w:id="48" w:name="limitation-of-liability"/>
    <w:p>
      <w:pPr>
        <w:pStyle w:val="Heading1"/>
      </w:pPr>
      <w:r>
        <w:t xml:space="preserve">28. LIMITATION OF LIABILITY</w:t>
      </w:r>
    </w:p>
    <w:p>
      <w:pPr>
        <w:pStyle w:val="FirstParagraph"/>
      </w:pPr>
      <w:r>
        <w:rPr>
          <w:bCs/>
          <w:b/>
        </w:rPr>
        <w:t xml:space="preserve">28.1 Cap.</w:t>
      </w:r>
      <w:r>
        <w:t xml:space="preserve"> </w:t>
      </w:r>
      <w:r>
        <w:t xml:space="preserve">Each Party’s aggregate liability in a contract year is capped at [the greater of [●] times the Fees paid or payable in the preceding twelve months and ₹[●]].</w:t>
      </w:r>
    </w:p>
    <w:p>
      <w:pPr>
        <w:pStyle w:val="BodyText"/>
      </w:pPr>
      <w:r>
        <w:rPr>
          <w:bCs/>
          <w:b/>
        </w:rPr>
        <w:t xml:space="preserve">28.2 Exclusions.</w:t>
      </w:r>
      <w:r>
        <w:t xml:space="preserve"> </w:t>
      </w:r>
      <w:r>
        <w:t xml:space="preserve">The cap does not apply to: breach of Article 9 or Clause 12.8; breach of Article 15 or 24 or a Personal Data Breach attributable to the LSP [Option: subject instead to a separate cap of ₹[●] a year]; breach of Article 12 or Clauses 11.3–11.5; DLG amounts; items in Clauses 27.1(c)–(e); fraud, wilful misconduct or gross negligence; or liability that law does not allow to be limited.</w:t>
      </w:r>
    </w:p>
    <w:p>
      <w:pPr>
        <w:pStyle w:val="BodyText"/>
      </w:pPr>
      <w:r>
        <w:rPr>
          <w:bCs/>
          <w:b/>
        </w:rPr>
        <w:t xml:space="preserve">28.3 Indirect loss.</w:t>
      </w:r>
      <w:r>
        <w:t xml:space="preserve"> </w:t>
      </w:r>
      <w:r>
        <w:t xml:space="preserve">Neither Party is liable for indirect or consequential loss or loss of profit, but regulatory fines and penalties, Borrower compensation, notification costs and forensic and remediation costs are direct losses. DLG liability is governed by the DLG Agreement within the CF para 24(1) cap.</w:t>
      </w:r>
    </w:p>
    <w:bookmarkEnd w:id="48"/>
    <w:bookmarkStart w:id="49" w:name="insurance"/>
    <w:p>
      <w:pPr>
        <w:pStyle w:val="Heading1"/>
      </w:pPr>
      <w:r>
        <w:t xml:space="preserve">29. INSURANCE</w:t>
      </w:r>
    </w:p>
    <w:p>
      <w:pPr>
        <w:pStyle w:val="FirstParagraph"/>
      </w:pPr>
      <w:r>
        <w:rPr>
          <w:bCs/>
          <w:b/>
        </w:rPr>
        <w:t xml:space="preserve">29.1 Cover.</w:t>
      </w:r>
      <w:r>
        <w:t xml:space="preserve"> </w:t>
      </w:r>
      <w:r>
        <w:t xml:space="preserve">For the Term and [two] years after, the LSP shall insure with IRDAI-registered insurers, at not less than ₹[●] per claim and in the aggregate for each of the following covers (or such higher limit as the RE reasonably requires): cyber liability (including breach response and, where insurable, regulatory defence costs); professional indemnity; crime and fidelity (including cash-in-transit where Clause 12.8 applies); general liability; and employees’ compensation. It shall provide certificates at the Commencement Date and each renewal and give [30] days’ notice of cancellation or material reduction. Insurance does not limit liability.</w:t>
      </w:r>
    </w:p>
    <w:bookmarkEnd w:id="49"/>
    <w:bookmarkStart w:id="50" w:name="term-suspension-and-termination"/>
    <w:p>
      <w:pPr>
        <w:pStyle w:val="Heading1"/>
      </w:pPr>
      <w:r>
        <w:t xml:space="preserve">30. TERM, SUSPENSION AND TERMINATION</w:t>
      </w:r>
    </w:p>
    <w:p>
      <w:pPr>
        <w:pStyle w:val="FirstParagraph"/>
      </w:pPr>
      <w:r>
        <w:rPr>
          <w:bCs/>
          <w:b/>
        </w:rPr>
        <w:t xml:space="preserve">30.1 Term.</w:t>
      </w:r>
      <w:r>
        <w:t xml:space="preserve"> </w:t>
      </w:r>
      <w:r>
        <w:t xml:space="preserve">This Agreement takes effect on the Execution Date and, subject to Clause 2.5, runs for [three] years from the Commencement Date, renewing for [one]-year periods unless either Party gives [90] days’ notice of non-renewal (the</w:t>
      </w:r>
      <w:r>
        <w:t xml:space="preserve"> </w:t>
      </w:r>
      <w:r>
        <w:t xml:space="preserve">“</w:t>
      </w:r>
      <w:r>
        <w:rPr>
          <w:bCs/>
          <w:b/>
        </w:rPr>
        <w:t xml:space="preserve">Term</w:t>
      </w:r>
      <w:r>
        <w:t xml:space="preserve">”</w:t>
      </w:r>
      <w:r>
        <w:t xml:space="preserve">). Each renewal is subject to due diligence under Clause 4.1.</w:t>
      </w:r>
    </w:p>
    <w:p>
      <w:pPr>
        <w:pStyle w:val="BodyText"/>
      </w:pPr>
      <w:r>
        <w:rPr>
          <w:bCs/>
          <w:b/>
        </w:rPr>
        <w:t xml:space="preserve">30.2 Suspension.</w:t>
      </w:r>
      <w:r>
        <w:t xml:space="preserve"> </w:t>
      </w:r>
      <w:r>
        <w:t xml:space="preserve">[Mandatory — RBI] To retain ultimate control (OUT paras 17, 43), the RE may by notice, with immediate effect and without liability, suspend any Product, DLA, channel, campaign, LSP Function, the Recovery Agent Services, or any LSP Personnel or Sub-contractor, where it reasonably believes a Regulatory Requirement or law is or may be breached, on a Material Adverse Event, on a regulator’s direction or observation, or to protect Borrowers. The Udofin Platform shall apply a suspension within [one hour] of the RE’s instruction. Fees do not accrue for suspended Services unless the RE caused the suspension.</w:t>
      </w:r>
    </w:p>
    <w:p>
      <w:pPr>
        <w:pStyle w:val="BodyText"/>
      </w:pPr>
      <w:r>
        <w:rPr>
          <w:bCs/>
          <w:b/>
        </w:rPr>
        <w:t xml:space="preserve">30.3 Termination by the RE.</w:t>
      </w:r>
      <w:r>
        <w:t xml:space="preserve"> </w:t>
      </w:r>
      <w:r>
        <w:t xml:space="preserve">The RE may terminate this Agreement, or any Product or module, with immediate effect by notice if: (a) the LSP breaches a [Mandatory — RBI] or [Mandatory — Law] term and, if remediable, fails to remedy it within [15] days of notice, or breaches Article 9, Clause 11.5 or Clause 12.8; (b) the LSP commits any other material breach not remedied within [30] days of notice; (c) the LSP ceases to meet Clause 4.2 or 4.3, or a Schedule 17 declaration was materially untrue; (d) a Personal Data Breach or Cyber Incident of the severity defined in Schedule 12 is attributable to the LSP; (e) the LSP becomes insolvent, an insolvency or winding-up application against it is admitted, or a receiver, resolution professional or liquidator is appointed; (f) a change in control of the LSP occurs without the notice required by Clause 4.8, or the RE, after fresh due diligence under Clause 4.8, does not accept it; (g) a DLA is removed or blocked for reasons attributable to the LSP and not restored within [15] days; (h) the LSP or a director is classified as fraud, declared a wilful defaulter, or charged with an offence of fraud, dishonesty or moral turpitude; or (i) the LSP’s conduct would, in the RE’s reasonable opinion, cause it serious reputational harm.</w:t>
      </w:r>
    </w:p>
    <w:p>
      <w:pPr>
        <w:pStyle w:val="BodyText"/>
      </w:pPr>
      <w:r>
        <w:rPr>
          <w:bCs/>
          <w:b/>
        </w:rPr>
        <w:t xml:space="preserve">30.4 Regulatory direction.</w:t>
      </w:r>
      <w:r>
        <w:t xml:space="preserve"> </w:t>
      </w:r>
      <w:r>
        <w:t xml:space="preserve">[Mandatory — RBI] This Agreement, or the affected part, terminates or is suspended forthwith, without liability, if RBI or another Governmental Authority so directs or continuation becomes unlawful, and the LSP shall follow the RE’s implementing instructions (OUT para 74(xiv)).</w:t>
      </w:r>
    </w:p>
    <w:p>
      <w:pPr>
        <w:pStyle w:val="BodyText"/>
      </w:pPr>
      <w:r>
        <w:rPr>
          <w:bCs/>
          <w:b/>
        </w:rPr>
        <w:t xml:space="preserve">30.5 Convenience.</w:t>
      </w:r>
      <w:r>
        <w:t xml:space="preserve"> </w:t>
      </w:r>
      <w:r>
        <w:t xml:space="preserve">[Option] Either Party may terminate on [180] days’ notice; termination by the LSP takes effect only on the later of expiry of that notice and completion of the Schedule 14 transition, and Article 31 applies. The minimum period for executing termination is [90] days (OUT para 34(x)).</w:t>
      </w:r>
    </w:p>
    <w:p>
      <w:pPr>
        <w:pStyle w:val="BodyText"/>
      </w:pPr>
      <w:r>
        <w:rPr>
          <w:bCs/>
          <w:b/>
        </w:rPr>
        <w:t xml:space="preserve">30.6 By the LSP.</w:t>
      </w:r>
      <w:r>
        <w:t xml:space="preserve"> </w:t>
      </w:r>
      <w:r>
        <w:t xml:space="preserve">The LSP may terminate by notice if the RE fails to pay undisputed sums within [60] days of a payment notice, the RE’s registration is cancelled, or the RE requires an act that would breach a Regulatory Requirement and does not withdraw it within [15] days of the LSP’s written objection; Article 31 applies in every case.</w:t>
      </w:r>
    </w:p>
    <w:p>
      <w:pPr>
        <w:pStyle w:val="BodyText"/>
      </w:pPr>
      <w:r>
        <w:rPr>
          <w:bCs/>
          <w:b/>
        </w:rPr>
        <w:t xml:space="preserve">30.7 Effect and publicity.</w:t>
      </w:r>
      <w:r>
        <w:t xml:space="preserve"> </w:t>
      </w:r>
      <w:r>
        <w:t xml:space="preserve">Termination preserves accrued rights, servicing of existing Loans under Article 31, DLG run-off (Clause 13.12) and surviving provisions (Clause 36.6). [Mandatory — RBI] The RE shall publicise termination, including on its website and by informing affected Borrowers, so that they stop dealing with the LSP for the RE’s Products (OUT paras 44, 89); the LSP shall display the RE-approved notice on the DLAs.</w:t>
      </w:r>
    </w:p>
    <w:bookmarkEnd w:id="50"/>
    <w:bookmarkStart w:id="51" w:name="Xf9e70719c78d123e0c31cddfe3f701ac175ac32"/>
    <w:p>
      <w:pPr>
        <w:pStyle w:val="Heading1"/>
      </w:pPr>
      <w:r>
        <w:t xml:space="preserve">31. EXIT MANAGEMENT AND CONTINUITY OF BORROWER SERVICES</w:t>
      </w:r>
    </w:p>
    <w:p>
      <w:pPr>
        <w:pStyle w:val="FirstParagraph"/>
      </w:pPr>
      <w:r>
        <w:rPr>
          <w:bCs/>
          <w:b/>
        </w:rPr>
        <w:t xml:space="preserve">31.1 Exit plan and period.</w:t>
      </w:r>
      <w:r>
        <w:t xml:space="preserve"> </w:t>
      </w:r>
      <w:r>
        <w:t xml:space="preserve">The LSP maintains, and updates annually, the exit plan in Schedule 14 covering exit scenarios, minimum execution periods and transfer to the RE or a successor (OUT paras 74(xv), 84–86). From any termination or non-renewal notice, an</w:t>
      </w:r>
      <w:r>
        <w:t xml:space="preserve"> </w:t>
      </w:r>
      <w:r>
        <w:t xml:space="preserve">“</w:t>
      </w:r>
      <w:r>
        <w:rPr>
          <w:bCs/>
          <w:b/>
        </w:rPr>
        <w:t xml:space="preserve">Exit Period</w:t>
      </w:r>
      <w:r>
        <w:t xml:space="preserve">”</w:t>
      </w:r>
      <w:r>
        <w:t xml:space="preserve"> </w:t>
      </w:r>
      <w:r>
        <w:t xml:space="preserve">runs until the later of [six] months after termination and completion of the Schedule 14 transition, unless the RE directs earlier cessation.</w:t>
      </w:r>
    </w:p>
    <w:p>
      <w:pPr>
        <w:pStyle w:val="BodyText"/>
      </w:pPr>
      <w:r>
        <w:rPr>
          <w:bCs/>
          <w:b/>
        </w:rPr>
        <w:t xml:space="preserve">31.2 New business.</w:t>
      </w:r>
      <w:r>
        <w:t xml:space="preserve"> </w:t>
      </w:r>
      <w:r>
        <w:t xml:space="preserve">From the date the RE sets, the LSP stops sourcing for and displaying offers of the RE and removes it from each DLA’s offer journey; pending applications are completed or withdrawn as the RE directs.</w:t>
      </w:r>
    </w:p>
    <w:p>
      <w:pPr>
        <w:pStyle w:val="BodyText"/>
      </w:pPr>
      <w:r>
        <w:rPr>
          <w:bCs/>
          <w:b/>
        </w:rPr>
        <w:t xml:space="preserve">31.3 Existing Borrowers.</w:t>
      </w:r>
      <w:r>
        <w:t xml:space="preserve"> </w:t>
      </w:r>
      <w:r>
        <w:t xml:space="preserve">[Mandatory — RBI] Until servicing of each existing Loan has moved to the RE or a successor, the LSP continues servicing support on the terms of this Agreement (KFS and document access, payment instructions on the RE’s account, cooling-off exits, complaint lodging and routing) so that Borrowers suffer no disruption (OUT para 43), paid at Schedule 1 rates.</w:t>
      </w:r>
    </w:p>
    <w:p>
      <w:pPr>
        <w:pStyle w:val="BodyText"/>
      </w:pPr>
      <w:r>
        <w:rPr>
          <w:bCs/>
          <w:b/>
        </w:rPr>
        <w:t xml:space="preserve">31.4 DLAs and CIMS.</w:t>
      </w:r>
      <w:r>
        <w:t xml:space="preserve"> </w:t>
      </w:r>
      <w:r>
        <w:t xml:space="preserve">[Mandatory — RBI] The LSP notifies the date each DLA stops offering the RE’s Products; within [five] Working Days of that date the RE updates CIMS to show the engagement has ceased (CF para 18(2)) and updates its website (CF para 9(4)). The LSP removes the RE as partner lender from store listings and its website, keeping servicing disclosures for existing Borrowers.</w:t>
      </w:r>
    </w:p>
    <w:p>
      <w:pPr>
        <w:pStyle w:val="BodyText"/>
      </w:pPr>
      <w:r>
        <w:rPr>
          <w:bCs/>
          <w:b/>
        </w:rPr>
        <w:t xml:space="preserve">31.5 Data handover and deletion.</w:t>
      </w:r>
      <w:r>
        <w:t xml:space="preserve"> </w:t>
      </w:r>
      <w:r>
        <w:t xml:space="preserve">[Mandatory — RBI] Within the Schedule 14 timelines, the LSP delivers a complete export of RE Data (applications, consents and Audit Trails, KYC evidence references, documents, communications, recordings, complaints, offer records, reconciliations, audit logs) in the documented formats with an integrity manifest; cooperates fully with the RE and any new provider (OUT para 88); does not erase, purge, revoke, alter or change data during transition unless the RE or a regulator so advises (OUT para 87); and preserves documents and data as the RE’s legal obligations require (OUT para 34(xii)). On the RE’s confirmation of a complete export, the LSP deletes and certifies under Clause 15.12 (OUT paras 42, 87).</w:t>
      </w:r>
    </w:p>
    <w:p>
      <w:pPr>
        <w:pStyle w:val="BodyText"/>
      </w:pPr>
      <w:r>
        <w:rPr>
          <w:bCs/>
          <w:b/>
        </w:rPr>
        <w:t xml:space="preserve">31.6 Recovery, complaints, DLG.</w:t>
      </w:r>
      <w:r>
        <w:t xml:space="preserve"> </w:t>
      </w:r>
      <w:r>
        <w:t xml:space="preserve">Open recovery allocations return to the RE on the date it sets, all LSP contact ceases, and the RE notifies Borrowers of the change (RBC para 95; from 1 January 2027, paras 100M–100N). Open complaints transfer to the RE with full records and the LSP keeps cooperating, including before the Ombudsman. DLG continues in run-off under Clause 13.12, and surplus cover is released only as the DLG Agreement provides.</w:t>
      </w:r>
    </w:p>
    <w:bookmarkEnd w:id="51"/>
    <w:bookmarkStart w:id="52" w:name="governance-and-reporting"/>
    <w:p>
      <w:pPr>
        <w:pStyle w:val="Heading1"/>
      </w:pPr>
      <w:r>
        <w:t xml:space="preserve">32. GOVERNANCE AND REPORTING</w:t>
      </w:r>
    </w:p>
    <w:p>
      <w:pPr>
        <w:pStyle w:val="FirstParagraph"/>
      </w:pPr>
      <w:r>
        <w:rPr>
          <w:bCs/>
          <w:b/>
        </w:rPr>
        <w:t xml:space="preserve">32.1 Governance.</w:t>
      </w:r>
      <w:r>
        <w:t xml:space="preserve"> </w:t>
      </w:r>
      <w:r>
        <w:t xml:space="preserve">Each Party names a relationship manager and compliance contact (Schedule 19); the LSP also names a security contact and its Nodal GRO. Relationship managers meet at least [monthly] on service levels, complaints, incidents and changes; a steering committee meets at least [quarterly] on performance, conduct, risks, regulatory change, audit findings and Clause 4.4 matters. Unresolved matters escalate to the steering committee after [ten] Working Days and then under Clause 33.1.</w:t>
      </w:r>
    </w:p>
    <w:p>
      <w:pPr>
        <w:pStyle w:val="BodyText"/>
      </w:pPr>
      <w:r>
        <w:rPr>
          <w:bCs/>
          <w:b/>
        </w:rPr>
        <w:t xml:space="preserve">32.2 Reports.</w:t>
      </w:r>
      <w:r>
        <w:t xml:space="preserve"> </w:t>
      </w:r>
      <w:r>
        <w:t xml:space="preserve">The LSP delivers the Schedule 19 reports, including a monthly conduct report (complaints, service levels, data incidents, device-permission audit, offer-neutrality audit) supporting the RE’s review under CF para 6(3), portfolio monitoring under CF para 6(4) and half-yearly Board or Risk Management Committee review (OUT para 36).</w:t>
      </w:r>
    </w:p>
    <w:p>
      <w:pPr>
        <w:pStyle w:val="BodyText"/>
      </w:pPr>
      <w:r>
        <w:rPr>
          <w:bCs/>
          <w:b/>
        </w:rPr>
        <w:t xml:space="preserve">32.3 Service levels and change.</w:t>
      </w:r>
      <w:r>
        <w:t xml:space="preserve"> </w:t>
      </w:r>
      <w:r>
        <w:t xml:space="preserve">The LSP meets the Schedule 18 service levels. Service credits are a price adjustment only and never an exclusive remedy for breach of a [Mandatory] term. Changes to Products, DLAs, the Matching Mechanism, interfaces, Sub-contractors and Schedules follow the Schedule 16 change procedure, with the RE’s compliance sign-off where a Regulatory Requirement is affected.</w:t>
      </w:r>
    </w:p>
    <w:bookmarkEnd w:id="52"/>
    <w:bookmarkStart w:id="53" w:name="dispute-resolution"/>
    <w:p>
      <w:pPr>
        <w:pStyle w:val="Heading1"/>
      </w:pPr>
      <w:r>
        <w:t xml:space="preserve">33. DISPUTE RESOLUTION</w:t>
      </w:r>
    </w:p>
    <w:p>
      <w:pPr>
        <w:pStyle w:val="FirstParagraph"/>
      </w:pPr>
      <w:r>
        <w:rPr>
          <w:bCs/>
          <w:b/>
        </w:rPr>
        <w:t xml:space="preserve">33.1 Escalation.</w:t>
      </w:r>
      <w:r>
        <w:t xml:space="preserve"> </w:t>
      </w:r>
      <w:r>
        <w:t xml:space="preserve">A dispute arising out of or in connection with this Agreement (a</w:t>
      </w:r>
      <w:r>
        <w:t xml:space="preserve"> </w:t>
      </w:r>
      <w:r>
        <w:t xml:space="preserve">“</w:t>
      </w:r>
      <w:r>
        <w:rPr>
          <w:bCs/>
          <w:b/>
        </w:rPr>
        <w:t xml:space="preserve">Dispute</w:t>
      </w:r>
      <w:r>
        <w:t xml:space="preserve">”</w:t>
      </w:r>
      <w:r>
        <w:t xml:space="preserve">) goes first, by written notice, to the steering committee and, if unresolved in [15] days, to the Parties’ chief executive officers for a further [15] days.</w:t>
      </w:r>
    </w:p>
    <w:p>
      <w:pPr>
        <w:pStyle w:val="BodyText"/>
      </w:pPr>
      <w:r>
        <w:rPr>
          <w:bCs/>
          <w:b/>
        </w:rPr>
        <w:t xml:space="preserve">33.2 Mediation.</w:t>
      </w:r>
      <w:r>
        <w:t xml:space="preserve"> </w:t>
      </w:r>
      <w:r>
        <w:t xml:space="preserve">[Option] Either Party may then refer the Dispute to mediation administered by [the institution in Clause 33.3 / ●]; if unsettled within [30] days of the mediator’s appointment, or if a Party declines, either Party may arbitrate.</w:t>
      </w:r>
    </w:p>
    <w:p>
      <w:pPr>
        <w:pStyle w:val="BodyText"/>
      </w:pPr>
      <w:r>
        <w:rPr>
          <w:bCs/>
          <w:b/>
        </w:rPr>
        <w:t xml:space="preserve">33.3 Arbitration.</w:t>
      </w:r>
      <w:r>
        <w:t xml:space="preserve"> </w:t>
      </w:r>
      <w:r>
        <w:t xml:space="preserve">An unresolved Dispute shall be finally resolved by arbitration under the Arbitration and Conciliation Act, 1996, administered by [the Mumbai Centre for International Arbitration / the Delhi International Arbitration Centre / the India International Arbitration Centre / ●] under its rules, by [a sole arbitrator / three arbitrators] appointed under those rules. Neither Party may unilaterally appoint a sole arbitrator or confine the other to a panel it curates (</w:t>
      </w:r>
      <w:r>
        <w:rPr>
          <w:iCs/>
          <w:i/>
        </w:rPr>
        <w:t xml:space="preserve">Perkins Eastman v HSCC</w:t>
      </w:r>
      <w:r>
        <w:t xml:space="preserve"> </w:t>
      </w:r>
      <w:r>
        <w:t xml:space="preserve">(2020) 20 SCC 760;</w:t>
      </w:r>
      <w:r>
        <w:t xml:space="preserve"> </w:t>
      </w:r>
      <w:r>
        <w:rPr>
          <w:iCs/>
          <w:i/>
        </w:rPr>
        <w:t xml:space="preserve">CORE v ECI-SPIC-SMO-MCML (JV)</w:t>
      </w:r>
      <w:r>
        <w:t xml:space="preserve">, SC, 8 November 2024). Seat and venue: [New Delhi]; language: English; the award is final and binding.</w:t>
      </w:r>
    </w:p>
    <w:p>
      <w:pPr>
        <w:pStyle w:val="BodyText"/>
      </w:pPr>
      <w:r>
        <w:rPr>
          <w:bCs/>
          <w:b/>
        </w:rPr>
        <w:t xml:space="preserve">33.4 Independent forum.</w:t>
      </w:r>
      <w:r>
        <w:t xml:space="preserve"> </w:t>
      </w:r>
      <w:r>
        <w:t xml:space="preserve">Equator or any other forum operated by the Infrabyx Group, and any person who is or has been an employee, consultant, adviser or director of, or has any other past or present business relationship with, the Infrabyx Group or the RE, shall not administer or decide any Dispute (Arbitration and Conciliation Act, 1996, s.12(5) and Seventh Schedule).</w:t>
      </w:r>
    </w:p>
    <w:p>
      <w:pPr>
        <w:pStyle w:val="BodyText"/>
      </w:pPr>
      <w:r>
        <w:rPr>
          <w:bCs/>
          <w:b/>
        </w:rPr>
        <w:t xml:space="preserve">33.5 Interim relief and continuity.</w:t>
      </w:r>
      <w:r>
        <w:t xml:space="preserve"> </w:t>
      </w:r>
      <w:r>
        <w:t xml:space="preserve">Either Party may seek interim relief under section 9 or 17 of that Act. [Mandatory — RBI] Pending any Dispute, the LSP shall not suspend or degrade Borrower services, its obligations under Articles 9, 14, 15, 17, 19 or 31, or any data, access or cooperation the RE needs to meet a Regulatory Requirement, and shall claim no lien over RE Data. No Dispute delays compliance with a regulator’s direction, and no tribunal may require a breach of a Regulatory Requirement. Borrower disputes are governed by the Loan Documents and Clause 14.8.</w:t>
      </w:r>
    </w:p>
    <w:bookmarkEnd w:id="53"/>
    <w:bookmarkStart w:id="54" w:name="governing-law-and-jurisdiction"/>
    <w:p>
      <w:pPr>
        <w:pStyle w:val="Heading1"/>
      </w:pPr>
      <w:r>
        <w:t xml:space="preserve">34. GOVERNING LAW AND JURISDICTION</w:t>
      </w:r>
    </w:p>
    <w:p>
      <w:pPr>
        <w:pStyle w:val="FirstParagraph"/>
      </w:pPr>
      <w:r>
        <w:rPr>
          <w:bCs/>
          <w:b/>
        </w:rPr>
        <w:t xml:space="preserve">34.1</w:t>
      </w:r>
      <w:r>
        <w:t xml:space="preserve"> </w:t>
      </w:r>
      <w:r>
        <w:t xml:space="preserve">This Agreement and any non-contractual obligation connected with it are governed by the laws of India. Subject to Article 33, the courts at [New Delhi] have exclusive jurisdiction, including over applications under the Arbitration and Conciliation Act, 1996.</w:t>
      </w:r>
    </w:p>
    <w:bookmarkEnd w:id="54"/>
    <w:bookmarkStart w:id="55" w:name="notices"/>
    <w:p>
      <w:pPr>
        <w:pStyle w:val="Heading1"/>
      </w:pPr>
      <w:r>
        <w:t xml:space="preserve">35. NOTICES</w:t>
      </w:r>
    </w:p>
    <w:p>
      <w:pPr>
        <w:pStyle w:val="FirstParagraph"/>
      </w:pPr>
      <w:r>
        <w:rPr>
          <w:bCs/>
          <w:b/>
        </w:rPr>
        <w:t xml:space="preserve">35.1 Notices.</w:t>
      </w:r>
      <w:r>
        <w:t xml:space="preserve"> </w:t>
      </w:r>
      <w:r>
        <w:t xml:space="preserve">Notices shall be in writing in English, delivered by hand, registered or speed post with acknowledgement, courier, or email, to the addresses below or as later notified, with an email copy of any physical notice. Notices are received: by hand, on delivery; by post or courier, on recorded delivery or the fifth day after dispatch, whichever is earlier; by email, on transmission absent a non-delivery message, but after 6:00 p.m. or on a non-Working Day, at 10:00 a.m. on the next Working Day.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82"/>
        <w:gridCol w:w="3577"/>
        <w:gridCol w:w="3579"/>
      </w:tblGrid>
      <w:tr>
        <w:trPr>
          <w:tblHeader w:val="true"/>
          <w:tblHeader w:val="true"/>
        </w:trPr>
        <w:tc>
          <w:tcPr>
            <w:tcW w:w="2482" w:type="dxa"/>
            <w:shd w:val="clear" w:color="auto" w:fill="1F3A5F"/>
          </w:tcPr>
          <w:p>
            <w:pPr>
              <w:pStyle w:val="Compact"/>
              <w:spacing w:after="40"/>
              <w:jc w:val="left"/>
            </w:pPr>
            <w:r>
              <w:rPr>
                <w:b/>
                <w:color w:val="FFFFFF"/>
                <w:sz w:val="18"/>
              </w:rPr>
              <w:t xml:space="preserve">Particular</w:t>
            </w:r>
          </w:p>
        </w:tc>
        <w:tc>
          <w:tcPr>
            <w:tcW w:w="3577" w:type="dxa"/>
            <w:shd w:val="clear" w:color="auto" w:fill="1F3A5F"/>
          </w:tcPr>
          <w:p>
            <w:pPr>
              <w:pStyle w:val="Compact"/>
              <w:spacing w:after="40"/>
              <w:jc w:val="left"/>
            </w:pPr>
            <w:r>
              <w:rPr>
                <w:b/>
                <w:color w:val="FFFFFF"/>
                <w:sz w:val="18"/>
              </w:rPr>
              <w:t xml:space="preserve">RE</w:t>
            </w:r>
          </w:p>
        </w:tc>
        <w:tc>
          <w:tcPr>
            <w:tcW w:w="3579" w:type="dxa"/>
            <w:shd w:val="clear" w:color="auto" w:fill="1F3A5F"/>
          </w:tcPr>
          <w:p>
            <w:pPr>
              <w:pStyle w:val="Compact"/>
              <w:spacing w:after="40"/>
              <w:jc w:val="left"/>
            </w:pPr>
            <w:r>
              <w:rPr>
                <w:b/>
                <w:color w:val="FFFFFF"/>
                <w:sz w:val="18"/>
              </w:rPr>
              <w:t xml:space="preserve">LSP</w:t>
            </w:r>
          </w:p>
        </w:tc>
      </w:tr>
      <w:tr>
        <w:tc>
          <w:tcPr>
            <w:tcW w:w="2482" w:type="dxa"/>
          </w:tcPr>
          <w:p>
            <w:pPr>
              <w:pStyle w:val="Compact"/>
              <w:spacing w:after="40"/>
              <w:jc w:val="left"/>
            </w:pPr>
            <w:r>
              <w:rPr>
                <w:sz w:val="18"/>
              </w:rPr>
              <w:t xml:space="preserve">Address</w:t>
            </w:r>
          </w:p>
        </w:tc>
        <w:tc>
          <w:tcPr>
            <w:tcW w:w="3577" w:type="dxa"/>
          </w:tcPr>
          <w:p>
            <w:pPr>
              <w:pStyle w:val="Compact"/>
              <w:spacing w:after="40"/>
              <w:jc w:val="left"/>
            </w:pPr>
            <w:r>
              <w:rPr>
                <w:sz w:val="18"/>
              </w:rPr>
              <w:t xml:space="preserve">[●]</w:t>
            </w:r>
          </w:p>
        </w:tc>
        <w:tc>
          <w:tcPr>
            <w:tcW w:w="3579" w:type="dxa"/>
          </w:tcPr>
          <w:p>
            <w:pPr>
              <w:pStyle w:val="Compact"/>
              <w:spacing w:after="40"/>
              <w:jc w:val="left"/>
            </w:pPr>
            <w:r>
              <w:rPr>
                <w:sz w:val="18"/>
              </w:rPr>
              <w:t xml:space="preserve">[●]</w:t>
            </w:r>
          </w:p>
        </w:tc>
      </w:tr>
      <w:tr>
        <w:tc>
          <w:tcPr>
            <w:tcW w:w="2482" w:type="dxa"/>
          </w:tcPr>
          <w:p>
            <w:pPr>
              <w:pStyle w:val="Compact"/>
              <w:spacing w:after="40"/>
              <w:jc w:val="left"/>
            </w:pPr>
            <w:r>
              <w:rPr>
                <w:sz w:val="18"/>
              </w:rPr>
              <w:t xml:space="preserve">Email</w:t>
            </w:r>
          </w:p>
        </w:tc>
        <w:tc>
          <w:tcPr>
            <w:tcW w:w="3577" w:type="dxa"/>
          </w:tcPr>
          <w:p>
            <w:pPr>
              <w:pStyle w:val="Compact"/>
              <w:spacing w:after="40"/>
              <w:jc w:val="left"/>
            </w:pPr>
            <w:r>
              <w:rPr>
                <w:sz w:val="18"/>
              </w:rPr>
              <w:t xml:space="preserve">[●]</w:t>
            </w:r>
          </w:p>
        </w:tc>
        <w:tc>
          <w:tcPr>
            <w:tcW w:w="3579" w:type="dxa"/>
          </w:tcPr>
          <w:p>
            <w:pPr>
              <w:pStyle w:val="Compact"/>
              <w:spacing w:after="40"/>
              <w:jc w:val="left"/>
            </w:pPr>
            <w:r>
              <w:rPr>
                <w:sz w:val="18"/>
              </w:rPr>
              <w:t xml:space="preserve">[●]</w:t>
            </w:r>
          </w:p>
        </w:tc>
      </w:tr>
      <w:tr>
        <w:tc>
          <w:tcPr>
            <w:tcW w:w="2482" w:type="dxa"/>
          </w:tcPr>
          <w:p>
            <w:pPr>
              <w:pStyle w:val="Compact"/>
              <w:spacing w:after="40"/>
              <w:jc w:val="left"/>
            </w:pPr>
            <w:r>
              <w:rPr>
                <w:sz w:val="18"/>
              </w:rPr>
              <w:t xml:space="preserve">Attention</w:t>
            </w:r>
          </w:p>
        </w:tc>
        <w:tc>
          <w:tcPr>
            <w:tcW w:w="3577" w:type="dxa"/>
          </w:tcPr>
          <w:p>
            <w:pPr>
              <w:pStyle w:val="Compact"/>
              <w:spacing w:after="40"/>
              <w:jc w:val="left"/>
            </w:pPr>
            <w:r>
              <w:rPr>
                <w:sz w:val="18"/>
              </w:rPr>
              <w:t xml:space="preserve">[name, designation]</w:t>
            </w:r>
          </w:p>
        </w:tc>
        <w:tc>
          <w:tcPr>
            <w:tcW w:w="3579" w:type="dxa"/>
          </w:tcPr>
          <w:p>
            <w:pPr>
              <w:pStyle w:val="Compact"/>
              <w:spacing w:after="40"/>
              <w:jc w:val="left"/>
            </w:pPr>
            <w:r>
              <w:rPr>
                <w:sz w:val="18"/>
              </w:rPr>
              <w:t xml:space="preserve">[name, designation]</w:t>
            </w:r>
          </w:p>
        </w:tc>
      </w:tr>
      <w:tr>
        <w:tc>
          <w:tcPr>
            <w:tcW w:w="2482" w:type="dxa"/>
          </w:tcPr>
          <w:p>
            <w:pPr>
              <w:pStyle w:val="Compact"/>
              <w:spacing w:after="40"/>
              <w:jc w:val="left"/>
            </w:pPr>
            <w:r>
              <w:rPr>
                <w:sz w:val="18"/>
              </w:rPr>
              <w:t xml:space="preserve">Copy to</w:t>
            </w:r>
          </w:p>
        </w:tc>
        <w:tc>
          <w:tcPr>
            <w:tcW w:w="3577" w:type="dxa"/>
          </w:tcPr>
          <w:p>
            <w:pPr>
              <w:pStyle w:val="Compact"/>
              <w:spacing w:after="40"/>
              <w:jc w:val="left"/>
            </w:pPr>
            <w:r>
              <w:rPr>
                <w:sz w:val="18"/>
              </w:rPr>
              <w:t xml:space="preserve">[legal or compliance: ●]</w:t>
            </w:r>
          </w:p>
        </w:tc>
        <w:tc>
          <w:tcPr>
            <w:tcW w:w="3579" w:type="dxa"/>
          </w:tcPr>
          <w:p>
            <w:pPr>
              <w:pStyle w:val="Compact"/>
              <w:spacing w:after="40"/>
              <w:jc w:val="left"/>
            </w:pPr>
            <w:r>
              <w:rPr>
                <w:sz w:val="18"/>
              </w:rPr>
              <w:t xml:space="preserve">[legal or compliance: ●]</w:t>
            </w:r>
          </w:p>
        </w:tc>
      </w:tr>
    </w:tbl>
    <w:p>
      <w:pPr>
        <w:pStyle w:val="BodyText"/>
      </w:pPr>
      <w:r>
        <w:rPr>
          <w:bCs/>
          <w:b/>
        </w:rPr>
        <w:t xml:space="preserve">35.2 Operational notices.</w:t>
      </w:r>
      <w:r>
        <w:t xml:space="preserve"> </w:t>
      </w:r>
      <w:r>
        <w:t xml:space="preserve">Incident reports (Article 17), suspensions (Clause 30.2), complaint routing (Article 14) and change requests (Clause 32.3) use the channels in Schedules 9, 12 and 16 (24x7 for incidents and suspensions) and are effective on transmission.</w:t>
      </w:r>
    </w:p>
    <w:bookmarkEnd w:id="55"/>
    <w:bookmarkStart w:id="56" w:name="general-provisions"/>
    <w:p>
      <w:pPr>
        <w:pStyle w:val="Heading1"/>
      </w:pPr>
      <w:r>
        <w:t xml:space="preserve">36. GENERAL PROVISIONS</w:t>
      </w:r>
    </w:p>
    <w:p>
      <w:pPr>
        <w:pStyle w:val="FirstParagraph"/>
      </w:pPr>
      <w:r>
        <w:rPr>
          <w:bCs/>
          <w:b/>
        </w:rPr>
        <w:t xml:space="preserve">36.1 Entire agreement and amendment.</w:t>
      </w:r>
      <w:r>
        <w:t xml:space="preserve"> </w:t>
      </w:r>
      <w:r>
        <w:t xml:space="preserve">This Agreement, its Schedules and any executed Schedules 10 and 11 are the entire agreement on their subject and supersede prior understandings. Amendments must be in writing and signed by both Parties, except Schedule updates under Clause 32.3 and changes required by a Regulatory Requirement (Clauses 1.6, 3.8).</w:t>
      </w:r>
    </w:p>
    <w:p>
      <w:pPr>
        <w:pStyle w:val="BodyText"/>
      </w:pPr>
      <w:r>
        <w:rPr>
          <w:bCs/>
          <w:b/>
        </w:rPr>
        <w:t xml:space="preserve">36.2 Assignment.</w:t>
      </w:r>
      <w:r>
        <w:t xml:space="preserve"> </w:t>
      </w:r>
      <w:r>
        <w:t xml:space="preserve">The LSP may not assign, novate or encumber this Agreement without the RE’s prior written consent. The RE may assign or novate it to a successor to its lending business, or for the servicing of Loans it transfers, by notice.</w:t>
      </w:r>
    </w:p>
    <w:p>
      <w:pPr>
        <w:pStyle w:val="BodyText"/>
      </w:pPr>
      <w:r>
        <w:rPr>
          <w:bCs/>
          <w:b/>
        </w:rPr>
        <w:t xml:space="preserve">36.3 Severability and waiver.</w:t>
      </w:r>
      <w:r>
        <w:t xml:space="preserve"> </w:t>
      </w:r>
      <w:r>
        <w:t xml:space="preserve">An invalid provision is replaced by a valid one closest to its intent and compliant with the Regulatory Requirements; the rest continues. No delay waives a right, and no waiver of a [Mandatory] term has effect.</w:t>
      </w:r>
    </w:p>
    <w:p>
      <w:pPr>
        <w:pStyle w:val="BodyText"/>
      </w:pPr>
      <w:r>
        <w:rPr>
          <w:bCs/>
          <w:b/>
        </w:rPr>
        <w:t xml:space="preserve">36.4 Force majeure.</w:t>
      </w:r>
      <w:r>
        <w:t xml:space="preserve"> </w:t>
      </w:r>
      <w:r>
        <w:t xml:space="preserve">A Party is not liable for delay or failure caused by an event beyond its reasonable control that Good Industry Practice, including the BCP, could not have prevented, if it notifies promptly, invokes its BCP and mitigates. Force majeure never excuses Articles 9, 15, 17 or 24, Clauses 10.1, 21.3 or 31.5, compliance with a Regulatory Requirement, or payment. A cyber-attack is not force majeure to the extent it succeeded because the LSP did not comply with Article 16. After [30] days of force majeure the RE may terminate by notice, and Article 31 applies.</w:t>
      </w:r>
    </w:p>
    <w:p>
      <w:pPr>
        <w:pStyle w:val="BodyText"/>
      </w:pPr>
      <w:r>
        <w:rPr>
          <w:bCs/>
          <w:b/>
        </w:rPr>
        <w:t xml:space="preserve">36.5 Execution and stamp duty.</w:t>
      </w:r>
      <w:r>
        <w:t xml:space="preserve"> </w:t>
      </w:r>
      <w:r>
        <w:t xml:space="preserve">This Agreement may be signed in counterparts and electronically (IT Act, ss.3A, 10A). It shall be stamped under the [stamp law of the State of execution], duty borne by [the RE / the LSP / equally], and any differential duty on bringing it into another State by the Party that does so [VERIFY: article and rate in the State of execution, and separate stamping of any DLG Agreement, bank guarantee or deposit lien].</w:t>
      </w:r>
    </w:p>
    <w:p>
      <w:pPr>
        <w:pStyle w:val="BodyText"/>
      </w:pPr>
      <w:r>
        <w:rPr>
          <w:bCs/>
          <w:b/>
        </w:rPr>
        <w:t xml:space="preserve">36.6 Survival and other terms.</w:t>
      </w:r>
      <w:r>
        <w:t xml:space="preserve"> </w:t>
      </w:r>
      <w:r>
        <w:t xml:space="preserve">Articles 1, 15, 17 (for events arising before termination), 19, 24, 27, 28, 31, 33, 34, 35 and 36, Clauses 6.12, 9.10, 12.6, 12.11, 13.12, 14.7 and 29.1, and any executed DLG Agreement survive termination. Each Party bears its own costs of this Agreement and shall give further assurance as reasonably needed. [Option: Neither Party shall solicit the other’s employees engaged in the Services during the Term and for [12] months after it, except by general advertisement.] No public announcement without the other’s approval, save disclosures required by Clauses 3.6(b), 5.6, 5.7, 6.3, 6.4, 13.10 and 30.7 or by law. No person other than the Parties has rights under this Agreement, but nothing limits a Borrower’s rights against the RE or any regulator’s powers. This Agreement is executed in English; translations are for convenience.</w:t>
      </w:r>
    </w:p>
    <w:bookmarkEnd w:id="56"/>
    <w:bookmarkStart w:id="57" w:name="execution"/>
    <w:p>
      <w:pPr>
        <w:pStyle w:val="Heading1"/>
      </w:pPr>
      <w:r>
        <w:t xml:space="preserve">EXECUTION</w:t>
      </w:r>
    </w:p>
    <w:p>
      <w:pPr>
        <w:pStyle w:val="FirstParagraph"/>
      </w:pPr>
      <w:r>
        <w:t xml:space="preserve">IN WITNESS WHEREOF the Parties have executed this Agreement through their authorised signatories on the date and at the place first written above.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124"/>
        <w:gridCol w:w="3388"/>
        <w:gridCol w:w="3126"/>
      </w:tblGrid>
      <w:tr>
        <w:trPr>
          <w:tblHeader w:val="true"/>
          <w:tblHeader w:val="true"/>
        </w:trPr>
        <w:tc>
          <w:tcPr>
            <w:tcW w:w="3124" w:type="dxa"/>
            <w:shd w:val="clear" w:color="auto" w:fill="1F3A5F"/>
          </w:tcPr>
          <w:p>
            <w:pPr>
              <w:pStyle w:val="Compact"/>
              <w:spacing w:after="40"/>
              <w:jc w:val="left"/>
            </w:pPr>
            <w:r>
              <w:rPr>
                <w:b/>
                <w:color w:val="FFFFFF"/>
                <w:sz w:val="18"/>
              </w:rPr>
              <w:t xml:space="preserve">Particular</w:t>
            </w:r>
          </w:p>
        </w:tc>
        <w:tc>
          <w:tcPr>
            <w:tcW w:w="3388" w:type="dxa"/>
            <w:shd w:val="clear" w:color="auto" w:fill="1F3A5F"/>
          </w:tcPr>
          <w:p>
            <w:pPr>
              <w:pStyle w:val="Compact"/>
              <w:spacing w:after="40"/>
              <w:jc w:val="left"/>
            </w:pPr>
            <w:r>
              <w:rPr>
                <w:b/>
                <w:color w:val="FFFFFF"/>
                <w:sz w:val="18"/>
              </w:rPr>
              <w:t xml:space="preserve">For [NAME OF NBFC] (RE)</w:t>
            </w:r>
          </w:p>
        </w:tc>
        <w:tc>
          <w:tcPr>
            <w:tcW w:w="3126" w:type="dxa"/>
            <w:shd w:val="clear" w:color="auto" w:fill="1F3A5F"/>
          </w:tcPr>
          <w:p>
            <w:pPr>
              <w:pStyle w:val="Compact"/>
              <w:spacing w:after="40"/>
              <w:jc w:val="left"/>
            </w:pPr>
            <w:r>
              <w:rPr>
                <w:b/>
                <w:color w:val="FFFFFF"/>
                <w:sz w:val="18"/>
              </w:rPr>
              <w:t xml:space="preserve">For [INFRABYX GROUP COMPANY] (LSP)</w:t>
            </w:r>
          </w:p>
        </w:tc>
      </w:tr>
      <w:tr>
        <w:tc>
          <w:tcPr>
            <w:tcW w:w="3124" w:type="dxa"/>
          </w:tcPr>
          <w:p>
            <w:pPr>
              <w:pStyle w:val="Compact"/>
              <w:spacing w:after="40"/>
              <w:jc w:val="left"/>
            </w:pPr>
            <w:r>
              <w:rPr>
                <w:sz w:val="18"/>
              </w:rPr>
              <w:t xml:space="preserve">Signature</w:t>
            </w:r>
          </w:p>
        </w:tc>
        <w:tc>
          <w:tcPr>
            <w:tcW w:w="3388" w:type="dxa"/>
          </w:tcPr>
          <w:p>
            <w:pPr>
              <w:pStyle w:val="Compact"/>
              <w:spacing w:after="40"/>
              <w:jc w:val="left"/>
            </w:pPr>
            <w:r>
              <w:rPr>
                <w:sz w:val="18"/>
              </w:rPr>
              <w:t xml:space="preserve">[●]</w:t>
            </w:r>
          </w:p>
        </w:tc>
        <w:tc>
          <w:tcPr>
            <w:tcW w:w="3126" w:type="dxa"/>
          </w:tcPr>
          <w:p>
            <w:pPr>
              <w:pStyle w:val="Compact"/>
              <w:spacing w:after="40"/>
              <w:jc w:val="left"/>
            </w:pPr>
            <w:r>
              <w:rPr>
                <w:sz w:val="18"/>
              </w:rPr>
              <w:t xml:space="preserve">[●]</w:t>
            </w:r>
          </w:p>
        </w:tc>
      </w:tr>
      <w:tr>
        <w:tc>
          <w:tcPr>
            <w:tcW w:w="3124" w:type="dxa"/>
          </w:tcPr>
          <w:p>
            <w:pPr>
              <w:pStyle w:val="Compact"/>
              <w:spacing w:after="40"/>
              <w:jc w:val="left"/>
            </w:pPr>
            <w:r>
              <w:rPr>
                <w:sz w:val="18"/>
              </w:rPr>
              <w:t xml:space="preserve">Name and designation</w:t>
            </w:r>
          </w:p>
        </w:tc>
        <w:tc>
          <w:tcPr>
            <w:tcW w:w="3388" w:type="dxa"/>
          </w:tcPr>
          <w:p>
            <w:pPr>
              <w:pStyle w:val="Compact"/>
              <w:spacing w:after="40"/>
              <w:jc w:val="left"/>
            </w:pPr>
            <w:r>
              <w:rPr>
                <w:sz w:val="18"/>
              </w:rPr>
              <w:t xml:space="preserve">[●]</w:t>
            </w:r>
          </w:p>
        </w:tc>
        <w:tc>
          <w:tcPr>
            <w:tcW w:w="3126" w:type="dxa"/>
          </w:tcPr>
          <w:p>
            <w:pPr>
              <w:pStyle w:val="Compact"/>
              <w:spacing w:after="40"/>
              <w:jc w:val="left"/>
            </w:pPr>
            <w:r>
              <w:rPr>
                <w:sz w:val="18"/>
              </w:rPr>
              <w:t xml:space="preserve">[●]</w:t>
            </w:r>
          </w:p>
        </w:tc>
      </w:tr>
      <w:tr>
        <w:tc>
          <w:tcPr>
            <w:tcW w:w="3124" w:type="dxa"/>
          </w:tcPr>
          <w:p>
            <w:pPr>
              <w:pStyle w:val="Compact"/>
              <w:spacing w:after="40"/>
              <w:jc w:val="left"/>
            </w:pPr>
            <w:r>
              <w:rPr>
                <w:sz w:val="18"/>
              </w:rPr>
              <w:t xml:space="preserve">Authority</w:t>
            </w:r>
          </w:p>
        </w:tc>
        <w:tc>
          <w:tcPr>
            <w:tcW w:w="3388" w:type="dxa"/>
          </w:tcPr>
          <w:p>
            <w:pPr>
              <w:pStyle w:val="Compact"/>
              <w:spacing w:after="40"/>
              <w:jc w:val="left"/>
            </w:pPr>
            <w:r>
              <w:rPr>
                <w:sz w:val="18"/>
              </w:rPr>
              <w:t xml:space="preserve">[Board / committee] resolution dated [●]</w:t>
            </w:r>
          </w:p>
        </w:tc>
        <w:tc>
          <w:tcPr>
            <w:tcW w:w="3126" w:type="dxa"/>
          </w:tcPr>
          <w:p>
            <w:pPr>
              <w:pStyle w:val="Compact"/>
              <w:spacing w:after="40"/>
              <w:jc w:val="left"/>
            </w:pPr>
            <w:r>
              <w:rPr>
                <w:sz w:val="18"/>
              </w:rPr>
              <w:t xml:space="preserve">Board resolution dated [●]</w:t>
            </w:r>
          </w:p>
        </w:tc>
      </w:tr>
      <w:tr>
        <w:tc>
          <w:tcPr>
            <w:tcW w:w="3124" w:type="dxa"/>
          </w:tcPr>
          <w:p>
            <w:pPr>
              <w:pStyle w:val="Compact"/>
              <w:spacing w:after="40"/>
              <w:jc w:val="left"/>
            </w:pPr>
            <w:r>
              <w:rPr>
                <w:sz w:val="18"/>
              </w:rPr>
              <w:t xml:space="preserve">Date and place</w:t>
            </w:r>
          </w:p>
        </w:tc>
        <w:tc>
          <w:tcPr>
            <w:tcW w:w="3388" w:type="dxa"/>
          </w:tcPr>
          <w:p>
            <w:pPr>
              <w:pStyle w:val="Compact"/>
              <w:spacing w:after="40"/>
              <w:jc w:val="left"/>
            </w:pPr>
            <w:r>
              <w:rPr>
                <w:sz w:val="18"/>
              </w:rPr>
              <w:t xml:space="preserve">[●]</w:t>
            </w:r>
          </w:p>
        </w:tc>
        <w:tc>
          <w:tcPr>
            <w:tcW w:w="3126" w:type="dxa"/>
          </w:tcPr>
          <w:p>
            <w:pPr>
              <w:pStyle w:val="Compact"/>
              <w:spacing w:after="40"/>
              <w:jc w:val="left"/>
            </w:pPr>
            <w:r>
              <w:rPr>
                <w:sz w:val="18"/>
              </w:rPr>
              <w:t xml:space="preserve">[●]</w:t>
            </w:r>
          </w:p>
        </w:tc>
      </w:tr>
      <w:tr>
        <w:tc>
          <w:tcPr>
            <w:tcW w:w="3124" w:type="dxa"/>
          </w:tcPr>
          <w:p>
            <w:pPr>
              <w:pStyle w:val="Compact"/>
              <w:spacing w:after="40"/>
              <w:jc w:val="left"/>
            </w:pPr>
            <w:r>
              <w:rPr>
                <w:sz w:val="18"/>
              </w:rPr>
              <w:t xml:space="preserve">Witness (name, address, signature)</w:t>
            </w:r>
          </w:p>
        </w:tc>
        <w:tc>
          <w:tcPr>
            <w:tcW w:w="3388" w:type="dxa"/>
          </w:tcPr>
          <w:p>
            <w:pPr>
              <w:pStyle w:val="Compact"/>
              <w:spacing w:after="40"/>
              <w:jc w:val="left"/>
            </w:pPr>
            <w:r>
              <w:rPr>
                <w:sz w:val="18"/>
              </w:rPr>
              <w:t xml:space="preserve">[●]</w:t>
            </w:r>
          </w:p>
        </w:tc>
        <w:tc>
          <w:tcPr>
            <w:tcW w:w="3126" w:type="dxa"/>
          </w:tcPr>
          <w:p>
            <w:pPr>
              <w:pStyle w:val="Compact"/>
              <w:spacing w:after="40"/>
              <w:jc w:val="left"/>
            </w:pPr>
            <w:r>
              <w:rPr>
                <w:sz w:val="18"/>
              </w:rPr>
              <w:t xml:space="preserve">[●]</w:t>
            </w:r>
          </w:p>
        </w:tc>
      </w:tr>
    </w:tbl>
    <w:p>
      <w:pPr>
        <w:pStyle w:val="BodyText"/>
      </w:pPr>
      <w:r>
        <w:rPr>
          <w:iCs/>
          <w:i/>
        </w:rPr>
        <w:t xml:space="preserve">Drafting note: For electronic execution, record each signatory’s certificate or Aadhaar eSign transaction ID, and ensure stamp duty is paid before or at execution.</w:t>
      </w:r>
    </w:p>
    <w:bookmarkEnd w:id="57"/>
    <w:bookmarkStart w:id="58" w:name="list-of-schedules"/>
    <w:p>
      <w:pPr>
        <w:pStyle w:val="Heading1"/>
      </w:pPr>
      <w:r>
        <w:t xml:space="preserve">LIST OF SCHEDULES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06"/>
        <w:gridCol w:w="4984"/>
        <w:gridCol w:w="2748"/>
      </w:tblGrid>
      <w:tr>
        <w:trPr>
          <w:tblHeader w:val="true"/>
          <w:tblHeader w:val="true"/>
        </w:trPr>
        <w:tc>
          <w:tcPr>
            <w:tcW w:w="1906" w:type="dxa"/>
            <w:shd w:val="clear" w:color="auto" w:fill="1F3A5F"/>
          </w:tcPr>
          <w:p>
            <w:pPr>
              <w:pStyle w:val="Compact"/>
              <w:spacing w:after="40"/>
              <w:jc w:val="left"/>
            </w:pPr>
            <w:r>
              <w:rPr>
                <w:b/>
                <w:color w:val="FFFFFF"/>
                <w:sz w:val="18"/>
              </w:rPr>
              <w:t xml:space="preserve">Schedule</w:t>
            </w:r>
          </w:p>
        </w:tc>
        <w:tc>
          <w:tcPr>
            <w:tcW w:w="4984" w:type="dxa"/>
            <w:shd w:val="clear" w:color="auto" w:fill="1F3A5F"/>
          </w:tcPr>
          <w:p>
            <w:pPr>
              <w:pStyle w:val="Compact"/>
              <w:spacing w:after="40"/>
              <w:jc w:val="left"/>
            </w:pPr>
            <w:r>
              <w:rPr>
                <w:b/>
                <w:color w:val="FFFFFF"/>
                <w:sz w:val="18"/>
              </w:rPr>
              <w:t xml:space="preserve">Title</w:t>
            </w:r>
          </w:p>
        </w:tc>
        <w:tc>
          <w:tcPr>
            <w:tcW w:w="2748" w:type="dxa"/>
            <w:shd w:val="clear" w:color="auto" w:fill="1F3A5F"/>
          </w:tcPr>
          <w:p>
            <w:pPr>
              <w:pStyle w:val="Compact"/>
              <w:spacing w:after="40"/>
              <w:jc w:val="left"/>
            </w:pPr>
            <w:r>
              <w:rPr>
                <w:b/>
                <w:color w:val="FFFFFF"/>
                <w:sz w:val="18"/>
              </w:rPr>
              <w:t xml:space="preserve">Main clauses</w:t>
            </w:r>
          </w:p>
        </w:tc>
      </w:tr>
      <w:tr>
        <w:tc>
          <w:tcPr>
            <w:tcW w:w="1906" w:type="dxa"/>
          </w:tcPr>
          <w:p>
            <w:pPr>
              <w:pStyle w:val="Compact"/>
              <w:spacing w:after="40"/>
              <w:jc w:val="left"/>
            </w:pPr>
            <w:r>
              <w:rPr>
                <w:sz w:val="18"/>
              </w:rPr>
              <w:t xml:space="preserve">1</w:t>
            </w:r>
          </w:p>
        </w:tc>
        <w:tc>
          <w:tcPr>
            <w:tcW w:w="4984" w:type="dxa"/>
          </w:tcPr>
          <w:p>
            <w:pPr>
              <w:pStyle w:val="Compact"/>
              <w:spacing w:after="40"/>
              <w:jc w:val="left"/>
            </w:pPr>
            <w:r>
              <w:rPr>
                <w:sz w:val="18"/>
              </w:rPr>
              <w:t xml:space="preserve">Commercial Terms and Fee Schedule</w:t>
            </w:r>
          </w:p>
        </w:tc>
        <w:tc>
          <w:tcPr>
            <w:tcW w:w="2748" w:type="dxa"/>
          </w:tcPr>
          <w:p>
            <w:pPr>
              <w:pStyle w:val="Compact"/>
              <w:spacing w:after="40"/>
              <w:jc w:val="left"/>
            </w:pPr>
            <w:r>
              <w:rPr>
                <w:sz w:val="18"/>
              </w:rPr>
              <w:t xml:space="preserve">3.8, 22, 28.1, 31.3</w:t>
            </w:r>
          </w:p>
        </w:tc>
      </w:tr>
      <w:tr>
        <w:tc>
          <w:tcPr>
            <w:tcW w:w="1906" w:type="dxa"/>
          </w:tcPr>
          <w:p>
            <w:pPr>
              <w:pStyle w:val="Compact"/>
              <w:spacing w:after="40"/>
              <w:jc w:val="left"/>
            </w:pPr>
            <w:r>
              <w:rPr>
                <w:sz w:val="18"/>
              </w:rPr>
              <w:t xml:space="preserve">2</w:t>
            </w:r>
          </w:p>
        </w:tc>
        <w:tc>
          <w:tcPr>
            <w:tcW w:w="4984" w:type="dxa"/>
          </w:tcPr>
          <w:p>
            <w:pPr>
              <w:pStyle w:val="Compact"/>
              <w:spacing w:after="40"/>
              <w:jc w:val="left"/>
            </w:pPr>
            <w:r>
              <w:rPr>
                <w:sz w:val="18"/>
              </w:rPr>
              <w:t xml:space="preserve">Scope of Services and Responsibility Matrix</w:t>
            </w:r>
          </w:p>
        </w:tc>
        <w:tc>
          <w:tcPr>
            <w:tcW w:w="2748" w:type="dxa"/>
          </w:tcPr>
          <w:p>
            <w:pPr>
              <w:pStyle w:val="Compact"/>
              <w:spacing w:after="40"/>
              <w:jc w:val="left"/>
            </w:pPr>
            <w:r>
              <w:rPr>
                <w:sz w:val="18"/>
              </w:rPr>
              <w:t xml:space="preserve">1.1, 3.3, 3.4, 7.1, 11.1</w:t>
            </w:r>
          </w:p>
        </w:tc>
      </w:tr>
      <w:tr>
        <w:tc>
          <w:tcPr>
            <w:tcW w:w="1906" w:type="dxa"/>
          </w:tcPr>
          <w:p>
            <w:pPr>
              <w:pStyle w:val="Compact"/>
              <w:spacing w:after="40"/>
              <w:jc w:val="left"/>
            </w:pPr>
            <w:r>
              <w:rPr>
                <w:sz w:val="18"/>
              </w:rPr>
              <w:t xml:space="preserve">3</w:t>
            </w:r>
          </w:p>
        </w:tc>
        <w:tc>
          <w:tcPr>
            <w:tcW w:w="4984" w:type="dxa"/>
          </w:tcPr>
          <w:p>
            <w:pPr>
              <w:pStyle w:val="Compact"/>
              <w:spacing w:after="40"/>
              <w:jc w:val="left"/>
            </w:pPr>
            <w:r>
              <w:rPr>
                <w:sz w:val="18"/>
              </w:rPr>
              <w:t xml:space="preserve">DLA Particulars and CIMS Reporting Data</w:t>
            </w:r>
          </w:p>
        </w:tc>
        <w:tc>
          <w:tcPr>
            <w:tcW w:w="2748" w:type="dxa"/>
          </w:tcPr>
          <w:p>
            <w:pPr>
              <w:pStyle w:val="Compact"/>
              <w:spacing w:after="40"/>
              <w:jc w:val="left"/>
            </w:pPr>
            <w:r>
              <w:rPr>
                <w:sz w:val="18"/>
              </w:rPr>
              <w:t xml:space="preserve">5.1–5.3, 18.1</w:t>
            </w:r>
          </w:p>
        </w:tc>
      </w:tr>
      <w:tr>
        <w:tc>
          <w:tcPr>
            <w:tcW w:w="1906" w:type="dxa"/>
          </w:tcPr>
          <w:p>
            <w:pPr>
              <w:pStyle w:val="Compact"/>
              <w:spacing w:after="40"/>
              <w:jc w:val="left"/>
            </w:pPr>
            <w:r>
              <w:rPr>
                <w:sz w:val="18"/>
              </w:rPr>
              <w:t xml:space="preserve">4</w:t>
            </w:r>
          </w:p>
        </w:tc>
        <w:tc>
          <w:tcPr>
            <w:tcW w:w="4984" w:type="dxa"/>
          </w:tcPr>
          <w:p>
            <w:pPr>
              <w:pStyle w:val="Compact"/>
              <w:spacing w:after="40"/>
              <w:jc w:val="left"/>
            </w:pPr>
            <w:r>
              <w:rPr>
                <w:sz w:val="18"/>
              </w:rPr>
              <w:t xml:space="preserve">Product Schedule</w:t>
            </w:r>
          </w:p>
        </w:tc>
        <w:tc>
          <w:tcPr>
            <w:tcW w:w="2748" w:type="dxa"/>
          </w:tcPr>
          <w:p>
            <w:pPr>
              <w:pStyle w:val="Compact"/>
              <w:spacing w:after="40"/>
              <w:jc w:val="left"/>
            </w:pPr>
            <w:r>
              <w:rPr>
                <w:sz w:val="18"/>
              </w:rPr>
              <w:t xml:space="preserve">2.4, 7.2, 8.1, 9.1, 10.1</w:t>
            </w:r>
          </w:p>
        </w:tc>
      </w:tr>
      <w:tr>
        <w:tc>
          <w:tcPr>
            <w:tcW w:w="1906" w:type="dxa"/>
          </w:tcPr>
          <w:p>
            <w:pPr>
              <w:pStyle w:val="Compact"/>
              <w:spacing w:after="40"/>
              <w:jc w:val="left"/>
            </w:pPr>
            <w:r>
              <w:rPr>
                <w:sz w:val="18"/>
              </w:rPr>
              <w:t xml:space="preserve">5</w:t>
            </w:r>
          </w:p>
        </w:tc>
        <w:tc>
          <w:tcPr>
            <w:tcW w:w="4984" w:type="dxa"/>
          </w:tcPr>
          <w:p>
            <w:pPr>
              <w:pStyle w:val="Compact"/>
              <w:spacing w:after="40"/>
              <w:jc w:val="left"/>
            </w:pPr>
            <w:r>
              <w:rPr>
                <w:sz w:val="18"/>
              </w:rPr>
              <w:t xml:space="preserve">Multi-lender Offer Display and Matching Mechanism</w:t>
            </w:r>
          </w:p>
        </w:tc>
        <w:tc>
          <w:tcPr>
            <w:tcW w:w="2748" w:type="dxa"/>
          </w:tcPr>
          <w:p>
            <w:pPr>
              <w:pStyle w:val="Compact"/>
              <w:spacing w:after="40"/>
              <w:jc w:val="left"/>
            </w:pPr>
            <w:r>
              <w:rPr>
                <w:sz w:val="18"/>
              </w:rPr>
              <w:t xml:space="preserve">6.2–6.6</w:t>
            </w:r>
          </w:p>
        </w:tc>
      </w:tr>
      <w:tr>
        <w:tc>
          <w:tcPr>
            <w:tcW w:w="1906" w:type="dxa"/>
          </w:tcPr>
          <w:p>
            <w:pPr>
              <w:pStyle w:val="Compact"/>
              <w:spacing w:after="40"/>
              <w:jc w:val="left"/>
            </w:pPr>
            <w:r>
              <w:rPr>
                <w:sz w:val="18"/>
              </w:rPr>
              <w:t xml:space="preserve">6</w:t>
            </w:r>
          </w:p>
        </w:tc>
        <w:tc>
          <w:tcPr>
            <w:tcW w:w="4984" w:type="dxa"/>
          </w:tcPr>
          <w:p>
            <w:pPr>
              <w:pStyle w:val="Compact"/>
              <w:spacing w:after="40"/>
              <w:jc w:val="left"/>
            </w:pPr>
            <w:r>
              <w:rPr>
                <w:sz w:val="18"/>
              </w:rPr>
              <w:t xml:space="preserve">Fund Flow Protocol</w:t>
            </w:r>
          </w:p>
        </w:tc>
        <w:tc>
          <w:tcPr>
            <w:tcW w:w="2748" w:type="dxa"/>
          </w:tcPr>
          <w:p>
            <w:pPr>
              <w:pStyle w:val="Compact"/>
              <w:spacing w:after="40"/>
              <w:jc w:val="left"/>
            </w:pPr>
            <w:r>
              <w:rPr>
                <w:sz w:val="18"/>
              </w:rPr>
              <w:t xml:space="preserve">9.3, 9.9</w:t>
            </w:r>
          </w:p>
        </w:tc>
      </w:tr>
      <w:tr>
        <w:tc>
          <w:tcPr>
            <w:tcW w:w="1906" w:type="dxa"/>
          </w:tcPr>
          <w:p>
            <w:pPr>
              <w:pStyle w:val="Compact"/>
              <w:spacing w:after="40"/>
              <w:jc w:val="left"/>
            </w:pPr>
            <w:r>
              <w:rPr>
                <w:sz w:val="18"/>
              </w:rPr>
              <w:t xml:space="preserve">7</w:t>
            </w:r>
          </w:p>
        </w:tc>
        <w:tc>
          <w:tcPr>
            <w:tcW w:w="4984" w:type="dxa"/>
          </w:tcPr>
          <w:p>
            <w:pPr>
              <w:pStyle w:val="Compact"/>
              <w:spacing w:after="40"/>
              <w:jc w:val="left"/>
            </w:pPr>
            <w:r>
              <w:rPr>
                <w:sz w:val="18"/>
              </w:rPr>
              <w:t xml:space="preserve">Data Protection Schedule</w:t>
            </w:r>
          </w:p>
        </w:tc>
        <w:tc>
          <w:tcPr>
            <w:tcW w:w="2748" w:type="dxa"/>
          </w:tcPr>
          <w:p>
            <w:pPr>
              <w:pStyle w:val="Compact"/>
              <w:spacing w:after="40"/>
              <w:jc w:val="left"/>
            </w:pPr>
            <w:r>
              <w:rPr>
                <w:sz w:val="18"/>
              </w:rPr>
              <w:t xml:space="preserve">15</w:t>
            </w:r>
          </w:p>
        </w:tc>
      </w:tr>
      <w:tr>
        <w:tc>
          <w:tcPr>
            <w:tcW w:w="1906" w:type="dxa"/>
          </w:tcPr>
          <w:p>
            <w:pPr>
              <w:pStyle w:val="Compact"/>
              <w:spacing w:after="40"/>
              <w:jc w:val="left"/>
            </w:pPr>
            <w:r>
              <w:rPr>
                <w:sz w:val="18"/>
              </w:rPr>
              <w:t xml:space="preserve">8</w:t>
            </w:r>
          </w:p>
        </w:tc>
        <w:tc>
          <w:tcPr>
            <w:tcW w:w="4984" w:type="dxa"/>
          </w:tcPr>
          <w:p>
            <w:pPr>
              <w:pStyle w:val="Compact"/>
              <w:spacing w:after="40"/>
              <w:jc w:val="left"/>
            </w:pPr>
            <w:r>
              <w:rPr>
                <w:sz w:val="18"/>
              </w:rPr>
              <w:t xml:space="preserve">Information Security and Technology Standards</w:t>
            </w:r>
          </w:p>
        </w:tc>
        <w:tc>
          <w:tcPr>
            <w:tcW w:w="2748" w:type="dxa"/>
          </w:tcPr>
          <w:p>
            <w:pPr>
              <w:pStyle w:val="Compact"/>
              <w:spacing w:after="40"/>
              <w:jc w:val="left"/>
            </w:pPr>
            <w:r>
              <w:rPr>
                <w:sz w:val="18"/>
              </w:rPr>
              <w:t xml:space="preserve">3.9, 16, 26.1</w:t>
            </w:r>
          </w:p>
        </w:tc>
      </w:tr>
      <w:tr>
        <w:tc>
          <w:tcPr>
            <w:tcW w:w="1906" w:type="dxa"/>
          </w:tcPr>
          <w:p>
            <w:pPr>
              <w:pStyle w:val="Compact"/>
              <w:spacing w:after="40"/>
              <w:jc w:val="left"/>
            </w:pPr>
            <w:r>
              <w:rPr>
                <w:sz w:val="18"/>
              </w:rPr>
              <w:t xml:space="preserve">9</w:t>
            </w:r>
          </w:p>
        </w:tc>
        <w:tc>
          <w:tcPr>
            <w:tcW w:w="4984" w:type="dxa"/>
          </w:tcPr>
          <w:p>
            <w:pPr>
              <w:pStyle w:val="Compact"/>
              <w:spacing w:after="40"/>
              <w:jc w:val="left"/>
            </w:pPr>
            <w:r>
              <w:rPr>
                <w:sz w:val="18"/>
              </w:rPr>
              <w:t xml:space="preserve">Grievance Redressal Protocol</w:t>
            </w:r>
          </w:p>
        </w:tc>
        <w:tc>
          <w:tcPr>
            <w:tcW w:w="2748" w:type="dxa"/>
          </w:tcPr>
          <w:p>
            <w:pPr>
              <w:pStyle w:val="Compact"/>
              <w:spacing w:after="40"/>
              <w:jc w:val="left"/>
            </w:pPr>
            <w:r>
              <w:rPr>
                <w:sz w:val="18"/>
              </w:rPr>
              <w:t xml:space="preserve">14</w:t>
            </w:r>
          </w:p>
        </w:tc>
      </w:tr>
      <w:tr>
        <w:tc>
          <w:tcPr>
            <w:tcW w:w="1906" w:type="dxa"/>
          </w:tcPr>
          <w:p>
            <w:pPr>
              <w:pStyle w:val="Compact"/>
              <w:spacing w:after="40"/>
              <w:jc w:val="left"/>
            </w:pPr>
            <w:r>
              <w:rPr>
                <w:sz w:val="18"/>
              </w:rPr>
              <w:t xml:space="preserve">10</w:t>
            </w:r>
          </w:p>
        </w:tc>
        <w:tc>
          <w:tcPr>
            <w:tcW w:w="4984" w:type="dxa"/>
          </w:tcPr>
          <w:p>
            <w:pPr>
              <w:pStyle w:val="Compact"/>
              <w:spacing w:after="40"/>
              <w:jc w:val="left"/>
            </w:pPr>
            <w:r>
              <w:rPr>
                <w:sz w:val="18"/>
              </w:rPr>
              <w:t xml:space="preserve">Recovery Agent Services Addendum (optional)</w:t>
            </w:r>
          </w:p>
        </w:tc>
        <w:tc>
          <w:tcPr>
            <w:tcW w:w="2748" w:type="dxa"/>
          </w:tcPr>
          <w:p>
            <w:pPr>
              <w:pStyle w:val="Compact"/>
              <w:spacing w:after="40"/>
              <w:jc w:val="left"/>
            </w:pPr>
            <w:r>
              <w:rPr>
                <w:sz w:val="18"/>
              </w:rPr>
              <w:t xml:space="preserve">12</w:t>
            </w:r>
          </w:p>
        </w:tc>
      </w:tr>
      <w:tr>
        <w:tc>
          <w:tcPr>
            <w:tcW w:w="1906" w:type="dxa"/>
          </w:tcPr>
          <w:p>
            <w:pPr>
              <w:pStyle w:val="Compact"/>
              <w:spacing w:after="40"/>
              <w:jc w:val="left"/>
            </w:pPr>
            <w:r>
              <w:rPr>
                <w:sz w:val="18"/>
              </w:rPr>
              <w:t xml:space="preserve">11</w:t>
            </w:r>
          </w:p>
        </w:tc>
        <w:tc>
          <w:tcPr>
            <w:tcW w:w="4984" w:type="dxa"/>
          </w:tcPr>
          <w:p>
            <w:pPr>
              <w:pStyle w:val="Compact"/>
              <w:spacing w:after="40"/>
              <w:jc w:val="left"/>
            </w:pPr>
            <w:r>
              <w:rPr>
                <w:sz w:val="18"/>
              </w:rPr>
              <w:t xml:space="preserve">Default Loss Guarantee Agreement (optional), with Annexures 11A–11D</w:t>
            </w:r>
          </w:p>
        </w:tc>
        <w:tc>
          <w:tcPr>
            <w:tcW w:w="2748" w:type="dxa"/>
          </w:tcPr>
          <w:p>
            <w:pPr>
              <w:pStyle w:val="Compact"/>
              <w:spacing w:after="40"/>
              <w:jc w:val="left"/>
            </w:pPr>
            <w:r>
              <w:rPr>
                <w:sz w:val="18"/>
              </w:rPr>
              <w:t xml:space="preserve">13</w:t>
            </w:r>
          </w:p>
        </w:tc>
      </w:tr>
      <w:tr>
        <w:tc>
          <w:tcPr>
            <w:tcW w:w="1906" w:type="dxa"/>
          </w:tcPr>
          <w:p>
            <w:pPr>
              <w:pStyle w:val="Compact"/>
              <w:spacing w:after="40"/>
              <w:jc w:val="left"/>
            </w:pPr>
            <w:r>
              <w:rPr>
                <w:sz w:val="18"/>
              </w:rPr>
              <w:t xml:space="preserve">12</w:t>
            </w:r>
          </w:p>
        </w:tc>
        <w:tc>
          <w:tcPr>
            <w:tcW w:w="4984" w:type="dxa"/>
          </w:tcPr>
          <w:p>
            <w:pPr>
              <w:pStyle w:val="Compact"/>
              <w:spacing w:after="40"/>
              <w:jc w:val="left"/>
            </w:pPr>
            <w:r>
              <w:rPr>
                <w:sz w:val="18"/>
              </w:rPr>
              <w:t xml:space="preserve">Incident Notification Protocol</w:t>
            </w:r>
          </w:p>
        </w:tc>
        <w:tc>
          <w:tcPr>
            <w:tcW w:w="2748" w:type="dxa"/>
          </w:tcPr>
          <w:p>
            <w:pPr>
              <w:pStyle w:val="Compact"/>
              <w:spacing w:after="40"/>
              <w:jc w:val="left"/>
            </w:pPr>
            <w:r>
              <w:rPr>
                <w:sz w:val="18"/>
              </w:rPr>
              <w:t xml:space="preserve">17, 30.3(d)</w:t>
            </w:r>
          </w:p>
        </w:tc>
      </w:tr>
      <w:tr>
        <w:tc>
          <w:tcPr>
            <w:tcW w:w="1906" w:type="dxa"/>
          </w:tcPr>
          <w:p>
            <w:pPr>
              <w:pStyle w:val="Compact"/>
              <w:spacing w:after="40"/>
              <w:jc w:val="left"/>
            </w:pPr>
            <w:r>
              <w:rPr>
                <w:sz w:val="18"/>
              </w:rPr>
              <w:t xml:space="preserve">13</w:t>
            </w:r>
          </w:p>
        </w:tc>
        <w:tc>
          <w:tcPr>
            <w:tcW w:w="4984" w:type="dxa"/>
          </w:tcPr>
          <w:p>
            <w:pPr>
              <w:pStyle w:val="Compact"/>
              <w:spacing w:after="40"/>
              <w:jc w:val="left"/>
            </w:pPr>
            <w:r>
              <w:rPr>
                <w:sz w:val="18"/>
              </w:rPr>
              <w:t xml:space="preserve">Audit and Inspection Protocol</w:t>
            </w:r>
          </w:p>
        </w:tc>
        <w:tc>
          <w:tcPr>
            <w:tcW w:w="2748" w:type="dxa"/>
          </w:tcPr>
          <w:p>
            <w:pPr>
              <w:pStyle w:val="Compact"/>
              <w:spacing w:after="40"/>
              <w:jc w:val="left"/>
            </w:pPr>
            <w:r>
              <w:rPr>
                <w:sz w:val="18"/>
              </w:rPr>
              <w:t xml:space="preserve">19</w:t>
            </w:r>
          </w:p>
        </w:tc>
      </w:tr>
      <w:tr>
        <w:tc>
          <w:tcPr>
            <w:tcW w:w="1906" w:type="dxa"/>
          </w:tcPr>
          <w:p>
            <w:pPr>
              <w:pStyle w:val="Compact"/>
              <w:spacing w:after="40"/>
              <w:jc w:val="left"/>
            </w:pPr>
            <w:r>
              <w:rPr>
                <w:sz w:val="18"/>
              </w:rPr>
              <w:t xml:space="preserve">14</w:t>
            </w:r>
          </w:p>
        </w:tc>
        <w:tc>
          <w:tcPr>
            <w:tcW w:w="4984" w:type="dxa"/>
          </w:tcPr>
          <w:p>
            <w:pPr>
              <w:pStyle w:val="Compact"/>
              <w:spacing w:after="40"/>
              <w:jc w:val="left"/>
            </w:pPr>
            <w:r>
              <w:rPr>
                <w:sz w:val="18"/>
              </w:rPr>
              <w:t xml:space="preserve">Business Continuity and Exit Plan</w:t>
            </w:r>
          </w:p>
        </w:tc>
        <w:tc>
          <w:tcPr>
            <w:tcW w:w="2748" w:type="dxa"/>
          </w:tcPr>
          <w:p>
            <w:pPr>
              <w:pStyle w:val="Compact"/>
              <w:spacing w:after="40"/>
              <w:jc w:val="left"/>
            </w:pPr>
            <w:r>
              <w:rPr>
                <w:sz w:val="18"/>
              </w:rPr>
              <w:t xml:space="preserve">15.12, 21, 31</w:t>
            </w:r>
          </w:p>
        </w:tc>
      </w:tr>
      <w:tr>
        <w:tc>
          <w:tcPr>
            <w:tcW w:w="1906" w:type="dxa"/>
          </w:tcPr>
          <w:p>
            <w:pPr>
              <w:pStyle w:val="Compact"/>
              <w:spacing w:after="40"/>
              <w:jc w:val="left"/>
            </w:pPr>
            <w:r>
              <w:rPr>
                <w:sz w:val="18"/>
              </w:rPr>
              <w:t xml:space="preserve">15</w:t>
            </w:r>
          </w:p>
        </w:tc>
        <w:tc>
          <w:tcPr>
            <w:tcW w:w="4984" w:type="dxa"/>
          </w:tcPr>
          <w:p>
            <w:pPr>
              <w:pStyle w:val="Compact"/>
              <w:spacing w:after="40"/>
              <w:jc w:val="left"/>
            </w:pPr>
            <w:r>
              <w:rPr>
                <w:sz w:val="18"/>
              </w:rPr>
              <w:t xml:space="preserve">Marketing, Branding and Communications Guidelines</w:t>
            </w:r>
          </w:p>
        </w:tc>
        <w:tc>
          <w:tcPr>
            <w:tcW w:w="2748" w:type="dxa"/>
          </w:tcPr>
          <w:p>
            <w:pPr>
              <w:pStyle w:val="Compact"/>
              <w:spacing w:after="40"/>
              <w:jc w:val="left"/>
            </w:pPr>
            <w:r>
              <w:rPr>
                <w:sz w:val="18"/>
              </w:rPr>
              <w:t xml:space="preserve">6.1, 6.7, 11.2, 23.3</w:t>
            </w:r>
          </w:p>
        </w:tc>
      </w:tr>
      <w:tr>
        <w:tc>
          <w:tcPr>
            <w:tcW w:w="1906" w:type="dxa"/>
          </w:tcPr>
          <w:p>
            <w:pPr>
              <w:pStyle w:val="Compact"/>
              <w:spacing w:after="40"/>
              <w:jc w:val="left"/>
            </w:pPr>
            <w:r>
              <w:rPr>
                <w:sz w:val="18"/>
              </w:rPr>
              <w:t xml:space="preserve">16</w:t>
            </w:r>
          </w:p>
        </w:tc>
        <w:tc>
          <w:tcPr>
            <w:tcW w:w="4984" w:type="dxa"/>
          </w:tcPr>
          <w:p>
            <w:pPr>
              <w:pStyle w:val="Compact"/>
              <w:spacing w:after="40"/>
              <w:jc w:val="left"/>
            </w:pPr>
            <w:r>
              <w:rPr>
                <w:sz w:val="18"/>
              </w:rPr>
              <w:t xml:space="preserve">Integration and API Specifications</w:t>
            </w:r>
          </w:p>
        </w:tc>
        <w:tc>
          <w:tcPr>
            <w:tcW w:w="2748" w:type="dxa"/>
          </w:tcPr>
          <w:p>
            <w:pPr>
              <w:pStyle w:val="Compact"/>
              <w:spacing w:after="40"/>
              <w:jc w:val="left"/>
            </w:pPr>
            <w:r>
              <w:rPr>
                <w:sz w:val="18"/>
              </w:rPr>
              <w:t xml:space="preserve">2.5(g), 5.8, 16.4, 32.3</w:t>
            </w:r>
          </w:p>
        </w:tc>
      </w:tr>
      <w:tr>
        <w:tc>
          <w:tcPr>
            <w:tcW w:w="1906" w:type="dxa"/>
          </w:tcPr>
          <w:p>
            <w:pPr>
              <w:pStyle w:val="Compact"/>
              <w:spacing w:after="40"/>
              <w:jc w:val="left"/>
            </w:pPr>
            <w:r>
              <w:rPr>
                <w:sz w:val="18"/>
              </w:rPr>
              <w:t xml:space="preserve">17</w:t>
            </w:r>
          </w:p>
        </w:tc>
        <w:tc>
          <w:tcPr>
            <w:tcW w:w="4984" w:type="dxa"/>
          </w:tcPr>
          <w:p>
            <w:pPr>
              <w:pStyle w:val="Compact"/>
              <w:spacing w:after="40"/>
              <w:jc w:val="left"/>
            </w:pPr>
            <w:r>
              <w:rPr>
                <w:sz w:val="18"/>
              </w:rPr>
              <w:t xml:space="preserve">LSP Due Diligence Checklist and Declarations (Part C: approved Sub-contractors)</w:t>
            </w:r>
          </w:p>
        </w:tc>
        <w:tc>
          <w:tcPr>
            <w:tcW w:w="2748" w:type="dxa"/>
          </w:tcPr>
          <w:p>
            <w:pPr>
              <w:pStyle w:val="Compact"/>
              <w:spacing w:after="40"/>
              <w:jc w:val="left"/>
            </w:pPr>
            <w:r>
              <w:rPr>
                <w:sz w:val="18"/>
              </w:rPr>
              <w:t xml:space="preserve">2.5(h), 4, 20.1</w:t>
            </w:r>
          </w:p>
        </w:tc>
      </w:tr>
      <w:tr>
        <w:tc>
          <w:tcPr>
            <w:tcW w:w="1906" w:type="dxa"/>
          </w:tcPr>
          <w:p>
            <w:pPr>
              <w:pStyle w:val="Compact"/>
              <w:spacing w:after="40"/>
              <w:jc w:val="left"/>
            </w:pPr>
            <w:r>
              <w:rPr>
                <w:sz w:val="18"/>
              </w:rPr>
              <w:t xml:space="preserve">18</w:t>
            </w:r>
          </w:p>
        </w:tc>
        <w:tc>
          <w:tcPr>
            <w:tcW w:w="4984" w:type="dxa"/>
          </w:tcPr>
          <w:p>
            <w:pPr>
              <w:pStyle w:val="Compact"/>
              <w:spacing w:after="40"/>
              <w:jc w:val="left"/>
            </w:pPr>
            <w:r>
              <w:rPr>
                <w:sz w:val="18"/>
              </w:rPr>
              <w:t xml:space="preserve">Service Levels</w:t>
            </w:r>
          </w:p>
        </w:tc>
        <w:tc>
          <w:tcPr>
            <w:tcW w:w="2748" w:type="dxa"/>
          </w:tcPr>
          <w:p>
            <w:pPr>
              <w:pStyle w:val="Compact"/>
              <w:spacing w:after="40"/>
              <w:jc w:val="left"/>
            </w:pPr>
            <w:r>
              <w:rPr>
                <w:sz w:val="18"/>
              </w:rPr>
              <w:t xml:space="preserve">3.6(f), 17.1, 32.3</w:t>
            </w:r>
          </w:p>
        </w:tc>
      </w:tr>
      <w:tr>
        <w:tc>
          <w:tcPr>
            <w:tcW w:w="1906" w:type="dxa"/>
          </w:tcPr>
          <w:p>
            <w:pPr>
              <w:pStyle w:val="Compact"/>
              <w:spacing w:after="40"/>
              <w:jc w:val="left"/>
            </w:pPr>
            <w:r>
              <w:rPr>
                <w:sz w:val="18"/>
              </w:rPr>
              <w:t xml:space="preserve">19</w:t>
            </w:r>
          </w:p>
        </w:tc>
        <w:tc>
          <w:tcPr>
            <w:tcW w:w="4984" w:type="dxa"/>
          </w:tcPr>
          <w:p>
            <w:pPr>
              <w:pStyle w:val="Compact"/>
              <w:spacing w:after="40"/>
              <w:jc w:val="left"/>
            </w:pPr>
            <w:r>
              <w:rPr>
                <w:sz w:val="18"/>
              </w:rPr>
              <w:t xml:space="preserve">Reporting Calendar</w:t>
            </w:r>
          </w:p>
        </w:tc>
        <w:tc>
          <w:tcPr>
            <w:tcW w:w="2748" w:type="dxa"/>
          </w:tcPr>
          <w:p>
            <w:pPr>
              <w:pStyle w:val="Compact"/>
              <w:spacing w:after="40"/>
              <w:jc w:val="left"/>
            </w:pPr>
            <w:r>
              <w:rPr>
                <w:sz w:val="18"/>
              </w:rPr>
              <w:t xml:space="preserve">4.4, 4.5, 18, 32</w:t>
            </w:r>
          </w:p>
        </w:tc>
      </w:tr>
      <w:tr>
        <w:tc>
          <w:tcPr>
            <w:tcW w:w="1906" w:type="dxa"/>
          </w:tcPr>
          <w:p>
            <w:pPr>
              <w:pStyle w:val="Compact"/>
              <w:spacing w:after="40"/>
              <w:jc w:val="left"/>
            </w:pPr>
            <w:r>
              <w:rPr>
                <w:sz w:val="18"/>
              </w:rPr>
              <w:t xml:space="preserve">20</w:t>
            </w:r>
          </w:p>
        </w:tc>
        <w:tc>
          <w:tcPr>
            <w:tcW w:w="4984" w:type="dxa"/>
          </w:tcPr>
          <w:p>
            <w:pPr>
              <w:pStyle w:val="Compact"/>
              <w:spacing w:after="40"/>
              <w:jc w:val="left"/>
            </w:pPr>
            <w:r>
              <w:rPr>
                <w:sz w:val="18"/>
              </w:rPr>
              <w:t xml:space="preserve">Regulatory Compliance Matrix</w:t>
            </w:r>
          </w:p>
        </w:tc>
        <w:tc>
          <w:tcPr>
            <w:tcW w:w="2748" w:type="dxa"/>
          </w:tcPr>
          <w:p>
            <w:pPr>
              <w:pStyle w:val="Compact"/>
              <w:spacing w:after="40"/>
              <w:jc w:val="left"/>
            </w:pPr>
            <w:r>
              <w:rPr>
                <w:sz w:val="18"/>
              </w:rPr>
              <w:t xml:space="preserve">1.5</w:t>
            </w:r>
          </w:p>
        </w:tc>
      </w:tr>
    </w:tbl>
    <w:p>
      <w:r>
        <w:br w:type="page"/>
      </w:r>
    </w:p>
    <w:bookmarkEnd w:id="58"/>
    <w:bookmarkStart w:id="59" w:name="Xa0f53367e9b8736d9628b3ff914ca8b9f79274f"/>
    <w:p>
      <w:pPr>
        <w:pStyle w:val="Heading1"/>
      </w:pPr>
      <w:r>
        <w:t xml:space="preserve">SCHEDULES TO THE LENDING SERVICE PROVIDER AGREEMENT</w:t>
      </w:r>
    </w:p>
    <w:p>
      <w:pPr>
        <w:pStyle w:val="FirstParagraph"/>
      </w:pPr>
      <w:r>
        <w:rPr>
          <w:iCs/>
          <w:i/>
        </w:rPr>
        <w:t xml:space="preserve">Drafting note: These Schedules form part of the Lending Service Provider Agreement between [name of NBFC / HFC] (the</w:t>
      </w:r>
      <w:r>
        <w:rPr>
          <w:iCs/>
          <w:i/>
        </w:rPr>
        <w:t xml:space="preserve"> </w:t>
      </w:r>
      <w:r>
        <w:rPr>
          <w:iCs/>
          <w:i/>
        </w:rPr>
        <w:t xml:space="preserve">“</w:t>
      </w:r>
      <w:r>
        <w:rPr>
          <w:bCs/>
          <w:b/>
          <w:iCs/>
          <w:i/>
        </w:rPr>
        <w:t xml:space="preserve">RE</w:t>
      </w:r>
      <w:r>
        <w:rPr>
          <w:iCs/>
          <w:i/>
        </w:rPr>
        <w:t xml:space="preserve">”</w:t>
      </w:r>
      <w:r>
        <w:rPr>
          <w:iCs/>
          <w:i/>
        </w:rPr>
        <w:t xml:space="preserve">) and [Infrabyx group company], operator of the Udofin platform (the</w:t>
      </w:r>
      <w:r>
        <w:rPr>
          <w:iCs/>
          <w:i/>
        </w:rPr>
        <w:t xml:space="preserve"> </w:t>
      </w:r>
      <w:r>
        <w:rPr>
          <w:iCs/>
          <w:i/>
        </w:rPr>
        <w:t xml:space="preserve">“</w:t>
      </w:r>
      <w:r>
        <w:rPr>
          <w:bCs/>
          <w:b/>
          <w:iCs/>
          <w:i/>
        </w:rPr>
        <w:t xml:space="preserve">LSP</w:t>
      </w:r>
      <w:r>
        <w:rPr>
          <w:iCs/>
          <w:i/>
        </w:rPr>
        <w:t xml:space="preserve">”</w:t>
      </w:r>
      <w:r>
        <w:rPr>
          <w:iCs/>
          <w:i/>
        </w:rPr>
        <w:t xml:space="preserve">), dated [●] (the</w:t>
      </w:r>
      <w:r>
        <w:rPr>
          <w:iCs/>
          <w:i/>
        </w:rPr>
        <w:t xml:space="preserve"> </w:t>
      </w:r>
      <w:r>
        <w:rPr>
          <w:iCs/>
          <w:i/>
        </w:rPr>
        <w:t xml:space="preserve">“</w:t>
      </w:r>
      <w:r>
        <w:rPr>
          <w:bCs/>
          <w:b/>
          <w:iCs/>
          <w:i/>
        </w:rPr>
        <w:t xml:space="preserve">Agreement</w:t>
      </w:r>
      <w:r>
        <w:rPr>
          <w:iCs/>
          <w:i/>
        </w:rPr>
        <w:t xml:space="preserve">”</w:t>
      </w:r>
      <w:r>
        <w:rPr>
          <w:iCs/>
          <w:i/>
        </w:rPr>
        <w:t xml:space="preserve">). Capitalised terms not defined in a Schedule have the meanings given in Article 1 (Definitions and Interpretation). References to Articles are to Articles 1 to 36 of the Agreement. Labels used throughout:</w:t>
      </w:r>
      <w:r>
        <w:rPr>
          <w:iCs/>
          <w:i/>
        </w:rPr>
        <w:t xml:space="preserve"> </w:t>
      </w:r>
      <w:r>
        <w:rPr>
          <w:bCs/>
          <w:b/>
          <w:iCs/>
          <w:i/>
        </w:rPr>
        <w:t xml:space="preserve">[Mandatory — RBI]</w:t>
      </w:r>
      <w:r>
        <w:rPr>
          <w:iCs/>
          <w:i/>
        </w:rPr>
        <w:t xml:space="preserve"> </w:t>
      </w:r>
      <w:r>
        <w:rPr>
          <w:iCs/>
          <w:i/>
        </w:rPr>
        <w:t xml:space="preserve">= a term required by, or implementing, a Reserve Bank of India Direction, which the Parties may tighten but may not dilute or delete (Clause 1.5);</w:t>
      </w:r>
      <w:r>
        <w:rPr>
          <w:iCs/>
          <w:i/>
        </w:rPr>
        <w:t xml:space="preserve"> </w:t>
      </w:r>
      <w:r>
        <w:rPr>
          <w:bCs/>
          <w:b/>
          <w:iCs/>
          <w:i/>
        </w:rPr>
        <w:t xml:space="preserve">[Mandatory — Law]</w:t>
      </w:r>
      <w:r>
        <w:rPr>
          <w:iCs/>
          <w:i/>
        </w:rPr>
        <w:t xml:space="preserve"> </w:t>
      </w:r>
      <w:r>
        <w:rPr>
          <w:iCs/>
          <w:i/>
        </w:rPr>
        <w:t xml:space="preserve">= a term implementing a statute or statutory rule;</w:t>
      </w:r>
      <w:r>
        <w:rPr>
          <w:iCs/>
          <w:i/>
        </w:rPr>
        <w:t xml:space="preserve"> </w:t>
      </w:r>
      <w:r>
        <w:rPr>
          <w:bCs/>
          <w:b/>
          <w:iCs/>
          <w:i/>
        </w:rPr>
        <w:t xml:space="preserve">[Option]</w:t>
      </w:r>
      <w:r>
        <w:rPr>
          <w:iCs/>
          <w:i/>
        </w:rPr>
        <w:t xml:space="preserve"> </w:t>
      </w:r>
      <w:r>
        <w:rPr>
          <w:iCs/>
          <w:i/>
        </w:rPr>
        <w:t xml:space="preserve">= a commercial choice the Parties may vary. Where an [Option] conflicts with a [Mandatory] term, the [Mandatory] term prevails (Clauses 1.4, 1.5 and 36.3).</w:t>
      </w:r>
    </w:p>
    <w:p>
      <w:pPr>
        <w:pStyle w:val="BodyText"/>
      </w:pPr>
      <w:r>
        <w:rPr>
          <w:iCs/>
          <w:i/>
        </w:rPr>
        <w:t xml:space="preserve">Abbreviations of the supplied RBI Directions:</w:t>
      </w:r>
      <w:r>
        <w:rPr>
          <w:iCs/>
          <w:i/>
        </w:rPr>
        <w:t xml:space="preserve"> </w:t>
      </w:r>
      <w:r>
        <w:rPr>
          <w:bCs/>
          <w:b/>
          <w:iCs/>
          <w:i/>
        </w:rPr>
        <w:t xml:space="preserve">CF</w:t>
      </w:r>
      <w:r>
        <w:rPr>
          <w:iCs/>
          <w:i/>
        </w:rPr>
        <w:t xml:space="preserve"> </w:t>
      </w:r>
      <w:r>
        <w:rPr>
          <w:iCs/>
          <w:i/>
        </w:rPr>
        <w:t xml:space="preserve">= RBI (NBFC – Credit Facilities) Directions, 2025 (RBI/DOR/2025-26/347, 28 Nov 2025, updated as on 1 Apr 2026);</w:t>
      </w:r>
      <w:r>
        <w:rPr>
          <w:iCs/>
          <w:i/>
        </w:rPr>
        <w:t xml:space="preserve"> </w:t>
      </w:r>
      <w:r>
        <w:rPr>
          <w:bCs/>
          <w:b/>
          <w:iCs/>
          <w:i/>
        </w:rPr>
        <w:t xml:space="preserve">RBC</w:t>
      </w:r>
      <w:r>
        <w:rPr>
          <w:iCs/>
          <w:i/>
        </w:rPr>
        <w:t xml:space="preserve"> </w:t>
      </w:r>
      <w:r>
        <w:rPr>
          <w:iCs/>
          <w:i/>
        </w:rPr>
        <w:t xml:space="preserve">= RBI (NBFC – Responsible Business Conduct) Directions, 2025 (RBI/DOR/2025-26/362, updated as on 1 Apr 2026);</w:t>
      </w:r>
      <w:r>
        <w:rPr>
          <w:iCs/>
          <w:i/>
        </w:rPr>
        <w:t xml:space="preserve"> </w:t>
      </w:r>
      <w:r>
        <w:rPr>
          <w:bCs/>
          <w:b/>
          <w:iCs/>
          <w:i/>
        </w:rPr>
        <w:t xml:space="preserve">RBC-3A</w:t>
      </w:r>
      <w:r>
        <w:rPr>
          <w:iCs/>
          <w:i/>
        </w:rPr>
        <w:t xml:space="preserve"> </w:t>
      </w:r>
      <w:r>
        <w:rPr>
          <w:iCs/>
          <w:i/>
        </w:rPr>
        <w:t xml:space="preserve">= RBI (NBFC – Responsible Business Conduct) Third Amendment Directions, 2026 (RBI/2026-27/230, DOR.MCS.REC.No.199/01-01-039/2026-27, 6 Aug 2026, effective 1 Jan 2027);</w:t>
      </w:r>
      <w:r>
        <w:rPr>
          <w:iCs/>
          <w:i/>
        </w:rPr>
        <w:t xml:space="preserve"> </w:t>
      </w:r>
      <w:r>
        <w:rPr>
          <w:bCs/>
          <w:b/>
          <w:iCs/>
          <w:i/>
        </w:rPr>
        <w:t xml:space="preserve">OUT</w:t>
      </w:r>
      <w:r>
        <w:rPr>
          <w:iCs/>
          <w:i/>
        </w:rPr>
        <w:t xml:space="preserve"> </w:t>
      </w:r>
      <w:r>
        <w:rPr>
          <w:iCs/>
          <w:i/>
        </w:rPr>
        <w:t xml:space="preserve">= RBI (NBFC – Managing Risks in Outsourcing) Directions, 2025 (RBI/DOR/2025-26/363);</w:t>
      </w:r>
      <w:r>
        <w:rPr>
          <w:iCs/>
          <w:i/>
        </w:rPr>
        <w:t xml:space="preserve"> </w:t>
      </w:r>
      <w:r>
        <w:rPr>
          <w:bCs/>
          <w:b/>
          <w:iCs/>
          <w:i/>
        </w:rPr>
        <w:t xml:space="preserve">CYB</w:t>
      </w:r>
      <w:r>
        <w:rPr>
          <w:iCs/>
          <w:i/>
        </w:rPr>
        <w:t xml:space="preserve"> </w:t>
      </w:r>
      <w:r>
        <w:rPr>
          <w:iCs/>
          <w:i/>
        </w:rPr>
        <w:t xml:space="preserve">= RBI (NBFC – Cybersecurity, Technology: Risk, Resilience and Assurance Framework) Directions, 2026 (RBI/DoS/2026-27/461, 31 Jul 2026);</w:t>
      </w:r>
      <w:r>
        <w:rPr>
          <w:iCs/>
          <w:i/>
        </w:rPr>
        <w:t xml:space="preserve"> </w:t>
      </w:r>
      <w:r>
        <w:rPr>
          <w:bCs/>
          <w:b/>
          <w:iCs/>
          <w:i/>
        </w:rPr>
        <w:t xml:space="preserve">KYC</w:t>
      </w:r>
      <w:r>
        <w:rPr>
          <w:iCs/>
          <w:i/>
        </w:rPr>
        <w:t xml:space="preserve"> </w:t>
      </w:r>
      <w:r>
        <w:rPr>
          <w:iCs/>
          <w:i/>
        </w:rPr>
        <w:t xml:space="preserve">= RBI (NBFC – Know Your Customer) Directions, 2025 (RBI/DOR/2025-26/361, updated as on 29 Dec 2025);</w:t>
      </w:r>
      <w:r>
        <w:rPr>
          <w:iCs/>
          <w:i/>
        </w:rPr>
        <w:t xml:space="preserve"> </w:t>
      </w:r>
      <w:r>
        <w:rPr>
          <w:bCs/>
          <w:b/>
          <w:iCs/>
          <w:i/>
        </w:rPr>
        <w:t xml:space="preserve">CIR</w:t>
      </w:r>
      <w:r>
        <w:rPr>
          <w:iCs/>
          <w:i/>
        </w:rPr>
        <w:t xml:space="preserve"> </w:t>
      </w:r>
      <w:r>
        <w:rPr>
          <w:iCs/>
          <w:i/>
        </w:rPr>
        <w:t xml:space="preserve">= RBI (NBFC – Credit Information Reporting) Directions, 2025 (RBI/DOR/2025-26/349);</w:t>
      </w:r>
      <w:r>
        <w:rPr>
          <w:iCs/>
          <w:i/>
        </w:rPr>
        <w:t xml:space="preserve"> </w:t>
      </w:r>
      <w:r>
        <w:rPr>
          <w:bCs/>
          <w:b/>
          <w:iCs/>
          <w:i/>
        </w:rPr>
        <w:t xml:space="preserve">TDCR</w:t>
      </w:r>
      <w:r>
        <w:rPr>
          <w:iCs/>
          <w:i/>
        </w:rPr>
        <w:t xml:space="preserve"> </w:t>
      </w:r>
      <w:r>
        <w:rPr>
          <w:iCs/>
          <w:i/>
        </w:rPr>
        <w:t xml:space="preserve">= RBI (NBFC – Transfer and Distribution of Credit Risk) Directions, 2025 (RBI/DOR/2025-26/352);</w:t>
      </w:r>
      <w:r>
        <w:rPr>
          <w:iCs/>
          <w:i/>
        </w:rPr>
        <w:t xml:space="preserve"> </w:t>
      </w:r>
      <w:r>
        <w:rPr>
          <w:bCs/>
          <w:b/>
          <w:iCs/>
          <w:i/>
        </w:rPr>
        <w:t xml:space="preserve">FRM</w:t>
      </w:r>
      <w:r>
        <w:rPr>
          <w:iCs/>
          <w:i/>
        </w:rPr>
        <w:t xml:space="preserve"> </w:t>
      </w:r>
      <w:r>
        <w:rPr>
          <w:iCs/>
          <w:i/>
        </w:rPr>
        <w:t xml:space="preserve">= RBI (NBFC – Fraud Risk Management) Directions, 2026 (RBI/DoS/2026-27/463);</w:t>
      </w:r>
      <w:r>
        <w:rPr>
          <w:iCs/>
          <w:i/>
        </w:rPr>
        <w:t xml:space="preserve"> </w:t>
      </w:r>
      <w:r>
        <w:rPr>
          <w:bCs/>
          <w:b/>
          <w:iCs/>
          <w:i/>
        </w:rPr>
        <w:t xml:space="preserve">AUD</w:t>
      </w:r>
      <w:r>
        <w:rPr>
          <w:iCs/>
          <w:i/>
        </w:rPr>
        <w:t xml:space="preserve"> </w:t>
      </w:r>
      <w:r>
        <w:rPr>
          <w:iCs/>
          <w:i/>
        </w:rPr>
        <w:t xml:space="preserve">= RBI (NBFC – Auditor’s Report) Directions, 2026 (RBI/DoS/2026-27/468);</w:t>
      </w:r>
      <w:r>
        <w:rPr>
          <w:iCs/>
          <w:i/>
        </w:rPr>
        <w:t xml:space="preserve"> </w:t>
      </w:r>
      <w:r>
        <w:rPr>
          <w:bCs/>
          <w:b/>
          <w:iCs/>
          <w:i/>
        </w:rPr>
        <w:t xml:space="preserve">IRACP</w:t>
      </w:r>
      <w:r>
        <w:rPr>
          <w:iCs/>
          <w:i/>
        </w:rPr>
        <w:t xml:space="preserve"> </w:t>
      </w:r>
      <w:r>
        <w:rPr>
          <w:iCs/>
          <w:i/>
        </w:rPr>
        <w:t xml:space="preserve">= RBI (NBFC – Income Recognition, Asset Classification and Provisioning) Directions, 2025 (RBI/DOR/2025-26/356, updated as on 13 Feb 2026);</w:t>
      </w:r>
      <w:r>
        <w:rPr>
          <w:iCs/>
          <w:i/>
        </w:rPr>
        <w:t xml:space="preserve"> </w:t>
      </w:r>
      <w:r>
        <w:rPr>
          <w:bCs/>
          <w:b/>
          <w:iCs/>
          <w:i/>
        </w:rPr>
        <w:t xml:space="preserve">DPDP Act</w:t>
      </w:r>
      <w:r>
        <w:rPr>
          <w:iCs/>
          <w:i/>
        </w:rPr>
        <w:t xml:space="preserve"> </w:t>
      </w:r>
      <w:r>
        <w:rPr>
          <w:iCs/>
          <w:i/>
        </w:rPr>
        <w:t xml:space="preserve">= Digital Personal Data Protection Act, 2023;</w:t>
      </w:r>
      <w:r>
        <w:rPr>
          <w:iCs/>
          <w:i/>
        </w:rPr>
        <w:t xml:space="preserve"> </w:t>
      </w:r>
      <w:r>
        <w:rPr>
          <w:bCs/>
          <w:b/>
          <w:iCs/>
          <w:i/>
        </w:rPr>
        <w:t xml:space="preserve">DPDP Rules</w:t>
      </w:r>
      <w:r>
        <w:rPr>
          <w:iCs/>
          <w:i/>
        </w:rPr>
        <w:t xml:space="preserve"> </w:t>
      </w:r>
      <w:r>
        <w:rPr>
          <w:iCs/>
          <w:i/>
        </w:rPr>
        <w:t xml:space="preserve">= Digital Personal Data Protection Rules, 2025 (G.S.R. 846(E), 13 Nov 2025).</w:t>
      </w:r>
    </w:p>
    <w:p>
      <w:pPr>
        <w:pStyle w:val="BodyText"/>
      </w:pPr>
      <w:r>
        <w:rPr>
          <w:iCs/>
          <w:i/>
        </w:rPr>
        <w:t xml:space="preserve">Bank and HFC REs: CF, RBC, OUT and KYC apply to HFCs (CF para 3(1)(vii); RBC para 3(7); OUT para 3(1)(vii)). Cyber incidents of HFCs are reported to NHB, not RBI (CYB para 141, Note). Where the RE is a bank, the corresponding Commercial Bank Directions apply instead and each RBI citation in these Schedules must be re-mapped before execution [VERIFY: Commercial Bank Credit Facilities, KYC and Outsourcing Directions].</w:t>
      </w:r>
    </w:p>
    <w:p>
      <w:r>
        <w:pict>
          <v:rect style="width:0;height:1.5pt" o:hralign="center" o:hrstd="t" o:hr="t"/>
        </w:pict>
      </w:r>
    </w:p>
    <w:p>
      <w:r>
        <w:br w:type="page"/>
      </w:r>
    </w:p>
    <w:bookmarkEnd w:id="59"/>
    <w:bookmarkStart w:id="63" w:name="Xe4f86e35eee58076778b1348a3a942a68a7e88c"/>
    <w:p>
      <w:pPr>
        <w:pStyle w:val="Heading1"/>
      </w:pPr>
      <w:r>
        <w:t xml:space="preserve">SCHEDULE 1 — Commercial Terms and Fee Schedule</w:t>
      </w:r>
    </w:p>
    <w:p>
      <w:pPr>
        <w:pStyle w:val="FirstParagraph"/>
      </w:pPr>
      <w:r>
        <w:rPr>
          <w:iCs/>
          <w:i/>
        </w:rPr>
        <w:t xml:space="preserve">Drafting note: This Schedule implements Article 22 (Fees and Payments). The single most important rule is that every rupee payable to the LSP comes from the RE, never from a Borrower, and that no fee is linked to loan performance unless it is a DLG documented under Schedule 11.</w:t>
      </w:r>
    </w:p>
    <w:bookmarkStart w:id="60" w:name="part-a-principles"/>
    <w:p>
      <w:pPr>
        <w:pStyle w:val="Heading2"/>
      </w:pPr>
      <w:r>
        <w:t xml:space="preserve">Part A — Principles</w:t>
      </w:r>
    </w:p>
    <w:p>
      <w:pPr>
        <w:pStyle w:val="FirstParagraph"/>
      </w:pPr>
      <w:r>
        <w:rPr>
          <w:bCs/>
          <w:b/>
        </w:rPr>
        <w:t xml:space="preserve">1.1 Payer of fees. [Mandatory — RBI]</w:t>
      </w:r>
      <w:r>
        <w:t xml:space="preserve"> </w:t>
      </w:r>
      <w:r>
        <w:t xml:space="preserve">All fees, charges, reimbursements and other amounts payable to the LSP under the Agreement shall be paid directly by the RE to the LSP and shall not be charged to, or collected from, any Borrower or prospective borrower by the LSP, whether separately, by inclusion in any amount payable by the Borrower, or by deduction from any disbursement or repayment (CF para 10(4)). For recovery in cash on delinquent loans, the LSP’s fees shall be paid by the RE and shall not be charged by the LSP to the Borrower, directly or indirectly, from the recovery proceeds (CF para 10(5)).</w:t>
      </w:r>
    </w:p>
    <w:p>
      <w:pPr>
        <w:pStyle w:val="BodyText"/>
      </w:pPr>
      <w:r>
        <w:rPr>
          <w:bCs/>
          <w:b/>
        </w:rPr>
        <w:t xml:space="preserve">1.2 Borrower-facing charges belong to the RE. [Mandatory — RBI]</w:t>
      </w:r>
      <w:r>
        <w:t xml:space="preserve"> </w:t>
      </w:r>
      <w:r>
        <w:t xml:space="preserve">Every charge payable by a Borrower (processing fee, penal charges, foreclosure charges, third-party charges routed through the RE) is the RE’s charge, fixed by the RE under its Board-approved policy, disclosed in the Key Fact Statement (</w:t>
      </w:r>
      <w:r>
        <w:t xml:space="preserve">“</w:t>
      </w:r>
      <w:r>
        <w:rPr>
          <w:bCs/>
          <w:b/>
        </w:rPr>
        <w:t xml:space="preserve">KFS</w:t>
      </w:r>
      <w:r>
        <w:t xml:space="preserve">”</w:t>
      </w:r>
      <w:r>
        <w:t xml:space="preserve">) and included in the Annual Percentage Rate (</w:t>
      </w:r>
      <w:r>
        <w:t xml:space="preserve">“</w:t>
      </w:r>
      <w:r>
        <w:rPr>
          <w:bCs/>
          <w:b/>
        </w:rPr>
        <w:t xml:space="preserve">APR</w:t>
      </w:r>
      <w:r>
        <w:t xml:space="preserve">”</w:t>
      </w:r>
      <w:r>
        <w:t xml:space="preserve">) where required (RBC paras 29(3)–(5); CF para 9(1)). Any fee or charge not mentioned in the KFS cannot be charged to the Borrower at any stage without the Borrower’s explicit consent (RBC para 29(5)). The LSP shall not create, display or collect any convenience fee, platform fee, membership fee, report fee or other Borrower-facing charge of its own in connection with a Loan [Mandatory — RBI; CF para 10(4)].</w:t>
      </w:r>
    </w:p>
    <w:p>
      <w:pPr>
        <w:pStyle w:val="BodyText"/>
      </w:pPr>
      <w:r>
        <w:rPr>
          <w:bCs/>
          <w:b/>
        </w:rPr>
        <w:t xml:space="preserve">1.3 No implicit guarantee. [Mandatory — RBI]</w:t>
      </w:r>
      <w:r>
        <w:t xml:space="preserve"> </w:t>
      </w:r>
      <w:r>
        <w:t xml:space="preserve">No fee, rebate, holdback, clawback, reversal, deferred payment, success-fee adjustment,</w:t>
      </w:r>
      <w:r>
        <w:t xml:space="preserve"> </w:t>
      </w:r>
      <w:r>
        <w:t xml:space="preserve">“</w:t>
      </w:r>
      <w:r>
        <w:t xml:space="preserve">first-loss</w:t>
      </w:r>
      <w:r>
        <w:t xml:space="preserve">”</w:t>
      </w:r>
      <w:r>
        <w:t xml:space="preserve"> </w:t>
      </w:r>
      <w:r>
        <w:t xml:space="preserve">deduction or other term of this Schedule shall be contingent on, or vary with, the repayment performance, delinquency, loss or default of any Loan or portfolio, unless the arrangement is documented as a Default Loss Guarantee (</w:t>
      </w:r>
      <w:r>
        <w:t xml:space="preserve">“</w:t>
      </w:r>
      <w:r>
        <w:rPr>
          <w:bCs/>
          <w:b/>
        </w:rPr>
        <w:t xml:space="preserve">DLG</w:t>
      </w:r>
      <w:r>
        <w:t xml:space="preserve">”</w:t>
      </w:r>
      <w:r>
        <w:t xml:space="preserve">) under Article 13 and Schedule 11 counted within the cap in CF para 24(1) and satisfied solely from cover held in a form permitted by CF para 23 (para 1.9). Any arrangement of that nature, called by whatever name, is a DLG (CF para 4(1)(viii)) and, if not so documented, is void as between the Parties to the extent of the performance linkage and shall be reported under Article 18 [Mandatory — RBI].</w:t>
      </w:r>
    </w:p>
    <w:p>
      <w:pPr>
        <w:pStyle w:val="BodyText"/>
      </w:pPr>
      <w:r>
        <w:rPr>
          <w:bCs/>
          <w:b/>
        </w:rPr>
        <w:t xml:space="preserve">1.4 Conflict of interest. [Mandatory — RBI]</w:t>
      </w:r>
      <w:r>
        <w:t xml:space="preserve"> </w:t>
      </w:r>
      <w:r>
        <w:t xml:space="preserve">Fee levels and fee models shall not be an input to the multi-lender matching or ranking mechanism (Schedule 5; CF para 7(4)). The LSP shall not receive any fee or benefit from the RE for preferential display, placement or ranking of the RE’s offers [Mandatory — RBI; CF para 7(4)].</w:t>
      </w:r>
    </w:p>
    <w:p>
      <w:pPr>
        <w:pStyle w:val="BodyText"/>
      </w:pPr>
      <w:r>
        <w:rPr>
          <w:bCs/>
          <w:b/>
        </w:rPr>
        <w:t xml:space="preserve">1.5 DLG fee. [Option, subject to RE policy]</w:t>
      </w:r>
      <w:r>
        <w:t xml:space="preserve"> </w:t>
      </w:r>
      <w:r>
        <w:t xml:space="preserve">Any fee payable to or received by the LSP as DLG provider shall be specified in the RE’s Board-approved policy before the DLG arrangement is entered into (CF para 20(1)) and set out in Schedule 11, Part B.</w:t>
      </w:r>
    </w:p>
    <w:bookmarkEnd w:id="60"/>
    <w:bookmarkStart w:id="61" w:name="part-b-fee-models-select-one-or-more"/>
    <w:p>
      <w:pPr>
        <w:pStyle w:val="Heading2"/>
      </w:pPr>
      <w:r>
        <w:t xml:space="preserve">Part B — Fee models (select one or more)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05"/>
        <w:gridCol w:w="1921"/>
        <w:gridCol w:w="2881"/>
        <w:gridCol w:w="1065"/>
        <w:gridCol w:w="1957"/>
        <w:gridCol w:w="909"/>
      </w:tblGrid>
      <w:tr>
        <w:trPr>
          <w:tblHeader w:val="true"/>
          <w:tblHeader w:val="true"/>
        </w:trPr>
        <w:tc>
          <w:tcPr>
            <w:tcW w:w="905" w:type="dxa"/>
            <w:shd w:val="clear" w:color="auto" w:fill="1F3A5F"/>
          </w:tcPr>
          <w:p>
            <w:pPr>
              <w:pStyle w:val="Compact"/>
              <w:spacing w:after="40"/>
              <w:jc w:val="left"/>
            </w:pPr>
            <w:r>
              <w:rPr>
                <w:b/>
                <w:color w:val="FFFFFF"/>
                <w:sz w:val="18"/>
              </w:rPr>
              <w:t xml:space="preserve">Ref</w:t>
            </w:r>
          </w:p>
        </w:tc>
        <w:tc>
          <w:tcPr>
            <w:tcW w:w="1921" w:type="dxa"/>
            <w:shd w:val="clear" w:color="auto" w:fill="1F3A5F"/>
          </w:tcPr>
          <w:p>
            <w:pPr>
              <w:pStyle w:val="Compact"/>
              <w:spacing w:after="40"/>
              <w:jc w:val="left"/>
            </w:pPr>
            <w:r>
              <w:rPr>
                <w:b/>
                <w:color w:val="FFFFFF"/>
                <w:sz w:val="18"/>
              </w:rPr>
              <w:t xml:space="preserve">Fee model</w:t>
            </w:r>
          </w:p>
        </w:tc>
        <w:tc>
          <w:tcPr>
            <w:tcW w:w="2881" w:type="dxa"/>
            <w:shd w:val="clear" w:color="auto" w:fill="1F3A5F"/>
          </w:tcPr>
          <w:p>
            <w:pPr>
              <w:pStyle w:val="Compact"/>
              <w:spacing w:after="40"/>
              <w:jc w:val="left"/>
            </w:pPr>
            <w:r>
              <w:rPr>
                <w:b/>
                <w:color w:val="FFFFFF"/>
                <w:sz w:val="18"/>
              </w:rPr>
              <w:t xml:space="preserve">Basis of charge</w:t>
            </w:r>
          </w:p>
        </w:tc>
        <w:tc>
          <w:tcPr>
            <w:tcW w:w="1065" w:type="dxa"/>
            <w:shd w:val="clear" w:color="auto" w:fill="1F3A5F"/>
          </w:tcPr>
          <w:p>
            <w:pPr>
              <w:pStyle w:val="Compact"/>
              <w:spacing w:after="40"/>
              <w:jc w:val="left"/>
            </w:pPr>
            <w:r>
              <w:rPr>
                <w:b/>
                <w:color w:val="FFFFFF"/>
                <w:sz w:val="18"/>
              </w:rPr>
              <w:t xml:space="preserve">Rate / amount</w:t>
            </w:r>
          </w:p>
        </w:tc>
        <w:tc>
          <w:tcPr>
            <w:tcW w:w="1957" w:type="dxa"/>
            <w:shd w:val="clear" w:color="auto" w:fill="1F3A5F"/>
          </w:tcPr>
          <w:p>
            <w:pPr>
              <w:pStyle w:val="Compact"/>
              <w:spacing w:after="40"/>
              <w:jc w:val="left"/>
            </w:pPr>
            <w:r>
              <w:rPr>
                <w:b/>
                <w:color w:val="FFFFFF"/>
                <w:sz w:val="18"/>
              </w:rPr>
              <w:t xml:space="preserve">Trigger event (evidence)</w:t>
            </w:r>
          </w:p>
        </w:tc>
        <w:tc>
          <w:tcPr>
            <w:tcW w:w="909" w:type="dxa"/>
            <w:shd w:val="clear" w:color="auto" w:fill="1F3A5F"/>
          </w:tcPr>
          <w:p>
            <w:pPr>
              <w:pStyle w:val="Compact"/>
              <w:spacing w:after="40"/>
              <w:jc w:val="left"/>
            </w:pPr>
            <w:r>
              <w:rPr>
                <w:b/>
                <w:color w:val="FFFFFF"/>
                <w:sz w:val="18"/>
              </w:rPr>
              <w:t xml:space="preserve">Status</w:t>
            </w:r>
          </w:p>
        </w:tc>
      </w:tr>
      <w:tr>
        <w:tc>
          <w:tcPr>
            <w:tcW w:w="905" w:type="dxa"/>
          </w:tcPr>
          <w:p>
            <w:pPr>
              <w:pStyle w:val="Compact"/>
              <w:spacing w:after="40"/>
              <w:jc w:val="left"/>
            </w:pPr>
            <w:r>
              <w:rPr>
                <w:sz w:val="18"/>
              </w:rPr>
              <w:t xml:space="preserve">F1</w:t>
            </w:r>
          </w:p>
        </w:tc>
        <w:tc>
          <w:tcPr>
            <w:tcW w:w="1921" w:type="dxa"/>
          </w:tcPr>
          <w:p>
            <w:pPr>
              <w:pStyle w:val="Compact"/>
              <w:spacing w:after="40"/>
              <w:jc w:val="left"/>
            </w:pPr>
            <w:r>
              <w:rPr>
                <w:sz w:val="18"/>
              </w:rPr>
              <w:t xml:space="preserve">Sourcing fee — per disbursal</w:t>
            </w:r>
          </w:p>
        </w:tc>
        <w:tc>
          <w:tcPr>
            <w:tcW w:w="2881" w:type="dxa"/>
          </w:tcPr>
          <w:p>
            <w:pPr>
              <w:pStyle w:val="Compact"/>
              <w:spacing w:after="40"/>
              <w:jc w:val="left"/>
            </w:pPr>
            <w:r>
              <w:rPr>
                <w:sz w:val="18"/>
              </w:rPr>
              <w:t xml:space="preserve">[●]% of the principal amount disbursed by the RE on each Loan sourced through the DLA</w:t>
            </w:r>
          </w:p>
        </w:tc>
        <w:tc>
          <w:tcPr>
            <w:tcW w:w="1065" w:type="dxa"/>
          </w:tcPr>
          <w:p>
            <w:pPr>
              <w:pStyle w:val="Compact"/>
              <w:spacing w:after="40"/>
              <w:jc w:val="left"/>
            </w:pPr>
            <w:r>
              <w:rPr>
                <w:sz w:val="18"/>
              </w:rPr>
              <w:t xml:space="preserve">[●]% (GST extra)</w:t>
            </w:r>
          </w:p>
        </w:tc>
        <w:tc>
          <w:tcPr>
            <w:tcW w:w="1957" w:type="dxa"/>
          </w:tcPr>
          <w:p>
            <w:pPr>
              <w:pStyle w:val="Compact"/>
              <w:spacing w:after="40"/>
              <w:jc w:val="left"/>
            </w:pPr>
            <w:r>
              <w:rPr>
                <w:rStyle w:val="VerbatimChar"/>
                <w:sz w:val="18"/>
              </w:rPr>
              <w:t xml:space="preserve">LoanDisbursed</w:t>
            </w:r>
            <w:r>
              <w:rPr>
                <w:sz w:val="18"/>
              </w:rPr>
              <w:t xml:space="preserve"> </w:t>
            </w:r>
            <w:r>
              <w:rPr>
                <w:sz w:val="18"/>
              </w:rPr>
              <w:t xml:space="preserve">event with UTR from the RE (Schedule 16)</w:t>
            </w:r>
          </w:p>
        </w:tc>
        <w:tc>
          <w:tcPr>
            <w:tcW w:w="909" w:type="dxa"/>
          </w:tcPr>
          <w:p>
            <w:pPr>
              <w:pStyle w:val="Compact"/>
              <w:spacing w:after="40"/>
              <w:jc w:val="left"/>
            </w:pPr>
            <w:r>
              <w:rPr>
                <w:sz w:val="18"/>
              </w:rPr>
              <w:t xml:space="preserve">[Option]</w:t>
            </w:r>
          </w:p>
        </w:tc>
      </w:tr>
      <w:tr>
        <w:tc>
          <w:tcPr>
            <w:tcW w:w="905" w:type="dxa"/>
          </w:tcPr>
          <w:p>
            <w:pPr>
              <w:pStyle w:val="Compact"/>
              <w:spacing w:after="40"/>
              <w:jc w:val="left"/>
            </w:pPr>
            <w:r>
              <w:rPr>
                <w:sz w:val="18"/>
              </w:rPr>
              <w:t xml:space="preserve">F2</w:t>
            </w:r>
          </w:p>
        </w:tc>
        <w:tc>
          <w:tcPr>
            <w:tcW w:w="1921" w:type="dxa"/>
          </w:tcPr>
          <w:p>
            <w:pPr>
              <w:pStyle w:val="Compact"/>
              <w:spacing w:after="40"/>
              <w:jc w:val="left"/>
            </w:pPr>
            <w:r>
              <w:rPr>
                <w:sz w:val="18"/>
              </w:rPr>
              <w:t xml:space="preserve">Sourcing fee — per application</w:t>
            </w:r>
          </w:p>
        </w:tc>
        <w:tc>
          <w:tcPr>
            <w:tcW w:w="2881" w:type="dxa"/>
          </w:tcPr>
          <w:p>
            <w:pPr>
              <w:pStyle w:val="Compact"/>
              <w:spacing w:after="40"/>
              <w:jc w:val="left"/>
            </w:pPr>
            <w:r>
              <w:rPr>
                <w:sz w:val="18"/>
              </w:rPr>
              <w:t xml:space="preserve">₹[●] per complete application submitted to the RE that meets the RE’s minimum data standard</w:t>
            </w:r>
          </w:p>
        </w:tc>
        <w:tc>
          <w:tcPr>
            <w:tcW w:w="1065" w:type="dxa"/>
          </w:tcPr>
          <w:p>
            <w:pPr>
              <w:pStyle w:val="Compact"/>
              <w:spacing w:after="40"/>
              <w:jc w:val="left"/>
            </w:pPr>
            <w:r>
              <w:rPr>
                <w:sz w:val="18"/>
              </w:rPr>
              <w:t xml:space="preserve">₹[●]</w:t>
            </w:r>
          </w:p>
        </w:tc>
        <w:tc>
          <w:tcPr>
            <w:tcW w:w="1957" w:type="dxa"/>
          </w:tcPr>
          <w:p>
            <w:pPr>
              <w:pStyle w:val="Compact"/>
              <w:spacing w:after="40"/>
              <w:jc w:val="left"/>
            </w:pPr>
            <w:r>
              <w:rPr>
                <w:rStyle w:val="VerbatimChar"/>
                <w:sz w:val="18"/>
              </w:rPr>
              <w:t xml:space="preserve">ApplicationSubmitted</w:t>
            </w:r>
            <w:r>
              <w:rPr>
                <w:sz w:val="18"/>
              </w:rPr>
              <w:t xml:space="preserve"> </w:t>
            </w:r>
            <w:r>
              <w:rPr>
                <w:sz w:val="18"/>
              </w:rPr>
              <w:t xml:space="preserve">accepted by the RE</w:t>
            </w:r>
          </w:p>
        </w:tc>
        <w:tc>
          <w:tcPr>
            <w:tcW w:w="909" w:type="dxa"/>
          </w:tcPr>
          <w:p>
            <w:pPr>
              <w:pStyle w:val="Compact"/>
              <w:spacing w:after="40"/>
              <w:jc w:val="left"/>
            </w:pPr>
            <w:r>
              <w:rPr>
                <w:sz w:val="18"/>
              </w:rPr>
              <w:t xml:space="preserve">[Option]</w:t>
            </w:r>
          </w:p>
        </w:tc>
      </w:tr>
      <w:tr>
        <w:tc>
          <w:tcPr>
            <w:tcW w:w="905" w:type="dxa"/>
          </w:tcPr>
          <w:p>
            <w:pPr>
              <w:pStyle w:val="Compact"/>
              <w:spacing w:after="40"/>
              <w:jc w:val="left"/>
            </w:pPr>
            <w:r>
              <w:rPr>
                <w:sz w:val="18"/>
              </w:rPr>
              <w:t xml:space="preserve">F3</w:t>
            </w:r>
          </w:p>
        </w:tc>
        <w:tc>
          <w:tcPr>
            <w:tcW w:w="1921" w:type="dxa"/>
          </w:tcPr>
          <w:p>
            <w:pPr>
              <w:pStyle w:val="Compact"/>
              <w:spacing w:after="40"/>
              <w:jc w:val="left"/>
            </w:pPr>
            <w:r>
              <w:rPr>
                <w:sz w:val="18"/>
              </w:rPr>
              <w:t xml:space="preserve">Platform fee</w:t>
            </w:r>
          </w:p>
        </w:tc>
        <w:tc>
          <w:tcPr>
            <w:tcW w:w="2881" w:type="dxa"/>
          </w:tcPr>
          <w:p>
            <w:pPr>
              <w:pStyle w:val="Compact"/>
              <w:spacing w:after="40"/>
              <w:jc w:val="left"/>
            </w:pPr>
            <w:r>
              <w:rPr>
                <w:sz w:val="18"/>
              </w:rPr>
              <w:t xml:space="preserve">₹[●] per month for access to the lender portal, DLA register, MIS and connectors</w:t>
            </w:r>
          </w:p>
        </w:tc>
        <w:tc>
          <w:tcPr>
            <w:tcW w:w="1065" w:type="dxa"/>
          </w:tcPr>
          <w:p>
            <w:pPr>
              <w:pStyle w:val="Compact"/>
              <w:spacing w:after="40"/>
              <w:jc w:val="left"/>
            </w:pPr>
            <w:r>
              <w:rPr>
                <w:sz w:val="18"/>
              </w:rPr>
              <w:t xml:space="preserve">₹[●] per month</w:t>
            </w:r>
          </w:p>
        </w:tc>
        <w:tc>
          <w:tcPr>
            <w:tcW w:w="1957" w:type="dxa"/>
          </w:tcPr>
          <w:p>
            <w:pPr>
              <w:pStyle w:val="Compact"/>
              <w:spacing w:after="40"/>
              <w:jc w:val="left"/>
            </w:pPr>
            <w:r>
              <w:rPr>
                <w:sz w:val="18"/>
              </w:rPr>
              <w:t xml:space="preserve">Calendar month</w:t>
            </w:r>
          </w:p>
        </w:tc>
        <w:tc>
          <w:tcPr>
            <w:tcW w:w="909" w:type="dxa"/>
          </w:tcPr>
          <w:p>
            <w:pPr>
              <w:pStyle w:val="Compact"/>
              <w:spacing w:after="40"/>
              <w:jc w:val="left"/>
            </w:pPr>
            <w:r>
              <w:rPr>
                <w:sz w:val="18"/>
              </w:rPr>
              <w:t xml:space="preserve">[Option]</w:t>
            </w:r>
          </w:p>
        </w:tc>
      </w:tr>
      <w:tr>
        <w:tc>
          <w:tcPr>
            <w:tcW w:w="905" w:type="dxa"/>
          </w:tcPr>
          <w:p>
            <w:pPr>
              <w:pStyle w:val="Compact"/>
              <w:spacing w:after="40"/>
              <w:jc w:val="left"/>
            </w:pPr>
            <w:r>
              <w:rPr>
                <w:sz w:val="18"/>
              </w:rPr>
              <w:t xml:space="preserve">F4</w:t>
            </w:r>
          </w:p>
        </w:tc>
        <w:tc>
          <w:tcPr>
            <w:tcW w:w="1921" w:type="dxa"/>
          </w:tcPr>
          <w:p>
            <w:pPr>
              <w:pStyle w:val="Compact"/>
              <w:spacing w:after="40"/>
              <w:jc w:val="left"/>
            </w:pPr>
            <w:r>
              <w:rPr>
                <w:sz w:val="18"/>
              </w:rPr>
              <w:t xml:space="preserve">Servicing fee</w:t>
            </w:r>
          </w:p>
        </w:tc>
        <w:tc>
          <w:tcPr>
            <w:tcW w:w="2881" w:type="dxa"/>
          </w:tcPr>
          <w:p>
            <w:pPr>
              <w:pStyle w:val="Compact"/>
              <w:spacing w:after="40"/>
              <w:jc w:val="left"/>
            </w:pPr>
            <w:r>
              <w:rPr>
                <w:sz w:val="18"/>
              </w:rPr>
              <w:t xml:space="preserve">₹[●] per active Loan per month for servicing support (reminders, payment links, borrower servicing, grievance intake)</w:t>
            </w:r>
          </w:p>
        </w:tc>
        <w:tc>
          <w:tcPr>
            <w:tcW w:w="1065" w:type="dxa"/>
          </w:tcPr>
          <w:p>
            <w:pPr>
              <w:pStyle w:val="Compact"/>
              <w:spacing w:after="40"/>
              <w:jc w:val="left"/>
            </w:pPr>
            <w:r>
              <w:rPr>
                <w:sz w:val="18"/>
              </w:rPr>
              <w:t xml:space="preserve">₹[●]</w:t>
            </w:r>
          </w:p>
        </w:tc>
        <w:tc>
          <w:tcPr>
            <w:tcW w:w="1957" w:type="dxa"/>
          </w:tcPr>
          <w:p>
            <w:pPr>
              <w:pStyle w:val="Compact"/>
              <w:spacing w:after="40"/>
              <w:jc w:val="left"/>
            </w:pPr>
            <w:r>
              <w:rPr>
                <w:sz w:val="18"/>
              </w:rPr>
              <w:t xml:space="preserve">Active Loans in the RE’s month-end file</w:t>
            </w:r>
          </w:p>
        </w:tc>
        <w:tc>
          <w:tcPr>
            <w:tcW w:w="909" w:type="dxa"/>
          </w:tcPr>
          <w:p>
            <w:pPr>
              <w:pStyle w:val="Compact"/>
              <w:spacing w:after="40"/>
              <w:jc w:val="left"/>
            </w:pPr>
            <w:r>
              <w:rPr>
                <w:sz w:val="18"/>
              </w:rPr>
              <w:t xml:space="preserve">[Option]</w:t>
            </w:r>
          </w:p>
        </w:tc>
      </w:tr>
      <w:tr>
        <w:tc>
          <w:tcPr>
            <w:tcW w:w="905" w:type="dxa"/>
          </w:tcPr>
          <w:p>
            <w:pPr>
              <w:pStyle w:val="Compact"/>
              <w:spacing w:after="40"/>
              <w:jc w:val="left"/>
            </w:pPr>
            <w:r>
              <w:rPr>
                <w:sz w:val="18"/>
              </w:rPr>
              <w:t xml:space="preserve">F5</w:t>
            </w:r>
          </w:p>
        </w:tc>
        <w:tc>
          <w:tcPr>
            <w:tcW w:w="1921" w:type="dxa"/>
          </w:tcPr>
          <w:p>
            <w:pPr>
              <w:pStyle w:val="Compact"/>
              <w:spacing w:after="40"/>
              <w:jc w:val="left"/>
            </w:pPr>
            <w:r>
              <w:rPr>
                <w:sz w:val="18"/>
              </w:rPr>
              <w:t xml:space="preserve">Recovery-agent fee (only if Schedule 10 is executed)</w:t>
            </w:r>
          </w:p>
        </w:tc>
        <w:tc>
          <w:tcPr>
            <w:tcW w:w="2881" w:type="dxa"/>
          </w:tcPr>
          <w:p>
            <w:pPr>
              <w:pStyle w:val="Compact"/>
              <w:spacing w:after="40"/>
              <w:jc w:val="left"/>
            </w:pPr>
            <w:r>
              <w:rPr>
                <w:sz w:val="18"/>
              </w:rPr>
              <w:t xml:space="preserve">₹[●] per allocated account, or [●]% of amounts credited to the RE’s account on allocated accounts</w:t>
            </w:r>
          </w:p>
        </w:tc>
        <w:tc>
          <w:tcPr>
            <w:tcW w:w="1065" w:type="dxa"/>
          </w:tcPr>
          <w:p>
            <w:pPr>
              <w:pStyle w:val="Compact"/>
              <w:spacing w:after="40"/>
              <w:jc w:val="left"/>
            </w:pPr>
            <w:r>
              <w:rPr>
                <w:sz w:val="18"/>
              </w:rPr>
              <w:t xml:space="preserve">As Schedule 10</w:t>
            </w:r>
          </w:p>
        </w:tc>
        <w:tc>
          <w:tcPr>
            <w:tcW w:w="1957" w:type="dxa"/>
          </w:tcPr>
          <w:p>
            <w:pPr>
              <w:pStyle w:val="Compact"/>
              <w:spacing w:after="40"/>
              <w:jc w:val="left"/>
            </w:pPr>
            <w:r>
              <w:rPr>
                <w:sz w:val="18"/>
              </w:rPr>
              <w:t xml:space="preserve">RE’s posting of the amount in its books</w:t>
            </w:r>
          </w:p>
        </w:tc>
        <w:tc>
          <w:tcPr>
            <w:tcW w:w="909" w:type="dxa"/>
          </w:tcPr>
          <w:p>
            <w:pPr>
              <w:pStyle w:val="Compact"/>
              <w:spacing w:after="40"/>
              <w:jc w:val="left"/>
            </w:pPr>
            <w:r>
              <w:rPr>
                <w:sz w:val="18"/>
              </w:rPr>
              <w:t xml:space="preserve">[Option]</w:t>
            </w:r>
          </w:p>
        </w:tc>
      </w:tr>
      <w:tr>
        <w:tc>
          <w:tcPr>
            <w:tcW w:w="905" w:type="dxa"/>
          </w:tcPr>
          <w:p>
            <w:pPr>
              <w:pStyle w:val="Compact"/>
              <w:spacing w:after="40"/>
              <w:jc w:val="left"/>
            </w:pPr>
            <w:r>
              <w:rPr>
                <w:sz w:val="18"/>
              </w:rPr>
              <w:t xml:space="preserve">F6</w:t>
            </w:r>
          </w:p>
        </w:tc>
        <w:tc>
          <w:tcPr>
            <w:tcW w:w="1921" w:type="dxa"/>
          </w:tcPr>
          <w:p>
            <w:pPr>
              <w:pStyle w:val="Compact"/>
              <w:spacing w:after="40"/>
              <w:jc w:val="left"/>
            </w:pPr>
            <w:r>
              <w:rPr>
                <w:sz w:val="18"/>
              </w:rPr>
              <w:t xml:space="preserve">Integration / onboarding fee</w:t>
            </w:r>
          </w:p>
        </w:tc>
        <w:tc>
          <w:tcPr>
            <w:tcW w:w="2881" w:type="dxa"/>
          </w:tcPr>
          <w:p>
            <w:pPr>
              <w:pStyle w:val="Compact"/>
              <w:spacing w:after="40"/>
              <w:jc w:val="left"/>
            </w:pPr>
            <w:r>
              <w:rPr>
                <w:sz w:val="18"/>
              </w:rPr>
              <w:t xml:space="preserve">One-time ₹[●]</w:t>
            </w:r>
          </w:p>
        </w:tc>
        <w:tc>
          <w:tcPr>
            <w:tcW w:w="1065" w:type="dxa"/>
          </w:tcPr>
          <w:p>
            <w:pPr>
              <w:pStyle w:val="Compact"/>
              <w:spacing w:after="40"/>
              <w:jc w:val="left"/>
            </w:pPr>
            <w:r>
              <w:rPr>
                <w:sz w:val="18"/>
              </w:rPr>
              <w:t xml:space="preserve">₹[●]</w:t>
            </w:r>
          </w:p>
        </w:tc>
        <w:tc>
          <w:tcPr>
            <w:tcW w:w="1957" w:type="dxa"/>
          </w:tcPr>
          <w:p>
            <w:pPr>
              <w:pStyle w:val="Compact"/>
              <w:spacing w:after="40"/>
              <w:jc w:val="left"/>
            </w:pPr>
            <w:r>
              <w:rPr>
                <w:sz w:val="18"/>
              </w:rPr>
              <w:t xml:space="preserve">Go-live certification (Schedule 16)</w:t>
            </w:r>
          </w:p>
        </w:tc>
        <w:tc>
          <w:tcPr>
            <w:tcW w:w="909" w:type="dxa"/>
          </w:tcPr>
          <w:p>
            <w:pPr>
              <w:pStyle w:val="Compact"/>
              <w:spacing w:after="40"/>
              <w:jc w:val="left"/>
            </w:pPr>
            <w:r>
              <w:rPr>
                <w:sz w:val="18"/>
              </w:rPr>
              <w:t xml:space="preserve">[Option]</w:t>
            </w:r>
          </w:p>
        </w:tc>
      </w:tr>
      <w:tr>
        <w:tc>
          <w:tcPr>
            <w:tcW w:w="905" w:type="dxa"/>
          </w:tcPr>
          <w:p>
            <w:pPr>
              <w:pStyle w:val="Compact"/>
              <w:spacing w:after="40"/>
              <w:jc w:val="left"/>
            </w:pPr>
            <w:r>
              <w:rPr>
                <w:sz w:val="18"/>
              </w:rPr>
              <w:t xml:space="preserve">F7</w:t>
            </w:r>
          </w:p>
        </w:tc>
        <w:tc>
          <w:tcPr>
            <w:tcW w:w="1921" w:type="dxa"/>
          </w:tcPr>
          <w:p>
            <w:pPr>
              <w:pStyle w:val="Compact"/>
              <w:spacing w:after="40"/>
              <w:jc w:val="left"/>
            </w:pPr>
            <w:r>
              <w:rPr>
                <w:sz w:val="18"/>
              </w:rPr>
              <w:t xml:space="preserve">DLG fee (only if Schedule 11 is executed)</w:t>
            </w:r>
          </w:p>
        </w:tc>
        <w:tc>
          <w:tcPr>
            <w:tcW w:w="2881" w:type="dxa"/>
          </w:tcPr>
          <w:p>
            <w:pPr>
              <w:pStyle w:val="Compact"/>
              <w:spacing w:after="40"/>
              <w:jc w:val="left"/>
            </w:pPr>
            <w:r>
              <w:rPr>
                <w:sz w:val="18"/>
              </w:rPr>
              <w:t xml:space="preserve">As per RE’s DLG policy</w:t>
            </w:r>
          </w:p>
        </w:tc>
        <w:tc>
          <w:tcPr>
            <w:tcW w:w="1065" w:type="dxa"/>
          </w:tcPr>
          <w:p>
            <w:pPr>
              <w:pStyle w:val="Compact"/>
              <w:spacing w:after="40"/>
              <w:jc w:val="left"/>
            </w:pPr>
            <w:r>
              <w:rPr>
                <w:sz w:val="18"/>
              </w:rPr>
              <w:t xml:space="preserve">₹[●] / [●]%</w:t>
            </w:r>
          </w:p>
        </w:tc>
        <w:tc>
          <w:tcPr>
            <w:tcW w:w="1957" w:type="dxa"/>
          </w:tcPr>
          <w:p>
            <w:pPr>
              <w:pStyle w:val="Compact"/>
              <w:spacing w:after="40"/>
              <w:jc w:val="left"/>
            </w:pPr>
            <w:r>
              <w:rPr>
                <w:sz w:val="18"/>
              </w:rPr>
              <w:t xml:space="preserve">Schedule 11, Part B</w:t>
            </w:r>
          </w:p>
        </w:tc>
        <w:tc>
          <w:tcPr>
            <w:tcW w:w="909" w:type="dxa"/>
          </w:tcPr>
          <w:p>
            <w:pPr>
              <w:pStyle w:val="Compact"/>
              <w:spacing w:after="40"/>
              <w:jc w:val="left"/>
            </w:pPr>
            <w:r>
              <w:rPr>
                <w:sz w:val="18"/>
              </w:rPr>
              <w:t xml:space="preserve">[Option]</w:t>
            </w:r>
          </w:p>
        </w:tc>
      </w:tr>
    </w:tbl>
    <w:p>
      <w:pPr>
        <w:pStyle w:val="BodyText"/>
      </w:pPr>
      <w:r>
        <w:rPr>
          <w:iCs/>
          <w:i/>
        </w:rPr>
        <w:t xml:space="preserve">Drafting note on F5: a recovery-linked service fee paid by the RE is permitted (CF para 10(5)); a refund of fees on default would be an implicit DLG (CF para 4(1)(viii)). Agent incentives must not reward harsh conduct (RBC-3A para 100Q) [VERIFY].</w:t>
      </w:r>
    </w:p>
    <w:bookmarkEnd w:id="61"/>
    <w:bookmarkStart w:id="62" w:name="part-c-invoicing-taxes-and-payment"/>
    <w:p>
      <w:pPr>
        <w:pStyle w:val="Heading2"/>
      </w:pPr>
      <w:r>
        <w:t xml:space="preserve">Part C — Invoicing, taxes and payment</w:t>
      </w:r>
    </w:p>
    <w:p>
      <w:pPr>
        <w:pStyle w:val="FirstParagraph"/>
      </w:pPr>
      <w:r>
        <w:rPr>
          <w:bCs/>
          <w:b/>
        </w:rPr>
        <w:t xml:space="preserve">1.6 Invoicing. [Option]</w:t>
      </w:r>
      <w:r>
        <w:t xml:space="preserve"> </w:t>
      </w:r>
      <w:r>
        <w:t xml:space="preserve">The LSP shall raise a tax invoice on the RE monthly in arrears by the [7th] working day of the following month, supported by a statement reconciled to the RE’s own records (application, disbursal and posting events, Schedule 16 and Schedule 19). Disputed line items shall be notified within [15] days; undisputed amounts shall be paid within [30] days of receipt of a valid invoice.</w:t>
      </w:r>
    </w:p>
    <w:p>
      <w:pPr>
        <w:pStyle w:val="BodyText"/>
      </w:pPr>
      <w:r>
        <w:rPr>
          <w:bCs/>
          <w:b/>
        </w:rPr>
        <w:t xml:space="preserve">1.7 GST. [Mandatory — Law]</w:t>
      </w:r>
      <w:r>
        <w:t xml:space="preserve"> </w:t>
      </w:r>
      <w:r>
        <w:t xml:space="preserve">Fees are exclusive of Goods and Services Tax, which the RE shall pay at the applicable rate against a valid tax invoice under the CGST Act, 2017 and the applicable State/IGST law. The LSP shall upload invoice details in time for the RE to avail input tax credit where eligible. Classification of the services (SAC) shall be confirmed by the LSP’s tax adviser [VERIFY: SAC and rate; e-invoicing threshold].</w:t>
      </w:r>
    </w:p>
    <w:p>
      <w:pPr>
        <w:pStyle w:val="BodyText"/>
      </w:pPr>
      <w:r>
        <w:rPr>
          <w:bCs/>
          <w:b/>
        </w:rPr>
        <w:t xml:space="preserve">1.8 TDS. [Mandatory — Law]</w:t>
      </w:r>
      <w:r>
        <w:t xml:space="preserve"> </w:t>
      </w:r>
      <w:r>
        <w:t xml:space="preserve">The RE may deduct tax at source at the rate prescribed under the Income-tax Act, 2025 (in force from 1 Apr 2026) and shall issue TDS certificates within the statutory period [VERIFY: the section of the Income-tax Act, 2025 corresponding to former ss.194H/194J of the Income-tax Act, 1961, and the applicable rate for sourcing commission versus technical services].</w:t>
      </w:r>
    </w:p>
    <w:p>
      <w:pPr>
        <w:pStyle w:val="BodyText"/>
      </w:pPr>
      <w:r>
        <w:rPr>
          <w:bCs/>
          <w:b/>
        </w:rPr>
        <w:t xml:space="preserve">1.9 No set-off against DLG. [Mandatory — RBI]</w:t>
      </w:r>
      <w:r>
        <w:t xml:space="preserve"> </w:t>
      </w:r>
      <w:r>
        <w:t xml:space="preserve">Fees payable to the LSP shall be paid in full and shall not be set off against, netted from or retained as, any DLG cover; and no DLG cover, invoked amount or recovery share under Schedule 11 shall be set off against fees, except an invocation made strictly under Schedule 11. DLG cover shall be maintained only in a form permitted by CF para 23 and never by withholding of fees (CF paras 22(2), 23).</w:t>
      </w:r>
    </w:p>
    <w:p>
      <w:pPr>
        <w:pStyle w:val="BodyText"/>
      </w:pPr>
      <w:r>
        <w:rPr>
          <w:bCs/>
          <w:b/>
        </w:rPr>
        <w:t xml:space="preserve">1.10 Late payment, review and records. [Option / Mandatory — RBI for records]</w:t>
      </w:r>
      <w:r>
        <w:t xml:space="preserve"> </w:t>
      </w:r>
      <w:r>
        <w:t xml:space="preserve">Undisputed amounts unpaid after the due date carry simple interest at [●]% p.a.; late payment never entitles the LSP to suspend services to existing Borrowers (Article 31; Schedule 14). Fees are fixed for [12] months and thereafter revised only in writing, re-checked against paras 1.3–1.4. Fee computations and event logs are kept for at least [8] years, or longer where the RE’s legal or regulatory obligations require (OUT para 34(xii)), and are available to the RE, its auditors and RBI (OUT paras 34(ii), 34(viii), 74(ii)).</w:t>
      </w:r>
    </w:p>
    <w:p>
      <w:r>
        <w:pict>
          <v:rect style="width:0;height:1.5pt" o:hralign="center" o:hrstd="t" o:hr="t"/>
        </w:pict>
      </w:r>
    </w:p>
    <w:p>
      <w:r>
        <w:br w:type="page"/>
      </w:r>
    </w:p>
    <w:bookmarkEnd w:id="62"/>
    <w:bookmarkEnd w:id="63"/>
    <w:bookmarkStart w:id="66" w:name="X398fa392f112aca11affa4cfebdf1fc0bfd8d3c"/>
    <w:p>
      <w:pPr>
        <w:pStyle w:val="Heading1"/>
      </w:pPr>
      <w:r>
        <w:t xml:space="preserve">SCHEDULE 2 — Scope of Services and Responsibility Matrix</w:t>
      </w:r>
    </w:p>
    <w:p>
      <w:pPr>
        <w:pStyle w:val="FirstParagraph"/>
      </w:pPr>
      <w:r>
        <w:rPr>
          <w:iCs/>
          <w:i/>
        </w:rPr>
        <w:t xml:space="preserve">Drafting note: Implements Articles 3, 7 and 8. The LSP is the RE’s agent for the functions in CF para 4(1)(xix); the RE remains fully responsible (CF para 6(7); OUT paras 9, 17); decision-making functions are never outsourced (OUT para 15; KYC para 13).</w:t>
      </w:r>
    </w:p>
    <w:p>
      <w:pPr>
        <w:pStyle w:val="BodyText"/>
      </w:pPr>
      <w:r>
        <w:rPr>
          <w:bCs/>
          <w:b/>
        </w:rPr>
        <w:t xml:space="preserve">2.1 Relationship. [Mandatory — RBI]</w:t>
      </w:r>
      <w:r>
        <w:t xml:space="preserve"> </w:t>
      </w:r>
      <w:r>
        <w:t xml:space="preserve">The LSP acts as agent of the RE for the activities marked</w:t>
      </w:r>
      <w:r>
        <w:t xml:space="preserve"> </w:t>
      </w:r>
      <w:r>
        <w:t xml:space="preserve">“</w:t>
      </w:r>
      <w:r>
        <w:t xml:space="preserve">LSP</w:t>
      </w:r>
      <w:r>
        <w:t xml:space="preserve">”</w:t>
      </w:r>
      <w:r>
        <w:t xml:space="preserve"> </w:t>
      </w:r>
      <w:r>
        <w:t xml:space="preserve">below, in conformity with OUT; the RE retains ultimate control of every outsourced activity (CF para 4(1)(xix); OUT paras 17, 33).</w:t>
      </w:r>
    </w:p>
    <w:p>
      <w:pPr>
        <w:pStyle w:val="BodyText"/>
      </w:pPr>
      <w:r>
        <w:rPr>
          <w:bCs/>
          <w:b/>
        </w:rPr>
        <w:t xml:space="preserve">2.2 Non-outsourceable functions. [Mandatory — RBI]</w:t>
      </w:r>
      <w:r>
        <w:t xml:space="preserve"> </w:t>
      </w:r>
      <w:r>
        <w:t xml:space="preserve">The LSP shall not perform, and no configuration shall permit it to perform, any determination of KYC compliance, loan sanction or other credit decision, pricing, internal audit, or strategic or compliance function of the RE (OUT para 15; KYC para 13). Any rule set the LSP hosts is the RE’s, approved and versioned by the RE, and its output is recorded as the RE’s decision or as a non-binding pre-filter.</w:t>
      </w:r>
    </w:p>
    <w:p>
      <w:pPr>
        <w:pStyle w:val="BodyText"/>
      </w:pPr>
      <w:r>
        <w:rPr>
          <w:bCs/>
          <w:b/>
        </w:rPr>
        <w:t xml:space="preserve">2.3 Standard of care. [Mandatory — RBI]</w:t>
      </w:r>
      <w:r>
        <w:t xml:space="preserve"> </w:t>
      </w:r>
      <w:r>
        <w:t xml:space="preserve">The LSP performs every activity with the same high standard of care the RE would employ in-house (OUT para 18(v)).</w:t>
      </w:r>
    </w:p>
    <w:bookmarkStart w:id="64" w:name="part-a-responsibility-matrix"/>
    <w:p>
      <w:pPr>
        <w:pStyle w:val="Heading2"/>
      </w:pPr>
      <w:r>
        <w:t xml:space="preserve">Part A — Responsibility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14"/>
        <w:gridCol w:w="1939"/>
        <w:gridCol w:w="2135"/>
        <w:gridCol w:w="2690"/>
        <w:gridCol w:w="1960"/>
      </w:tblGrid>
      <w:tr>
        <w:trPr>
          <w:tblHeader w:val="true"/>
          <w:tblHeader w:val="true"/>
        </w:trPr>
        <w:tc>
          <w:tcPr>
            <w:tcW w:w="914" w:type="dxa"/>
            <w:shd w:val="clear" w:color="auto" w:fill="1F3A5F"/>
          </w:tcPr>
          <w:p>
            <w:pPr>
              <w:pStyle w:val="Compact"/>
              <w:spacing w:after="40"/>
              <w:jc w:val="left"/>
            </w:pPr>
            <w:r>
              <w:rPr>
                <w:b/>
                <w:color w:val="FFFFFF"/>
                <w:sz w:val="18"/>
              </w:rPr>
              <w:t xml:space="preserve">#</w:t>
            </w:r>
          </w:p>
        </w:tc>
        <w:tc>
          <w:tcPr>
            <w:tcW w:w="1939" w:type="dxa"/>
            <w:shd w:val="clear" w:color="auto" w:fill="1F3A5F"/>
          </w:tcPr>
          <w:p>
            <w:pPr>
              <w:pStyle w:val="Compact"/>
              <w:spacing w:after="40"/>
              <w:jc w:val="left"/>
            </w:pPr>
            <w:r>
              <w:rPr>
                <w:b/>
                <w:color w:val="FFFFFF"/>
                <w:sz w:val="18"/>
              </w:rPr>
              <w:t xml:space="preserve">Activity</w:t>
            </w:r>
          </w:p>
        </w:tc>
        <w:tc>
          <w:tcPr>
            <w:tcW w:w="2135" w:type="dxa"/>
            <w:shd w:val="clear" w:color="auto" w:fill="1F3A5F"/>
          </w:tcPr>
          <w:p>
            <w:pPr>
              <w:pStyle w:val="Compact"/>
              <w:spacing w:after="40"/>
              <w:jc w:val="left"/>
            </w:pPr>
            <w:r>
              <w:rPr>
                <w:b/>
                <w:color w:val="FFFFFF"/>
                <w:sz w:val="18"/>
              </w:rPr>
              <w:t xml:space="preserve">RE</w:t>
            </w:r>
          </w:p>
        </w:tc>
        <w:tc>
          <w:tcPr>
            <w:tcW w:w="2690" w:type="dxa"/>
            <w:shd w:val="clear" w:color="auto" w:fill="1F3A5F"/>
          </w:tcPr>
          <w:p>
            <w:pPr>
              <w:pStyle w:val="Compact"/>
              <w:spacing w:after="40"/>
              <w:jc w:val="left"/>
            </w:pPr>
            <w:r>
              <w:rPr>
                <w:b/>
                <w:color w:val="FFFFFF"/>
                <w:sz w:val="18"/>
              </w:rPr>
              <w:t xml:space="preserve">LSP</w:t>
            </w:r>
          </w:p>
        </w:tc>
        <w:tc>
          <w:tcPr>
            <w:tcW w:w="1960" w:type="dxa"/>
            <w:shd w:val="clear" w:color="auto" w:fill="1F3A5F"/>
          </w:tcPr>
          <w:p>
            <w:pPr>
              <w:pStyle w:val="Compact"/>
              <w:spacing w:after="40"/>
              <w:jc w:val="left"/>
            </w:pPr>
            <w:r>
              <w:rPr>
                <w:b/>
                <w:color w:val="FFFFFF"/>
                <w:sz w:val="18"/>
              </w:rPr>
              <w:t xml:space="preserve">Source</w:t>
            </w:r>
          </w:p>
        </w:tc>
      </w:tr>
      <w:tr>
        <w:tc>
          <w:tcPr>
            <w:tcW w:w="914" w:type="dxa"/>
          </w:tcPr>
          <w:p>
            <w:pPr>
              <w:pStyle w:val="Compact"/>
              <w:spacing w:after="40"/>
              <w:jc w:val="left"/>
            </w:pPr>
            <w:r>
              <w:rPr>
                <w:sz w:val="18"/>
              </w:rPr>
              <w:t xml:space="preserve">1</w:t>
            </w:r>
          </w:p>
        </w:tc>
        <w:tc>
          <w:tcPr>
            <w:tcW w:w="1939" w:type="dxa"/>
          </w:tcPr>
          <w:p>
            <w:pPr>
              <w:pStyle w:val="Compact"/>
              <w:spacing w:after="40"/>
              <w:jc w:val="left"/>
            </w:pPr>
            <w:r>
              <w:rPr>
                <w:sz w:val="18"/>
              </w:rPr>
              <w:t xml:space="preserve">Sourcing</w:t>
            </w:r>
          </w:p>
        </w:tc>
        <w:tc>
          <w:tcPr>
            <w:tcW w:w="2135" w:type="dxa"/>
          </w:tcPr>
          <w:p>
            <w:pPr>
              <w:pStyle w:val="Compact"/>
              <w:spacing w:after="40"/>
              <w:jc w:val="left"/>
            </w:pPr>
            <w:r>
              <w:rPr>
                <w:sz w:val="18"/>
              </w:rPr>
              <w:t xml:space="preserve">Approves Products, segments, content</w:t>
            </w:r>
          </w:p>
        </w:tc>
        <w:tc>
          <w:tcPr>
            <w:tcW w:w="2690" w:type="dxa"/>
          </w:tcPr>
          <w:p>
            <w:pPr>
              <w:pStyle w:val="Compact"/>
              <w:spacing w:after="40"/>
              <w:jc w:val="left"/>
            </w:pPr>
            <w:r>
              <w:rPr>
                <w:sz w:val="18"/>
              </w:rPr>
              <w:t xml:space="preserve">Acquires prospects via DLA and approved campaigns; neutral offer display</w:t>
            </w:r>
          </w:p>
        </w:tc>
        <w:tc>
          <w:tcPr>
            <w:tcW w:w="1960" w:type="dxa"/>
          </w:tcPr>
          <w:p>
            <w:pPr>
              <w:pStyle w:val="Compact"/>
              <w:spacing w:after="40"/>
              <w:jc w:val="left"/>
            </w:pPr>
            <w:r>
              <w:rPr>
                <w:sz w:val="18"/>
              </w:rPr>
              <w:t xml:space="preserve">CF paras 4(1)(xix), 7; RBC paras 98–101; Art. 6</w:t>
            </w:r>
          </w:p>
        </w:tc>
      </w:tr>
      <w:tr>
        <w:tc>
          <w:tcPr>
            <w:tcW w:w="914" w:type="dxa"/>
          </w:tcPr>
          <w:p>
            <w:pPr>
              <w:pStyle w:val="Compact"/>
              <w:spacing w:after="40"/>
              <w:jc w:val="left"/>
            </w:pPr>
            <w:r>
              <w:rPr>
                <w:sz w:val="18"/>
              </w:rPr>
              <w:t xml:space="preserve">2</w:t>
            </w:r>
          </w:p>
        </w:tc>
        <w:tc>
          <w:tcPr>
            <w:tcW w:w="1939" w:type="dxa"/>
          </w:tcPr>
          <w:p>
            <w:pPr>
              <w:pStyle w:val="Compact"/>
              <w:spacing w:after="40"/>
              <w:jc w:val="left"/>
            </w:pPr>
            <w:r>
              <w:rPr>
                <w:sz w:val="18"/>
              </w:rPr>
              <w:t xml:space="preserve">DLA operation</w:t>
            </w:r>
          </w:p>
        </w:tc>
        <w:tc>
          <w:tcPr>
            <w:tcW w:w="2135" w:type="dxa"/>
          </w:tcPr>
          <w:p>
            <w:pPr>
              <w:pStyle w:val="Compact"/>
              <w:spacing w:after="40"/>
              <w:jc w:val="left"/>
            </w:pPr>
            <w:r>
              <w:rPr>
                <w:sz w:val="18"/>
              </w:rPr>
              <w:t xml:space="preserve">Ensures DLA compliance; reports on CIMS; certifies</w:t>
            </w:r>
          </w:p>
        </w:tc>
        <w:tc>
          <w:tcPr>
            <w:tcW w:w="2690" w:type="dxa"/>
          </w:tcPr>
          <w:p>
            <w:pPr>
              <w:pStyle w:val="Compact"/>
              <w:spacing w:after="40"/>
              <w:jc w:val="left"/>
            </w:pPr>
            <w:r>
              <w:rPr>
                <w:sz w:val="18"/>
              </w:rPr>
              <w:t xml:space="preserve">Builds, hosts, operates; keeps DLA register</w:t>
            </w:r>
          </w:p>
        </w:tc>
        <w:tc>
          <w:tcPr>
            <w:tcW w:w="1960" w:type="dxa"/>
          </w:tcPr>
          <w:p>
            <w:pPr>
              <w:pStyle w:val="Compact"/>
              <w:spacing w:after="40"/>
              <w:jc w:val="left"/>
            </w:pPr>
            <w:r>
              <w:rPr>
                <w:sz w:val="18"/>
              </w:rPr>
              <w:t xml:space="preserve">CF paras 6(6), 18; Art. 5; Sch. 3</w:t>
            </w:r>
          </w:p>
        </w:tc>
      </w:tr>
      <w:tr>
        <w:tc>
          <w:tcPr>
            <w:tcW w:w="914" w:type="dxa"/>
          </w:tcPr>
          <w:p>
            <w:pPr>
              <w:pStyle w:val="Compact"/>
              <w:spacing w:after="40"/>
              <w:jc w:val="left"/>
            </w:pPr>
            <w:r>
              <w:rPr>
                <w:sz w:val="18"/>
              </w:rPr>
              <w:t xml:space="preserve">3</w:t>
            </w:r>
          </w:p>
        </w:tc>
        <w:tc>
          <w:tcPr>
            <w:tcW w:w="1939" w:type="dxa"/>
          </w:tcPr>
          <w:p>
            <w:pPr>
              <w:pStyle w:val="Compact"/>
              <w:spacing w:after="40"/>
              <w:jc w:val="left"/>
            </w:pPr>
            <w:r>
              <w:rPr>
                <w:sz w:val="18"/>
              </w:rPr>
              <w:t xml:space="preserve">Onboarding</w:t>
            </w:r>
          </w:p>
        </w:tc>
        <w:tc>
          <w:tcPr>
            <w:tcW w:w="2135" w:type="dxa"/>
          </w:tcPr>
          <w:p>
            <w:pPr>
              <w:pStyle w:val="Compact"/>
              <w:spacing w:after="40"/>
              <w:jc w:val="left"/>
            </w:pPr>
            <w:r>
              <w:rPr>
                <w:sz w:val="18"/>
              </w:rPr>
              <w:t xml:space="preserve">Owns relationship once application submitted</w:t>
            </w:r>
          </w:p>
        </w:tc>
        <w:tc>
          <w:tcPr>
            <w:tcW w:w="2690" w:type="dxa"/>
          </w:tcPr>
          <w:p>
            <w:pPr>
              <w:pStyle w:val="Compact"/>
              <w:spacing w:after="40"/>
              <w:jc w:val="left"/>
            </w:pPr>
            <w:r>
              <w:rPr>
                <w:sz w:val="18"/>
              </w:rPr>
              <w:t xml:space="preserve">Registration, device binding, consent capture naming the RE</w:t>
            </w:r>
          </w:p>
        </w:tc>
        <w:tc>
          <w:tcPr>
            <w:tcW w:w="1960" w:type="dxa"/>
          </w:tcPr>
          <w:p>
            <w:pPr>
              <w:pStyle w:val="Compact"/>
              <w:spacing w:after="40"/>
              <w:jc w:val="left"/>
            </w:pPr>
            <w:r>
              <w:rPr>
                <w:sz w:val="18"/>
              </w:rPr>
              <w:t xml:space="preserve">CF para 13; Art. 7</w:t>
            </w:r>
          </w:p>
        </w:tc>
      </w:tr>
      <w:tr>
        <w:tc>
          <w:tcPr>
            <w:tcW w:w="914" w:type="dxa"/>
          </w:tcPr>
          <w:p>
            <w:pPr>
              <w:pStyle w:val="Compact"/>
              <w:spacing w:after="40"/>
              <w:jc w:val="left"/>
            </w:pPr>
            <w:r>
              <w:rPr>
                <w:sz w:val="18"/>
              </w:rPr>
              <w:t xml:space="preserve">4</w:t>
            </w:r>
          </w:p>
        </w:tc>
        <w:tc>
          <w:tcPr>
            <w:tcW w:w="1939" w:type="dxa"/>
          </w:tcPr>
          <w:p>
            <w:pPr>
              <w:pStyle w:val="Compact"/>
              <w:spacing w:after="40"/>
              <w:jc w:val="left"/>
            </w:pPr>
            <w:r>
              <w:rPr>
                <w:sz w:val="18"/>
              </w:rPr>
              <w:t xml:space="preserve">KYC evidence</w:t>
            </w:r>
          </w:p>
        </w:tc>
        <w:tc>
          <w:tcPr>
            <w:tcW w:w="2135" w:type="dxa"/>
          </w:tcPr>
          <w:p>
            <w:pPr>
              <w:pStyle w:val="Compact"/>
              <w:spacing w:after="40"/>
              <w:jc w:val="left"/>
            </w:pPr>
            <w:r>
              <w:rPr>
                <w:sz w:val="18"/>
              </w:rPr>
              <w:t xml:space="preserve">Specifies routes per Product</w:t>
            </w:r>
          </w:p>
        </w:tc>
        <w:tc>
          <w:tcPr>
            <w:tcW w:w="2690" w:type="dxa"/>
          </w:tcPr>
          <w:p>
            <w:pPr>
              <w:pStyle w:val="Compact"/>
              <w:spacing w:after="40"/>
              <w:jc w:val="left"/>
            </w:pPr>
            <w:r>
              <w:rPr>
                <w:sz w:val="18"/>
              </w:rPr>
              <w:t xml:space="preserve">CKYC fetch with consent, DigiLocker/offline Aadhaar, PAN check, liveness, capture; packages evidence</w:t>
            </w:r>
          </w:p>
        </w:tc>
        <w:tc>
          <w:tcPr>
            <w:tcW w:w="1960" w:type="dxa"/>
          </w:tcPr>
          <w:p>
            <w:pPr>
              <w:pStyle w:val="Compact"/>
              <w:spacing w:after="40"/>
              <w:jc w:val="left"/>
            </w:pPr>
            <w:r>
              <w:rPr>
                <w:sz w:val="18"/>
              </w:rPr>
              <w:t xml:space="preserve">KYC paras 23–24, 63</w:t>
            </w:r>
          </w:p>
        </w:tc>
      </w:tr>
      <w:tr>
        <w:tc>
          <w:tcPr>
            <w:tcW w:w="914" w:type="dxa"/>
          </w:tcPr>
          <w:p>
            <w:pPr>
              <w:pStyle w:val="Compact"/>
              <w:spacing w:after="40"/>
              <w:jc w:val="left"/>
            </w:pPr>
            <w:r>
              <w:rPr>
                <w:sz w:val="18"/>
              </w:rPr>
              <w:t xml:space="preserve">5</w:t>
            </w:r>
          </w:p>
        </w:tc>
        <w:tc>
          <w:tcPr>
            <w:tcW w:w="1939" w:type="dxa"/>
          </w:tcPr>
          <w:p>
            <w:pPr>
              <w:pStyle w:val="Compact"/>
              <w:spacing w:after="40"/>
              <w:jc w:val="left"/>
            </w:pPr>
            <w:r>
              <w:rPr>
                <w:sz w:val="18"/>
              </w:rPr>
              <w:t xml:space="preserve">KYC decision, risk category, CKYCR upload, V-CIP</w:t>
            </w:r>
          </w:p>
        </w:tc>
        <w:tc>
          <w:tcPr>
            <w:tcW w:w="2135" w:type="dxa"/>
          </w:tcPr>
          <w:p>
            <w:pPr>
              <w:pStyle w:val="Compact"/>
              <w:spacing w:after="40"/>
              <w:jc w:val="left"/>
            </w:pPr>
            <w:r>
              <w:rPr>
                <w:sz w:val="18"/>
              </w:rPr>
              <w:t xml:space="preserve">Decides; V-CIP by its trained official</w:t>
            </w:r>
          </w:p>
        </w:tc>
        <w:tc>
          <w:tcPr>
            <w:tcW w:w="2690" w:type="dxa"/>
          </w:tcPr>
          <w:p>
            <w:pPr>
              <w:pStyle w:val="Compact"/>
              <w:spacing w:after="40"/>
              <w:jc w:val="left"/>
            </w:pPr>
            <w:r>
              <w:rPr>
                <w:sz w:val="18"/>
              </w:rPr>
              <w:t xml:space="preserve">None; never marks</w:t>
            </w:r>
            <w:r>
              <w:rPr>
                <w:sz w:val="18"/>
              </w:rPr>
              <w:t xml:space="preserve"> </w:t>
            </w:r>
            <w:r>
              <w:rPr>
                <w:sz w:val="18"/>
              </w:rPr>
              <w:t xml:space="preserve">“</w:t>
            </w:r>
            <w:r>
              <w:rPr>
                <w:sz w:val="18"/>
              </w:rPr>
              <w:t xml:space="preserve">KYC compliant</w:t>
            </w:r>
            <w:r>
              <w:rPr>
                <w:sz w:val="18"/>
              </w:rPr>
              <w:t xml:space="preserve">”</w:t>
            </w:r>
          </w:p>
        </w:tc>
        <w:tc>
          <w:tcPr>
            <w:tcW w:w="1960" w:type="dxa"/>
          </w:tcPr>
          <w:p>
            <w:pPr>
              <w:pStyle w:val="Compact"/>
              <w:spacing w:after="40"/>
              <w:jc w:val="left"/>
            </w:pPr>
            <w:r>
              <w:rPr>
                <w:sz w:val="18"/>
              </w:rPr>
              <w:t xml:space="preserve">KYC paras 13, 27; OUT para 15</w:t>
            </w:r>
          </w:p>
        </w:tc>
      </w:tr>
      <w:tr>
        <w:tc>
          <w:tcPr>
            <w:tcW w:w="914" w:type="dxa"/>
          </w:tcPr>
          <w:p>
            <w:pPr>
              <w:pStyle w:val="Compact"/>
              <w:spacing w:after="40"/>
              <w:jc w:val="left"/>
            </w:pPr>
            <w:r>
              <w:rPr>
                <w:sz w:val="18"/>
              </w:rPr>
              <w:t xml:space="preserve">6</w:t>
            </w:r>
          </w:p>
        </w:tc>
        <w:tc>
          <w:tcPr>
            <w:tcW w:w="1939" w:type="dxa"/>
          </w:tcPr>
          <w:p>
            <w:pPr>
              <w:pStyle w:val="Compact"/>
              <w:spacing w:after="40"/>
              <w:jc w:val="left"/>
            </w:pPr>
            <w:r>
              <w:rPr>
                <w:sz w:val="18"/>
              </w:rPr>
              <w:t xml:space="preserve">Aadhaar OTP e-KYC</w:t>
            </w:r>
          </w:p>
        </w:tc>
        <w:tc>
          <w:tcPr>
            <w:tcW w:w="2135" w:type="dxa"/>
          </w:tcPr>
          <w:p>
            <w:pPr>
              <w:pStyle w:val="Compact"/>
              <w:spacing w:after="40"/>
              <w:jc w:val="left"/>
            </w:pPr>
            <w:r>
              <w:rPr>
                <w:sz w:val="18"/>
              </w:rPr>
              <w:t xml:space="preserve">Only if permitted; ₹60,000 annual term-loan cap; one-year limit</w:t>
            </w:r>
          </w:p>
        </w:tc>
        <w:tc>
          <w:tcPr>
            <w:tcW w:w="2690" w:type="dxa"/>
          </w:tcPr>
          <w:p>
            <w:pPr>
              <w:pStyle w:val="Compact"/>
              <w:spacing w:after="40"/>
              <w:jc w:val="left"/>
            </w:pPr>
            <w:r>
              <w:rPr>
                <w:sz w:val="18"/>
              </w:rPr>
              <w:t xml:space="preserve">Specific consent; para 25(8) declaration; no Aadhaar number stored</w:t>
            </w:r>
          </w:p>
        </w:tc>
        <w:tc>
          <w:tcPr>
            <w:tcW w:w="1960" w:type="dxa"/>
          </w:tcPr>
          <w:p>
            <w:pPr>
              <w:pStyle w:val="Compact"/>
              <w:spacing w:after="40"/>
              <w:jc w:val="left"/>
            </w:pPr>
            <w:r>
              <w:rPr>
                <w:sz w:val="18"/>
              </w:rPr>
              <w:t xml:space="preserve">KYC para 25; Aadhaar Act s.29</w:t>
            </w:r>
          </w:p>
        </w:tc>
      </w:tr>
      <w:tr>
        <w:tc>
          <w:tcPr>
            <w:tcW w:w="914" w:type="dxa"/>
          </w:tcPr>
          <w:p>
            <w:pPr>
              <w:pStyle w:val="Compact"/>
              <w:spacing w:after="40"/>
              <w:jc w:val="left"/>
            </w:pPr>
            <w:r>
              <w:rPr>
                <w:sz w:val="18"/>
              </w:rPr>
              <w:t xml:space="preserve">7</w:t>
            </w:r>
          </w:p>
        </w:tc>
        <w:tc>
          <w:tcPr>
            <w:tcW w:w="1939" w:type="dxa"/>
          </w:tcPr>
          <w:p>
            <w:pPr>
              <w:pStyle w:val="Compact"/>
              <w:spacing w:after="40"/>
              <w:jc w:val="left"/>
            </w:pPr>
            <w:r>
              <w:rPr>
                <w:sz w:val="18"/>
              </w:rPr>
              <w:t xml:space="preserve">Credit bureau</w:t>
            </w:r>
          </w:p>
        </w:tc>
        <w:tc>
          <w:tcPr>
            <w:tcW w:w="2135" w:type="dxa"/>
          </w:tcPr>
          <w:p>
            <w:pPr>
              <w:pStyle w:val="Compact"/>
              <w:spacing w:after="40"/>
              <w:jc w:val="left"/>
            </w:pPr>
            <w:r>
              <w:rPr>
                <w:sz w:val="18"/>
              </w:rPr>
              <w:t xml:space="preserve">Pulls under its own CIC membership</w:t>
            </w:r>
          </w:p>
        </w:tc>
        <w:tc>
          <w:tcPr>
            <w:tcW w:w="2690" w:type="dxa"/>
          </w:tcPr>
          <w:p>
            <w:pPr>
              <w:pStyle w:val="Compact"/>
              <w:spacing w:after="40"/>
              <w:jc w:val="left"/>
            </w:pPr>
            <w:r>
              <w:rPr>
                <w:sz w:val="18"/>
              </w:rPr>
              <w:t xml:space="preserve">Captures consent; triggers RE’s pull; displays what RE permits</w:t>
            </w:r>
          </w:p>
        </w:tc>
        <w:tc>
          <w:tcPr>
            <w:tcW w:w="1960" w:type="dxa"/>
          </w:tcPr>
          <w:p>
            <w:pPr>
              <w:pStyle w:val="Compact"/>
              <w:spacing w:after="40"/>
              <w:jc w:val="left"/>
            </w:pPr>
            <w:r>
              <w:rPr>
                <w:sz w:val="18"/>
              </w:rPr>
              <w:t xml:space="preserve">CIR para 6; CICRA</w:t>
            </w:r>
          </w:p>
        </w:tc>
      </w:tr>
      <w:tr>
        <w:tc>
          <w:tcPr>
            <w:tcW w:w="914" w:type="dxa"/>
          </w:tcPr>
          <w:p>
            <w:pPr>
              <w:pStyle w:val="Compact"/>
              <w:spacing w:after="40"/>
              <w:jc w:val="left"/>
            </w:pPr>
            <w:r>
              <w:rPr>
                <w:sz w:val="18"/>
              </w:rPr>
              <w:t xml:space="preserve">8</w:t>
            </w:r>
          </w:p>
        </w:tc>
        <w:tc>
          <w:tcPr>
            <w:tcW w:w="1939" w:type="dxa"/>
          </w:tcPr>
          <w:p>
            <w:pPr>
              <w:pStyle w:val="Compact"/>
              <w:spacing w:after="40"/>
              <w:jc w:val="left"/>
            </w:pPr>
            <w:r>
              <w:rPr>
                <w:sz w:val="18"/>
              </w:rPr>
              <w:t xml:space="preserve">Account Aggregator</w:t>
            </w:r>
          </w:p>
        </w:tc>
        <w:tc>
          <w:tcPr>
            <w:tcW w:w="2135" w:type="dxa"/>
          </w:tcPr>
          <w:p>
            <w:pPr>
              <w:pStyle w:val="Compact"/>
              <w:spacing w:after="40"/>
              <w:jc w:val="left"/>
            </w:pPr>
            <w:r>
              <w:rPr>
                <w:sz w:val="18"/>
              </w:rPr>
              <w:t xml:space="preserve">Is the FIU named in the consent</w:t>
            </w:r>
          </w:p>
        </w:tc>
        <w:tc>
          <w:tcPr>
            <w:tcW w:w="2690" w:type="dxa"/>
          </w:tcPr>
          <w:p>
            <w:pPr>
              <w:pStyle w:val="Compact"/>
              <w:spacing w:after="40"/>
              <w:jc w:val="left"/>
            </w:pPr>
            <w:r>
              <w:rPr>
                <w:sz w:val="18"/>
              </w:rPr>
              <w:t xml:space="preserve">Technology service provider; never an FIU</w:t>
            </w:r>
          </w:p>
        </w:tc>
        <w:tc>
          <w:tcPr>
            <w:tcW w:w="1960" w:type="dxa"/>
          </w:tcPr>
          <w:p>
            <w:pPr>
              <w:pStyle w:val="Compact"/>
              <w:spacing w:after="40"/>
              <w:jc w:val="left"/>
            </w:pPr>
            <w:r>
              <w:rPr>
                <w:sz w:val="18"/>
              </w:rPr>
              <w:t xml:space="preserve">AA Directions [VERIFY: TSP norms]</w:t>
            </w:r>
          </w:p>
        </w:tc>
      </w:tr>
      <w:tr>
        <w:tc>
          <w:tcPr>
            <w:tcW w:w="914" w:type="dxa"/>
          </w:tcPr>
          <w:p>
            <w:pPr>
              <w:pStyle w:val="Compact"/>
              <w:spacing w:after="40"/>
              <w:jc w:val="left"/>
            </w:pPr>
            <w:r>
              <w:rPr>
                <w:sz w:val="18"/>
              </w:rPr>
              <w:t xml:space="preserve">9</w:t>
            </w:r>
          </w:p>
        </w:tc>
        <w:tc>
          <w:tcPr>
            <w:tcW w:w="1939" w:type="dxa"/>
          </w:tcPr>
          <w:p>
            <w:pPr>
              <w:pStyle w:val="Compact"/>
              <w:spacing w:after="40"/>
              <w:jc w:val="left"/>
            </w:pPr>
            <w:r>
              <w:rPr>
                <w:sz w:val="18"/>
              </w:rPr>
              <w:t xml:space="preserve">Economic profile</w:t>
            </w:r>
          </w:p>
        </w:tc>
        <w:tc>
          <w:tcPr>
            <w:tcW w:w="2135" w:type="dxa"/>
          </w:tcPr>
          <w:p>
            <w:pPr>
              <w:pStyle w:val="Compact"/>
              <w:spacing w:after="40"/>
              <w:jc w:val="left"/>
            </w:pPr>
            <w:r>
              <w:rPr>
                <w:sz w:val="18"/>
              </w:rPr>
              <w:t xml:space="preserve">Obtains and keeps for audit</w:t>
            </w:r>
          </w:p>
        </w:tc>
        <w:tc>
          <w:tcPr>
            <w:tcW w:w="2690" w:type="dxa"/>
          </w:tcPr>
          <w:p>
            <w:pPr>
              <w:pStyle w:val="Compact"/>
              <w:spacing w:after="40"/>
              <w:jc w:val="left"/>
            </w:pPr>
            <w:r>
              <w:rPr>
                <w:sz w:val="18"/>
              </w:rPr>
              <w:t xml:space="preserve">Captures age, occupation, income with evidence</w:t>
            </w:r>
          </w:p>
        </w:tc>
        <w:tc>
          <w:tcPr>
            <w:tcW w:w="1960" w:type="dxa"/>
          </w:tcPr>
          <w:p>
            <w:pPr>
              <w:pStyle w:val="Compact"/>
              <w:spacing w:after="40"/>
              <w:jc w:val="left"/>
            </w:pPr>
            <w:r>
              <w:rPr>
                <w:sz w:val="18"/>
              </w:rPr>
              <w:t xml:space="preserve">CF para 8(1)</w:t>
            </w:r>
          </w:p>
        </w:tc>
      </w:tr>
      <w:tr>
        <w:tc>
          <w:tcPr>
            <w:tcW w:w="914" w:type="dxa"/>
          </w:tcPr>
          <w:p>
            <w:pPr>
              <w:pStyle w:val="Compact"/>
              <w:spacing w:after="40"/>
              <w:jc w:val="left"/>
            </w:pPr>
            <w:r>
              <w:rPr>
                <w:sz w:val="18"/>
              </w:rPr>
              <w:t xml:space="preserve">10</w:t>
            </w:r>
          </w:p>
        </w:tc>
        <w:tc>
          <w:tcPr>
            <w:tcW w:w="1939" w:type="dxa"/>
          </w:tcPr>
          <w:p>
            <w:pPr>
              <w:pStyle w:val="Compact"/>
              <w:spacing w:after="40"/>
              <w:jc w:val="left"/>
            </w:pPr>
            <w:r>
              <w:rPr>
                <w:sz w:val="18"/>
              </w:rPr>
              <w:t xml:space="preserve">Eligibility pre-filter</w:t>
            </w:r>
          </w:p>
        </w:tc>
        <w:tc>
          <w:tcPr>
            <w:tcW w:w="2135" w:type="dxa"/>
          </w:tcPr>
          <w:p>
            <w:pPr>
              <w:pStyle w:val="Compact"/>
              <w:spacing w:after="40"/>
              <w:jc w:val="left"/>
            </w:pPr>
            <w:r>
              <w:rPr>
                <w:sz w:val="18"/>
              </w:rPr>
              <w:t xml:space="preserve">Owns and approves each rule version</w:t>
            </w:r>
          </w:p>
        </w:tc>
        <w:tc>
          <w:tcPr>
            <w:tcW w:w="2690" w:type="dxa"/>
          </w:tcPr>
          <w:p>
            <w:pPr>
              <w:pStyle w:val="Compact"/>
              <w:spacing w:after="40"/>
              <w:jc w:val="left"/>
            </w:pPr>
            <w:r>
              <w:rPr>
                <w:sz w:val="18"/>
              </w:rPr>
              <w:t xml:space="preserve">Runs RE rule set only to decide whether to request an offer</w:t>
            </w:r>
          </w:p>
        </w:tc>
        <w:tc>
          <w:tcPr>
            <w:tcW w:w="1960" w:type="dxa"/>
          </w:tcPr>
          <w:p>
            <w:pPr>
              <w:pStyle w:val="Compact"/>
              <w:spacing w:after="40"/>
              <w:jc w:val="left"/>
            </w:pPr>
            <w:r>
              <w:rPr>
                <w:sz w:val="18"/>
              </w:rPr>
              <w:t xml:space="preserve">CF para 7(2); OUT para 15</w:t>
            </w:r>
          </w:p>
        </w:tc>
      </w:tr>
      <w:tr>
        <w:tc>
          <w:tcPr>
            <w:tcW w:w="914" w:type="dxa"/>
          </w:tcPr>
          <w:p>
            <w:pPr>
              <w:pStyle w:val="Compact"/>
              <w:spacing w:after="40"/>
              <w:jc w:val="left"/>
            </w:pPr>
            <w:r>
              <w:rPr>
                <w:sz w:val="18"/>
              </w:rPr>
              <w:t xml:space="preserve">11</w:t>
            </w:r>
          </w:p>
        </w:tc>
        <w:tc>
          <w:tcPr>
            <w:tcW w:w="1939" w:type="dxa"/>
          </w:tcPr>
          <w:p>
            <w:pPr>
              <w:pStyle w:val="Compact"/>
              <w:spacing w:after="40"/>
              <w:jc w:val="left"/>
            </w:pPr>
            <w:r>
              <w:rPr>
                <w:sz w:val="18"/>
              </w:rPr>
              <w:t xml:space="preserve">Credit decision</w:t>
            </w:r>
          </w:p>
        </w:tc>
        <w:tc>
          <w:tcPr>
            <w:tcW w:w="2135" w:type="dxa"/>
          </w:tcPr>
          <w:p>
            <w:pPr>
              <w:pStyle w:val="Compact"/>
              <w:spacing w:after="40"/>
              <w:jc w:val="left"/>
            </w:pPr>
            <w:r>
              <w:rPr>
                <w:sz w:val="18"/>
              </w:rPr>
              <w:t xml:space="preserve">Decides; DLG no substitute</w:t>
            </w:r>
          </w:p>
        </w:tc>
        <w:tc>
          <w:tcPr>
            <w:tcW w:w="2690" w:type="dxa"/>
          </w:tcPr>
          <w:p>
            <w:pPr>
              <w:pStyle w:val="Compact"/>
              <w:spacing w:after="40"/>
              <w:jc w:val="left"/>
            </w:pPr>
            <w:r>
              <w:rPr>
                <w:sz w:val="18"/>
              </w:rPr>
              <w:t xml:space="preserve">None</w:t>
            </w:r>
          </w:p>
        </w:tc>
        <w:tc>
          <w:tcPr>
            <w:tcW w:w="1960" w:type="dxa"/>
          </w:tcPr>
          <w:p>
            <w:pPr>
              <w:pStyle w:val="Compact"/>
              <w:spacing w:after="40"/>
              <w:jc w:val="left"/>
            </w:pPr>
            <w:r>
              <w:rPr>
                <w:sz w:val="18"/>
              </w:rPr>
              <w:t xml:space="preserve">CF paras 8, 20(2); OUT para 15</w:t>
            </w:r>
          </w:p>
        </w:tc>
      </w:tr>
      <w:tr>
        <w:tc>
          <w:tcPr>
            <w:tcW w:w="914" w:type="dxa"/>
          </w:tcPr>
          <w:p>
            <w:pPr>
              <w:pStyle w:val="Compact"/>
              <w:spacing w:after="40"/>
              <w:jc w:val="left"/>
            </w:pPr>
            <w:r>
              <w:rPr>
                <w:sz w:val="18"/>
              </w:rPr>
              <w:t xml:space="preserve">12</w:t>
            </w:r>
          </w:p>
        </w:tc>
        <w:tc>
          <w:tcPr>
            <w:tcW w:w="1939" w:type="dxa"/>
          </w:tcPr>
          <w:p>
            <w:pPr>
              <w:pStyle w:val="Compact"/>
              <w:spacing w:after="40"/>
              <w:jc w:val="left"/>
            </w:pPr>
            <w:r>
              <w:rPr>
                <w:sz w:val="18"/>
              </w:rPr>
              <w:t xml:space="preserve">Pricing and APR</w:t>
            </w:r>
          </w:p>
        </w:tc>
        <w:tc>
          <w:tcPr>
            <w:tcW w:w="2135" w:type="dxa"/>
          </w:tcPr>
          <w:p>
            <w:pPr>
              <w:pStyle w:val="Compact"/>
              <w:spacing w:after="40"/>
              <w:jc w:val="left"/>
            </w:pPr>
            <w:r>
              <w:rPr>
                <w:sz w:val="18"/>
              </w:rPr>
              <w:t xml:space="preserve">Sets under Board policy</w:t>
            </w:r>
          </w:p>
        </w:tc>
        <w:tc>
          <w:tcPr>
            <w:tcW w:w="2690" w:type="dxa"/>
          </w:tcPr>
          <w:p>
            <w:pPr>
              <w:pStyle w:val="Compact"/>
              <w:spacing w:after="40"/>
              <w:jc w:val="left"/>
            </w:pPr>
            <w:r>
              <w:rPr>
                <w:sz w:val="18"/>
              </w:rPr>
              <w:t xml:space="preserve">Displays unaltered; flags APR mismatch</w:t>
            </w:r>
          </w:p>
        </w:tc>
        <w:tc>
          <w:tcPr>
            <w:tcW w:w="1960" w:type="dxa"/>
          </w:tcPr>
          <w:p>
            <w:pPr>
              <w:pStyle w:val="Compact"/>
              <w:spacing w:after="40"/>
              <w:jc w:val="left"/>
            </w:pPr>
            <w:r>
              <w:rPr>
                <w:sz w:val="18"/>
              </w:rPr>
              <w:t xml:space="preserve">RBC paras 6(1), 22–24, 29(3), 30</w:t>
            </w:r>
          </w:p>
        </w:tc>
      </w:tr>
      <w:tr>
        <w:tc>
          <w:tcPr>
            <w:tcW w:w="914" w:type="dxa"/>
          </w:tcPr>
          <w:p>
            <w:pPr>
              <w:pStyle w:val="Compact"/>
              <w:spacing w:after="40"/>
              <w:jc w:val="left"/>
            </w:pPr>
            <w:r>
              <w:rPr>
                <w:sz w:val="18"/>
              </w:rPr>
              <w:t xml:space="preserve">13</w:t>
            </w:r>
          </w:p>
        </w:tc>
        <w:tc>
          <w:tcPr>
            <w:tcW w:w="1939" w:type="dxa"/>
          </w:tcPr>
          <w:p>
            <w:pPr>
              <w:pStyle w:val="Compact"/>
              <w:spacing w:after="40"/>
              <w:jc w:val="left"/>
            </w:pPr>
            <w:r>
              <w:rPr>
                <w:sz w:val="18"/>
              </w:rPr>
              <w:t xml:space="preserve">KFS</w:t>
            </w:r>
          </w:p>
        </w:tc>
        <w:tc>
          <w:tcPr>
            <w:tcW w:w="2135" w:type="dxa"/>
          </w:tcPr>
          <w:p>
            <w:pPr>
              <w:pStyle w:val="Compact"/>
              <w:spacing w:after="40"/>
              <w:jc w:val="left"/>
            </w:pPr>
            <w:r>
              <w:rPr>
                <w:sz w:val="18"/>
              </w:rPr>
              <w:t xml:space="preserve">Issues (proposal number, validity, APR sheet, schedule)</w:t>
            </w:r>
          </w:p>
        </w:tc>
        <w:tc>
          <w:tcPr>
            <w:tcW w:w="2690" w:type="dxa"/>
          </w:tcPr>
          <w:p>
            <w:pPr>
              <w:pStyle w:val="Compact"/>
              <w:spacing w:after="40"/>
              <w:jc w:val="left"/>
            </w:pPr>
            <w:r>
              <w:rPr>
                <w:sz w:val="18"/>
              </w:rPr>
              <w:t xml:space="preserve">Displays unaltered; explains; records acknowledgement and acceptance within validity</w:t>
            </w:r>
          </w:p>
        </w:tc>
        <w:tc>
          <w:tcPr>
            <w:tcW w:w="1960" w:type="dxa"/>
          </w:tcPr>
          <w:p>
            <w:pPr>
              <w:pStyle w:val="Compact"/>
              <w:spacing w:after="40"/>
              <w:jc w:val="left"/>
            </w:pPr>
            <w:r>
              <w:rPr>
                <w:sz w:val="18"/>
              </w:rPr>
              <w:t xml:space="preserve">RBC para 29; CF para 9(1)</w:t>
            </w:r>
          </w:p>
        </w:tc>
      </w:tr>
      <w:tr>
        <w:tc>
          <w:tcPr>
            <w:tcW w:w="914" w:type="dxa"/>
          </w:tcPr>
          <w:p>
            <w:pPr>
              <w:pStyle w:val="Compact"/>
              <w:spacing w:after="40"/>
              <w:jc w:val="left"/>
            </w:pPr>
            <w:r>
              <w:rPr>
                <w:sz w:val="18"/>
              </w:rPr>
              <w:t xml:space="preserve">14</w:t>
            </w:r>
          </w:p>
        </w:tc>
        <w:tc>
          <w:tcPr>
            <w:tcW w:w="1939" w:type="dxa"/>
          </w:tcPr>
          <w:p>
            <w:pPr>
              <w:pStyle w:val="Compact"/>
              <w:spacing w:after="40"/>
              <w:jc w:val="left"/>
            </w:pPr>
            <w:r>
              <w:rPr>
                <w:sz w:val="18"/>
              </w:rPr>
              <w:t xml:space="preserve">Sanction</w:t>
            </w:r>
          </w:p>
        </w:tc>
        <w:tc>
          <w:tcPr>
            <w:tcW w:w="2135" w:type="dxa"/>
          </w:tcPr>
          <w:p>
            <w:pPr>
              <w:pStyle w:val="Compact"/>
              <w:spacing w:after="40"/>
              <w:jc w:val="left"/>
            </w:pPr>
            <w:r>
              <w:rPr>
                <w:sz w:val="18"/>
              </w:rPr>
              <w:t xml:space="preserve">Sanctions; letter on its letterhead</w:t>
            </w:r>
          </w:p>
        </w:tc>
        <w:tc>
          <w:tcPr>
            <w:tcW w:w="2690" w:type="dxa"/>
          </w:tcPr>
          <w:p>
            <w:pPr>
              <w:pStyle w:val="Compact"/>
              <w:spacing w:after="40"/>
              <w:jc w:val="left"/>
            </w:pPr>
            <w:r>
              <w:rPr>
                <w:sz w:val="18"/>
              </w:rPr>
              <w:t xml:space="preserve">Displays and delivers</w:t>
            </w:r>
          </w:p>
        </w:tc>
        <w:tc>
          <w:tcPr>
            <w:tcW w:w="1960" w:type="dxa"/>
          </w:tcPr>
          <w:p>
            <w:pPr>
              <w:pStyle w:val="Compact"/>
              <w:spacing w:after="40"/>
              <w:jc w:val="left"/>
            </w:pPr>
            <w:r>
              <w:rPr>
                <w:sz w:val="18"/>
              </w:rPr>
              <w:t xml:space="preserve">OUT para 15; CF para 9(3)</w:t>
            </w:r>
          </w:p>
        </w:tc>
      </w:tr>
      <w:tr>
        <w:tc>
          <w:tcPr>
            <w:tcW w:w="914" w:type="dxa"/>
          </w:tcPr>
          <w:p>
            <w:pPr>
              <w:pStyle w:val="Compact"/>
              <w:spacing w:after="40"/>
              <w:jc w:val="left"/>
            </w:pPr>
            <w:r>
              <w:rPr>
                <w:sz w:val="18"/>
              </w:rPr>
              <w:t xml:space="preserve">15</w:t>
            </w:r>
          </w:p>
        </w:tc>
        <w:tc>
          <w:tcPr>
            <w:tcW w:w="1939" w:type="dxa"/>
          </w:tcPr>
          <w:p>
            <w:pPr>
              <w:pStyle w:val="Compact"/>
              <w:spacing w:after="40"/>
              <w:jc w:val="left"/>
            </w:pPr>
            <w:r>
              <w:rPr>
                <w:sz w:val="18"/>
              </w:rPr>
              <w:t xml:space="preserve">Loan agreement</w:t>
            </w:r>
          </w:p>
        </w:tc>
        <w:tc>
          <w:tcPr>
            <w:tcW w:w="2135" w:type="dxa"/>
          </w:tcPr>
          <w:p>
            <w:pPr>
              <w:pStyle w:val="Compact"/>
              <w:spacing w:after="40"/>
              <w:jc w:val="left"/>
            </w:pPr>
            <w:r>
              <w:rPr>
                <w:sz w:val="18"/>
              </w:rPr>
              <w:t xml:space="preserve">Owns template; KFS as summary box</w:t>
            </w:r>
          </w:p>
        </w:tc>
        <w:tc>
          <w:tcPr>
            <w:tcW w:w="2690" w:type="dxa"/>
          </w:tcPr>
          <w:p>
            <w:pPr>
              <w:pStyle w:val="Compact"/>
              <w:spacing w:after="40"/>
              <w:jc w:val="left"/>
            </w:pPr>
            <w:r>
              <w:rPr>
                <w:sz w:val="18"/>
              </w:rPr>
              <w:t xml:space="preserve">Orchestrates execution and evidence</w:t>
            </w:r>
          </w:p>
        </w:tc>
        <w:tc>
          <w:tcPr>
            <w:tcW w:w="1960" w:type="dxa"/>
          </w:tcPr>
          <w:p>
            <w:pPr>
              <w:pStyle w:val="Compact"/>
              <w:spacing w:after="40"/>
              <w:jc w:val="left"/>
            </w:pPr>
            <w:r>
              <w:rPr>
                <w:sz w:val="18"/>
              </w:rPr>
              <w:t xml:space="preserve">RBC para 29(6)</w:t>
            </w:r>
          </w:p>
        </w:tc>
      </w:tr>
      <w:tr>
        <w:tc>
          <w:tcPr>
            <w:tcW w:w="914" w:type="dxa"/>
          </w:tcPr>
          <w:p>
            <w:pPr>
              <w:pStyle w:val="Compact"/>
              <w:spacing w:after="40"/>
              <w:jc w:val="left"/>
            </w:pPr>
            <w:r>
              <w:rPr>
                <w:sz w:val="18"/>
              </w:rPr>
              <w:t xml:space="preserve">16</w:t>
            </w:r>
          </w:p>
        </w:tc>
        <w:tc>
          <w:tcPr>
            <w:tcW w:w="1939" w:type="dxa"/>
          </w:tcPr>
          <w:p>
            <w:pPr>
              <w:pStyle w:val="Compact"/>
              <w:spacing w:after="40"/>
              <w:jc w:val="left"/>
            </w:pPr>
            <w:r>
              <w:rPr>
                <w:sz w:val="18"/>
              </w:rPr>
              <w:t xml:space="preserve">eSign and eStamp</w:t>
            </w:r>
          </w:p>
        </w:tc>
        <w:tc>
          <w:tcPr>
            <w:tcW w:w="2135" w:type="dxa"/>
          </w:tcPr>
          <w:p>
            <w:pPr>
              <w:pStyle w:val="Compact"/>
              <w:spacing w:after="40"/>
              <w:jc w:val="left"/>
            </w:pPr>
            <w:r>
              <w:rPr>
                <w:sz w:val="18"/>
              </w:rPr>
              <w:t xml:space="preserve">Party; holds or authorises ESP and stamp contracts</w:t>
            </w:r>
          </w:p>
        </w:tc>
        <w:tc>
          <w:tcPr>
            <w:tcW w:w="2690" w:type="dxa"/>
          </w:tcPr>
          <w:p>
            <w:pPr>
              <w:pStyle w:val="Compact"/>
              <w:spacing w:after="40"/>
              <w:jc w:val="left"/>
            </w:pPr>
            <w:r>
              <w:rPr>
                <w:sz w:val="18"/>
              </w:rPr>
              <w:t xml:space="preserve">Orchestrates on RE account; stores provider evidence; never</w:t>
            </w:r>
            <w:r>
              <w:rPr>
                <w:sz w:val="18"/>
              </w:rPr>
              <w:t xml:space="preserve"> </w:t>
            </w:r>
            <w:r>
              <w:rPr>
                <w:sz w:val="18"/>
              </w:rPr>
              <w:t xml:space="preserve">“</w:t>
            </w:r>
            <w:r>
              <w:rPr>
                <w:sz w:val="18"/>
              </w:rPr>
              <w:t xml:space="preserve">signed</w:t>
            </w:r>
            <w:r>
              <w:rPr>
                <w:sz w:val="18"/>
              </w:rPr>
              <w:t xml:space="preserve">”</w:t>
            </w:r>
            <w:r>
              <w:rPr>
                <w:sz w:val="18"/>
              </w:rPr>
              <w:t xml:space="preserve"> </w:t>
            </w:r>
            <w:r>
              <w:rPr>
                <w:sz w:val="18"/>
              </w:rPr>
              <w:t xml:space="preserve">without it</w:t>
            </w:r>
          </w:p>
        </w:tc>
        <w:tc>
          <w:tcPr>
            <w:tcW w:w="1960" w:type="dxa"/>
          </w:tcPr>
          <w:p>
            <w:pPr>
              <w:pStyle w:val="Compact"/>
              <w:spacing w:after="40"/>
              <w:jc w:val="left"/>
            </w:pPr>
            <w:r>
              <w:rPr>
                <w:sz w:val="18"/>
              </w:rPr>
              <w:t xml:space="preserve">IT Act ss.3A, 5; Stamp Acts [VERIFY per State]</w:t>
            </w:r>
          </w:p>
        </w:tc>
      </w:tr>
      <w:tr>
        <w:tc>
          <w:tcPr>
            <w:tcW w:w="914" w:type="dxa"/>
          </w:tcPr>
          <w:p>
            <w:pPr>
              <w:pStyle w:val="Compact"/>
              <w:spacing w:after="40"/>
              <w:jc w:val="left"/>
            </w:pPr>
            <w:r>
              <w:rPr>
                <w:sz w:val="18"/>
              </w:rPr>
              <w:t xml:space="preserve">17</w:t>
            </w:r>
          </w:p>
        </w:tc>
        <w:tc>
          <w:tcPr>
            <w:tcW w:w="1939" w:type="dxa"/>
          </w:tcPr>
          <w:p>
            <w:pPr>
              <w:pStyle w:val="Compact"/>
              <w:spacing w:after="40"/>
              <w:jc w:val="left"/>
            </w:pPr>
            <w:r>
              <w:rPr>
                <w:sz w:val="18"/>
              </w:rPr>
              <w:t xml:space="preserve">Signed documents to Borrower</w:t>
            </w:r>
          </w:p>
        </w:tc>
        <w:tc>
          <w:tcPr>
            <w:tcW w:w="2135" w:type="dxa"/>
          </w:tcPr>
          <w:p>
            <w:pPr>
              <w:pStyle w:val="Compact"/>
              <w:spacing w:after="40"/>
              <w:jc w:val="left"/>
            </w:pPr>
            <w:r>
              <w:rPr>
                <w:sz w:val="18"/>
              </w:rPr>
              <w:t xml:space="preserve">Ensures automatic flow to registered email/SMS</w:t>
            </w:r>
          </w:p>
        </w:tc>
        <w:tc>
          <w:tcPr>
            <w:tcW w:w="2690" w:type="dxa"/>
          </w:tcPr>
          <w:p>
            <w:pPr>
              <w:pStyle w:val="Compact"/>
              <w:spacing w:after="40"/>
              <w:jc w:val="left"/>
            </w:pPr>
            <w:r>
              <w:rPr>
                <w:sz w:val="18"/>
              </w:rPr>
              <w:t xml:space="preserve">Delivers on RE’s behalf if RE elects; never re-renders</w:t>
            </w:r>
          </w:p>
        </w:tc>
        <w:tc>
          <w:tcPr>
            <w:tcW w:w="1960" w:type="dxa"/>
          </w:tcPr>
          <w:p>
            <w:pPr>
              <w:pStyle w:val="Compact"/>
              <w:spacing w:after="40"/>
              <w:jc w:val="left"/>
            </w:pPr>
            <w:r>
              <w:rPr>
                <w:sz w:val="18"/>
              </w:rPr>
              <w:t xml:space="preserve">CF para 9(3)</w:t>
            </w:r>
          </w:p>
        </w:tc>
      </w:tr>
      <w:tr>
        <w:tc>
          <w:tcPr>
            <w:tcW w:w="914" w:type="dxa"/>
          </w:tcPr>
          <w:p>
            <w:pPr>
              <w:pStyle w:val="Compact"/>
              <w:spacing w:after="40"/>
              <w:jc w:val="left"/>
            </w:pPr>
            <w:r>
              <w:rPr>
                <w:sz w:val="18"/>
              </w:rPr>
              <w:t xml:space="preserve">18</w:t>
            </w:r>
          </w:p>
        </w:tc>
        <w:tc>
          <w:tcPr>
            <w:tcW w:w="1939" w:type="dxa"/>
          </w:tcPr>
          <w:p>
            <w:pPr>
              <w:pStyle w:val="Compact"/>
              <w:spacing w:after="40"/>
              <w:jc w:val="left"/>
            </w:pPr>
            <w:r>
              <w:rPr>
                <w:sz w:val="18"/>
              </w:rPr>
              <w:t xml:space="preserve">Disbursement</w:t>
            </w:r>
          </w:p>
        </w:tc>
        <w:tc>
          <w:tcPr>
            <w:tcW w:w="2135" w:type="dxa"/>
          </w:tcPr>
          <w:p>
            <w:pPr>
              <w:pStyle w:val="Compact"/>
              <w:spacing w:after="40"/>
              <w:jc w:val="left"/>
            </w:pPr>
            <w:r>
              <w:rPr>
                <w:sz w:val="18"/>
              </w:rPr>
              <w:t xml:space="preserve">From own account to Borrower or permitted beneficiary</w:t>
            </w:r>
          </w:p>
        </w:tc>
        <w:tc>
          <w:tcPr>
            <w:tcW w:w="2690" w:type="dxa"/>
          </w:tcPr>
          <w:p>
            <w:pPr>
              <w:pStyle w:val="Compact"/>
              <w:spacing w:after="40"/>
              <w:jc w:val="left"/>
            </w:pPr>
            <w:r>
              <w:rPr>
                <w:sz w:val="18"/>
              </w:rPr>
              <w:t xml:space="preserve">Status only</w:t>
            </w:r>
          </w:p>
        </w:tc>
        <w:tc>
          <w:tcPr>
            <w:tcW w:w="1960" w:type="dxa"/>
          </w:tcPr>
          <w:p>
            <w:pPr>
              <w:pStyle w:val="Compact"/>
              <w:spacing w:after="40"/>
              <w:jc w:val="left"/>
            </w:pPr>
            <w:r>
              <w:rPr>
                <w:sz w:val="18"/>
              </w:rPr>
              <w:t xml:space="preserve">CF para 10(1); Sch. 6</w:t>
            </w:r>
          </w:p>
        </w:tc>
      </w:tr>
      <w:tr>
        <w:tc>
          <w:tcPr>
            <w:tcW w:w="914" w:type="dxa"/>
          </w:tcPr>
          <w:p>
            <w:pPr>
              <w:pStyle w:val="Compact"/>
              <w:spacing w:after="40"/>
              <w:jc w:val="left"/>
            </w:pPr>
            <w:r>
              <w:rPr>
                <w:sz w:val="18"/>
              </w:rPr>
              <w:t xml:space="preserve">19</w:t>
            </w:r>
          </w:p>
        </w:tc>
        <w:tc>
          <w:tcPr>
            <w:tcW w:w="1939" w:type="dxa"/>
          </w:tcPr>
          <w:p>
            <w:pPr>
              <w:pStyle w:val="Compact"/>
              <w:spacing w:after="40"/>
              <w:jc w:val="left"/>
            </w:pPr>
            <w:r>
              <w:rPr>
                <w:sz w:val="18"/>
              </w:rPr>
              <w:t xml:space="preserve">Mandate</w:t>
            </w:r>
          </w:p>
        </w:tc>
        <w:tc>
          <w:tcPr>
            <w:tcW w:w="2135" w:type="dxa"/>
          </w:tcPr>
          <w:p>
            <w:pPr>
              <w:pStyle w:val="Compact"/>
              <w:spacing w:after="40"/>
              <w:jc w:val="left"/>
            </w:pPr>
            <w:r>
              <w:rPr>
                <w:sz w:val="18"/>
              </w:rPr>
              <w:t xml:space="preserve">In favour of RE (RE sponsor bank, utility code)</w:t>
            </w:r>
          </w:p>
        </w:tc>
        <w:tc>
          <w:tcPr>
            <w:tcW w:w="2690" w:type="dxa"/>
          </w:tcPr>
          <w:p>
            <w:pPr>
              <w:pStyle w:val="Compact"/>
              <w:spacing w:after="40"/>
              <w:jc w:val="left"/>
            </w:pPr>
            <w:r>
              <w:rPr>
                <w:sz w:val="18"/>
              </w:rPr>
              <w:t xml:space="preserve">Orchestrates registration</w:t>
            </w:r>
          </w:p>
        </w:tc>
        <w:tc>
          <w:tcPr>
            <w:tcW w:w="1960" w:type="dxa"/>
          </w:tcPr>
          <w:p>
            <w:pPr>
              <w:pStyle w:val="Compact"/>
              <w:spacing w:after="40"/>
              <w:jc w:val="left"/>
            </w:pPr>
            <w:r>
              <w:rPr>
                <w:sz w:val="18"/>
              </w:rPr>
              <w:t xml:space="preserve">CF para 10(2)–(3)</w:t>
            </w:r>
          </w:p>
        </w:tc>
      </w:tr>
      <w:tr>
        <w:tc>
          <w:tcPr>
            <w:tcW w:w="914" w:type="dxa"/>
          </w:tcPr>
          <w:p>
            <w:pPr>
              <w:pStyle w:val="Compact"/>
              <w:spacing w:after="40"/>
              <w:jc w:val="left"/>
            </w:pPr>
            <w:r>
              <w:rPr>
                <w:sz w:val="18"/>
              </w:rPr>
              <w:t xml:space="preserve">20</w:t>
            </w:r>
          </w:p>
        </w:tc>
        <w:tc>
          <w:tcPr>
            <w:tcW w:w="1939" w:type="dxa"/>
          </w:tcPr>
          <w:p>
            <w:pPr>
              <w:pStyle w:val="Compact"/>
              <w:spacing w:after="40"/>
              <w:jc w:val="left"/>
            </w:pPr>
            <w:r>
              <w:rPr>
                <w:sz w:val="18"/>
              </w:rPr>
              <w:t xml:space="preserve">Repayment</w:t>
            </w:r>
          </w:p>
        </w:tc>
        <w:tc>
          <w:tcPr>
            <w:tcW w:w="2135" w:type="dxa"/>
          </w:tcPr>
          <w:p>
            <w:pPr>
              <w:pStyle w:val="Compact"/>
              <w:spacing w:after="40"/>
              <w:jc w:val="left"/>
            </w:pPr>
            <w:r>
              <w:rPr>
                <w:sz w:val="18"/>
              </w:rPr>
              <w:t xml:space="preserve">Received in RE account or co-lending escrow</w:t>
            </w:r>
          </w:p>
        </w:tc>
        <w:tc>
          <w:tcPr>
            <w:tcW w:w="2690" w:type="dxa"/>
          </w:tcPr>
          <w:p>
            <w:pPr>
              <w:pStyle w:val="Compact"/>
              <w:spacing w:after="40"/>
              <w:jc w:val="left"/>
            </w:pPr>
            <w:r>
              <w:rPr>
                <w:sz w:val="18"/>
              </w:rPr>
              <w:t xml:space="preserve">Payment instructions on RE merchant account only</w:t>
            </w:r>
          </w:p>
        </w:tc>
        <w:tc>
          <w:tcPr>
            <w:tcW w:w="1960" w:type="dxa"/>
          </w:tcPr>
          <w:p>
            <w:pPr>
              <w:pStyle w:val="Compact"/>
              <w:spacing w:after="40"/>
              <w:jc w:val="left"/>
            </w:pPr>
            <w:r>
              <w:rPr>
                <w:sz w:val="18"/>
              </w:rPr>
              <w:t xml:space="preserve">CF para 10(2)–(3); TDCR para 117</w:t>
            </w:r>
          </w:p>
        </w:tc>
      </w:tr>
      <w:tr>
        <w:tc>
          <w:tcPr>
            <w:tcW w:w="914" w:type="dxa"/>
          </w:tcPr>
          <w:p>
            <w:pPr>
              <w:pStyle w:val="Compact"/>
              <w:spacing w:after="40"/>
              <w:jc w:val="left"/>
            </w:pPr>
            <w:r>
              <w:rPr>
                <w:sz w:val="18"/>
              </w:rPr>
              <w:t xml:space="preserve">21</w:t>
            </w:r>
          </w:p>
        </w:tc>
        <w:tc>
          <w:tcPr>
            <w:tcW w:w="1939" w:type="dxa"/>
          </w:tcPr>
          <w:p>
            <w:pPr>
              <w:pStyle w:val="Compact"/>
              <w:spacing w:after="40"/>
              <w:jc w:val="left"/>
            </w:pPr>
            <w:r>
              <w:rPr>
                <w:sz w:val="18"/>
              </w:rPr>
              <w:t xml:space="preserve">Cooling-off exit</w:t>
            </w:r>
          </w:p>
        </w:tc>
        <w:tc>
          <w:tcPr>
            <w:tcW w:w="2135" w:type="dxa"/>
          </w:tcPr>
          <w:p>
            <w:pPr>
              <w:pStyle w:val="Compact"/>
              <w:spacing w:after="40"/>
              <w:jc w:val="left"/>
            </w:pPr>
            <w:r>
              <w:rPr>
                <w:sz w:val="18"/>
              </w:rPr>
              <w:t xml:space="preserve">Fixes period (≥ 1 day); computes exit amount</w:t>
            </w:r>
          </w:p>
        </w:tc>
        <w:tc>
          <w:tcPr>
            <w:tcW w:w="2690" w:type="dxa"/>
          </w:tcPr>
          <w:p>
            <w:pPr>
              <w:pStyle w:val="Compact"/>
              <w:spacing w:after="40"/>
              <w:jc w:val="left"/>
            </w:pPr>
            <w:r>
              <w:rPr>
                <w:sz w:val="18"/>
              </w:rPr>
              <w:t xml:space="preserve">Displays exit option throughout; relays request</w:t>
            </w:r>
          </w:p>
        </w:tc>
        <w:tc>
          <w:tcPr>
            <w:tcW w:w="1960" w:type="dxa"/>
          </w:tcPr>
          <w:p>
            <w:pPr>
              <w:pStyle w:val="Compact"/>
              <w:spacing w:after="40"/>
              <w:jc w:val="left"/>
            </w:pPr>
            <w:r>
              <w:rPr>
                <w:sz w:val="18"/>
              </w:rPr>
              <w:t xml:space="preserve">CF para 11; Art. 10</w:t>
            </w:r>
          </w:p>
        </w:tc>
      </w:tr>
      <w:tr>
        <w:tc>
          <w:tcPr>
            <w:tcW w:w="914" w:type="dxa"/>
          </w:tcPr>
          <w:p>
            <w:pPr>
              <w:pStyle w:val="Compact"/>
              <w:spacing w:after="40"/>
              <w:jc w:val="left"/>
            </w:pPr>
            <w:r>
              <w:rPr>
                <w:sz w:val="18"/>
              </w:rPr>
              <w:t xml:space="preserve">22</w:t>
            </w:r>
          </w:p>
        </w:tc>
        <w:tc>
          <w:tcPr>
            <w:tcW w:w="1939" w:type="dxa"/>
          </w:tcPr>
          <w:p>
            <w:pPr>
              <w:pStyle w:val="Compact"/>
              <w:spacing w:after="40"/>
              <w:jc w:val="left"/>
            </w:pPr>
            <w:r>
              <w:rPr>
                <w:sz w:val="18"/>
              </w:rPr>
              <w:t xml:space="preserve">Reminders</w:t>
            </w:r>
          </w:p>
        </w:tc>
        <w:tc>
          <w:tcPr>
            <w:tcW w:w="2135" w:type="dxa"/>
          </w:tcPr>
          <w:p>
            <w:pPr>
              <w:pStyle w:val="Compact"/>
              <w:spacing w:after="40"/>
              <w:jc w:val="left"/>
            </w:pPr>
            <w:r>
              <w:rPr>
                <w:sz w:val="18"/>
              </w:rPr>
              <w:t xml:space="preserve">Sets policy; approves templates</w:t>
            </w:r>
          </w:p>
        </w:tc>
        <w:tc>
          <w:tcPr>
            <w:tcW w:w="2690" w:type="dxa"/>
          </w:tcPr>
          <w:p>
            <w:pPr>
              <w:pStyle w:val="Compact"/>
              <w:spacing w:after="40"/>
              <w:jc w:val="left"/>
            </w:pPr>
            <w:r>
              <w:rPr>
                <w:sz w:val="18"/>
              </w:rPr>
              <w:t xml:space="preserve">Sends approved reminders within contact windows</w:t>
            </w:r>
          </w:p>
        </w:tc>
        <w:tc>
          <w:tcPr>
            <w:tcW w:w="1960" w:type="dxa"/>
          </w:tcPr>
          <w:p>
            <w:pPr>
              <w:pStyle w:val="Compact"/>
              <w:spacing w:after="40"/>
              <w:jc w:val="left"/>
            </w:pPr>
            <w:r>
              <w:rPr>
                <w:sz w:val="18"/>
              </w:rPr>
              <w:t xml:space="preserve">RBC paras 10, 30; Art. 11</w:t>
            </w:r>
          </w:p>
        </w:tc>
      </w:tr>
      <w:tr>
        <w:tc>
          <w:tcPr>
            <w:tcW w:w="914" w:type="dxa"/>
          </w:tcPr>
          <w:p>
            <w:pPr>
              <w:pStyle w:val="Compact"/>
              <w:spacing w:after="40"/>
              <w:jc w:val="left"/>
            </w:pPr>
            <w:r>
              <w:rPr>
                <w:sz w:val="18"/>
              </w:rPr>
              <w:t xml:space="preserve">23</w:t>
            </w:r>
          </w:p>
        </w:tc>
        <w:tc>
          <w:tcPr>
            <w:tcW w:w="1939" w:type="dxa"/>
          </w:tcPr>
          <w:p>
            <w:pPr>
              <w:pStyle w:val="Compact"/>
              <w:spacing w:after="40"/>
              <w:jc w:val="left"/>
            </w:pPr>
            <w:r>
              <w:rPr>
                <w:sz w:val="18"/>
              </w:rPr>
              <w:t xml:space="preserve">Recovery</w:t>
            </w:r>
          </w:p>
        </w:tc>
        <w:tc>
          <w:tcPr>
            <w:tcW w:w="2135" w:type="dxa"/>
          </w:tcPr>
          <w:p>
            <w:pPr>
              <w:pStyle w:val="Compact"/>
              <w:spacing w:after="40"/>
              <w:jc w:val="left"/>
            </w:pPr>
            <w:r>
              <w:rPr>
                <w:sz w:val="18"/>
              </w:rPr>
              <w:t xml:space="preserve">Owns policy; appoints agents; agent notice</w:t>
            </w:r>
          </w:p>
        </w:tc>
        <w:tc>
          <w:tcPr>
            <w:tcW w:w="2690" w:type="dxa"/>
          </w:tcPr>
          <w:p>
            <w:pPr>
              <w:pStyle w:val="Compact"/>
              <w:spacing w:after="40"/>
              <w:jc w:val="left"/>
            </w:pPr>
            <w:r>
              <w:rPr>
                <w:sz w:val="18"/>
              </w:rPr>
              <w:t xml:space="preserve">Only under Schedule 10; otherwise reminders and payment links</w:t>
            </w:r>
          </w:p>
        </w:tc>
        <w:tc>
          <w:tcPr>
            <w:tcW w:w="1960" w:type="dxa"/>
          </w:tcPr>
          <w:p>
            <w:pPr>
              <w:pStyle w:val="Compact"/>
              <w:spacing w:after="40"/>
              <w:jc w:val="left"/>
            </w:pPr>
            <w:r>
              <w:rPr>
                <w:sz w:val="18"/>
              </w:rPr>
              <w:t xml:space="preserve">CF paras 6(5), 9(6), 10(5); RBC paras 93–101; Art. 12</w:t>
            </w:r>
          </w:p>
        </w:tc>
      </w:tr>
      <w:tr>
        <w:tc>
          <w:tcPr>
            <w:tcW w:w="914" w:type="dxa"/>
          </w:tcPr>
          <w:p>
            <w:pPr>
              <w:pStyle w:val="Compact"/>
              <w:spacing w:after="40"/>
              <w:jc w:val="left"/>
            </w:pPr>
            <w:r>
              <w:rPr>
                <w:sz w:val="18"/>
              </w:rPr>
              <w:t xml:space="preserve">24</w:t>
            </w:r>
          </w:p>
        </w:tc>
        <w:tc>
          <w:tcPr>
            <w:tcW w:w="1939" w:type="dxa"/>
          </w:tcPr>
          <w:p>
            <w:pPr>
              <w:pStyle w:val="Compact"/>
              <w:spacing w:after="40"/>
              <w:jc w:val="left"/>
            </w:pPr>
            <w:r>
              <w:rPr>
                <w:sz w:val="18"/>
              </w:rPr>
              <w:t xml:space="preserve">Settlement, ADR referral, legal notices, enforcement</w:t>
            </w:r>
          </w:p>
        </w:tc>
        <w:tc>
          <w:tcPr>
            <w:tcW w:w="2135" w:type="dxa"/>
          </w:tcPr>
          <w:p>
            <w:pPr>
              <w:pStyle w:val="Compact"/>
              <w:spacing w:after="40"/>
              <w:jc w:val="left"/>
            </w:pPr>
            <w:r>
              <w:rPr>
                <w:sz w:val="18"/>
              </w:rPr>
              <w:t xml:space="preserve">Decides, approves, refers, issues</w:t>
            </w:r>
          </w:p>
        </w:tc>
        <w:tc>
          <w:tcPr>
            <w:tcW w:w="2690" w:type="dxa"/>
          </w:tcPr>
          <w:p>
            <w:pPr>
              <w:pStyle w:val="Compact"/>
              <w:spacing w:after="40"/>
              <w:jc w:val="left"/>
            </w:pPr>
            <w:r>
              <w:rPr>
                <w:sz w:val="18"/>
              </w:rPr>
              <w:t xml:space="preserve">Relays requests; displays RE offers and notices</w:t>
            </w:r>
          </w:p>
        </w:tc>
        <w:tc>
          <w:tcPr>
            <w:tcW w:w="1960" w:type="dxa"/>
          </w:tcPr>
          <w:p>
            <w:pPr>
              <w:pStyle w:val="Compact"/>
              <w:spacing w:after="40"/>
              <w:jc w:val="left"/>
            </w:pPr>
            <w:r>
              <w:rPr>
                <w:sz w:val="18"/>
              </w:rPr>
              <w:t xml:space="preserve">OUT para 15</w:t>
            </w:r>
          </w:p>
        </w:tc>
      </w:tr>
      <w:tr>
        <w:tc>
          <w:tcPr>
            <w:tcW w:w="914" w:type="dxa"/>
          </w:tcPr>
          <w:p>
            <w:pPr>
              <w:pStyle w:val="Compact"/>
              <w:spacing w:after="40"/>
              <w:jc w:val="left"/>
            </w:pPr>
            <w:r>
              <w:rPr>
                <w:sz w:val="18"/>
              </w:rPr>
              <w:t xml:space="preserve">25</w:t>
            </w:r>
          </w:p>
        </w:tc>
        <w:tc>
          <w:tcPr>
            <w:tcW w:w="1939" w:type="dxa"/>
          </w:tcPr>
          <w:p>
            <w:pPr>
              <w:pStyle w:val="Compact"/>
              <w:spacing w:after="40"/>
              <w:jc w:val="left"/>
            </w:pPr>
            <w:r>
              <w:rPr>
                <w:sz w:val="18"/>
              </w:rPr>
              <w:t xml:space="preserve">DLG</w:t>
            </w:r>
          </w:p>
        </w:tc>
        <w:tc>
          <w:tcPr>
            <w:tcW w:w="2135" w:type="dxa"/>
          </w:tcPr>
          <w:p>
            <w:pPr>
              <w:pStyle w:val="Compact"/>
              <w:spacing w:after="40"/>
              <w:jc w:val="left"/>
            </w:pPr>
            <w:r>
              <w:rPr>
                <w:sz w:val="18"/>
              </w:rPr>
              <w:t xml:space="preserve">Accepts under policy; invokes; classifies</w:t>
            </w:r>
          </w:p>
        </w:tc>
        <w:tc>
          <w:tcPr>
            <w:tcW w:w="2690" w:type="dxa"/>
          </w:tcPr>
          <w:p>
            <w:pPr>
              <w:pStyle w:val="Compact"/>
              <w:spacing w:after="40"/>
              <w:jc w:val="left"/>
            </w:pPr>
            <w:r>
              <w:rPr>
                <w:sz w:val="18"/>
              </w:rPr>
              <w:t xml:space="preserve">Provides only under Schedule 11; certificate; monthly disclosure</w:t>
            </w:r>
          </w:p>
        </w:tc>
        <w:tc>
          <w:tcPr>
            <w:tcW w:w="1960" w:type="dxa"/>
          </w:tcPr>
          <w:p>
            <w:pPr>
              <w:pStyle w:val="Compact"/>
              <w:spacing w:after="40"/>
              <w:jc w:val="left"/>
            </w:pPr>
            <w:r>
              <w:rPr>
                <w:sz w:val="18"/>
              </w:rPr>
              <w:t xml:space="preserve">CF paras 19–29; Art. 13</w:t>
            </w:r>
          </w:p>
        </w:tc>
      </w:tr>
      <w:tr>
        <w:tc>
          <w:tcPr>
            <w:tcW w:w="914" w:type="dxa"/>
          </w:tcPr>
          <w:p>
            <w:pPr>
              <w:pStyle w:val="Compact"/>
              <w:spacing w:after="40"/>
              <w:jc w:val="left"/>
            </w:pPr>
            <w:r>
              <w:rPr>
                <w:sz w:val="18"/>
              </w:rPr>
              <w:t xml:space="preserve">26</w:t>
            </w:r>
          </w:p>
        </w:tc>
        <w:tc>
          <w:tcPr>
            <w:tcW w:w="1939" w:type="dxa"/>
          </w:tcPr>
          <w:p>
            <w:pPr>
              <w:pStyle w:val="Compact"/>
              <w:spacing w:after="40"/>
              <w:jc w:val="left"/>
            </w:pPr>
            <w:r>
              <w:rPr>
                <w:sz w:val="18"/>
              </w:rPr>
              <w:t xml:space="preserve">Grievance</w:t>
            </w:r>
          </w:p>
        </w:tc>
        <w:tc>
          <w:tcPr>
            <w:tcW w:w="2135" w:type="dxa"/>
          </w:tcPr>
          <w:p>
            <w:pPr>
              <w:pStyle w:val="Compact"/>
              <w:spacing w:after="40"/>
              <w:jc w:val="left"/>
            </w:pPr>
            <w:r>
              <w:rPr>
                <w:sz w:val="18"/>
              </w:rPr>
              <w:t xml:space="preserve">Responsible; GRO; 30-day clock; CMS route</w:t>
            </w:r>
          </w:p>
        </w:tc>
        <w:tc>
          <w:tcPr>
            <w:tcW w:w="2690" w:type="dxa"/>
          </w:tcPr>
          <w:p>
            <w:pPr>
              <w:pStyle w:val="Compact"/>
              <w:spacing w:after="40"/>
              <w:jc w:val="left"/>
            </w:pPr>
            <w:r>
              <w:rPr>
                <w:sz w:val="18"/>
              </w:rPr>
              <w:t xml:space="preserve">Own nodal officer; lodging; routing</w:t>
            </w:r>
          </w:p>
        </w:tc>
        <w:tc>
          <w:tcPr>
            <w:tcW w:w="1960" w:type="dxa"/>
          </w:tcPr>
          <w:p>
            <w:pPr>
              <w:pStyle w:val="Compact"/>
              <w:spacing w:after="40"/>
              <w:jc w:val="left"/>
            </w:pPr>
            <w:r>
              <w:rPr>
                <w:sz w:val="18"/>
              </w:rPr>
              <w:t xml:space="preserve">CF para 12; OUT paras 54–57; Sch. 9</w:t>
            </w:r>
          </w:p>
        </w:tc>
      </w:tr>
      <w:tr>
        <w:tc>
          <w:tcPr>
            <w:tcW w:w="914" w:type="dxa"/>
          </w:tcPr>
          <w:p>
            <w:pPr>
              <w:pStyle w:val="Compact"/>
              <w:spacing w:after="40"/>
              <w:jc w:val="left"/>
            </w:pPr>
            <w:r>
              <w:rPr>
                <w:sz w:val="18"/>
              </w:rPr>
              <w:t xml:space="preserve">27</w:t>
            </w:r>
          </w:p>
        </w:tc>
        <w:tc>
          <w:tcPr>
            <w:tcW w:w="1939" w:type="dxa"/>
          </w:tcPr>
          <w:p>
            <w:pPr>
              <w:pStyle w:val="Compact"/>
              <w:spacing w:after="40"/>
              <w:jc w:val="left"/>
            </w:pPr>
            <w:r>
              <w:rPr>
                <w:sz w:val="18"/>
              </w:rPr>
              <w:t xml:space="preserve">CIC reporting</w:t>
            </w:r>
          </w:p>
        </w:tc>
        <w:tc>
          <w:tcPr>
            <w:tcW w:w="2135" w:type="dxa"/>
          </w:tcPr>
          <w:p>
            <w:pPr>
              <w:pStyle w:val="Compact"/>
              <w:spacing w:after="40"/>
              <w:jc w:val="left"/>
            </w:pPr>
            <w:r>
              <w:rPr>
                <w:sz w:val="18"/>
              </w:rPr>
              <w:t xml:space="preserve">Reports all DLA lending; household income</w:t>
            </w:r>
          </w:p>
        </w:tc>
        <w:tc>
          <w:tcPr>
            <w:tcW w:w="2690" w:type="dxa"/>
          </w:tcPr>
          <w:p>
            <w:pPr>
              <w:pStyle w:val="Compact"/>
              <w:spacing w:after="40"/>
              <w:jc w:val="left"/>
            </w:pPr>
            <w:r>
              <w:rPr>
                <w:sz w:val="18"/>
              </w:rPr>
              <w:t xml:space="preserve">Supplies captured data; never reports</w:t>
            </w:r>
          </w:p>
        </w:tc>
        <w:tc>
          <w:tcPr>
            <w:tcW w:w="1960" w:type="dxa"/>
          </w:tcPr>
          <w:p>
            <w:pPr>
              <w:pStyle w:val="Compact"/>
              <w:spacing w:after="40"/>
              <w:jc w:val="left"/>
            </w:pPr>
            <w:r>
              <w:rPr>
                <w:sz w:val="18"/>
              </w:rPr>
              <w:t xml:space="preserve">CF paras 17, 54; CIR para 10</w:t>
            </w:r>
          </w:p>
        </w:tc>
      </w:tr>
      <w:tr>
        <w:tc>
          <w:tcPr>
            <w:tcW w:w="914" w:type="dxa"/>
          </w:tcPr>
          <w:p>
            <w:pPr>
              <w:pStyle w:val="Compact"/>
              <w:spacing w:after="40"/>
              <w:jc w:val="left"/>
            </w:pPr>
            <w:r>
              <w:rPr>
                <w:sz w:val="18"/>
              </w:rPr>
              <w:t xml:space="preserve">28</w:t>
            </w:r>
          </w:p>
        </w:tc>
        <w:tc>
          <w:tcPr>
            <w:tcW w:w="1939" w:type="dxa"/>
          </w:tcPr>
          <w:p>
            <w:pPr>
              <w:pStyle w:val="Compact"/>
              <w:spacing w:after="40"/>
              <w:jc w:val="left"/>
            </w:pPr>
            <w:r>
              <w:rPr>
                <w:sz w:val="18"/>
              </w:rPr>
              <w:t xml:space="preserve">CIMS</w:t>
            </w:r>
          </w:p>
        </w:tc>
        <w:tc>
          <w:tcPr>
            <w:tcW w:w="2135" w:type="dxa"/>
          </w:tcPr>
          <w:p>
            <w:pPr>
              <w:pStyle w:val="Compact"/>
              <w:spacing w:after="40"/>
              <w:jc w:val="left"/>
            </w:pPr>
            <w:r>
              <w:rPr>
                <w:sz w:val="18"/>
              </w:rPr>
              <w:t xml:space="preserve">Files and certifies</w:t>
            </w:r>
          </w:p>
        </w:tc>
        <w:tc>
          <w:tcPr>
            <w:tcW w:w="2690" w:type="dxa"/>
          </w:tcPr>
          <w:p>
            <w:pPr>
              <w:pStyle w:val="Compact"/>
              <w:spacing w:after="40"/>
              <w:jc w:val="left"/>
            </w:pPr>
            <w:r>
              <w:rPr>
                <w:sz w:val="18"/>
              </w:rPr>
              <w:t xml:space="preserve">Supplies Annex-I data, evidence, change notices</w:t>
            </w:r>
          </w:p>
        </w:tc>
        <w:tc>
          <w:tcPr>
            <w:tcW w:w="1960" w:type="dxa"/>
          </w:tcPr>
          <w:p>
            <w:pPr>
              <w:pStyle w:val="Compact"/>
              <w:spacing w:after="40"/>
              <w:jc w:val="left"/>
            </w:pPr>
            <w:r>
              <w:rPr>
                <w:sz w:val="18"/>
              </w:rPr>
              <w:t xml:space="preserve">CF para 18; Sch. 3</w:t>
            </w:r>
          </w:p>
        </w:tc>
      </w:tr>
      <w:tr>
        <w:tc>
          <w:tcPr>
            <w:tcW w:w="914" w:type="dxa"/>
          </w:tcPr>
          <w:p>
            <w:pPr>
              <w:pStyle w:val="Compact"/>
              <w:spacing w:after="40"/>
              <w:jc w:val="left"/>
            </w:pPr>
            <w:r>
              <w:rPr>
                <w:sz w:val="18"/>
              </w:rPr>
              <w:t xml:space="preserve">29</w:t>
            </w:r>
          </w:p>
        </w:tc>
        <w:tc>
          <w:tcPr>
            <w:tcW w:w="1939" w:type="dxa"/>
          </w:tcPr>
          <w:p>
            <w:pPr>
              <w:pStyle w:val="Compact"/>
              <w:spacing w:after="40"/>
              <w:jc w:val="left"/>
            </w:pPr>
            <w:r>
              <w:rPr>
                <w:sz w:val="18"/>
              </w:rPr>
              <w:t xml:space="preserve">Data</w:t>
            </w:r>
          </w:p>
        </w:tc>
        <w:tc>
          <w:tcPr>
            <w:tcW w:w="2135" w:type="dxa"/>
          </w:tcPr>
          <w:p>
            <w:pPr>
              <w:pStyle w:val="Compact"/>
              <w:spacing w:after="40"/>
              <w:jc w:val="left"/>
            </w:pPr>
            <w:r>
              <w:rPr>
                <w:sz w:val="18"/>
              </w:rPr>
              <w:t xml:space="preserve">Ongoing privacy responsibility</w:t>
            </w:r>
          </w:p>
        </w:tc>
        <w:tc>
          <w:tcPr>
            <w:tcW w:w="2690" w:type="dxa"/>
          </w:tcPr>
          <w:p>
            <w:pPr>
              <w:pStyle w:val="Compact"/>
              <w:spacing w:after="40"/>
              <w:jc w:val="left"/>
            </w:pPr>
            <w:r>
              <w:rPr>
                <w:sz w:val="18"/>
              </w:rPr>
              <w:t xml:space="preserve">Minimal data; India only; RE-scoped vault</w:t>
            </w:r>
          </w:p>
        </w:tc>
        <w:tc>
          <w:tcPr>
            <w:tcW w:w="1960" w:type="dxa"/>
          </w:tcPr>
          <w:p>
            <w:pPr>
              <w:pStyle w:val="Compact"/>
              <w:spacing w:after="40"/>
              <w:jc w:val="left"/>
            </w:pPr>
            <w:r>
              <w:rPr>
                <w:sz w:val="18"/>
              </w:rPr>
              <w:t xml:space="preserve">CF para 14; Sch. 7</w:t>
            </w:r>
          </w:p>
        </w:tc>
      </w:tr>
      <w:tr>
        <w:tc>
          <w:tcPr>
            <w:tcW w:w="914" w:type="dxa"/>
          </w:tcPr>
          <w:p>
            <w:pPr>
              <w:pStyle w:val="Compact"/>
              <w:spacing w:after="40"/>
              <w:jc w:val="left"/>
            </w:pPr>
            <w:r>
              <w:rPr>
                <w:sz w:val="18"/>
              </w:rPr>
              <w:t xml:space="preserve">30</w:t>
            </w:r>
          </w:p>
        </w:tc>
        <w:tc>
          <w:tcPr>
            <w:tcW w:w="1939" w:type="dxa"/>
          </w:tcPr>
          <w:p>
            <w:pPr>
              <w:pStyle w:val="Compact"/>
              <w:spacing w:after="40"/>
              <w:jc w:val="left"/>
            </w:pPr>
            <w:r>
              <w:rPr>
                <w:sz w:val="18"/>
              </w:rPr>
              <w:t xml:space="preserve">Incidents</w:t>
            </w:r>
          </w:p>
        </w:tc>
        <w:tc>
          <w:tcPr>
            <w:tcW w:w="2135" w:type="dxa"/>
          </w:tcPr>
          <w:p>
            <w:pPr>
              <w:pStyle w:val="Compact"/>
              <w:spacing w:after="40"/>
              <w:jc w:val="left"/>
            </w:pPr>
            <w:r>
              <w:rPr>
                <w:sz w:val="18"/>
              </w:rPr>
              <w:t xml:space="preserve">Reports to RBI within 6 hours of LSP detection</w:t>
            </w:r>
          </w:p>
        </w:tc>
        <w:tc>
          <w:tcPr>
            <w:tcW w:w="2690" w:type="dxa"/>
          </w:tcPr>
          <w:p>
            <w:pPr>
              <w:pStyle w:val="Compact"/>
              <w:spacing w:after="40"/>
              <w:jc w:val="left"/>
            </w:pPr>
            <w:r>
              <w:rPr>
                <w:sz w:val="18"/>
              </w:rPr>
              <w:t xml:space="preserve">Notifies RE ≤ 2 hours; CERT-In ≤ 6 hours</w:t>
            </w:r>
          </w:p>
        </w:tc>
        <w:tc>
          <w:tcPr>
            <w:tcW w:w="1960" w:type="dxa"/>
          </w:tcPr>
          <w:p>
            <w:pPr>
              <w:pStyle w:val="Compact"/>
              <w:spacing w:after="40"/>
              <w:jc w:val="left"/>
            </w:pPr>
            <w:r>
              <w:rPr>
                <w:sz w:val="18"/>
              </w:rPr>
              <w:t xml:space="preserve">OUT para 61; CYB paras 28, 141; Sch. 12</w:t>
            </w:r>
          </w:p>
        </w:tc>
      </w:tr>
      <w:tr>
        <w:tc>
          <w:tcPr>
            <w:tcW w:w="914" w:type="dxa"/>
          </w:tcPr>
          <w:p>
            <w:pPr>
              <w:pStyle w:val="Compact"/>
              <w:spacing w:after="40"/>
              <w:jc w:val="left"/>
            </w:pPr>
            <w:r>
              <w:rPr>
                <w:sz w:val="18"/>
              </w:rPr>
              <w:t xml:space="preserve">31</w:t>
            </w:r>
          </w:p>
        </w:tc>
        <w:tc>
          <w:tcPr>
            <w:tcW w:w="1939" w:type="dxa"/>
          </w:tcPr>
          <w:p>
            <w:pPr>
              <w:pStyle w:val="Compact"/>
              <w:spacing w:after="40"/>
              <w:jc w:val="left"/>
            </w:pPr>
            <w:r>
              <w:rPr>
                <w:sz w:val="18"/>
              </w:rPr>
              <w:t xml:space="preserve">Audit</w:t>
            </w:r>
          </w:p>
        </w:tc>
        <w:tc>
          <w:tcPr>
            <w:tcW w:w="2135" w:type="dxa"/>
          </w:tcPr>
          <w:p>
            <w:pPr>
              <w:pStyle w:val="Compact"/>
              <w:spacing w:after="40"/>
              <w:jc w:val="left"/>
            </w:pPr>
            <w:r>
              <w:rPr>
                <w:sz w:val="18"/>
              </w:rPr>
              <w:t xml:space="preserve">Audits; RBI may inspect</w:t>
            </w:r>
          </w:p>
        </w:tc>
        <w:tc>
          <w:tcPr>
            <w:tcW w:w="2690" w:type="dxa"/>
          </w:tcPr>
          <w:p>
            <w:pPr>
              <w:pStyle w:val="Compact"/>
              <w:spacing w:after="40"/>
              <w:jc w:val="left"/>
            </w:pPr>
            <w:r>
              <w:rPr>
                <w:sz w:val="18"/>
              </w:rPr>
              <w:t xml:space="preserve">Full access incl. sub-contractors</w:t>
            </w:r>
          </w:p>
        </w:tc>
        <w:tc>
          <w:tcPr>
            <w:tcW w:w="1960" w:type="dxa"/>
          </w:tcPr>
          <w:p>
            <w:pPr>
              <w:pStyle w:val="Compact"/>
              <w:spacing w:after="40"/>
              <w:jc w:val="left"/>
            </w:pPr>
            <w:r>
              <w:rPr>
                <w:sz w:val="18"/>
              </w:rPr>
              <w:t xml:space="preserve">OUT paras 34, 74, 81; Sch. 13</w:t>
            </w:r>
          </w:p>
        </w:tc>
      </w:tr>
      <w:tr>
        <w:tc>
          <w:tcPr>
            <w:tcW w:w="914" w:type="dxa"/>
          </w:tcPr>
          <w:p>
            <w:pPr>
              <w:pStyle w:val="Compact"/>
              <w:spacing w:after="40"/>
              <w:jc w:val="left"/>
            </w:pPr>
            <w:r>
              <w:rPr>
                <w:sz w:val="18"/>
              </w:rPr>
              <w:t xml:space="preserve">32</w:t>
            </w:r>
          </w:p>
        </w:tc>
        <w:tc>
          <w:tcPr>
            <w:tcW w:w="1939" w:type="dxa"/>
          </w:tcPr>
          <w:p>
            <w:pPr>
              <w:pStyle w:val="Compact"/>
              <w:spacing w:after="40"/>
              <w:jc w:val="left"/>
            </w:pPr>
            <w:r>
              <w:rPr>
                <w:sz w:val="18"/>
              </w:rPr>
              <w:t xml:space="preserve">Fraud</w:t>
            </w:r>
          </w:p>
        </w:tc>
        <w:tc>
          <w:tcPr>
            <w:tcW w:w="2135" w:type="dxa"/>
          </w:tcPr>
          <w:p>
            <w:pPr>
              <w:pStyle w:val="Compact"/>
              <w:spacing w:after="40"/>
              <w:jc w:val="left"/>
            </w:pPr>
            <w:r>
              <w:rPr>
                <w:sz w:val="18"/>
              </w:rPr>
              <w:t xml:space="preserve">Classifies and reports</w:t>
            </w:r>
          </w:p>
        </w:tc>
        <w:tc>
          <w:tcPr>
            <w:tcW w:w="2690" w:type="dxa"/>
          </w:tcPr>
          <w:p>
            <w:pPr>
              <w:pStyle w:val="Compact"/>
              <w:spacing w:after="40"/>
              <w:jc w:val="left"/>
            </w:pPr>
            <w:r>
              <w:rPr>
                <w:sz w:val="18"/>
              </w:rPr>
              <w:t xml:space="preserve">Raises signals; accountable for wilful negligence or malpractice</w:t>
            </w:r>
          </w:p>
        </w:tc>
        <w:tc>
          <w:tcPr>
            <w:tcW w:w="1960" w:type="dxa"/>
          </w:tcPr>
          <w:p>
            <w:pPr>
              <w:pStyle w:val="Compact"/>
              <w:spacing w:after="40"/>
              <w:jc w:val="left"/>
            </w:pPr>
            <w:r>
              <w:rPr>
                <w:sz w:val="18"/>
              </w:rPr>
              <w:t xml:space="preserve">FRM para 31; Art. 26</w:t>
            </w:r>
          </w:p>
        </w:tc>
      </w:tr>
    </w:tbl>
    <w:bookmarkEnd w:id="64"/>
    <w:bookmarkStart w:id="65" w:name="part-b-activation-per-product-option"/>
    <w:p>
      <w:pPr>
        <w:pStyle w:val="Heading2"/>
      </w:pPr>
      <w:r>
        <w:t xml:space="preserve">Part B — Activation per Product [Option]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07"/>
        <w:gridCol w:w="1061"/>
        <w:gridCol w:w="1061"/>
        <w:gridCol w:w="1061"/>
        <w:gridCol w:w="1061"/>
        <w:gridCol w:w="1061"/>
        <w:gridCol w:w="1061"/>
        <w:gridCol w:w="1065"/>
      </w:tblGrid>
      <w:tr>
        <w:trPr>
          <w:tblHeader w:val="true"/>
          <w:tblHeader w:val="true"/>
        </w:trPr>
        <w:tc>
          <w:tcPr>
            <w:tcW w:w="2207" w:type="dxa"/>
            <w:shd w:val="clear" w:color="auto" w:fill="1F3A5F"/>
          </w:tcPr>
          <w:p>
            <w:pPr>
              <w:pStyle w:val="Compact"/>
              <w:spacing w:after="40"/>
              <w:jc w:val="left"/>
            </w:pPr>
            <w:r>
              <w:rPr>
                <w:b/>
                <w:color w:val="FFFFFF"/>
                <w:sz w:val="18"/>
              </w:rPr>
              <w:t xml:space="preserve">Activity group (rows)</w:t>
            </w:r>
          </w:p>
        </w:tc>
        <w:tc>
          <w:tcPr>
            <w:tcW w:w="1061" w:type="dxa"/>
            <w:shd w:val="clear" w:color="auto" w:fill="1F3A5F"/>
          </w:tcPr>
          <w:p>
            <w:pPr>
              <w:pStyle w:val="Compact"/>
              <w:spacing w:after="40"/>
              <w:jc w:val="left"/>
            </w:pPr>
            <w:r>
              <w:rPr>
                <w:b/>
                <w:color w:val="FFFFFF"/>
                <w:sz w:val="18"/>
              </w:rPr>
              <w:t xml:space="preserve">PL</w:t>
            </w:r>
          </w:p>
        </w:tc>
        <w:tc>
          <w:tcPr>
            <w:tcW w:w="1061" w:type="dxa"/>
            <w:shd w:val="clear" w:color="auto" w:fill="1F3A5F"/>
          </w:tcPr>
          <w:p>
            <w:pPr>
              <w:pStyle w:val="Compact"/>
              <w:spacing w:after="40"/>
              <w:jc w:val="left"/>
            </w:pPr>
            <w:r>
              <w:rPr>
                <w:b/>
                <w:color w:val="FFFFFF"/>
                <w:sz w:val="18"/>
              </w:rPr>
              <w:t xml:space="preserve">Short-tenor</w:t>
            </w:r>
          </w:p>
        </w:tc>
        <w:tc>
          <w:tcPr>
            <w:tcW w:w="1061" w:type="dxa"/>
            <w:shd w:val="clear" w:color="auto" w:fill="1F3A5F"/>
          </w:tcPr>
          <w:p>
            <w:pPr>
              <w:pStyle w:val="Compact"/>
              <w:spacing w:after="40"/>
              <w:jc w:val="left"/>
            </w:pPr>
            <w:r>
              <w:rPr>
                <w:b/>
                <w:color w:val="FFFFFF"/>
                <w:sz w:val="18"/>
              </w:rPr>
              <w:t xml:space="preserve">LAS</w:t>
            </w:r>
          </w:p>
        </w:tc>
        <w:tc>
          <w:tcPr>
            <w:tcW w:w="1061" w:type="dxa"/>
            <w:shd w:val="clear" w:color="auto" w:fill="1F3A5F"/>
          </w:tcPr>
          <w:p>
            <w:pPr>
              <w:pStyle w:val="Compact"/>
              <w:spacing w:after="40"/>
              <w:jc w:val="left"/>
            </w:pPr>
            <w:r>
              <w:rPr>
                <w:b/>
                <w:color w:val="FFFFFF"/>
                <w:sz w:val="18"/>
              </w:rPr>
              <w:t xml:space="preserve">Home</w:t>
            </w:r>
          </w:p>
        </w:tc>
        <w:tc>
          <w:tcPr>
            <w:tcW w:w="1061" w:type="dxa"/>
            <w:shd w:val="clear" w:color="auto" w:fill="1F3A5F"/>
          </w:tcPr>
          <w:p>
            <w:pPr>
              <w:pStyle w:val="Compact"/>
              <w:spacing w:after="40"/>
              <w:jc w:val="left"/>
            </w:pPr>
            <w:r>
              <w:rPr>
                <w:b/>
                <w:color w:val="FFFFFF"/>
                <w:sz w:val="18"/>
              </w:rPr>
              <w:t xml:space="preserve">Vehicle</w:t>
            </w:r>
          </w:p>
        </w:tc>
        <w:tc>
          <w:tcPr>
            <w:tcW w:w="1061" w:type="dxa"/>
            <w:shd w:val="clear" w:color="auto" w:fill="1F3A5F"/>
          </w:tcPr>
          <w:p>
            <w:pPr>
              <w:pStyle w:val="Compact"/>
              <w:spacing w:after="40"/>
              <w:jc w:val="left"/>
            </w:pPr>
            <w:r>
              <w:rPr>
                <w:b/>
                <w:color w:val="FFFFFF"/>
                <w:sz w:val="18"/>
              </w:rPr>
              <w:t xml:space="preserve">LAP</w:t>
            </w:r>
          </w:p>
        </w:tc>
        <w:tc>
          <w:tcPr>
            <w:tcW w:w="1065" w:type="dxa"/>
            <w:shd w:val="clear" w:color="auto" w:fill="1F3A5F"/>
          </w:tcPr>
          <w:p>
            <w:pPr>
              <w:pStyle w:val="Compact"/>
              <w:spacing w:after="40"/>
              <w:jc w:val="left"/>
            </w:pPr>
            <w:r>
              <w:rPr>
                <w:b/>
                <w:color w:val="FFFFFF"/>
                <w:sz w:val="18"/>
              </w:rPr>
              <w:t xml:space="preserve">Other</w:t>
            </w:r>
          </w:p>
        </w:tc>
      </w:tr>
      <w:tr>
        <w:tc>
          <w:tcPr>
            <w:tcW w:w="2207" w:type="dxa"/>
          </w:tcPr>
          <w:p>
            <w:pPr>
              <w:pStyle w:val="Compact"/>
              <w:spacing w:after="40"/>
              <w:jc w:val="left"/>
            </w:pPr>
            <w:r>
              <w:rPr>
                <w:sz w:val="18"/>
              </w:rPr>
              <w:t xml:space="preserve">Sourcing, DLA, onboarding (1–3)</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5" w:type="dxa"/>
          </w:tcPr>
          <w:p>
            <w:pPr>
              <w:pStyle w:val="Compact"/>
              <w:spacing w:after="40"/>
              <w:jc w:val="left"/>
            </w:pPr>
            <w:r>
              <w:rPr>
                <w:sz w:val="18"/>
              </w:rPr>
              <w:t xml:space="preserve">[Y/N]</w:t>
            </w:r>
          </w:p>
        </w:tc>
      </w:tr>
      <w:tr>
        <w:tc>
          <w:tcPr>
            <w:tcW w:w="2207" w:type="dxa"/>
          </w:tcPr>
          <w:p>
            <w:pPr>
              <w:pStyle w:val="Compact"/>
              <w:spacing w:after="40"/>
              <w:jc w:val="left"/>
            </w:pPr>
            <w:r>
              <w:rPr>
                <w:sz w:val="18"/>
              </w:rPr>
              <w:t xml:space="preserve">KYC evidence; bureau and AA (4, 6–8)</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5" w:type="dxa"/>
          </w:tcPr>
          <w:p>
            <w:pPr>
              <w:pStyle w:val="Compact"/>
              <w:spacing w:after="40"/>
              <w:jc w:val="left"/>
            </w:pPr>
            <w:r>
              <w:rPr>
                <w:sz w:val="18"/>
              </w:rPr>
              <w:t xml:space="preserve">[Y/N]</w:t>
            </w:r>
          </w:p>
        </w:tc>
      </w:tr>
      <w:tr>
        <w:tc>
          <w:tcPr>
            <w:tcW w:w="2207" w:type="dxa"/>
          </w:tcPr>
          <w:p>
            <w:pPr>
              <w:pStyle w:val="Compact"/>
              <w:spacing w:after="40"/>
              <w:jc w:val="left"/>
            </w:pPr>
            <w:r>
              <w:rPr>
                <w:sz w:val="18"/>
              </w:rPr>
              <w:t xml:space="preserve">KFS and execution orchestration (13–17)</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5" w:type="dxa"/>
          </w:tcPr>
          <w:p>
            <w:pPr>
              <w:pStyle w:val="Compact"/>
              <w:spacing w:after="40"/>
              <w:jc w:val="left"/>
            </w:pPr>
            <w:r>
              <w:rPr>
                <w:sz w:val="18"/>
              </w:rPr>
              <w:t xml:space="preserve">[Y/N]</w:t>
            </w:r>
          </w:p>
        </w:tc>
      </w:tr>
      <w:tr>
        <w:tc>
          <w:tcPr>
            <w:tcW w:w="2207" w:type="dxa"/>
          </w:tcPr>
          <w:p>
            <w:pPr>
              <w:pStyle w:val="Compact"/>
              <w:spacing w:after="40"/>
              <w:jc w:val="left"/>
            </w:pPr>
            <w:r>
              <w:rPr>
                <w:sz w:val="18"/>
              </w:rPr>
              <w:t xml:space="preserve">Mandate, repayment instructions, servicing (19–22)</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5" w:type="dxa"/>
          </w:tcPr>
          <w:p>
            <w:pPr>
              <w:pStyle w:val="Compact"/>
              <w:spacing w:after="40"/>
              <w:jc w:val="left"/>
            </w:pPr>
            <w:r>
              <w:rPr>
                <w:sz w:val="18"/>
              </w:rPr>
              <w:t xml:space="preserve">[Y/N]</w:t>
            </w:r>
          </w:p>
        </w:tc>
      </w:tr>
      <w:tr>
        <w:tc>
          <w:tcPr>
            <w:tcW w:w="2207" w:type="dxa"/>
          </w:tcPr>
          <w:p>
            <w:pPr>
              <w:pStyle w:val="Compact"/>
              <w:spacing w:after="40"/>
              <w:jc w:val="left"/>
            </w:pPr>
            <w:r>
              <w:rPr>
                <w:sz w:val="18"/>
              </w:rPr>
              <w:t xml:space="preserve">Recovery-agent services (23; Sch. 10)</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5" w:type="dxa"/>
          </w:tcPr>
          <w:p>
            <w:pPr>
              <w:pStyle w:val="Compact"/>
              <w:spacing w:after="40"/>
              <w:jc w:val="left"/>
            </w:pPr>
            <w:r>
              <w:rPr>
                <w:sz w:val="18"/>
              </w:rPr>
              <w:t xml:space="preserve">[Y/N]</w:t>
            </w:r>
          </w:p>
        </w:tc>
      </w:tr>
      <w:tr>
        <w:tc>
          <w:tcPr>
            <w:tcW w:w="2207" w:type="dxa"/>
          </w:tcPr>
          <w:p>
            <w:pPr>
              <w:pStyle w:val="Compact"/>
              <w:spacing w:after="40"/>
              <w:jc w:val="left"/>
            </w:pPr>
            <w:r>
              <w:rPr>
                <w:sz w:val="18"/>
              </w:rPr>
              <w:t xml:space="preserve">DLG (25; Sch. 11)</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N</w:t>
            </w:r>
          </w:p>
        </w:tc>
        <w:tc>
          <w:tcPr>
            <w:tcW w:w="1061" w:type="dxa"/>
          </w:tcPr>
          <w:p>
            <w:pPr>
              <w:pStyle w:val="Compact"/>
              <w:spacing w:after="40"/>
              <w:jc w:val="left"/>
            </w:pPr>
            <w:r>
              <w:rPr>
                <w:sz w:val="18"/>
              </w:rPr>
              <w:t xml:space="preserve">N</w:t>
            </w:r>
          </w:p>
        </w:tc>
        <w:tc>
          <w:tcPr>
            <w:tcW w:w="1061" w:type="dxa"/>
          </w:tcPr>
          <w:p>
            <w:pPr>
              <w:pStyle w:val="Compact"/>
              <w:spacing w:after="40"/>
              <w:jc w:val="left"/>
            </w:pPr>
            <w:r>
              <w:rPr>
                <w:sz w:val="18"/>
              </w:rPr>
              <w:t xml:space="preserve">[Y/N]</w:t>
            </w:r>
          </w:p>
        </w:tc>
        <w:tc>
          <w:tcPr>
            <w:tcW w:w="1061" w:type="dxa"/>
          </w:tcPr>
          <w:p>
            <w:pPr>
              <w:pStyle w:val="Compact"/>
              <w:spacing w:after="40"/>
              <w:jc w:val="left"/>
            </w:pPr>
            <w:r>
              <w:rPr>
                <w:sz w:val="18"/>
              </w:rPr>
              <w:t xml:space="preserve">N</w:t>
            </w:r>
          </w:p>
        </w:tc>
        <w:tc>
          <w:tcPr>
            <w:tcW w:w="1065" w:type="dxa"/>
          </w:tcPr>
          <w:p>
            <w:pPr>
              <w:pStyle w:val="Compact"/>
              <w:spacing w:after="40"/>
              <w:jc w:val="left"/>
            </w:pPr>
            <w:r>
              <w:rPr>
                <w:sz w:val="18"/>
              </w:rPr>
              <w:t xml:space="preserve">[Y/N]</w:t>
            </w:r>
          </w:p>
        </w:tc>
      </w:tr>
    </w:tbl>
    <w:p>
      <w:pPr>
        <w:pStyle w:val="BodyText"/>
      </w:pPr>
      <w:r>
        <w:rPr>
          <w:bCs/>
          <w:b/>
        </w:rPr>
        <w:t xml:space="preserve">2.4 Disclosure to Borrowers. [Mandatory — RBI]</w:t>
      </w:r>
      <w:r>
        <w:t xml:space="preserve"> </w:t>
      </w:r>
      <w:r>
        <w:t xml:space="preserve">The RE discloses in product literature that the LSP’s services may be used and its role in broad terms (OUT para 55); lists the LSP, its DLAs and engaged activities on its website (CF para 9(4)(ii)); and, where the LSP is recovery agent, discloses this in the KFS (RBC Annex I, Part 2, item 6(ii)).</w:t>
      </w:r>
    </w:p>
    <w:p>
      <w:r>
        <w:pict>
          <v:rect style="width:0;height:1.5pt" o:hralign="center" o:hrstd="t" o:hr="t"/>
        </w:pict>
      </w:r>
    </w:p>
    <w:p>
      <w:r>
        <w:br w:type="page"/>
      </w:r>
    </w:p>
    <w:bookmarkEnd w:id="65"/>
    <w:bookmarkEnd w:id="66"/>
    <w:bookmarkStart w:id="70" w:name="X25ab326d67d0ebfec64bc94e212ed30cba8ee90"/>
    <w:p>
      <w:pPr>
        <w:pStyle w:val="Heading1"/>
      </w:pPr>
      <w:r>
        <w:t xml:space="preserve">SCHEDULE 3 — DLA Particulars and CIMS Reporting Data</w:t>
      </w:r>
    </w:p>
    <w:p>
      <w:pPr>
        <w:pStyle w:val="FirstParagraph"/>
      </w:pPr>
      <w:r>
        <w:rPr>
          <w:iCs/>
          <w:i/>
        </w:rPr>
        <w:t xml:space="preserve">Drafting note: This Schedule implements Article 5 (Digital Lending Apps and Platform) and Article 18 (Regulatory Reporting and CIMS). Every borrower-facing channel through which the RE’s loans are offered is a DLA of the RE (CF para 4(1)(x)) and must be reported by the RE on the CIMS portal in the Annex-I format, one line per DLA per platform (CF para 18(1)). Columns follow CF Annex-I as read from the official PDF image [VERIFY: against the live CIMS form]. RBI publishes CIMS data without verification (CF para 18(5)); Google Play admits Indian personal-loan apps only if on RBI’s DLA list.</w:t>
      </w:r>
    </w:p>
    <w:bookmarkStart w:id="67" w:name="part-a-dla-register-annex-i-fields"/>
    <w:p>
      <w:pPr>
        <w:pStyle w:val="Heading2"/>
      </w:pPr>
      <w:r>
        <w:t xml:space="preserve">Part A — DLA register (Annex-I fields)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64"/>
        <w:gridCol w:w="1070"/>
        <w:gridCol w:w="1034"/>
        <w:gridCol w:w="829"/>
        <w:gridCol w:w="781"/>
        <w:gridCol w:w="664"/>
        <w:gridCol w:w="664"/>
        <w:gridCol w:w="704"/>
        <w:gridCol w:w="664"/>
        <w:gridCol w:w="1070"/>
        <w:gridCol w:w="757"/>
        <w:gridCol w:w="737"/>
      </w:tblGrid>
      <w:tr>
        <w:trPr>
          <w:tblHeader w:val="true"/>
          <w:tblHeader w:val="true"/>
        </w:trPr>
        <w:tc>
          <w:tcPr>
            <w:tcW w:w="664" w:type="dxa"/>
            <w:shd w:val="clear" w:color="auto" w:fill="1F3A5F"/>
          </w:tcPr>
          <w:p>
            <w:pPr>
              <w:pStyle w:val="Compact"/>
              <w:spacing w:after="40"/>
              <w:jc w:val="left"/>
            </w:pPr>
            <w:r>
              <w:rPr>
                <w:b/>
                <w:color w:val="FFFFFF"/>
                <w:sz w:val="18"/>
              </w:rPr>
              <w:t xml:space="preserve">S. No.</w:t>
            </w:r>
          </w:p>
        </w:tc>
        <w:tc>
          <w:tcPr>
            <w:tcW w:w="1070" w:type="dxa"/>
            <w:shd w:val="clear" w:color="auto" w:fill="1F3A5F"/>
          </w:tcPr>
          <w:p>
            <w:pPr>
              <w:pStyle w:val="Compact"/>
              <w:spacing w:after="40"/>
              <w:jc w:val="left"/>
            </w:pPr>
            <w:r>
              <w:rPr>
                <w:b/>
                <w:color w:val="FFFFFF"/>
                <w:sz w:val="18"/>
              </w:rPr>
              <w:t xml:space="preserve">Name of the DLA</w:t>
            </w:r>
          </w:p>
        </w:tc>
        <w:tc>
          <w:tcPr>
            <w:tcW w:w="1034" w:type="dxa"/>
            <w:shd w:val="clear" w:color="auto" w:fill="1F3A5F"/>
          </w:tcPr>
          <w:p>
            <w:pPr>
              <w:pStyle w:val="Compact"/>
              <w:spacing w:after="40"/>
              <w:jc w:val="left"/>
            </w:pPr>
            <w:r>
              <w:rPr>
                <w:b/>
                <w:color w:val="FFFFFF"/>
                <w:sz w:val="18"/>
              </w:rPr>
              <w:t xml:space="preserve">Name of the owner (LSP name)</w:t>
            </w:r>
          </w:p>
        </w:tc>
        <w:tc>
          <w:tcPr>
            <w:tcW w:w="829" w:type="dxa"/>
            <w:shd w:val="clear" w:color="auto" w:fill="1F3A5F"/>
          </w:tcPr>
          <w:p>
            <w:pPr>
              <w:pStyle w:val="Compact"/>
              <w:spacing w:after="40"/>
              <w:jc w:val="left"/>
            </w:pPr>
            <w:r>
              <w:rPr>
                <w:b/>
                <w:color w:val="FFFFFF"/>
                <w:sz w:val="18"/>
              </w:rPr>
              <w:t xml:space="preserve">Available on</w:t>
            </w:r>
          </w:p>
        </w:tc>
        <w:tc>
          <w:tcPr>
            <w:tcW w:w="781" w:type="dxa"/>
            <w:shd w:val="clear" w:color="auto" w:fill="1F3A5F"/>
          </w:tcPr>
          <w:p>
            <w:pPr>
              <w:pStyle w:val="Compact"/>
              <w:spacing w:after="40"/>
              <w:jc w:val="left"/>
            </w:pPr>
            <w:r>
              <w:rPr>
                <w:b/>
                <w:color w:val="FFFFFF"/>
                <w:sz w:val="18"/>
              </w:rPr>
              <w:t xml:space="preserve">Link to DLA</w:t>
            </w:r>
          </w:p>
        </w:tc>
        <w:tc>
          <w:tcPr>
            <w:tcW w:w="664" w:type="dxa"/>
            <w:shd w:val="clear" w:color="auto" w:fill="1F3A5F"/>
          </w:tcPr>
          <w:p>
            <w:pPr>
              <w:pStyle w:val="Compact"/>
              <w:spacing w:after="40"/>
              <w:jc w:val="left"/>
            </w:pPr>
            <w:r>
              <w:rPr>
                <w:b/>
                <w:color w:val="FFFFFF"/>
                <w:sz w:val="18"/>
              </w:rPr>
              <w:t xml:space="preserve">GRO name</w:t>
            </w:r>
          </w:p>
        </w:tc>
        <w:tc>
          <w:tcPr>
            <w:tcW w:w="664" w:type="dxa"/>
            <w:shd w:val="clear" w:color="auto" w:fill="1F3A5F"/>
          </w:tcPr>
          <w:p>
            <w:pPr>
              <w:pStyle w:val="Compact"/>
              <w:spacing w:after="40"/>
              <w:jc w:val="left"/>
            </w:pPr>
            <w:r>
              <w:rPr>
                <w:b/>
                <w:color w:val="FFFFFF"/>
                <w:sz w:val="18"/>
              </w:rPr>
              <w:t xml:space="preserve">GRO email</w:t>
            </w:r>
          </w:p>
        </w:tc>
        <w:tc>
          <w:tcPr>
            <w:tcW w:w="704" w:type="dxa"/>
            <w:shd w:val="clear" w:color="auto" w:fill="1F3A5F"/>
          </w:tcPr>
          <w:p>
            <w:pPr>
              <w:pStyle w:val="Compact"/>
              <w:spacing w:after="40"/>
              <w:jc w:val="left"/>
            </w:pPr>
            <w:r>
              <w:rPr>
                <w:b/>
                <w:color w:val="FFFFFF"/>
                <w:sz w:val="18"/>
              </w:rPr>
              <w:t xml:space="preserve">GRO telephone</w:t>
            </w:r>
          </w:p>
        </w:tc>
        <w:tc>
          <w:tcPr>
            <w:tcW w:w="664" w:type="dxa"/>
            <w:shd w:val="clear" w:color="auto" w:fill="1F3A5F"/>
          </w:tcPr>
          <w:p>
            <w:pPr>
              <w:pStyle w:val="Compact"/>
              <w:spacing w:after="40"/>
              <w:jc w:val="left"/>
            </w:pPr>
            <w:r>
              <w:rPr>
                <w:b/>
                <w:color w:val="FFFFFF"/>
                <w:sz w:val="18"/>
              </w:rPr>
              <w:t xml:space="preserve">GRO mobile</w:t>
            </w:r>
          </w:p>
        </w:tc>
        <w:tc>
          <w:tcPr>
            <w:tcW w:w="1070" w:type="dxa"/>
            <w:shd w:val="clear" w:color="auto" w:fill="1F3A5F"/>
          </w:tcPr>
          <w:p>
            <w:pPr>
              <w:pStyle w:val="Compact"/>
              <w:spacing w:after="40"/>
              <w:jc w:val="left"/>
            </w:pPr>
            <w:r>
              <w:rPr>
                <w:b/>
                <w:color w:val="FFFFFF"/>
                <w:sz w:val="18"/>
              </w:rPr>
              <w:t xml:space="preserve">Website of RE</w:t>
            </w:r>
          </w:p>
        </w:tc>
        <w:tc>
          <w:tcPr>
            <w:tcW w:w="757" w:type="dxa"/>
            <w:shd w:val="clear" w:color="auto" w:fill="1F3A5F"/>
          </w:tcPr>
          <w:p>
            <w:pPr>
              <w:pStyle w:val="Compact"/>
              <w:spacing w:after="40"/>
              <w:jc w:val="left"/>
            </w:pPr>
            <w:r>
              <w:rPr>
                <w:b/>
                <w:color w:val="FFFFFF"/>
                <w:sz w:val="18"/>
              </w:rPr>
              <w:t xml:space="preserve">Activation date</w:t>
            </w:r>
          </w:p>
        </w:tc>
        <w:tc>
          <w:tcPr>
            <w:tcW w:w="737" w:type="dxa"/>
            <w:shd w:val="clear" w:color="auto" w:fill="1F3A5F"/>
          </w:tcPr>
          <w:p>
            <w:pPr>
              <w:pStyle w:val="Compact"/>
              <w:spacing w:after="40"/>
              <w:jc w:val="left"/>
            </w:pPr>
            <w:r>
              <w:rPr>
                <w:b/>
                <w:color w:val="FFFFFF"/>
                <w:sz w:val="18"/>
              </w:rPr>
              <w:t xml:space="preserve">Cessation date</w:t>
            </w:r>
          </w:p>
        </w:tc>
      </w:tr>
      <w:tr>
        <w:tc>
          <w:tcPr>
            <w:tcW w:w="664" w:type="dxa"/>
          </w:tcPr>
          <w:p>
            <w:pPr>
              <w:pStyle w:val="Compact"/>
              <w:spacing w:after="40"/>
              <w:jc w:val="left"/>
            </w:pPr>
            <w:r>
              <w:rPr>
                <w:sz w:val="18"/>
              </w:rPr>
              <w:t xml:space="preserve">1</w:t>
            </w:r>
          </w:p>
        </w:tc>
        <w:tc>
          <w:tcPr>
            <w:tcW w:w="1070" w:type="dxa"/>
          </w:tcPr>
          <w:p>
            <w:pPr>
              <w:pStyle w:val="Compact"/>
              <w:spacing w:after="40"/>
              <w:jc w:val="left"/>
            </w:pPr>
            <w:r>
              <w:rPr>
                <w:sz w:val="18"/>
              </w:rPr>
              <w:t xml:space="preserve">Udofin – [app name]</w:t>
            </w:r>
          </w:p>
        </w:tc>
        <w:tc>
          <w:tcPr>
            <w:tcW w:w="1034" w:type="dxa"/>
          </w:tcPr>
          <w:p>
            <w:pPr>
              <w:pStyle w:val="Compact"/>
              <w:spacing w:after="40"/>
              <w:jc w:val="left"/>
            </w:pPr>
            <w:r>
              <w:rPr>
                <w:sz w:val="18"/>
              </w:rPr>
              <w:t xml:space="preserve">[LSP legal name]</w:t>
            </w:r>
          </w:p>
        </w:tc>
        <w:tc>
          <w:tcPr>
            <w:tcW w:w="829" w:type="dxa"/>
          </w:tcPr>
          <w:p>
            <w:pPr>
              <w:pStyle w:val="Compact"/>
              <w:spacing w:after="40"/>
              <w:jc w:val="left"/>
            </w:pPr>
            <w:r>
              <w:rPr>
                <w:sz w:val="18"/>
              </w:rPr>
              <w:t xml:space="preserve">Google Play Store</w:t>
            </w:r>
          </w:p>
        </w:tc>
        <w:tc>
          <w:tcPr>
            <w:tcW w:w="781" w:type="dxa"/>
          </w:tcPr>
          <w:p>
            <w:pPr>
              <w:pStyle w:val="Compact"/>
              <w:spacing w:after="40"/>
              <w:jc w:val="left"/>
            </w:pPr>
            <w:r>
              <w:rPr>
                <w:sz w:val="18"/>
              </w:rPr>
              <w:t xml:space="preserve">[Play Store URL]</w:t>
            </w:r>
          </w:p>
        </w:tc>
        <w:tc>
          <w:tcPr>
            <w:tcW w:w="66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70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1070" w:type="dxa"/>
          </w:tcPr>
          <w:p>
            <w:pPr>
              <w:pStyle w:val="Compact"/>
              <w:spacing w:after="40"/>
              <w:jc w:val="left"/>
            </w:pPr>
            <w:r>
              <w:rPr>
                <w:sz w:val="18"/>
              </w:rPr>
              <w:t xml:space="preserve">[RE URL of the para 9(4) page]</w:t>
            </w:r>
          </w:p>
        </w:tc>
        <w:tc>
          <w:tcPr>
            <w:tcW w:w="757" w:type="dxa"/>
          </w:tcPr>
          <w:p>
            <w:pPr>
              <w:pStyle w:val="Compact"/>
              <w:spacing w:after="40"/>
              <w:jc w:val="left"/>
            </w:pPr>
            <w:r>
              <w:rPr>
                <w:sz w:val="18"/>
              </w:rPr>
              <w:t xml:space="preserve">[●]</w:t>
            </w:r>
          </w:p>
        </w:tc>
        <w:tc>
          <w:tcPr>
            <w:tcW w:w="737" w:type="dxa"/>
          </w:tcPr>
          <w:p>
            <w:pPr>
              <w:pStyle w:val="Compact"/>
              <w:spacing w:after="40"/>
              <w:jc w:val="left"/>
            </w:pPr>
            <w:r>
              <w:rPr>
                <w:sz w:val="18"/>
              </w:rPr>
              <w:t xml:space="preserve">[—]</w:t>
            </w:r>
          </w:p>
        </w:tc>
      </w:tr>
      <w:tr>
        <w:tc>
          <w:tcPr>
            <w:tcW w:w="664" w:type="dxa"/>
          </w:tcPr>
          <w:p>
            <w:pPr>
              <w:pStyle w:val="Compact"/>
              <w:spacing w:after="40"/>
              <w:jc w:val="left"/>
            </w:pPr>
            <w:r>
              <w:rPr>
                <w:sz w:val="18"/>
              </w:rPr>
              <w:t xml:space="preserve">2</w:t>
            </w:r>
          </w:p>
        </w:tc>
        <w:tc>
          <w:tcPr>
            <w:tcW w:w="1070" w:type="dxa"/>
          </w:tcPr>
          <w:p>
            <w:pPr>
              <w:pStyle w:val="Compact"/>
              <w:spacing w:after="40"/>
              <w:jc w:val="left"/>
            </w:pPr>
            <w:r>
              <w:rPr>
                <w:sz w:val="18"/>
              </w:rPr>
              <w:t xml:space="preserve">Udofin – [app name]</w:t>
            </w:r>
          </w:p>
        </w:tc>
        <w:tc>
          <w:tcPr>
            <w:tcW w:w="1034" w:type="dxa"/>
          </w:tcPr>
          <w:p>
            <w:pPr>
              <w:pStyle w:val="Compact"/>
              <w:spacing w:after="40"/>
              <w:jc w:val="left"/>
            </w:pPr>
            <w:r>
              <w:rPr>
                <w:sz w:val="18"/>
              </w:rPr>
              <w:t xml:space="preserve">[LSP legal name]</w:t>
            </w:r>
          </w:p>
        </w:tc>
        <w:tc>
          <w:tcPr>
            <w:tcW w:w="829" w:type="dxa"/>
          </w:tcPr>
          <w:p>
            <w:pPr>
              <w:pStyle w:val="Compact"/>
              <w:spacing w:after="40"/>
              <w:jc w:val="left"/>
            </w:pPr>
            <w:r>
              <w:rPr>
                <w:sz w:val="18"/>
              </w:rPr>
              <w:t xml:space="preserve">Apple App Store</w:t>
            </w:r>
          </w:p>
        </w:tc>
        <w:tc>
          <w:tcPr>
            <w:tcW w:w="781" w:type="dxa"/>
          </w:tcPr>
          <w:p>
            <w:pPr>
              <w:pStyle w:val="Compact"/>
              <w:spacing w:after="40"/>
              <w:jc w:val="left"/>
            </w:pPr>
            <w:r>
              <w:rPr>
                <w:sz w:val="18"/>
              </w:rPr>
              <w:t xml:space="preserve">[App Store URL]</w:t>
            </w:r>
          </w:p>
        </w:tc>
        <w:tc>
          <w:tcPr>
            <w:tcW w:w="66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70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1070" w:type="dxa"/>
          </w:tcPr>
          <w:p>
            <w:pPr>
              <w:pStyle w:val="Compact"/>
              <w:spacing w:after="40"/>
              <w:jc w:val="left"/>
            </w:pPr>
            <w:r>
              <w:rPr>
                <w:sz w:val="18"/>
              </w:rPr>
              <w:t xml:space="preserve">[RE URL]</w:t>
            </w:r>
          </w:p>
        </w:tc>
        <w:tc>
          <w:tcPr>
            <w:tcW w:w="757" w:type="dxa"/>
          </w:tcPr>
          <w:p>
            <w:pPr>
              <w:pStyle w:val="Compact"/>
              <w:spacing w:after="40"/>
              <w:jc w:val="left"/>
            </w:pPr>
            <w:r>
              <w:rPr>
                <w:sz w:val="18"/>
              </w:rPr>
              <w:t xml:space="preserve">[●]</w:t>
            </w:r>
          </w:p>
        </w:tc>
        <w:tc>
          <w:tcPr>
            <w:tcW w:w="737" w:type="dxa"/>
          </w:tcPr>
          <w:p>
            <w:pPr>
              <w:pStyle w:val="Compact"/>
              <w:spacing w:after="40"/>
              <w:jc w:val="left"/>
            </w:pPr>
            <w:r>
              <w:rPr>
                <w:sz w:val="18"/>
              </w:rPr>
              <w:t xml:space="preserve">[—]</w:t>
            </w:r>
          </w:p>
        </w:tc>
      </w:tr>
      <w:tr>
        <w:tc>
          <w:tcPr>
            <w:tcW w:w="664" w:type="dxa"/>
          </w:tcPr>
          <w:p>
            <w:pPr>
              <w:pStyle w:val="Compact"/>
              <w:spacing w:after="40"/>
              <w:jc w:val="left"/>
            </w:pPr>
            <w:r>
              <w:rPr>
                <w:sz w:val="18"/>
              </w:rPr>
              <w:t xml:space="preserve">3</w:t>
            </w:r>
          </w:p>
        </w:tc>
        <w:tc>
          <w:tcPr>
            <w:tcW w:w="1070" w:type="dxa"/>
          </w:tcPr>
          <w:p>
            <w:pPr>
              <w:pStyle w:val="Compact"/>
              <w:spacing w:after="40"/>
              <w:jc w:val="left"/>
            </w:pPr>
            <w:r>
              <w:rPr>
                <w:sz w:val="18"/>
              </w:rPr>
              <w:t xml:space="preserve">Udofin web</w:t>
            </w:r>
          </w:p>
        </w:tc>
        <w:tc>
          <w:tcPr>
            <w:tcW w:w="1034" w:type="dxa"/>
          </w:tcPr>
          <w:p>
            <w:pPr>
              <w:pStyle w:val="Compact"/>
              <w:spacing w:after="40"/>
              <w:jc w:val="left"/>
            </w:pPr>
            <w:r>
              <w:rPr>
                <w:sz w:val="18"/>
              </w:rPr>
              <w:t xml:space="preserve">[LSP legal name]</w:t>
            </w:r>
          </w:p>
        </w:tc>
        <w:tc>
          <w:tcPr>
            <w:tcW w:w="829" w:type="dxa"/>
          </w:tcPr>
          <w:p>
            <w:pPr>
              <w:pStyle w:val="Compact"/>
              <w:spacing w:after="40"/>
              <w:jc w:val="left"/>
            </w:pPr>
            <w:r>
              <w:rPr>
                <w:sz w:val="18"/>
              </w:rPr>
              <w:t xml:space="preserve">Website</w:t>
            </w:r>
          </w:p>
        </w:tc>
        <w:tc>
          <w:tcPr>
            <w:tcW w:w="781" w:type="dxa"/>
          </w:tcPr>
          <w:p>
            <w:pPr>
              <w:pStyle w:val="Compact"/>
              <w:spacing w:after="40"/>
              <w:jc w:val="left"/>
            </w:pPr>
            <w:r>
              <w:rPr>
                <w:sz w:val="18"/>
              </w:rPr>
              <w:t xml:space="preserve">[https://[●]]</w:t>
            </w:r>
          </w:p>
        </w:tc>
        <w:tc>
          <w:tcPr>
            <w:tcW w:w="66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70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1070" w:type="dxa"/>
          </w:tcPr>
          <w:p>
            <w:pPr>
              <w:pStyle w:val="Compact"/>
              <w:spacing w:after="40"/>
              <w:jc w:val="left"/>
            </w:pPr>
            <w:r>
              <w:rPr>
                <w:sz w:val="18"/>
              </w:rPr>
              <w:t xml:space="preserve">[RE URL]</w:t>
            </w:r>
          </w:p>
        </w:tc>
        <w:tc>
          <w:tcPr>
            <w:tcW w:w="757" w:type="dxa"/>
          </w:tcPr>
          <w:p>
            <w:pPr>
              <w:pStyle w:val="Compact"/>
              <w:spacing w:after="40"/>
              <w:jc w:val="left"/>
            </w:pPr>
            <w:r>
              <w:rPr>
                <w:sz w:val="18"/>
              </w:rPr>
              <w:t xml:space="preserve">[●]</w:t>
            </w:r>
          </w:p>
        </w:tc>
        <w:tc>
          <w:tcPr>
            <w:tcW w:w="737" w:type="dxa"/>
          </w:tcPr>
          <w:p>
            <w:pPr>
              <w:pStyle w:val="Compact"/>
              <w:spacing w:after="40"/>
              <w:jc w:val="left"/>
            </w:pPr>
            <w:r>
              <w:rPr>
                <w:sz w:val="18"/>
              </w:rPr>
              <w:t xml:space="preserve">[—]</w:t>
            </w:r>
          </w:p>
        </w:tc>
      </w:tr>
      <w:tr>
        <w:tc>
          <w:tcPr>
            <w:tcW w:w="664" w:type="dxa"/>
          </w:tcPr>
          <w:p>
            <w:pPr>
              <w:pStyle w:val="Compact"/>
              <w:spacing w:after="40"/>
              <w:jc w:val="left"/>
            </w:pPr>
            <w:r>
              <w:rPr>
                <w:sz w:val="18"/>
              </w:rPr>
              <w:t xml:space="preserve">4</w:t>
            </w:r>
          </w:p>
        </w:tc>
        <w:tc>
          <w:tcPr>
            <w:tcW w:w="1070" w:type="dxa"/>
          </w:tcPr>
          <w:p>
            <w:pPr>
              <w:pStyle w:val="Compact"/>
              <w:spacing w:after="40"/>
              <w:jc w:val="left"/>
            </w:pPr>
            <w:r>
              <w:rPr>
                <w:sz w:val="18"/>
              </w:rPr>
              <w:t xml:space="preserve">[White-label DLA name, if any]</w:t>
            </w:r>
          </w:p>
        </w:tc>
        <w:tc>
          <w:tcPr>
            <w:tcW w:w="1034" w:type="dxa"/>
          </w:tcPr>
          <w:p>
            <w:pPr>
              <w:pStyle w:val="Compact"/>
              <w:spacing w:after="40"/>
              <w:jc w:val="left"/>
            </w:pPr>
            <w:r>
              <w:rPr>
                <w:sz w:val="18"/>
              </w:rPr>
              <w:t xml:space="preserve">[LSP legal name]</w:t>
            </w:r>
          </w:p>
        </w:tc>
        <w:tc>
          <w:tcPr>
            <w:tcW w:w="829" w:type="dxa"/>
          </w:tcPr>
          <w:p>
            <w:pPr>
              <w:pStyle w:val="Compact"/>
              <w:spacing w:after="40"/>
              <w:jc w:val="left"/>
            </w:pPr>
            <w:r>
              <w:rPr>
                <w:sz w:val="18"/>
              </w:rPr>
              <w:t xml:space="preserve">[Store or website]</w:t>
            </w:r>
          </w:p>
        </w:tc>
        <w:tc>
          <w:tcPr>
            <w:tcW w:w="781" w:type="dxa"/>
          </w:tcPr>
          <w:p>
            <w:pPr>
              <w:pStyle w:val="Compact"/>
              <w:spacing w:after="40"/>
              <w:jc w:val="left"/>
            </w:pPr>
            <w:r>
              <w:rPr>
                <w:sz w:val="18"/>
              </w:rPr>
              <w:t xml:space="preserve">[URL]</w:t>
            </w:r>
          </w:p>
        </w:tc>
        <w:tc>
          <w:tcPr>
            <w:tcW w:w="66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704" w:type="dxa"/>
          </w:tcPr>
          <w:p>
            <w:pPr>
              <w:pStyle w:val="Compact"/>
              <w:spacing w:after="40"/>
              <w:jc w:val="left"/>
            </w:pPr>
            <w:r>
              <w:rPr>
                <w:sz w:val="18"/>
              </w:rPr>
              <w:t xml:space="preserve">[●]</w:t>
            </w:r>
          </w:p>
        </w:tc>
        <w:tc>
          <w:tcPr>
            <w:tcW w:w="664" w:type="dxa"/>
          </w:tcPr>
          <w:p>
            <w:pPr>
              <w:pStyle w:val="Compact"/>
              <w:spacing w:after="40"/>
              <w:jc w:val="left"/>
            </w:pPr>
            <w:r>
              <w:rPr>
                <w:sz w:val="18"/>
              </w:rPr>
              <w:t xml:space="preserve">[●]</w:t>
            </w:r>
          </w:p>
        </w:tc>
        <w:tc>
          <w:tcPr>
            <w:tcW w:w="1070" w:type="dxa"/>
          </w:tcPr>
          <w:p>
            <w:pPr>
              <w:pStyle w:val="Compact"/>
              <w:spacing w:after="40"/>
              <w:jc w:val="left"/>
            </w:pPr>
            <w:r>
              <w:rPr>
                <w:sz w:val="18"/>
              </w:rPr>
              <w:t xml:space="preserve">[RE URL]</w:t>
            </w:r>
          </w:p>
        </w:tc>
        <w:tc>
          <w:tcPr>
            <w:tcW w:w="757" w:type="dxa"/>
          </w:tcPr>
          <w:p>
            <w:pPr>
              <w:pStyle w:val="Compact"/>
              <w:spacing w:after="40"/>
              <w:jc w:val="left"/>
            </w:pPr>
            <w:r>
              <w:rPr>
                <w:sz w:val="18"/>
              </w:rPr>
              <w:t xml:space="preserve">[●]</w:t>
            </w:r>
          </w:p>
        </w:tc>
        <w:tc>
          <w:tcPr>
            <w:tcW w:w="737" w:type="dxa"/>
          </w:tcPr>
          <w:p>
            <w:pPr>
              <w:pStyle w:val="Compact"/>
              <w:spacing w:after="40"/>
              <w:jc w:val="left"/>
            </w:pPr>
            <w:r>
              <w:rPr>
                <w:sz w:val="18"/>
              </w:rPr>
              <w:t xml:space="preserve">[—]</w:t>
            </w:r>
          </w:p>
        </w:tc>
      </w:tr>
    </w:tbl>
    <w:p>
      <w:pPr>
        <w:pStyle w:val="BodyText"/>
      </w:pPr>
      <w:r>
        <w:rPr>
          <w:iCs/>
          <w:i/>
        </w:rPr>
        <w:t xml:space="preserve">Drafting note: Whether the GRO columns carry the RE’s GRO or the LSP’s nodal grievance redressal officer is not settled by the text; CF para 18(4)(ii) (LSP-owned DLAs have their own nodal officer displayed on the DLA) suggests the LSP’s nodal officer for LSP-owned DLAs [VERIFY: confirm with the RE’s CCO and CIMS helpdesk; record the choice here].</w:t>
      </w:r>
    </w:p>
    <w:p>
      <w:pPr>
        <w:pStyle w:val="BodyText"/>
      </w:pPr>
      <w:r>
        <w:rPr>
          <w:bCs/>
          <w:b/>
        </w:rPr>
        <w:t xml:space="preserve">3.1 Accuracy. [Mandatory — RBI]</w:t>
      </w:r>
      <w:r>
        <w:t xml:space="preserve"> </w:t>
      </w:r>
      <w:r>
        <w:t xml:space="preserve">The LSP warrants that the particulars in Part A are true, complete and current, and shall notify the RE in writing (Schedule 19, item R7) at least [10] working days before any DLA is launched, renamed, re-linked, transferred to another developer account or withdrawn, and in any event within [24] hours after any change outside its control, including an unplanned removal from an app store (Clause 5.2(b)), so that the RE can update CIMS</w:t>
      </w:r>
      <w:r>
        <w:t xml:space="preserve"> </w:t>
      </w:r>
      <w:r>
        <w:t xml:space="preserve">“</w:t>
      </w:r>
      <w:r>
        <w:t xml:space="preserve">as and when</w:t>
      </w:r>
      <w:r>
        <w:t xml:space="preserve">”</w:t>
      </w:r>
      <w:r>
        <w:t xml:space="preserve"> </w:t>
      </w:r>
      <w:r>
        <w:t xml:space="preserve">the change occurs (CF para 18(2)) and ensure correctness and timeliness of the data (CF para 18(5)).</w:t>
      </w:r>
    </w:p>
    <w:p>
      <w:pPr>
        <w:pStyle w:val="BodyText"/>
      </w:pPr>
      <w:r>
        <w:rPr>
          <w:bCs/>
          <w:b/>
        </w:rPr>
        <w:t xml:space="preserve">3.2 RE’s website link. [Mandatory — RBI]</w:t>
      </w:r>
      <w:r>
        <w:t xml:space="preserve"> </w:t>
      </w:r>
      <w:r>
        <w:t xml:space="preserve">Every DLA shall carry a visible link to the RE’s website page that lists, at a prominent single place, the RE’s digital lending products and DLAs, its LSPs and their DLAs with the activities for which they are engaged, the RE’s customer care and grievance mechanism, the link to RBI’s CMS and Sachet portal, and privacy policies (CF paras 9(4)–(5), 18(4)(i)).</w:t>
      </w:r>
    </w:p>
    <w:p>
      <w:pPr>
        <w:pStyle w:val="BodyText"/>
      </w:pPr>
      <w:r>
        <w:rPr>
          <w:bCs/>
          <w:b/>
        </w:rPr>
        <w:t xml:space="preserve">3.3 No misrepresentation. [Mandatory — RBI]</w:t>
      </w:r>
      <w:r>
        <w:t xml:space="preserve"> </w:t>
      </w:r>
      <w:r>
        <w:t xml:space="preserve">The LSP shall not represent, in any marketing, store listing, website or communication, that the inclusion of any DLA in the RE’s CIMS reporting or in RBI’s published directory confers any registration, authorisation, approval or endorsement by RBI (CF para 18(6); Schedule 15).</w:t>
      </w:r>
    </w:p>
    <w:bookmarkEnd w:id="67"/>
    <w:bookmarkStart w:id="68" w:name="part-b-change-log"/>
    <w:p>
      <w:pPr>
        <w:pStyle w:val="Heading2"/>
      </w:pPr>
      <w:r>
        <w:t xml:space="preserve">Part B — Change log</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89"/>
        <w:gridCol w:w="1089"/>
        <w:gridCol w:w="1109"/>
        <w:gridCol w:w="2522"/>
        <w:gridCol w:w="1320"/>
        <w:gridCol w:w="1396"/>
        <w:gridCol w:w="1113"/>
      </w:tblGrid>
      <w:tr>
        <w:trPr>
          <w:tblHeader w:val="true"/>
          <w:tblHeader w:val="true"/>
        </w:trPr>
        <w:tc>
          <w:tcPr>
            <w:tcW w:w="1089" w:type="dxa"/>
            <w:shd w:val="clear" w:color="auto" w:fill="1F3A5F"/>
          </w:tcPr>
          <w:p>
            <w:pPr>
              <w:pStyle w:val="Compact"/>
              <w:spacing w:after="40"/>
              <w:jc w:val="left"/>
            </w:pPr>
            <w:r>
              <w:rPr>
                <w:b/>
                <w:color w:val="FFFFFF"/>
                <w:sz w:val="18"/>
              </w:rPr>
              <w:t xml:space="preserve">Change no.</w:t>
            </w:r>
          </w:p>
        </w:tc>
        <w:tc>
          <w:tcPr>
            <w:tcW w:w="1089" w:type="dxa"/>
            <w:shd w:val="clear" w:color="auto" w:fill="1F3A5F"/>
          </w:tcPr>
          <w:p>
            <w:pPr>
              <w:pStyle w:val="Compact"/>
              <w:spacing w:after="40"/>
              <w:jc w:val="left"/>
            </w:pPr>
            <w:r>
              <w:rPr>
                <w:b/>
                <w:color w:val="FFFFFF"/>
                <w:sz w:val="18"/>
              </w:rPr>
              <w:t xml:space="preserve">Date</w:t>
            </w:r>
          </w:p>
        </w:tc>
        <w:tc>
          <w:tcPr>
            <w:tcW w:w="1109" w:type="dxa"/>
            <w:shd w:val="clear" w:color="auto" w:fill="1F3A5F"/>
          </w:tcPr>
          <w:p>
            <w:pPr>
              <w:pStyle w:val="Compact"/>
              <w:spacing w:after="40"/>
              <w:jc w:val="left"/>
            </w:pPr>
            <w:r>
              <w:rPr>
                <w:b/>
                <w:color w:val="FFFFFF"/>
                <w:sz w:val="18"/>
              </w:rPr>
              <w:t xml:space="preserve">DLA (S. No.)</w:t>
            </w:r>
          </w:p>
        </w:tc>
        <w:tc>
          <w:tcPr>
            <w:tcW w:w="2522" w:type="dxa"/>
            <w:shd w:val="clear" w:color="auto" w:fill="1F3A5F"/>
          </w:tcPr>
          <w:p>
            <w:pPr>
              <w:pStyle w:val="Compact"/>
              <w:spacing w:after="40"/>
              <w:jc w:val="left"/>
            </w:pPr>
            <w:r>
              <w:rPr>
                <w:b/>
                <w:color w:val="FFFFFF"/>
                <w:sz w:val="18"/>
              </w:rPr>
              <w:t xml:space="preserve">Nature of change (launch, rename, link, owner, GRO, cessation)</w:t>
            </w:r>
          </w:p>
        </w:tc>
        <w:tc>
          <w:tcPr>
            <w:tcW w:w="1320" w:type="dxa"/>
            <w:shd w:val="clear" w:color="auto" w:fill="1F3A5F"/>
          </w:tcPr>
          <w:p>
            <w:pPr>
              <w:pStyle w:val="Compact"/>
              <w:spacing w:after="40"/>
              <w:jc w:val="left"/>
            </w:pPr>
            <w:r>
              <w:rPr>
                <w:b/>
                <w:color w:val="FFFFFF"/>
                <w:sz w:val="18"/>
              </w:rPr>
              <w:t xml:space="preserve">Notified to RE on</w:t>
            </w:r>
          </w:p>
        </w:tc>
        <w:tc>
          <w:tcPr>
            <w:tcW w:w="1396" w:type="dxa"/>
            <w:shd w:val="clear" w:color="auto" w:fill="1F3A5F"/>
          </w:tcPr>
          <w:p>
            <w:pPr>
              <w:pStyle w:val="Compact"/>
              <w:spacing w:after="40"/>
              <w:jc w:val="left"/>
            </w:pPr>
            <w:r>
              <w:rPr>
                <w:b/>
                <w:color w:val="FFFFFF"/>
                <w:sz w:val="18"/>
              </w:rPr>
              <w:t xml:space="preserve">RE CIMS update date</w:t>
            </w:r>
          </w:p>
        </w:tc>
        <w:tc>
          <w:tcPr>
            <w:tcW w:w="1113" w:type="dxa"/>
            <w:shd w:val="clear" w:color="auto" w:fill="1F3A5F"/>
          </w:tcPr>
          <w:p>
            <w:pPr>
              <w:pStyle w:val="Compact"/>
              <w:spacing w:after="40"/>
              <w:jc w:val="left"/>
            </w:pPr>
            <w:r>
              <w:rPr>
                <w:b/>
                <w:color w:val="FFFFFF"/>
                <w:sz w:val="18"/>
              </w:rPr>
              <w:t xml:space="preserve">RE reference</w:t>
            </w:r>
          </w:p>
        </w:tc>
      </w:tr>
      <w:tr>
        <w:tc>
          <w:tcPr>
            <w:tcW w:w="1089" w:type="dxa"/>
          </w:tcPr>
          <w:p>
            <w:pPr>
              <w:pStyle w:val="Compact"/>
              <w:spacing w:after="40"/>
              <w:jc w:val="left"/>
            </w:pPr>
            <w:r>
              <w:rPr>
                <w:sz w:val="18"/>
              </w:rPr>
              <w:t xml:space="preserve">1</w:t>
            </w:r>
          </w:p>
        </w:tc>
        <w:tc>
          <w:tcPr>
            <w:tcW w:w="1089" w:type="dxa"/>
          </w:tcPr>
          <w:p>
            <w:pPr>
              <w:pStyle w:val="Compact"/>
              <w:spacing w:after="40"/>
              <w:jc w:val="left"/>
            </w:pPr>
            <w:r>
              <w:rPr>
                <w:sz w:val="18"/>
              </w:rPr>
              <w:t xml:space="preserve">[●]</w:t>
            </w:r>
          </w:p>
        </w:tc>
        <w:tc>
          <w:tcPr>
            <w:tcW w:w="1109" w:type="dxa"/>
          </w:tcPr>
          <w:p>
            <w:pPr>
              <w:pStyle w:val="Compact"/>
              <w:spacing w:after="40"/>
              <w:jc w:val="left"/>
            </w:pPr>
            <w:r>
              <w:rPr>
                <w:sz w:val="18"/>
              </w:rPr>
              <w:t xml:space="preserve">[●]</w:t>
            </w:r>
          </w:p>
        </w:tc>
        <w:tc>
          <w:tcPr>
            <w:tcW w:w="2522" w:type="dxa"/>
          </w:tcPr>
          <w:p>
            <w:pPr>
              <w:pStyle w:val="Compact"/>
              <w:spacing w:after="40"/>
              <w:jc w:val="left"/>
            </w:pPr>
            <w:r>
              <w:rPr>
                <w:sz w:val="18"/>
              </w:rPr>
              <w:t xml:space="preserve">[●]</w:t>
            </w:r>
          </w:p>
        </w:tc>
        <w:tc>
          <w:tcPr>
            <w:tcW w:w="1320" w:type="dxa"/>
          </w:tcPr>
          <w:p>
            <w:pPr>
              <w:pStyle w:val="Compact"/>
              <w:spacing w:after="40"/>
              <w:jc w:val="left"/>
            </w:pPr>
            <w:r>
              <w:rPr>
                <w:sz w:val="18"/>
              </w:rPr>
              <w:t xml:space="preserve">[●]</w:t>
            </w:r>
          </w:p>
        </w:tc>
        <w:tc>
          <w:tcPr>
            <w:tcW w:w="1396" w:type="dxa"/>
          </w:tcPr>
          <w:p>
            <w:pPr>
              <w:pStyle w:val="Compact"/>
              <w:spacing w:after="40"/>
              <w:jc w:val="left"/>
            </w:pPr>
            <w:r>
              <w:rPr>
                <w:sz w:val="18"/>
              </w:rPr>
              <w:t xml:space="preserve">[●]</w:t>
            </w:r>
          </w:p>
        </w:tc>
        <w:tc>
          <w:tcPr>
            <w:tcW w:w="1113" w:type="dxa"/>
          </w:tcPr>
          <w:p>
            <w:pPr>
              <w:pStyle w:val="Compact"/>
              <w:spacing w:after="40"/>
              <w:jc w:val="left"/>
            </w:pPr>
            <w:r>
              <w:rPr>
                <w:sz w:val="18"/>
              </w:rPr>
              <w:t xml:space="preserve">[●]</w:t>
            </w:r>
          </w:p>
        </w:tc>
      </w:tr>
    </w:tbl>
    <w:bookmarkEnd w:id="68"/>
    <w:bookmarkStart w:id="69" w:name="Xdde641f30ff1a70da408d5a0511a49cb077135e"/>
    <w:p>
      <w:pPr>
        <w:pStyle w:val="Heading2"/>
      </w:pPr>
      <w:r>
        <w:t xml:space="preserve">Part C — Evidence pack for the RE’s certification (CF para 18(3)–(4))</w:t>
      </w:r>
    </w:p>
    <w:p>
      <w:pPr>
        <w:pStyle w:val="FirstParagraph"/>
      </w:pPr>
      <w:r>
        <w:t xml:space="preserve">The RE’s Chief Compliance Officer (or other Board-designated official) certifies that the DLA data on CIMS is correct and that the DLAs comply with CF Chapter III. The LSP shall deliver, with each DLA launch, each material DLA change and at least [half-yearly], the following evidence, signed by the LSP’s compliance officer: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47"/>
        <w:gridCol w:w="1808"/>
        <w:gridCol w:w="4283"/>
      </w:tblGrid>
      <w:tr>
        <w:trPr>
          <w:tblHeader w:val="true"/>
          <w:tblHeader w:val="true"/>
        </w:trPr>
        <w:tc>
          <w:tcPr>
            <w:tcW w:w="3547" w:type="dxa"/>
            <w:shd w:val="clear" w:color="auto" w:fill="1F3A5F"/>
          </w:tcPr>
          <w:p>
            <w:pPr>
              <w:pStyle w:val="Compact"/>
              <w:spacing w:after="40"/>
              <w:jc w:val="left"/>
            </w:pPr>
            <w:r>
              <w:rPr>
                <w:b/>
                <w:color w:val="FFFFFF"/>
                <w:sz w:val="18"/>
              </w:rPr>
              <w:t xml:space="preserve">Certification point</w:t>
            </w:r>
          </w:p>
        </w:tc>
        <w:tc>
          <w:tcPr>
            <w:tcW w:w="1808" w:type="dxa"/>
            <w:shd w:val="clear" w:color="auto" w:fill="1F3A5F"/>
          </w:tcPr>
          <w:p>
            <w:pPr>
              <w:pStyle w:val="Compact"/>
              <w:spacing w:after="40"/>
              <w:jc w:val="left"/>
            </w:pPr>
            <w:r>
              <w:rPr>
                <w:b/>
                <w:color w:val="FFFFFF"/>
                <w:sz w:val="18"/>
              </w:rPr>
              <w:t xml:space="preserve">Source</w:t>
            </w:r>
          </w:p>
        </w:tc>
        <w:tc>
          <w:tcPr>
            <w:tcW w:w="4283" w:type="dxa"/>
            <w:shd w:val="clear" w:color="auto" w:fill="1F3A5F"/>
          </w:tcPr>
          <w:p>
            <w:pPr>
              <w:pStyle w:val="Compact"/>
              <w:spacing w:after="40"/>
              <w:jc w:val="left"/>
            </w:pPr>
            <w:r>
              <w:rPr>
                <w:b/>
                <w:color w:val="FFFFFF"/>
                <w:sz w:val="18"/>
              </w:rPr>
              <w:t xml:space="preserve">Evidence the LSP supplies</w:t>
            </w:r>
          </w:p>
        </w:tc>
      </w:tr>
      <w:tr>
        <w:tc>
          <w:tcPr>
            <w:tcW w:w="3547" w:type="dxa"/>
          </w:tcPr>
          <w:p>
            <w:pPr>
              <w:pStyle w:val="Compact"/>
              <w:spacing w:after="40"/>
              <w:jc w:val="left"/>
            </w:pPr>
            <w:r>
              <w:rPr>
                <w:sz w:val="18"/>
              </w:rPr>
              <w:t xml:space="preserve">(i) DLA links to the RE’s website, where products, lender, LSP, customer care, Sachet link and privacy policies can be accessed</w:t>
            </w:r>
          </w:p>
        </w:tc>
        <w:tc>
          <w:tcPr>
            <w:tcW w:w="1808" w:type="dxa"/>
          </w:tcPr>
          <w:p>
            <w:pPr>
              <w:pStyle w:val="Compact"/>
              <w:spacing w:after="40"/>
              <w:jc w:val="left"/>
            </w:pPr>
            <w:r>
              <w:rPr>
                <w:sz w:val="18"/>
              </w:rPr>
              <w:t xml:space="preserve">CF para 18(4)(i); para 9(5)</w:t>
            </w:r>
          </w:p>
        </w:tc>
        <w:tc>
          <w:tcPr>
            <w:tcW w:w="4283" w:type="dxa"/>
          </w:tcPr>
          <w:p>
            <w:pPr>
              <w:pStyle w:val="Compact"/>
              <w:spacing w:after="40"/>
              <w:jc w:val="left"/>
            </w:pPr>
            <w:r>
              <w:rPr>
                <w:sz w:val="18"/>
              </w:rPr>
              <w:t xml:space="preserve">Dated screenshots per platform and version; URL test log</w:t>
            </w:r>
          </w:p>
        </w:tc>
      </w:tr>
      <w:tr>
        <w:tc>
          <w:tcPr>
            <w:tcW w:w="3547" w:type="dxa"/>
          </w:tcPr>
          <w:p>
            <w:pPr>
              <w:pStyle w:val="Compact"/>
              <w:spacing w:after="40"/>
              <w:jc w:val="left"/>
            </w:pPr>
            <w:r>
              <w:rPr>
                <w:sz w:val="18"/>
              </w:rPr>
              <w:t xml:space="preserve">(ii) LSP-owned DLA has a suitable nodal grievance redressal officer whose details are prominently available on the DLA</w:t>
            </w:r>
          </w:p>
        </w:tc>
        <w:tc>
          <w:tcPr>
            <w:tcW w:w="1808" w:type="dxa"/>
          </w:tcPr>
          <w:p>
            <w:pPr>
              <w:pStyle w:val="Compact"/>
              <w:spacing w:after="40"/>
              <w:jc w:val="left"/>
            </w:pPr>
            <w:r>
              <w:rPr>
                <w:sz w:val="18"/>
              </w:rPr>
              <w:t xml:space="preserve">CF para 18(4)(ii); para 12(1)–(2)</w:t>
            </w:r>
          </w:p>
        </w:tc>
        <w:tc>
          <w:tcPr>
            <w:tcW w:w="4283" w:type="dxa"/>
          </w:tcPr>
          <w:p>
            <w:pPr>
              <w:pStyle w:val="Compact"/>
              <w:spacing w:after="40"/>
              <w:jc w:val="left"/>
            </w:pPr>
            <w:r>
              <w:rPr>
                <w:sz w:val="18"/>
              </w:rPr>
              <w:t xml:space="preserve">Officer appointment letter; screenshots of the help menu and website</w:t>
            </w:r>
          </w:p>
        </w:tc>
      </w:tr>
      <w:tr>
        <w:tc>
          <w:tcPr>
            <w:tcW w:w="3547" w:type="dxa"/>
          </w:tcPr>
          <w:p>
            <w:pPr>
              <w:pStyle w:val="Compact"/>
              <w:spacing w:after="40"/>
              <w:jc w:val="left"/>
            </w:pPr>
            <w:r>
              <w:rPr>
                <w:sz w:val="18"/>
              </w:rPr>
              <w:t xml:space="preserve">(iii) Data collection and storage by the DLA comply with CF paras 13 and 14 and other statutory and regulatory requirements</w:t>
            </w:r>
          </w:p>
        </w:tc>
        <w:tc>
          <w:tcPr>
            <w:tcW w:w="1808" w:type="dxa"/>
          </w:tcPr>
          <w:p>
            <w:pPr>
              <w:pStyle w:val="Compact"/>
              <w:spacing w:after="40"/>
              <w:jc w:val="left"/>
            </w:pPr>
            <w:r>
              <w:rPr>
                <w:sz w:val="18"/>
              </w:rPr>
              <w:t xml:space="preserve">CF para 18(4)(iii)</w:t>
            </w:r>
          </w:p>
        </w:tc>
        <w:tc>
          <w:tcPr>
            <w:tcW w:w="4283" w:type="dxa"/>
          </w:tcPr>
          <w:p>
            <w:pPr>
              <w:pStyle w:val="Compact"/>
              <w:spacing w:after="40"/>
              <w:jc w:val="left"/>
            </w:pPr>
            <w:r>
              <w:rPr>
                <w:sz w:val="18"/>
              </w:rPr>
              <w:t xml:space="preserve">Android manifest and iOS entitlement scan from the release build; permission table (Schedule 7, Part D) attestation; data inventory; India-hosting attestation; third-party SDK inventory</w:t>
            </w:r>
          </w:p>
        </w:tc>
      </w:tr>
      <w:tr>
        <w:tc>
          <w:tcPr>
            <w:tcW w:w="3547" w:type="dxa"/>
          </w:tcPr>
          <w:p>
            <w:pPr>
              <w:pStyle w:val="Compact"/>
              <w:spacing w:after="40"/>
              <w:jc w:val="left"/>
            </w:pPr>
            <w:r>
              <w:rPr>
                <w:sz w:val="18"/>
              </w:rPr>
              <w:t xml:space="preserve">(iv) DLA particulars are suitably disclosed on the RE’s website as required by CF para 9(4)</w:t>
            </w:r>
          </w:p>
        </w:tc>
        <w:tc>
          <w:tcPr>
            <w:tcW w:w="1808" w:type="dxa"/>
          </w:tcPr>
          <w:p>
            <w:pPr>
              <w:pStyle w:val="Compact"/>
              <w:spacing w:after="40"/>
              <w:jc w:val="left"/>
            </w:pPr>
            <w:r>
              <w:rPr>
                <w:sz w:val="18"/>
              </w:rPr>
              <w:t xml:space="preserve">CF para 18(4)(iv)</w:t>
            </w:r>
          </w:p>
        </w:tc>
        <w:tc>
          <w:tcPr>
            <w:tcW w:w="4283" w:type="dxa"/>
          </w:tcPr>
          <w:p>
            <w:pPr>
              <w:pStyle w:val="Compact"/>
              <w:spacing w:after="40"/>
              <w:jc w:val="left"/>
            </w:pPr>
            <w:r>
              <w:rPr>
                <w:sz w:val="18"/>
              </w:rPr>
              <w:t xml:space="preserve">Cross-check of Part A against the RE’s website page</w:t>
            </w:r>
          </w:p>
        </w:tc>
      </w:tr>
      <w:tr>
        <w:tc>
          <w:tcPr>
            <w:tcW w:w="3547" w:type="dxa"/>
          </w:tcPr>
          <w:p>
            <w:pPr>
              <w:pStyle w:val="Compact"/>
              <w:spacing w:after="40"/>
              <w:jc w:val="left"/>
            </w:pPr>
            <w:r>
              <w:rPr>
                <w:sz w:val="18"/>
              </w:rPr>
              <w:t xml:space="preserve">General compliance with CF Chapter III</w:t>
            </w:r>
          </w:p>
        </w:tc>
        <w:tc>
          <w:tcPr>
            <w:tcW w:w="1808" w:type="dxa"/>
          </w:tcPr>
          <w:p>
            <w:pPr>
              <w:pStyle w:val="Compact"/>
              <w:spacing w:after="40"/>
              <w:jc w:val="left"/>
            </w:pPr>
            <w:r>
              <w:rPr>
                <w:sz w:val="18"/>
              </w:rPr>
              <w:t xml:space="preserve">CF para 18(3)</w:t>
            </w:r>
          </w:p>
        </w:tc>
        <w:tc>
          <w:tcPr>
            <w:tcW w:w="4283" w:type="dxa"/>
          </w:tcPr>
          <w:p>
            <w:pPr>
              <w:pStyle w:val="Compact"/>
              <w:spacing w:after="40"/>
              <w:jc w:val="left"/>
            </w:pPr>
            <w:r>
              <w:rPr>
                <w:sz w:val="18"/>
              </w:rPr>
              <w:t xml:space="preserve">Current Regulatory Compliance Matrix (Schedule 20) with control-test results</w:t>
            </w:r>
          </w:p>
        </w:tc>
      </w:tr>
    </w:tbl>
    <w:p>
      <w:pPr>
        <w:pStyle w:val="BodyText"/>
      </w:pPr>
      <w:r>
        <w:rPr>
          <w:bCs/>
          <w:b/>
        </w:rPr>
        <w:t xml:space="preserve">3.4 Store listings. [Mandatory — Law/Platform policy]</w:t>
      </w:r>
      <w:r>
        <w:t xml:space="preserve"> </w:t>
      </w:r>
      <w:r>
        <w:t xml:space="preserve">Each store listing shall disclose the names of all REs whose loans are offered through the DLA, the minimum and maximum repayment period, the maximum APR (including fees) and a representative example of total cost, and shall be supported by the Play Console Financial features declaration and supplementary documentation (Google Play Financial Services policy, Personal Loans and India requirements); for the iOS app, Apple App Store requirements on personal loan apps (maximum APR of 36% including costs and fees; no requirement of repayment in full in 60 days or less) apply [VERIFY: current text of each store policy before every submission].</w:t>
      </w:r>
    </w:p>
    <w:p>
      <w:r>
        <w:pict>
          <v:rect style="width:0;height:1.5pt" o:hralign="center" o:hrstd="t" o:hr="t"/>
        </w:pict>
      </w:r>
    </w:p>
    <w:p>
      <w:r>
        <w:br w:type="page"/>
      </w:r>
    </w:p>
    <w:bookmarkEnd w:id="69"/>
    <w:bookmarkEnd w:id="70"/>
    <w:bookmarkStart w:id="73" w:name="schedule-4-product-schedule"/>
    <w:p>
      <w:pPr>
        <w:pStyle w:val="Heading1"/>
      </w:pPr>
      <w:r>
        <w:t xml:space="preserve">SCHEDULE 4 — Product Schedule</w:t>
      </w:r>
    </w:p>
    <w:p>
      <w:pPr>
        <w:pStyle w:val="FirstParagraph"/>
      </w:pPr>
      <w:r>
        <w:rPr>
          <w:iCs/>
          <w:i/>
        </w:rPr>
        <w:t xml:space="preserve">Drafting note: This Schedule implements Article 8 (Loan Products, Credit Decision, KFS and Loan Documentation) and Article 10 (Cooling-off and Borrower Rights). One sheet per Product. All figures are the RE’s; the LSP displays them. Products other than Personal Loan and Short-tenor Loan are proposed and require an RE-approved product specification before launch.</w:t>
      </w:r>
    </w:p>
    <w:bookmarkStart w:id="71" w:name="part-a-rules-common-to-every-product"/>
    <w:p>
      <w:pPr>
        <w:pStyle w:val="Heading2"/>
      </w:pPr>
      <w:r>
        <w:t xml:space="preserve">Part A — Rules common to every Product</w:t>
      </w:r>
    </w:p>
    <w:p>
      <w:pPr>
        <w:pStyle w:val="FirstParagraph"/>
      </w:pPr>
      <w:r>
        <w:rPr>
          <w:bCs/>
          <w:b/>
        </w:rPr>
        <w:t xml:space="preserve">4.1 RE’s decisions. [Mandatory — RBI]</w:t>
      </w:r>
      <w:r>
        <w:t xml:space="preserve"> </w:t>
      </w:r>
      <w:r>
        <w:t xml:space="preserve">Eligibility criteria, amount and tenor ranges, pricing (interest rate, fees, penal charges, APR), KFS, sanction and disbursal routing are decided by the RE under its Board-approved credit, interest rate and digital lending policies (CF para 5(1); RBC paras 7, 22–24; OUT para 15). The LSP displays them unaltered.</w:t>
      </w:r>
    </w:p>
    <w:p>
      <w:pPr>
        <w:pStyle w:val="BodyText"/>
      </w:pPr>
      <w:r>
        <w:rPr>
          <w:bCs/>
          <w:b/>
        </w:rPr>
        <w:t xml:space="preserve">4.2 KFS. [Mandatory — RBI]</w:t>
      </w:r>
      <w:r>
        <w:t xml:space="preserve"> </w:t>
      </w:r>
      <w:r>
        <w:t xml:space="preserve">For every retail and MSME term loan the RE issues a KFS in the RBC Annex I format, in a language understood by the Borrower, with a unique proposal number, an APR computation sheet and an amortisation schedule; validity of at least three working days for tenor of seven days or more and one working day for tenor below seven days (RBC para 29(1)–(3)). The LSP shall record that the KFS contents were explained and acknowledged and shall reject an acceptance outside the validity period (RBC para 29(1)–(2)).</w:t>
      </w:r>
    </w:p>
    <w:p>
      <w:pPr>
        <w:pStyle w:val="BodyText"/>
      </w:pPr>
      <w:r>
        <w:rPr>
          <w:bCs/>
          <w:b/>
        </w:rPr>
        <w:t xml:space="preserve">4.3 Cooling-off. [Mandatory — RBI]</w:t>
      </w:r>
      <w:r>
        <w:t xml:space="preserve"> </w:t>
      </w:r>
      <w:r>
        <w:t xml:space="preserve">The Borrower has an explicit option to exit a digital loan during the cooling-off period by paying the principal and the proportionate APR without any penalty; the period is fixed by the RE’s credit policy and shall not be less than one day; a reasonable one-time processing fee may be retained only if disclosed upfront in the KFS (CF para 11(1)–(2)). The start event shall be stated per Product below [VERIFY: CF para 11 does not fix the start event; recommended: date of disbursal].</w:t>
      </w:r>
    </w:p>
    <w:p>
      <w:pPr>
        <w:pStyle w:val="BodyText"/>
      </w:pPr>
      <w:r>
        <w:rPr>
          <w:bCs/>
          <w:b/>
        </w:rPr>
        <w:t xml:space="preserve">4.4 No automatic limit increase. [Mandatory — RBI]</w:t>
      </w:r>
      <w:r>
        <w:t xml:space="preserve"> </w:t>
      </w:r>
      <w:r>
        <w:t xml:space="preserve">No credit limit or loan amount is increased without an explicit Borrower request, evaluated by the RE and kept on record (CF para 8(2)).</w:t>
      </w:r>
    </w:p>
    <w:p>
      <w:pPr>
        <w:pStyle w:val="BodyText"/>
      </w:pPr>
      <w:r>
        <w:rPr>
          <w:bCs/>
          <w:b/>
        </w:rPr>
        <w:t xml:space="preserve">4.5 Microfinance classifier. [Mandatory — RBI]</w:t>
      </w:r>
      <w:r>
        <w:t xml:space="preserve"> </w:t>
      </w:r>
      <w:r>
        <w:t xml:space="preserve">Every collateral-free loan to a household with annual household income up to ₹3,00,000 (household = husband, wife and unmarried children) is a microfinance loan, irrespective of end use or channel, and shall not be linked to a lien on a deposit account or hypothecation (CF para 51). For every collateral-free application the LSP shall capture household composition and household income in the RE’s questionnaire (CF para 52) and pass it to the RE; the RE applies the 50% repayment-obligation cap and reports household income to CICs (CF paras 54–57); no pre-payment charge applies (RBC para 81). The RE’s loan agreement for such loans shall declare that the RE is accountable for inappropriate behaviour of the employees of its service providers, including the LSP, and will provide timely grievance redressal (OUT para 56).</w:t>
      </w:r>
    </w:p>
    <w:p>
      <w:pPr>
        <w:pStyle w:val="BodyText"/>
      </w:pPr>
      <w:r>
        <w:rPr>
          <w:bCs/>
          <w:b/>
        </w:rPr>
        <w:t xml:space="preserve">4.6 OTP e-KYC limits. [Mandatory — RBI]</w:t>
      </w:r>
      <w:r>
        <w:t xml:space="preserve"> </w:t>
      </w:r>
      <w:r>
        <w:t xml:space="preserve">Where the RE uses Aadhaar OTP-based e-KYC in non-face-to-face mode: only term loans; aggregate term loans sanctioned not to exceed ₹60,000 in a year; account not to operate beyond one year unless full CDD (para 23) or V-CIP (paras 26–27) is completed; Borrower declaration that no other account has been or will be opened using OTP-based KYC in non-face-to-face mode with any other RE (KYC para 25(5)–(8)). Loans above the limit route to V-CIP or other CDD performed by the RE.</w:t>
      </w:r>
    </w:p>
    <w:p>
      <w:pPr>
        <w:pStyle w:val="BodyText"/>
      </w:pPr>
      <w:r>
        <w:rPr>
          <w:bCs/>
          <w:b/>
        </w:rPr>
        <w:t xml:space="preserve">4.7 App-store channel rules. [Mandatory — Platform policy]</w:t>
      </w:r>
      <w:r>
        <w:t xml:space="preserve"> </w:t>
      </w:r>
      <w:r>
        <w:t xml:space="preserve">(a) No Product requiring repayment in full in 60 days or less shall be promoted, shown or linked in the Android or iOS DLA; (b) no offer with APR above 36% (including costs and fees) shall be shown in the iOS DLA; (c) filtering shall be done server-side by channel, never by disguising the tenor or APR; (d) a lender filtered out of a store DLA is named in the unmatched list with the reason</w:t>
      </w:r>
      <w:r>
        <w:t xml:space="preserve"> </w:t>
      </w:r>
      <w:r>
        <w:t xml:space="preserve">“</w:t>
      </w:r>
      <w:r>
        <w:t xml:space="preserve">not available in this app; available on the web</w:t>
      </w:r>
      <w:r>
        <w:t xml:space="preserve">”</w:t>
      </w:r>
      <w:r>
        <w:t xml:space="preserve"> </w:t>
      </w:r>
      <w:r>
        <w:t xml:space="preserve">(Schedule 5, para 5.3) [VERIFY: current store policy texts; legal opinion that channel filtering satisfies CF para 7(1)].</w:t>
      </w:r>
    </w:p>
    <w:p>
      <w:pPr>
        <w:pStyle w:val="BodyText"/>
      </w:pPr>
      <w:r>
        <w:rPr>
          <w:bCs/>
          <w:b/>
        </w:rPr>
        <w:t xml:space="preserve">4.8 Disbursal routing. [Mandatory — RBI]</w:t>
      </w:r>
      <w:r>
        <w:t xml:space="preserve"> </w:t>
      </w:r>
      <w:r>
        <w:t xml:space="preserve">Disbursal only to the Borrower’s verified bank account, or for a specific end use directly to the end-beneficiary’s bank account (e.g. dealer, builder, seller, institution, existing lender on takeover), or between co-lenders; never to the LSP or any other third party (CF para 10(1); Schedule 6).</w:t>
      </w:r>
    </w:p>
    <w:p>
      <w:pPr>
        <w:pStyle w:val="BodyText"/>
      </w:pPr>
      <w:r>
        <w:rPr>
          <w:bCs/>
          <w:b/>
        </w:rPr>
        <w:t xml:space="preserve">4.9 Credit-guarantee schemes. [Mandatory — RBI]</w:t>
      </w:r>
      <w:r>
        <w:t xml:space="preserve"> </w:t>
      </w:r>
      <w:r>
        <w:t xml:space="preserve">Loans covered by credit guarantee schemes administered by trust funds (e.g. CGTMSE, CRGFTLIH, NCGTC) are excluded from any DLG set (CF para 21(1); Schedule 11).</w:t>
      </w:r>
    </w:p>
    <w:bookmarkEnd w:id="71"/>
    <w:bookmarkStart w:id="72" w:name="part-b-product-sheets"/>
    <w:p>
      <w:pPr>
        <w:pStyle w:val="Heading2"/>
      </w:pPr>
      <w:r>
        <w:t xml:space="preserve">Part B — Product sheets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91"/>
        <w:gridCol w:w="1418"/>
        <w:gridCol w:w="1510"/>
        <w:gridCol w:w="1806"/>
        <w:gridCol w:w="1818"/>
        <w:gridCol w:w="1078"/>
        <w:gridCol w:w="1017"/>
      </w:tblGrid>
      <w:tr>
        <w:trPr>
          <w:tblHeader w:val="true"/>
          <w:tblHeader w:val="true"/>
        </w:trPr>
        <w:tc>
          <w:tcPr>
            <w:tcW w:w="991" w:type="dxa"/>
            <w:shd w:val="clear" w:color="auto" w:fill="1F3A5F"/>
          </w:tcPr>
          <w:p>
            <w:pPr>
              <w:pStyle w:val="Compact"/>
              <w:spacing w:after="40"/>
              <w:jc w:val="left"/>
            </w:pPr>
            <w:r>
              <w:rPr>
                <w:b/>
                <w:color w:val="FFFFFF"/>
                <w:sz w:val="18"/>
              </w:rPr>
              <w:t xml:space="preserve">Field</w:t>
            </w:r>
          </w:p>
        </w:tc>
        <w:tc>
          <w:tcPr>
            <w:tcW w:w="1418" w:type="dxa"/>
            <w:shd w:val="clear" w:color="auto" w:fill="1F3A5F"/>
          </w:tcPr>
          <w:p>
            <w:pPr>
              <w:pStyle w:val="Compact"/>
              <w:spacing w:after="40"/>
              <w:jc w:val="left"/>
            </w:pPr>
            <w:r>
              <w:rPr>
                <w:b/>
                <w:color w:val="FFFFFF"/>
                <w:sz w:val="18"/>
              </w:rPr>
              <w:t xml:space="preserve">P1 Personal Loan</w:t>
            </w:r>
          </w:p>
        </w:tc>
        <w:tc>
          <w:tcPr>
            <w:tcW w:w="1510" w:type="dxa"/>
            <w:shd w:val="clear" w:color="auto" w:fill="1F3A5F"/>
          </w:tcPr>
          <w:p>
            <w:pPr>
              <w:pStyle w:val="Compact"/>
              <w:spacing w:after="40"/>
              <w:jc w:val="left"/>
            </w:pPr>
            <w:r>
              <w:rPr>
                <w:b/>
                <w:color w:val="FFFFFF"/>
                <w:sz w:val="18"/>
              </w:rPr>
              <w:t xml:space="preserve">P2 Short-tenor Loan</w:t>
            </w:r>
          </w:p>
        </w:tc>
        <w:tc>
          <w:tcPr>
            <w:tcW w:w="1806" w:type="dxa"/>
            <w:shd w:val="clear" w:color="auto" w:fill="1F3A5F"/>
          </w:tcPr>
          <w:p>
            <w:pPr>
              <w:pStyle w:val="Compact"/>
              <w:spacing w:after="40"/>
              <w:jc w:val="left"/>
            </w:pPr>
            <w:r>
              <w:rPr>
                <w:b/>
                <w:color w:val="FFFFFF"/>
                <w:sz w:val="18"/>
              </w:rPr>
              <w:t xml:space="preserve">P3 Loan against Securities</w:t>
            </w:r>
          </w:p>
        </w:tc>
        <w:tc>
          <w:tcPr>
            <w:tcW w:w="1818" w:type="dxa"/>
            <w:shd w:val="clear" w:color="auto" w:fill="1F3A5F"/>
          </w:tcPr>
          <w:p>
            <w:pPr>
              <w:pStyle w:val="Compact"/>
              <w:spacing w:after="40"/>
              <w:jc w:val="left"/>
            </w:pPr>
            <w:r>
              <w:rPr>
                <w:b/>
                <w:color w:val="FFFFFF"/>
                <w:sz w:val="18"/>
              </w:rPr>
              <w:t xml:space="preserve">P4 Home Loan</w:t>
            </w:r>
          </w:p>
        </w:tc>
        <w:tc>
          <w:tcPr>
            <w:tcW w:w="1078" w:type="dxa"/>
            <w:shd w:val="clear" w:color="auto" w:fill="1F3A5F"/>
          </w:tcPr>
          <w:p>
            <w:pPr>
              <w:pStyle w:val="Compact"/>
              <w:spacing w:after="40"/>
              <w:jc w:val="left"/>
            </w:pPr>
            <w:r>
              <w:rPr>
                <w:b/>
                <w:color w:val="FFFFFF"/>
                <w:sz w:val="18"/>
              </w:rPr>
              <w:t xml:space="preserve">P5 Vehicle Loan</w:t>
            </w:r>
          </w:p>
        </w:tc>
        <w:tc>
          <w:tcPr>
            <w:tcW w:w="1017" w:type="dxa"/>
            <w:shd w:val="clear" w:color="auto" w:fill="1F3A5F"/>
          </w:tcPr>
          <w:p>
            <w:pPr>
              <w:pStyle w:val="Compact"/>
              <w:spacing w:after="40"/>
              <w:jc w:val="left"/>
            </w:pPr>
            <w:r>
              <w:rPr>
                <w:b/>
                <w:color w:val="FFFFFF"/>
                <w:sz w:val="18"/>
              </w:rPr>
              <w:t xml:space="preserve">P6 Loan against Property</w:t>
            </w:r>
          </w:p>
        </w:tc>
      </w:tr>
      <w:tr>
        <w:tc>
          <w:tcPr>
            <w:tcW w:w="991" w:type="dxa"/>
          </w:tcPr>
          <w:p>
            <w:pPr>
              <w:pStyle w:val="Compact"/>
              <w:spacing w:after="40"/>
              <w:jc w:val="left"/>
            </w:pPr>
            <w:r>
              <w:rPr>
                <w:sz w:val="18"/>
              </w:rPr>
              <w:t xml:space="preserve">Security</w:t>
            </w:r>
          </w:p>
        </w:tc>
        <w:tc>
          <w:tcPr>
            <w:tcW w:w="1418" w:type="dxa"/>
          </w:tcPr>
          <w:p>
            <w:pPr>
              <w:pStyle w:val="Compact"/>
              <w:spacing w:after="40"/>
              <w:jc w:val="left"/>
            </w:pPr>
            <w:r>
              <w:rPr>
                <w:sz w:val="18"/>
              </w:rPr>
              <w:t xml:space="preserve">Unsecured</w:t>
            </w:r>
          </w:p>
        </w:tc>
        <w:tc>
          <w:tcPr>
            <w:tcW w:w="1510" w:type="dxa"/>
          </w:tcPr>
          <w:p>
            <w:pPr>
              <w:pStyle w:val="Compact"/>
              <w:spacing w:after="40"/>
              <w:jc w:val="left"/>
            </w:pPr>
            <w:r>
              <w:rPr>
                <w:sz w:val="18"/>
              </w:rPr>
              <w:t xml:space="preserve">Unsecured</w:t>
            </w:r>
          </w:p>
        </w:tc>
        <w:tc>
          <w:tcPr>
            <w:tcW w:w="1806" w:type="dxa"/>
          </w:tcPr>
          <w:p>
            <w:pPr>
              <w:pStyle w:val="Compact"/>
              <w:spacing w:after="40"/>
              <w:jc w:val="left"/>
            </w:pPr>
            <w:r>
              <w:rPr>
                <w:sz w:val="18"/>
              </w:rPr>
              <w:t xml:space="preserve">Pledge / lien on securities in favour of RE</w:t>
            </w:r>
          </w:p>
        </w:tc>
        <w:tc>
          <w:tcPr>
            <w:tcW w:w="1818" w:type="dxa"/>
          </w:tcPr>
          <w:p>
            <w:pPr>
              <w:pStyle w:val="Compact"/>
              <w:spacing w:after="40"/>
              <w:jc w:val="left"/>
            </w:pPr>
            <w:r>
              <w:rPr>
                <w:sz w:val="18"/>
              </w:rPr>
              <w:t xml:space="preserve">Mortgage</w:t>
            </w:r>
          </w:p>
        </w:tc>
        <w:tc>
          <w:tcPr>
            <w:tcW w:w="1078" w:type="dxa"/>
          </w:tcPr>
          <w:p>
            <w:pPr>
              <w:pStyle w:val="Compact"/>
              <w:spacing w:after="40"/>
              <w:jc w:val="left"/>
            </w:pPr>
            <w:r>
              <w:rPr>
                <w:sz w:val="18"/>
              </w:rPr>
              <w:t xml:space="preserve">Hypothecation</w:t>
            </w:r>
          </w:p>
        </w:tc>
        <w:tc>
          <w:tcPr>
            <w:tcW w:w="1017" w:type="dxa"/>
          </w:tcPr>
          <w:p>
            <w:pPr>
              <w:pStyle w:val="Compact"/>
              <w:spacing w:after="40"/>
              <w:jc w:val="left"/>
            </w:pPr>
            <w:r>
              <w:rPr>
                <w:sz w:val="18"/>
              </w:rPr>
              <w:t xml:space="preserve">Mortgage</w:t>
            </w:r>
          </w:p>
        </w:tc>
      </w:tr>
      <w:tr>
        <w:tc>
          <w:tcPr>
            <w:tcW w:w="991" w:type="dxa"/>
          </w:tcPr>
          <w:p>
            <w:pPr>
              <w:pStyle w:val="Compact"/>
              <w:spacing w:after="40"/>
              <w:jc w:val="left"/>
            </w:pPr>
            <w:r>
              <w:rPr>
                <w:sz w:val="18"/>
              </w:rPr>
              <w:t xml:space="preserve">Amount range (RE)</w:t>
            </w:r>
          </w:p>
        </w:tc>
        <w:tc>
          <w:tcPr>
            <w:tcW w:w="1418" w:type="dxa"/>
          </w:tcPr>
          <w:p>
            <w:pPr>
              <w:pStyle w:val="Compact"/>
              <w:spacing w:after="40"/>
              <w:jc w:val="left"/>
            </w:pPr>
            <w:r>
              <w:rPr>
                <w:sz w:val="18"/>
              </w:rPr>
              <w:t xml:space="preserve">₹[●] – ₹[●]</w:t>
            </w:r>
          </w:p>
        </w:tc>
        <w:tc>
          <w:tcPr>
            <w:tcW w:w="1510" w:type="dxa"/>
          </w:tcPr>
          <w:p>
            <w:pPr>
              <w:pStyle w:val="Compact"/>
              <w:spacing w:after="40"/>
              <w:jc w:val="left"/>
            </w:pPr>
            <w:r>
              <w:rPr>
                <w:sz w:val="18"/>
              </w:rPr>
              <w:t xml:space="preserve">₹[●] – ₹[●]</w:t>
            </w:r>
          </w:p>
        </w:tc>
        <w:tc>
          <w:tcPr>
            <w:tcW w:w="1806" w:type="dxa"/>
          </w:tcPr>
          <w:p>
            <w:pPr>
              <w:pStyle w:val="Compact"/>
              <w:spacing w:after="40"/>
              <w:jc w:val="left"/>
            </w:pPr>
            <w:r>
              <w:rPr>
                <w:sz w:val="18"/>
              </w:rPr>
              <w:t xml:space="preserve">₹[●] – ₹[●]</w:t>
            </w:r>
          </w:p>
        </w:tc>
        <w:tc>
          <w:tcPr>
            <w:tcW w:w="1818" w:type="dxa"/>
          </w:tcPr>
          <w:p>
            <w:pPr>
              <w:pStyle w:val="Compact"/>
              <w:spacing w:after="40"/>
              <w:jc w:val="left"/>
            </w:pPr>
            <w:r>
              <w:rPr>
                <w:sz w:val="18"/>
              </w:rPr>
              <w:t xml:space="preserve">₹[●] – ₹[●]</w:t>
            </w:r>
          </w:p>
        </w:tc>
        <w:tc>
          <w:tcPr>
            <w:tcW w:w="1078" w:type="dxa"/>
          </w:tcPr>
          <w:p>
            <w:pPr>
              <w:pStyle w:val="Compact"/>
              <w:spacing w:after="40"/>
              <w:jc w:val="left"/>
            </w:pPr>
            <w:r>
              <w:rPr>
                <w:sz w:val="18"/>
              </w:rPr>
              <w:t xml:space="preserve">₹[●] – ₹[●]</w:t>
            </w:r>
          </w:p>
        </w:tc>
        <w:tc>
          <w:tcPr>
            <w:tcW w:w="1017" w:type="dxa"/>
          </w:tcPr>
          <w:p>
            <w:pPr>
              <w:pStyle w:val="Compact"/>
              <w:spacing w:after="40"/>
              <w:jc w:val="left"/>
            </w:pPr>
            <w:r>
              <w:rPr>
                <w:sz w:val="18"/>
              </w:rPr>
              <w:t xml:space="preserve">₹[●] – ₹[●]</w:t>
            </w:r>
          </w:p>
        </w:tc>
      </w:tr>
      <w:tr>
        <w:tc>
          <w:tcPr>
            <w:tcW w:w="991" w:type="dxa"/>
          </w:tcPr>
          <w:p>
            <w:pPr>
              <w:pStyle w:val="Compact"/>
              <w:spacing w:after="40"/>
              <w:jc w:val="left"/>
            </w:pPr>
            <w:r>
              <w:rPr>
                <w:sz w:val="18"/>
              </w:rPr>
              <w:t xml:space="preserve">Tenor range (RE)</w:t>
            </w:r>
          </w:p>
        </w:tc>
        <w:tc>
          <w:tcPr>
            <w:tcW w:w="1418" w:type="dxa"/>
          </w:tcPr>
          <w:p>
            <w:pPr>
              <w:pStyle w:val="Compact"/>
              <w:spacing w:after="40"/>
              <w:jc w:val="left"/>
            </w:pPr>
            <w:r>
              <w:rPr>
                <w:sz w:val="18"/>
              </w:rPr>
              <w:t xml:space="preserve">[●] – [●] months</w:t>
            </w:r>
          </w:p>
        </w:tc>
        <w:tc>
          <w:tcPr>
            <w:tcW w:w="1510" w:type="dxa"/>
          </w:tcPr>
          <w:p>
            <w:pPr>
              <w:pStyle w:val="Compact"/>
              <w:spacing w:after="40"/>
              <w:jc w:val="left"/>
            </w:pPr>
            <w:r>
              <w:rPr>
                <w:sz w:val="18"/>
              </w:rPr>
              <w:t xml:space="preserve">[●] – [●] days</w:t>
            </w:r>
          </w:p>
        </w:tc>
        <w:tc>
          <w:tcPr>
            <w:tcW w:w="1806" w:type="dxa"/>
          </w:tcPr>
          <w:p>
            <w:pPr>
              <w:pStyle w:val="Compact"/>
              <w:spacing w:after="40"/>
              <w:jc w:val="left"/>
            </w:pPr>
            <w:r>
              <w:rPr>
                <w:sz w:val="18"/>
              </w:rPr>
              <w:t xml:space="preserve">[●] – [●] months</w:t>
            </w:r>
          </w:p>
        </w:tc>
        <w:tc>
          <w:tcPr>
            <w:tcW w:w="1818" w:type="dxa"/>
          </w:tcPr>
          <w:p>
            <w:pPr>
              <w:pStyle w:val="Compact"/>
              <w:spacing w:after="40"/>
              <w:jc w:val="left"/>
            </w:pPr>
            <w:r>
              <w:rPr>
                <w:sz w:val="18"/>
              </w:rPr>
              <w:t xml:space="preserve">[●] – [●] years</w:t>
            </w:r>
          </w:p>
        </w:tc>
        <w:tc>
          <w:tcPr>
            <w:tcW w:w="1078" w:type="dxa"/>
          </w:tcPr>
          <w:p>
            <w:pPr>
              <w:pStyle w:val="Compact"/>
              <w:spacing w:after="40"/>
              <w:jc w:val="left"/>
            </w:pPr>
            <w:r>
              <w:rPr>
                <w:sz w:val="18"/>
              </w:rPr>
              <w:t xml:space="preserve">[●] – [●] months</w:t>
            </w:r>
          </w:p>
        </w:tc>
        <w:tc>
          <w:tcPr>
            <w:tcW w:w="1017" w:type="dxa"/>
          </w:tcPr>
          <w:p>
            <w:pPr>
              <w:pStyle w:val="Compact"/>
              <w:spacing w:after="40"/>
              <w:jc w:val="left"/>
            </w:pPr>
            <w:r>
              <w:rPr>
                <w:sz w:val="18"/>
              </w:rPr>
              <w:t xml:space="preserve">[●] – [●] years</w:t>
            </w:r>
          </w:p>
        </w:tc>
      </w:tr>
      <w:tr>
        <w:tc>
          <w:tcPr>
            <w:tcW w:w="991" w:type="dxa"/>
          </w:tcPr>
          <w:p>
            <w:pPr>
              <w:pStyle w:val="Compact"/>
              <w:spacing w:after="40"/>
              <w:jc w:val="left"/>
            </w:pPr>
            <w:r>
              <w:rPr>
                <w:sz w:val="18"/>
              </w:rPr>
              <w:t xml:space="preserve">Pricing range set by RE (rate; APR band)</w:t>
            </w:r>
          </w:p>
        </w:tc>
        <w:tc>
          <w:tcPr>
            <w:tcW w:w="1418" w:type="dxa"/>
          </w:tcPr>
          <w:p>
            <w:pPr>
              <w:pStyle w:val="Compact"/>
              <w:spacing w:after="40"/>
              <w:jc w:val="left"/>
            </w:pPr>
            <w:r>
              <w:rPr>
                <w:sz w:val="18"/>
              </w:rPr>
              <w:t xml:space="preserve">[●]% – [●]%; APR [●]% – [●]%</w:t>
            </w:r>
          </w:p>
        </w:tc>
        <w:tc>
          <w:tcPr>
            <w:tcW w:w="1510" w:type="dxa"/>
          </w:tcPr>
          <w:p>
            <w:pPr>
              <w:pStyle w:val="Compact"/>
              <w:spacing w:after="40"/>
              <w:jc w:val="left"/>
            </w:pPr>
            <w:r>
              <w:rPr>
                <w:sz w:val="18"/>
              </w:rPr>
              <w:t xml:space="preserve">[●]; APR [●]</w:t>
            </w:r>
          </w:p>
        </w:tc>
        <w:tc>
          <w:tcPr>
            <w:tcW w:w="1806" w:type="dxa"/>
          </w:tcPr>
          <w:p>
            <w:pPr>
              <w:pStyle w:val="Compact"/>
              <w:spacing w:after="40"/>
              <w:jc w:val="left"/>
            </w:pPr>
            <w:r>
              <w:rPr>
                <w:sz w:val="18"/>
              </w:rPr>
              <w:t xml:space="preserve">[●]</w:t>
            </w:r>
          </w:p>
        </w:tc>
        <w:tc>
          <w:tcPr>
            <w:tcW w:w="1818" w:type="dxa"/>
          </w:tcPr>
          <w:p>
            <w:pPr>
              <w:pStyle w:val="Compact"/>
              <w:spacing w:after="40"/>
              <w:jc w:val="left"/>
            </w:pPr>
            <w:r>
              <w:rPr>
                <w:sz w:val="18"/>
              </w:rPr>
              <w:t xml:space="preserve">[●]</w:t>
            </w:r>
          </w:p>
        </w:tc>
        <w:tc>
          <w:tcPr>
            <w:tcW w:w="1078" w:type="dxa"/>
          </w:tcPr>
          <w:p>
            <w:pPr>
              <w:pStyle w:val="Compact"/>
              <w:spacing w:after="40"/>
              <w:jc w:val="left"/>
            </w:pPr>
            <w:r>
              <w:rPr>
                <w:sz w:val="18"/>
              </w:rPr>
              <w:t xml:space="preserve">[●]</w:t>
            </w:r>
          </w:p>
        </w:tc>
        <w:tc>
          <w:tcPr>
            <w:tcW w:w="1017" w:type="dxa"/>
          </w:tcPr>
          <w:p>
            <w:pPr>
              <w:pStyle w:val="Compact"/>
              <w:spacing w:after="40"/>
              <w:jc w:val="left"/>
            </w:pPr>
            <w:r>
              <w:rPr>
                <w:sz w:val="18"/>
              </w:rPr>
              <w:t xml:space="preserve">[●]</w:t>
            </w:r>
          </w:p>
        </w:tc>
      </w:tr>
      <w:tr>
        <w:tc>
          <w:tcPr>
            <w:tcW w:w="991" w:type="dxa"/>
          </w:tcPr>
          <w:p>
            <w:pPr>
              <w:pStyle w:val="Compact"/>
              <w:spacing w:after="40"/>
              <w:jc w:val="left"/>
            </w:pPr>
            <w:r>
              <w:rPr>
                <w:sz w:val="18"/>
              </w:rPr>
              <w:t xml:space="preserve">KFS template version (RE)</w:t>
            </w:r>
          </w:p>
        </w:tc>
        <w:tc>
          <w:tcPr>
            <w:tcW w:w="1418" w:type="dxa"/>
          </w:tcPr>
          <w:p>
            <w:pPr>
              <w:pStyle w:val="Compact"/>
              <w:spacing w:after="40"/>
              <w:jc w:val="left"/>
            </w:pPr>
            <w:r>
              <w:rPr>
                <w:sz w:val="18"/>
              </w:rPr>
              <w:t xml:space="preserve">[KFS-PL-v●]</w:t>
            </w:r>
          </w:p>
        </w:tc>
        <w:tc>
          <w:tcPr>
            <w:tcW w:w="1510" w:type="dxa"/>
          </w:tcPr>
          <w:p>
            <w:pPr>
              <w:pStyle w:val="Compact"/>
              <w:spacing w:after="40"/>
              <w:jc w:val="left"/>
            </w:pPr>
            <w:r>
              <w:rPr>
                <w:sz w:val="18"/>
              </w:rPr>
              <w:t xml:space="preserve">[KFS-PDL-v●]</w:t>
            </w:r>
          </w:p>
        </w:tc>
        <w:tc>
          <w:tcPr>
            <w:tcW w:w="1806" w:type="dxa"/>
          </w:tcPr>
          <w:p>
            <w:pPr>
              <w:pStyle w:val="Compact"/>
              <w:spacing w:after="40"/>
              <w:jc w:val="left"/>
            </w:pPr>
            <w:r>
              <w:rPr>
                <w:sz w:val="18"/>
              </w:rPr>
              <w:t xml:space="preserve">[KFS-LAS-v●]</w:t>
            </w:r>
          </w:p>
        </w:tc>
        <w:tc>
          <w:tcPr>
            <w:tcW w:w="1818" w:type="dxa"/>
          </w:tcPr>
          <w:p>
            <w:pPr>
              <w:pStyle w:val="Compact"/>
              <w:spacing w:after="40"/>
              <w:jc w:val="left"/>
            </w:pPr>
            <w:r>
              <w:rPr>
                <w:sz w:val="18"/>
              </w:rPr>
              <w:t xml:space="preserve">[KFS-HL-v●]</w:t>
            </w:r>
          </w:p>
        </w:tc>
        <w:tc>
          <w:tcPr>
            <w:tcW w:w="1078" w:type="dxa"/>
          </w:tcPr>
          <w:p>
            <w:pPr>
              <w:pStyle w:val="Compact"/>
              <w:spacing w:after="40"/>
              <w:jc w:val="left"/>
            </w:pPr>
            <w:r>
              <w:rPr>
                <w:sz w:val="18"/>
              </w:rPr>
              <w:t xml:space="preserve">[KFS-VL-v●]</w:t>
            </w:r>
          </w:p>
        </w:tc>
        <w:tc>
          <w:tcPr>
            <w:tcW w:w="1017" w:type="dxa"/>
          </w:tcPr>
          <w:p>
            <w:pPr>
              <w:pStyle w:val="Compact"/>
              <w:spacing w:after="40"/>
              <w:jc w:val="left"/>
            </w:pPr>
            <w:r>
              <w:rPr>
                <w:sz w:val="18"/>
              </w:rPr>
              <w:t xml:space="preserve">[KFS-LAP-v●]</w:t>
            </w:r>
          </w:p>
        </w:tc>
      </w:tr>
      <w:tr>
        <w:tc>
          <w:tcPr>
            <w:tcW w:w="991" w:type="dxa"/>
          </w:tcPr>
          <w:p>
            <w:pPr>
              <w:pStyle w:val="Compact"/>
              <w:spacing w:after="40"/>
              <w:jc w:val="left"/>
            </w:pPr>
            <w:r>
              <w:rPr>
                <w:sz w:val="18"/>
              </w:rPr>
              <w:t xml:space="preserve">Cooling-off period (≥ 1 day) and start event</w:t>
            </w:r>
          </w:p>
        </w:tc>
        <w:tc>
          <w:tcPr>
            <w:tcW w:w="1418" w:type="dxa"/>
          </w:tcPr>
          <w:p>
            <w:pPr>
              <w:pStyle w:val="Compact"/>
              <w:spacing w:after="40"/>
              <w:jc w:val="left"/>
            </w:pPr>
            <w:r>
              <w:rPr>
                <w:sz w:val="18"/>
              </w:rPr>
              <w:t xml:space="preserve">[●] days from disbursal</w:t>
            </w:r>
          </w:p>
        </w:tc>
        <w:tc>
          <w:tcPr>
            <w:tcW w:w="1510" w:type="dxa"/>
          </w:tcPr>
          <w:p>
            <w:pPr>
              <w:pStyle w:val="Compact"/>
              <w:spacing w:after="40"/>
              <w:jc w:val="left"/>
            </w:pPr>
            <w:r>
              <w:rPr>
                <w:sz w:val="18"/>
              </w:rPr>
              <w:t xml:space="preserve">[●] day(s) from disbursal</w:t>
            </w:r>
          </w:p>
        </w:tc>
        <w:tc>
          <w:tcPr>
            <w:tcW w:w="1806" w:type="dxa"/>
          </w:tcPr>
          <w:p>
            <w:pPr>
              <w:pStyle w:val="Compact"/>
              <w:spacing w:after="40"/>
              <w:jc w:val="left"/>
            </w:pPr>
            <w:r>
              <w:rPr>
                <w:sz w:val="18"/>
              </w:rPr>
              <w:t xml:space="preserve">[●] days</w:t>
            </w:r>
          </w:p>
        </w:tc>
        <w:tc>
          <w:tcPr>
            <w:tcW w:w="1818" w:type="dxa"/>
          </w:tcPr>
          <w:p>
            <w:pPr>
              <w:pStyle w:val="Compact"/>
              <w:spacing w:after="40"/>
              <w:jc w:val="left"/>
            </w:pPr>
            <w:r>
              <w:rPr>
                <w:sz w:val="18"/>
              </w:rPr>
              <w:t xml:space="preserve">[●] days</w:t>
            </w:r>
          </w:p>
        </w:tc>
        <w:tc>
          <w:tcPr>
            <w:tcW w:w="1078" w:type="dxa"/>
          </w:tcPr>
          <w:p>
            <w:pPr>
              <w:pStyle w:val="Compact"/>
              <w:spacing w:after="40"/>
              <w:jc w:val="left"/>
            </w:pPr>
            <w:r>
              <w:rPr>
                <w:sz w:val="18"/>
              </w:rPr>
              <w:t xml:space="preserve">[●] days</w:t>
            </w:r>
          </w:p>
        </w:tc>
        <w:tc>
          <w:tcPr>
            <w:tcW w:w="1017" w:type="dxa"/>
          </w:tcPr>
          <w:p>
            <w:pPr>
              <w:pStyle w:val="Compact"/>
              <w:spacing w:after="40"/>
              <w:jc w:val="left"/>
            </w:pPr>
            <w:r>
              <w:rPr>
                <w:sz w:val="18"/>
              </w:rPr>
              <w:t xml:space="preserve">[●] days</w:t>
            </w:r>
          </w:p>
        </w:tc>
      </w:tr>
      <w:tr>
        <w:tc>
          <w:tcPr>
            <w:tcW w:w="991" w:type="dxa"/>
          </w:tcPr>
          <w:p>
            <w:pPr>
              <w:pStyle w:val="Compact"/>
              <w:spacing w:after="40"/>
              <w:jc w:val="left"/>
            </w:pPr>
            <w:r>
              <w:rPr>
                <w:sz w:val="18"/>
              </w:rPr>
              <w:t xml:space="preserve">Channels</w:t>
            </w:r>
          </w:p>
        </w:tc>
        <w:tc>
          <w:tcPr>
            <w:tcW w:w="1418" w:type="dxa"/>
          </w:tcPr>
          <w:p>
            <w:pPr>
              <w:pStyle w:val="Compact"/>
              <w:spacing w:after="40"/>
              <w:jc w:val="left"/>
            </w:pPr>
            <w:r>
              <w:rPr>
                <w:sz w:val="18"/>
              </w:rPr>
              <w:t xml:space="preserve">Android, iOS, web</w:t>
            </w:r>
          </w:p>
        </w:tc>
        <w:tc>
          <w:tcPr>
            <w:tcW w:w="1510" w:type="dxa"/>
          </w:tcPr>
          <w:p>
            <w:pPr>
              <w:pStyle w:val="Compact"/>
              <w:spacing w:after="40"/>
              <w:jc w:val="left"/>
            </w:pPr>
            <w:r>
              <w:rPr>
                <w:sz w:val="18"/>
              </w:rPr>
              <w:t xml:space="preserve">Web only if tenor ≤ 60 days; never in store DLAs</w:t>
            </w:r>
          </w:p>
        </w:tc>
        <w:tc>
          <w:tcPr>
            <w:tcW w:w="1806" w:type="dxa"/>
          </w:tcPr>
          <w:p>
            <w:pPr>
              <w:pStyle w:val="Compact"/>
              <w:spacing w:after="40"/>
              <w:jc w:val="left"/>
            </w:pPr>
            <w:r>
              <w:rPr>
                <w:sz w:val="18"/>
              </w:rPr>
              <w:t xml:space="preserve">Android, iOS, web</w:t>
            </w:r>
          </w:p>
        </w:tc>
        <w:tc>
          <w:tcPr>
            <w:tcW w:w="1818" w:type="dxa"/>
          </w:tcPr>
          <w:p>
            <w:pPr>
              <w:pStyle w:val="Compact"/>
              <w:spacing w:after="40"/>
              <w:jc w:val="left"/>
            </w:pPr>
            <w:r>
              <w:rPr>
                <w:sz w:val="18"/>
              </w:rPr>
              <w:t xml:space="preserve">Android, iOS, web (physical execution hand-off)</w:t>
            </w:r>
          </w:p>
        </w:tc>
        <w:tc>
          <w:tcPr>
            <w:tcW w:w="1078" w:type="dxa"/>
          </w:tcPr>
          <w:p>
            <w:pPr>
              <w:pStyle w:val="Compact"/>
              <w:spacing w:after="40"/>
              <w:jc w:val="left"/>
            </w:pPr>
            <w:r>
              <w:rPr>
                <w:sz w:val="18"/>
              </w:rPr>
              <w:t xml:space="preserve">Android, iOS, web; dealer-assisted with Borrower OTP</w:t>
            </w:r>
          </w:p>
        </w:tc>
        <w:tc>
          <w:tcPr>
            <w:tcW w:w="1017" w:type="dxa"/>
          </w:tcPr>
          <w:p>
            <w:pPr>
              <w:pStyle w:val="Compact"/>
              <w:spacing w:after="40"/>
              <w:jc w:val="left"/>
            </w:pPr>
            <w:r>
              <w:rPr>
                <w:sz w:val="18"/>
              </w:rPr>
              <w:t xml:space="preserve">As P4</w:t>
            </w:r>
          </w:p>
        </w:tc>
      </w:tr>
      <w:tr>
        <w:tc>
          <w:tcPr>
            <w:tcW w:w="991" w:type="dxa"/>
          </w:tcPr>
          <w:p>
            <w:pPr>
              <w:pStyle w:val="Compact"/>
              <w:spacing w:after="40"/>
              <w:jc w:val="left"/>
            </w:pPr>
            <w:r>
              <w:rPr>
                <w:sz w:val="18"/>
              </w:rPr>
              <w:t xml:space="preserve">KYC route</w:t>
            </w:r>
          </w:p>
        </w:tc>
        <w:tc>
          <w:tcPr>
            <w:tcW w:w="1418" w:type="dxa"/>
          </w:tcPr>
          <w:p>
            <w:pPr>
              <w:pStyle w:val="Compact"/>
              <w:spacing w:after="40"/>
              <w:jc w:val="left"/>
            </w:pPr>
            <w:r>
              <w:rPr>
                <w:sz w:val="18"/>
              </w:rPr>
              <w:t xml:space="preserve">CKYC / DigiLocker / offline Aadhaar; OTP e-KYC only up to ₹60,000 a year; else V-CIP by RE</w:t>
            </w:r>
          </w:p>
        </w:tc>
        <w:tc>
          <w:tcPr>
            <w:tcW w:w="1510" w:type="dxa"/>
          </w:tcPr>
          <w:p>
            <w:pPr>
              <w:pStyle w:val="Compact"/>
              <w:spacing w:after="40"/>
              <w:jc w:val="left"/>
            </w:pPr>
            <w:r>
              <w:rPr>
                <w:sz w:val="18"/>
              </w:rPr>
              <w:t xml:space="preserve">As P1</w:t>
            </w:r>
          </w:p>
        </w:tc>
        <w:tc>
          <w:tcPr>
            <w:tcW w:w="1806" w:type="dxa"/>
          </w:tcPr>
          <w:p>
            <w:pPr>
              <w:pStyle w:val="Compact"/>
              <w:spacing w:after="40"/>
              <w:jc w:val="left"/>
            </w:pPr>
            <w:r>
              <w:rPr>
                <w:sz w:val="18"/>
              </w:rPr>
              <w:t xml:space="preserve">As P1; demat or folio holder must match Borrower</w:t>
            </w:r>
          </w:p>
        </w:tc>
        <w:tc>
          <w:tcPr>
            <w:tcW w:w="1818" w:type="dxa"/>
          </w:tcPr>
          <w:p>
            <w:pPr>
              <w:pStyle w:val="Compact"/>
              <w:spacing w:after="40"/>
              <w:jc w:val="left"/>
            </w:pPr>
            <w:r>
              <w:rPr>
                <w:sz w:val="18"/>
              </w:rPr>
              <w:t xml:space="preserve">As P1 for all co-applicants</w:t>
            </w:r>
          </w:p>
        </w:tc>
        <w:tc>
          <w:tcPr>
            <w:tcW w:w="1078" w:type="dxa"/>
          </w:tcPr>
          <w:p>
            <w:pPr>
              <w:pStyle w:val="Compact"/>
              <w:spacing w:after="40"/>
              <w:jc w:val="left"/>
            </w:pPr>
            <w:r>
              <w:rPr>
                <w:sz w:val="18"/>
              </w:rPr>
              <w:t xml:space="preserve">As P1</w:t>
            </w:r>
          </w:p>
        </w:tc>
        <w:tc>
          <w:tcPr>
            <w:tcW w:w="1017" w:type="dxa"/>
          </w:tcPr>
          <w:p>
            <w:pPr>
              <w:pStyle w:val="Compact"/>
              <w:spacing w:after="40"/>
              <w:jc w:val="left"/>
            </w:pPr>
            <w:r>
              <w:rPr>
                <w:sz w:val="18"/>
              </w:rPr>
              <w:t xml:space="preserve">As P1; entity KYC if owner is an entity</w:t>
            </w:r>
          </w:p>
        </w:tc>
      </w:tr>
      <w:tr>
        <w:tc>
          <w:tcPr>
            <w:tcW w:w="991" w:type="dxa"/>
          </w:tcPr>
          <w:p>
            <w:pPr>
              <w:pStyle w:val="Compact"/>
              <w:spacing w:after="40"/>
              <w:jc w:val="left"/>
            </w:pPr>
            <w:r>
              <w:rPr>
                <w:sz w:val="18"/>
              </w:rPr>
              <w:t xml:space="preserve">Microfinance classifier (CF para 51)</w:t>
            </w:r>
          </w:p>
        </w:tc>
        <w:tc>
          <w:tcPr>
            <w:tcW w:w="1418" w:type="dxa"/>
          </w:tcPr>
          <w:p>
            <w:pPr>
              <w:pStyle w:val="Compact"/>
              <w:spacing w:after="40"/>
              <w:jc w:val="left"/>
            </w:pPr>
            <w:r>
              <w:rPr>
                <w:sz w:val="18"/>
              </w:rPr>
              <w:t xml:space="preserve">Applies</w:t>
            </w:r>
          </w:p>
        </w:tc>
        <w:tc>
          <w:tcPr>
            <w:tcW w:w="1510" w:type="dxa"/>
          </w:tcPr>
          <w:p>
            <w:pPr>
              <w:pStyle w:val="Compact"/>
              <w:spacing w:after="40"/>
              <w:jc w:val="left"/>
            </w:pPr>
            <w:r>
              <w:rPr>
                <w:sz w:val="18"/>
              </w:rPr>
              <w:t xml:space="preserve">Applies</w:t>
            </w:r>
          </w:p>
        </w:tc>
        <w:tc>
          <w:tcPr>
            <w:tcW w:w="1806" w:type="dxa"/>
          </w:tcPr>
          <w:p>
            <w:pPr>
              <w:pStyle w:val="Compact"/>
              <w:spacing w:after="40"/>
              <w:jc w:val="left"/>
            </w:pPr>
            <w:r>
              <w:rPr>
                <w:sz w:val="18"/>
              </w:rPr>
              <w:t xml:space="preserve">N/A (secured)</w:t>
            </w:r>
          </w:p>
        </w:tc>
        <w:tc>
          <w:tcPr>
            <w:tcW w:w="1818" w:type="dxa"/>
          </w:tcPr>
          <w:p>
            <w:pPr>
              <w:pStyle w:val="Compact"/>
              <w:spacing w:after="40"/>
              <w:jc w:val="left"/>
            </w:pPr>
            <w:r>
              <w:rPr>
                <w:sz w:val="18"/>
              </w:rPr>
              <w:t xml:space="preserve">N/A</w:t>
            </w:r>
          </w:p>
        </w:tc>
        <w:tc>
          <w:tcPr>
            <w:tcW w:w="1078" w:type="dxa"/>
          </w:tcPr>
          <w:p>
            <w:pPr>
              <w:pStyle w:val="Compact"/>
              <w:spacing w:after="40"/>
              <w:jc w:val="left"/>
            </w:pPr>
            <w:r>
              <w:rPr>
                <w:sz w:val="18"/>
              </w:rPr>
              <w:t xml:space="preserve">N/A</w:t>
            </w:r>
          </w:p>
        </w:tc>
        <w:tc>
          <w:tcPr>
            <w:tcW w:w="1017" w:type="dxa"/>
          </w:tcPr>
          <w:p>
            <w:pPr>
              <w:pStyle w:val="Compact"/>
              <w:spacing w:after="40"/>
              <w:jc w:val="left"/>
            </w:pPr>
            <w:r>
              <w:rPr>
                <w:sz w:val="18"/>
              </w:rPr>
              <w:t xml:space="preserve">N/A</w:t>
            </w:r>
          </w:p>
        </w:tc>
      </w:tr>
      <w:tr>
        <w:tc>
          <w:tcPr>
            <w:tcW w:w="991" w:type="dxa"/>
          </w:tcPr>
          <w:p>
            <w:pPr>
              <w:pStyle w:val="Compact"/>
              <w:spacing w:after="40"/>
              <w:jc w:val="left"/>
            </w:pPr>
            <w:r>
              <w:rPr>
                <w:sz w:val="18"/>
              </w:rPr>
              <w:t xml:space="preserve">Disbursal routing</w:t>
            </w:r>
          </w:p>
        </w:tc>
        <w:tc>
          <w:tcPr>
            <w:tcW w:w="1418" w:type="dxa"/>
          </w:tcPr>
          <w:p>
            <w:pPr>
              <w:pStyle w:val="Compact"/>
              <w:spacing w:after="40"/>
              <w:jc w:val="left"/>
            </w:pPr>
            <w:r>
              <w:rPr>
                <w:sz w:val="18"/>
              </w:rPr>
              <w:t xml:space="preserve">Borrower account</w:t>
            </w:r>
          </w:p>
        </w:tc>
        <w:tc>
          <w:tcPr>
            <w:tcW w:w="1510" w:type="dxa"/>
          </w:tcPr>
          <w:p>
            <w:pPr>
              <w:pStyle w:val="Compact"/>
              <w:spacing w:after="40"/>
              <w:jc w:val="left"/>
            </w:pPr>
            <w:r>
              <w:rPr>
                <w:sz w:val="18"/>
              </w:rPr>
              <w:t xml:space="preserve">Borrower account</w:t>
            </w:r>
          </w:p>
        </w:tc>
        <w:tc>
          <w:tcPr>
            <w:tcW w:w="1806" w:type="dxa"/>
          </w:tcPr>
          <w:p>
            <w:pPr>
              <w:pStyle w:val="Compact"/>
              <w:spacing w:after="40"/>
              <w:jc w:val="left"/>
            </w:pPr>
            <w:r>
              <w:rPr>
                <w:sz w:val="18"/>
              </w:rPr>
              <w:t xml:space="preserve">Borrower account only after RE confirms pledge</w:t>
            </w:r>
          </w:p>
        </w:tc>
        <w:tc>
          <w:tcPr>
            <w:tcW w:w="1818" w:type="dxa"/>
          </w:tcPr>
          <w:p>
            <w:pPr>
              <w:pStyle w:val="Compact"/>
              <w:spacing w:after="40"/>
              <w:jc w:val="left"/>
            </w:pPr>
            <w:r>
              <w:rPr>
                <w:sz w:val="18"/>
              </w:rPr>
              <w:t xml:space="preserve">Seller or builder as end-beneficiary, stage-wise</w:t>
            </w:r>
          </w:p>
        </w:tc>
        <w:tc>
          <w:tcPr>
            <w:tcW w:w="1078" w:type="dxa"/>
          </w:tcPr>
          <w:p>
            <w:pPr>
              <w:pStyle w:val="Compact"/>
              <w:spacing w:after="40"/>
              <w:jc w:val="left"/>
            </w:pPr>
            <w:r>
              <w:rPr>
                <w:sz w:val="18"/>
              </w:rPr>
              <w:t xml:space="preserve">Dealer as end-beneficiary</w:t>
            </w:r>
          </w:p>
        </w:tc>
        <w:tc>
          <w:tcPr>
            <w:tcW w:w="1017" w:type="dxa"/>
          </w:tcPr>
          <w:p>
            <w:pPr>
              <w:pStyle w:val="Compact"/>
              <w:spacing w:after="40"/>
              <w:jc w:val="left"/>
            </w:pPr>
            <w:r>
              <w:rPr>
                <w:sz w:val="18"/>
              </w:rPr>
              <w:t xml:space="preserve">Borrower account or existing lender (takeover)</w:t>
            </w:r>
          </w:p>
        </w:tc>
      </w:tr>
      <w:tr>
        <w:tc>
          <w:tcPr>
            <w:tcW w:w="991" w:type="dxa"/>
          </w:tcPr>
          <w:p>
            <w:pPr>
              <w:pStyle w:val="Compact"/>
              <w:spacing w:after="40"/>
              <w:jc w:val="left"/>
            </w:pPr>
            <w:r>
              <w:rPr>
                <w:sz w:val="18"/>
              </w:rPr>
              <w:t xml:space="preserve">Special rules</w:t>
            </w:r>
          </w:p>
        </w:tc>
        <w:tc>
          <w:tcPr>
            <w:tcW w:w="1418" w:type="dxa"/>
          </w:tcPr>
          <w:p>
            <w:pPr>
              <w:pStyle w:val="Compact"/>
              <w:spacing w:after="40"/>
              <w:jc w:val="left"/>
            </w:pPr>
            <w:r>
              <w:rPr>
                <w:sz w:val="18"/>
              </w:rPr>
              <w:t xml:space="preserve">NACH preferred</w:t>
            </w:r>
          </w:p>
        </w:tc>
        <w:tc>
          <w:tcPr>
            <w:tcW w:w="1510" w:type="dxa"/>
          </w:tcPr>
          <w:p>
            <w:pPr>
              <w:pStyle w:val="Compact"/>
              <w:spacing w:after="40"/>
              <w:jc w:val="left"/>
            </w:pPr>
            <w:r>
              <w:rPr>
                <w:sz w:val="18"/>
              </w:rPr>
              <w:t xml:space="preserve">RE repeat-borrowing limits; KFS validity 1 working day if tenor &lt; 7 days (RBC para 29(2)); launch gate</w:t>
            </w:r>
          </w:p>
        </w:tc>
        <w:tc>
          <w:tcPr>
            <w:tcW w:w="1806" w:type="dxa"/>
          </w:tcPr>
          <w:p>
            <w:pPr>
              <w:pStyle w:val="Compact"/>
              <w:spacing w:after="40"/>
              <w:jc w:val="left"/>
            </w:pPr>
            <w:r>
              <w:rPr>
                <w:sz w:val="18"/>
              </w:rPr>
              <w:t xml:space="preserve">No lending against RE’s own shares (CF para 105); listed-share LTV 50% and cure in 7 working days where CF para 106 applies; RE values and invokes</w:t>
            </w:r>
          </w:p>
        </w:tc>
        <w:tc>
          <w:tcPr>
            <w:tcW w:w="1818" w:type="dxa"/>
          </w:tcPr>
          <w:p>
            <w:pPr>
              <w:pStyle w:val="Compact"/>
              <w:spacing w:after="40"/>
              <w:jc w:val="left"/>
            </w:pPr>
            <w:r>
              <w:rPr>
                <w:sz w:val="18"/>
              </w:rPr>
              <w:t xml:space="preserve">Plot loans need declaration to construct within 3 years (CF para 4(1)(xiv)(d)); mortgage deeds not executable electronically (IT Act First Schedule)</w:t>
            </w:r>
          </w:p>
        </w:tc>
        <w:tc>
          <w:tcPr>
            <w:tcW w:w="1078" w:type="dxa"/>
          </w:tcPr>
          <w:p>
            <w:pPr>
              <w:pStyle w:val="Compact"/>
              <w:spacing w:after="40"/>
              <w:jc w:val="left"/>
            </w:pPr>
            <w:r>
              <w:rPr>
                <w:sz w:val="18"/>
              </w:rPr>
              <w:t xml:space="preserve">RC hypothecation endorsement and NOC by RE</w:t>
            </w:r>
          </w:p>
        </w:tc>
        <w:tc>
          <w:tcPr>
            <w:tcW w:w="1017" w:type="dxa"/>
          </w:tcPr>
          <w:p>
            <w:pPr>
              <w:pStyle w:val="Compact"/>
              <w:spacing w:after="40"/>
              <w:jc w:val="left"/>
            </w:pPr>
            <w:r>
              <w:rPr>
                <w:sz w:val="18"/>
              </w:rPr>
              <w:t xml:space="preserve">Not housing finance (CF para 4(1)(xiv))</w:t>
            </w:r>
          </w:p>
        </w:tc>
      </w:tr>
      <w:tr>
        <w:tc>
          <w:tcPr>
            <w:tcW w:w="991" w:type="dxa"/>
          </w:tcPr>
          <w:p>
            <w:pPr>
              <w:pStyle w:val="Compact"/>
              <w:spacing w:after="40"/>
              <w:jc w:val="left"/>
            </w:pPr>
            <w:r>
              <w:rPr>
                <w:sz w:val="18"/>
              </w:rPr>
              <w:t xml:space="preserve">DLG eligible (Schedule 11)</w:t>
            </w:r>
          </w:p>
        </w:tc>
        <w:tc>
          <w:tcPr>
            <w:tcW w:w="1418" w:type="dxa"/>
          </w:tcPr>
          <w:p>
            <w:pPr>
              <w:pStyle w:val="Compact"/>
              <w:spacing w:after="40"/>
              <w:jc w:val="left"/>
            </w:pPr>
            <w:r>
              <w:rPr>
                <w:sz w:val="18"/>
              </w:rPr>
              <w:t xml:space="preserve">[Y/N]</w:t>
            </w:r>
          </w:p>
        </w:tc>
        <w:tc>
          <w:tcPr>
            <w:tcW w:w="1510" w:type="dxa"/>
          </w:tcPr>
          <w:p>
            <w:pPr>
              <w:pStyle w:val="Compact"/>
              <w:spacing w:after="40"/>
              <w:jc w:val="left"/>
            </w:pPr>
            <w:r>
              <w:rPr>
                <w:sz w:val="18"/>
              </w:rPr>
              <w:t xml:space="preserve">[Y/N]</w:t>
            </w:r>
          </w:p>
        </w:tc>
        <w:tc>
          <w:tcPr>
            <w:tcW w:w="1806" w:type="dxa"/>
          </w:tcPr>
          <w:p>
            <w:pPr>
              <w:pStyle w:val="Compact"/>
              <w:spacing w:after="40"/>
              <w:jc w:val="left"/>
            </w:pPr>
            <w:r>
              <w:rPr>
                <w:sz w:val="18"/>
              </w:rPr>
              <w:t xml:space="preserve">N</w:t>
            </w:r>
          </w:p>
        </w:tc>
        <w:tc>
          <w:tcPr>
            <w:tcW w:w="1818" w:type="dxa"/>
          </w:tcPr>
          <w:p>
            <w:pPr>
              <w:pStyle w:val="Compact"/>
              <w:spacing w:after="40"/>
              <w:jc w:val="left"/>
            </w:pPr>
            <w:r>
              <w:rPr>
                <w:sz w:val="18"/>
              </w:rPr>
              <w:t xml:space="preserve">N</w:t>
            </w:r>
          </w:p>
        </w:tc>
        <w:tc>
          <w:tcPr>
            <w:tcW w:w="1078" w:type="dxa"/>
          </w:tcPr>
          <w:p>
            <w:pPr>
              <w:pStyle w:val="Compact"/>
              <w:spacing w:after="40"/>
              <w:jc w:val="left"/>
            </w:pPr>
            <w:r>
              <w:rPr>
                <w:sz w:val="18"/>
              </w:rPr>
              <w:t xml:space="preserve">[Y/N]</w:t>
            </w:r>
          </w:p>
        </w:tc>
        <w:tc>
          <w:tcPr>
            <w:tcW w:w="1017" w:type="dxa"/>
          </w:tcPr>
          <w:p>
            <w:pPr>
              <w:pStyle w:val="Compact"/>
              <w:spacing w:after="40"/>
              <w:jc w:val="left"/>
            </w:pPr>
            <w:r>
              <w:rPr>
                <w:sz w:val="18"/>
              </w:rPr>
              <w:t xml:space="preserve">N</w:t>
            </w:r>
          </w:p>
        </w:tc>
      </w:tr>
      <w:tr>
        <w:tc>
          <w:tcPr>
            <w:tcW w:w="991" w:type="dxa"/>
          </w:tcPr>
          <w:p>
            <w:pPr>
              <w:pStyle w:val="Compact"/>
              <w:spacing w:after="40"/>
              <w:jc w:val="left"/>
            </w:pPr>
            <w:r>
              <w:rPr>
                <w:sz w:val="18"/>
              </w:rPr>
              <w:t xml:space="preserve">Recovery-agent services (Schedule 10)</w:t>
            </w:r>
          </w:p>
        </w:tc>
        <w:tc>
          <w:tcPr>
            <w:tcW w:w="1418" w:type="dxa"/>
          </w:tcPr>
          <w:p>
            <w:pPr>
              <w:pStyle w:val="Compact"/>
              <w:spacing w:after="40"/>
              <w:jc w:val="left"/>
            </w:pPr>
            <w:r>
              <w:rPr>
                <w:sz w:val="18"/>
              </w:rPr>
              <w:t xml:space="preserve">[Y/N]</w:t>
            </w:r>
          </w:p>
        </w:tc>
        <w:tc>
          <w:tcPr>
            <w:tcW w:w="1510" w:type="dxa"/>
          </w:tcPr>
          <w:p>
            <w:pPr>
              <w:pStyle w:val="Compact"/>
              <w:spacing w:after="40"/>
              <w:jc w:val="left"/>
            </w:pPr>
            <w:r>
              <w:rPr>
                <w:sz w:val="18"/>
              </w:rPr>
              <w:t xml:space="preserve">[Y/N]</w:t>
            </w:r>
          </w:p>
        </w:tc>
        <w:tc>
          <w:tcPr>
            <w:tcW w:w="1806" w:type="dxa"/>
          </w:tcPr>
          <w:p>
            <w:pPr>
              <w:pStyle w:val="Compact"/>
              <w:spacing w:after="40"/>
              <w:jc w:val="left"/>
            </w:pPr>
            <w:r>
              <w:rPr>
                <w:sz w:val="18"/>
              </w:rPr>
              <w:t xml:space="preserve">N</w:t>
            </w:r>
          </w:p>
        </w:tc>
        <w:tc>
          <w:tcPr>
            <w:tcW w:w="1818" w:type="dxa"/>
          </w:tcPr>
          <w:p>
            <w:pPr>
              <w:pStyle w:val="Compact"/>
              <w:spacing w:after="40"/>
              <w:jc w:val="left"/>
            </w:pPr>
            <w:r>
              <w:rPr>
                <w:sz w:val="18"/>
              </w:rPr>
              <w:t xml:space="preserve">[Y/N]</w:t>
            </w:r>
          </w:p>
        </w:tc>
        <w:tc>
          <w:tcPr>
            <w:tcW w:w="1078" w:type="dxa"/>
          </w:tcPr>
          <w:p>
            <w:pPr>
              <w:pStyle w:val="Compact"/>
              <w:spacing w:after="40"/>
              <w:jc w:val="left"/>
            </w:pPr>
            <w:r>
              <w:rPr>
                <w:sz w:val="18"/>
              </w:rPr>
              <w:t xml:space="preserve">[Y/N]</w:t>
            </w:r>
          </w:p>
        </w:tc>
        <w:tc>
          <w:tcPr>
            <w:tcW w:w="1017" w:type="dxa"/>
          </w:tcPr>
          <w:p>
            <w:pPr>
              <w:pStyle w:val="Compact"/>
              <w:spacing w:after="40"/>
              <w:jc w:val="left"/>
            </w:pPr>
            <w:r>
              <w:rPr>
                <w:sz w:val="18"/>
              </w:rPr>
              <w:t xml:space="preserve">[Y/N]</w:t>
            </w:r>
          </w:p>
        </w:tc>
      </w:tr>
    </w:tbl>
    <w:p>
      <w:pPr>
        <w:pStyle w:val="BodyText"/>
      </w:pPr>
      <w:r>
        <w:rPr>
          <w:iCs/>
          <w:i/>
        </w:rPr>
        <w:t xml:space="preserve">Drafting note: Add sheets for Gold Loan (leads and branch appointment only; collateral handled only in RE branches by RE employees, RBC paras 53–54), MSME, Microfinance (RBC paras 76–92; CF Chapter V), Education and Supply-chain Products when approved. A draft CF amendment (August 2026) may confine NBFCs other than credit-card issuers to term loans [VERIFY: final status]; until then, configure revolving variants (e.g. LAS overdraft) only behind an RE-controlled flag.</w:t>
      </w:r>
    </w:p>
    <w:p>
      <w:pPr>
        <w:pStyle w:val="BodyText"/>
      </w:pPr>
      <w:r>
        <w:rPr>
          <w:bCs/>
          <w:b/>
        </w:rPr>
        <w:t xml:space="preserve">4.10 Product change. [Option]</w:t>
      </w:r>
      <w:r>
        <w:t xml:space="preserve"> </w:t>
      </w:r>
      <w:r>
        <w:t xml:space="preserve">The RE may change any figure in Part B by issuing a new product version through the</w:t>
      </w:r>
      <w:r>
        <w:t xml:space="preserve"> </w:t>
      </w:r>
      <w:r>
        <w:rPr>
          <w:rStyle w:val="VerbatimChar"/>
        </w:rPr>
        <w:t xml:space="preserve">ProductCatalogPublished</w:t>
      </w:r>
      <w:r>
        <w:t xml:space="preserve"> </w:t>
      </w:r>
      <w:r>
        <w:t xml:space="preserve">event (Schedule 16) at least [3] working days before effect; the LSP shall implement within that period. New Products require the RE’s internal new-product approval and an executed amendment to this Schedule.</w:t>
      </w:r>
    </w:p>
    <w:p>
      <w:r>
        <w:pict>
          <v:rect style="width:0;height:1.5pt" o:hralign="center" o:hrstd="t" o:hr="t"/>
        </w:pict>
      </w:r>
    </w:p>
    <w:p>
      <w:r>
        <w:br w:type="page"/>
      </w:r>
    </w:p>
    <w:bookmarkEnd w:id="72"/>
    <w:bookmarkEnd w:id="73"/>
    <w:bookmarkStart w:id="74" w:name="Xd55a45b7da05d7e77bc17633426f799bfc02fbf"/>
    <w:p>
      <w:pPr>
        <w:pStyle w:val="Heading1"/>
      </w:pPr>
      <w:r>
        <w:t xml:space="preserve">SCHEDULE 5 — Multi-lender Offer Display and Matching Mechanism</w:t>
      </w:r>
    </w:p>
    <w:p>
      <w:pPr>
        <w:pStyle w:val="FirstParagraph"/>
      </w:pPr>
      <w:r>
        <w:rPr>
          <w:iCs/>
          <w:i/>
        </w:rPr>
        <w:t xml:space="preserve">Drafting note: This Schedule implements Article 6 (Customer Acquisition, Marketing and Disclosures). Because the LSP has agreements with multiple lenders, each RE must ensure the LSP complies with CF para 7. Obligations in CF para 7 are written in the LSP’s own name and are treated as the LSP’s own obligations under Article 3.</w:t>
      </w:r>
    </w:p>
    <w:p>
      <w:pPr>
        <w:pStyle w:val="BodyText"/>
      </w:pPr>
      <w:r>
        <w:rPr>
          <w:bCs/>
          <w:b/>
        </w:rPr>
        <w:t xml:space="preserve">5.1 Digital view of all matching offers. [Mandatory — RBI]</w:t>
      </w:r>
      <w:r>
        <w:t xml:space="preserve"> </w:t>
      </w:r>
      <w:r>
        <w:t xml:space="preserve">The DLA shall provide a digital view of all loan offers matching the Borrower’s request from lenders with whom the LSP has agreements, and shall disclose in the same digital view the names of the unmatched lenders (CF para 7(1)). Suppression of an unmatched lender’s name shall not be configurable.</w:t>
      </w:r>
    </w:p>
    <w:p>
      <w:pPr>
        <w:pStyle w:val="BodyText"/>
      </w:pPr>
      <w:r>
        <w:rPr>
          <w:bCs/>
          <w:b/>
        </w:rPr>
        <w:t xml:space="preserve">5.2 Mandatory display fields. [Mandatory — RBI]</w:t>
      </w:r>
      <w:r>
        <w:t xml:space="preserve"> </w:t>
      </w:r>
      <w:r>
        <w:t xml:space="preserve">Each offer card shall show, with equal prominence and in the same units: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95"/>
        <w:gridCol w:w="2377"/>
        <w:gridCol w:w="4566"/>
      </w:tblGrid>
      <w:tr>
        <w:trPr>
          <w:tblHeader w:val="true"/>
          <w:tblHeader w:val="true"/>
        </w:trPr>
        <w:tc>
          <w:tcPr>
            <w:tcW w:w="2695" w:type="dxa"/>
            <w:shd w:val="clear" w:color="auto" w:fill="1F3A5F"/>
          </w:tcPr>
          <w:p>
            <w:pPr>
              <w:pStyle w:val="Compact"/>
              <w:spacing w:after="40"/>
              <w:jc w:val="left"/>
            </w:pPr>
            <w:r>
              <w:rPr>
                <w:b/>
                <w:color w:val="FFFFFF"/>
                <w:sz w:val="18"/>
              </w:rPr>
              <w:t xml:space="preserve">Field</w:t>
            </w:r>
          </w:p>
        </w:tc>
        <w:tc>
          <w:tcPr>
            <w:tcW w:w="2377" w:type="dxa"/>
            <w:shd w:val="clear" w:color="auto" w:fill="1F3A5F"/>
          </w:tcPr>
          <w:p>
            <w:pPr>
              <w:pStyle w:val="Compact"/>
              <w:spacing w:after="40"/>
              <w:jc w:val="left"/>
            </w:pPr>
            <w:r>
              <w:rPr>
                <w:b/>
                <w:color w:val="FFFFFF"/>
                <w:sz w:val="18"/>
              </w:rPr>
              <w:t xml:space="preserve">Source</w:t>
            </w:r>
          </w:p>
        </w:tc>
        <w:tc>
          <w:tcPr>
            <w:tcW w:w="4566" w:type="dxa"/>
            <w:shd w:val="clear" w:color="auto" w:fill="1F3A5F"/>
          </w:tcPr>
          <w:p>
            <w:pPr>
              <w:pStyle w:val="Compact"/>
              <w:spacing w:after="40"/>
              <w:jc w:val="left"/>
            </w:pPr>
            <w:r>
              <w:rPr>
                <w:b/>
                <w:color w:val="FFFFFF"/>
                <w:sz w:val="18"/>
              </w:rPr>
              <w:t xml:space="preserve">Rule</w:t>
            </w:r>
          </w:p>
        </w:tc>
      </w:tr>
      <w:tr>
        <w:tc>
          <w:tcPr>
            <w:tcW w:w="2695" w:type="dxa"/>
          </w:tcPr>
          <w:p>
            <w:pPr>
              <w:pStyle w:val="Compact"/>
              <w:spacing w:after="40"/>
              <w:jc w:val="left"/>
            </w:pPr>
            <w:r>
              <w:rPr>
                <w:sz w:val="18"/>
              </w:rPr>
              <w:t xml:space="preserve">Name of the lender extending the offer</w:t>
            </w:r>
          </w:p>
        </w:tc>
        <w:tc>
          <w:tcPr>
            <w:tcW w:w="2377" w:type="dxa"/>
          </w:tcPr>
          <w:p>
            <w:pPr>
              <w:pStyle w:val="Compact"/>
              <w:spacing w:after="40"/>
              <w:jc w:val="left"/>
            </w:pPr>
            <w:r>
              <w:rPr>
                <w:sz w:val="18"/>
              </w:rPr>
              <w:t xml:space="preserve">RE</w:t>
            </w:r>
          </w:p>
        </w:tc>
        <w:tc>
          <w:tcPr>
            <w:tcW w:w="4566" w:type="dxa"/>
          </w:tcPr>
          <w:p>
            <w:pPr>
              <w:pStyle w:val="Compact"/>
              <w:spacing w:after="40"/>
              <w:jc w:val="left"/>
            </w:pPr>
            <w:r>
              <w:rPr>
                <w:sz w:val="18"/>
              </w:rPr>
              <w:t xml:space="preserve">Legal name of the RE as on its Certificate of Registration; brand name only in addition</w:t>
            </w:r>
          </w:p>
        </w:tc>
      </w:tr>
      <w:tr>
        <w:tc>
          <w:tcPr>
            <w:tcW w:w="2695" w:type="dxa"/>
          </w:tcPr>
          <w:p>
            <w:pPr>
              <w:pStyle w:val="Compact"/>
              <w:spacing w:after="40"/>
              <w:jc w:val="left"/>
            </w:pPr>
            <w:r>
              <w:rPr>
                <w:sz w:val="18"/>
              </w:rPr>
              <w:t xml:space="preserve">Loan amount</w:t>
            </w:r>
          </w:p>
        </w:tc>
        <w:tc>
          <w:tcPr>
            <w:tcW w:w="2377" w:type="dxa"/>
          </w:tcPr>
          <w:p>
            <w:pPr>
              <w:pStyle w:val="Compact"/>
              <w:spacing w:after="40"/>
              <w:jc w:val="left"/>
            </w:pPr>
            <w:r>
              <w:rPr>
                <w:sz w:val="18"/>
              </w:rPr>
              <w:t xml:space="preserve">RE</w:t>
            </w:r>
            <w:r>
              <w:rPr>
                <w:sz w:val="18"/>
              </w:rPr>
              <w:t xml:space="preserve"> </w:t>
            </w:r>
            <w:r>
              <w:rPr>
                <w:rStyle w:val="VerbatimChar"/>
                <w:sz w:val="18"/>
              </w:rPr>
              <w:t xml:space="preserve">EligibilityCheck</w:t>
            </w:r>
            <w:r>
              <w:rPr>
                <w:sz w:val="18"/>
              </w:rPr>
              <w:t xml:space="preserve"> </w:t>
            </w:r>
            <w:r>
              <w:rPr>
                <w:sz w:val="18"/>
              </w:rPr>
              <w:t xml:space="preserve">or</w:t>
            </w:r>
            <w:r>
              <w:rPr>
                <w:sz w:val="18"/>
              </w:rPr>
              <w:t xml:space="preserve"> </w:t>
            </w:r>
            <w:r>
              <w:rPr>
                <w:rStyle w:val="VerbatimChar"/>
                <w:sz w:val="18"/>
              </w:rPr>
              <w:t xml:space="preserve">DecisionMade</w:t>
            </w:r>
          </w:p>
        </w:tc>
        <w:tc>
          <w:tcPr>
            <w:tcW w:w="4566" w:type="dxa"/>
          </w:tcPr>
          <w:p>
            <w:pPr>
              <w:pStyle w:val="Compact"/>
              <w:spacing w:after="40"/>
              <w:jc w:val="left"/>
            </w:pPr>
            <w:r>
              <w:rPr>
                <w:sz w:val="18"/>
              </w:rPr>
              <w:t xml:space="preserve">As offered; no rounding that changes the amount</w:t>
            </w:r>
          </w:p>
        </w:tc>
      </w:tr>
      <w:tr>
        <w:tc>
          <w:tcPr>
            <w:tcW w:w="2695" w:type="dxa"/>
          </w:tcPr>
          <w:p>
            <w:pPr>
              <w:pStyle w:val="Compact"/>
              <w:spacing w:after="40"/>
              <w:jc w:val="left"/>
            </w:pPr>
            <w:r>
              <w:rPr>
                <w:sz w:val="18"/>
              </w:rPr>
              <w:t xml:space="preserve">Tenor</w:t>
            </w:r>
          </w:p>
        </w:tc>
        <w:tc>
          <w:tcPr>
            <w:tcW w:w="2377" w:type="dxa"/>
          </w:tcPr>
          <w:p>
            <w:pPr>
              <w:pStyle w:val="Compact"/>
              <w:spacing w:after="40"/>
              <w:jc w:val="left"/>
            </w:pPr>
            <w:r>
              <w:rPr>
                <w:sz w:val="18"/>
              </w:rPr>
              <w:t xml:space="preserve">RE</w:t>
            </w:r>
          </w:p>
        </w:tc>
        <w:tc>
          <w:tcPr>
            <w:tcW w:w="4566" w:type="dxa"/>
          </w:tcPr>
          <w:p>
            <w:pPr>
              <w:pStyle w:val="Compact"/>
              <w:spacing w:after="40"/>
              <w:jc w:val="left"/>
            </w:pPr>
            <w:r>
              <w:rPr>
                <w:sz w:val="18"/>
              </w:rPr>
              <w:t xml:space="preserve">Days or months as in the KFS</w:t>
            </w:r>
          </w:p>
        </w:tc>
      </w:tr>
      <w:tr>
        <w:tc>
          <w:tcPr>
            <w:tcW w:w="2695" w:type="dxa"/>
          </w:tcPr>
          <w:p>
            <w:pPr>
              <w:pStyle w:val="Compact"/>
              <w:spacing w:after="40"/>
              <w:jc w:val="left"/>
            </w:pPr>
            <w:r>
              <w:rPr>
                <w:sz w:val="18"/>
              </w:rPr>
              <w:t xml:space="preserve">APR</w:t>
            </w:r>
          </w:p>
        </w:tc>
        <w:tc>
          <w:tcPr>
            <w:tcW w:w="2377" w:type="dxa"/>
          </w:tcPr>
          <w:p>
            <w:pPr>
              <w:pStyle w:val="Compact"/>
              <w:spacing w:after="40"/>
              <w:jc w:val="left"/>
            </w:pPr>
            <w:r>
              <w:rPr>
                <w:sz w:val="18"/>
              </w:rPr>
              <w:t xml:space="preserve">RE (KFS computation sheet)</w:t>
            </w:r>
          </w:p>
        </w:tc>
        <w:tc>
          <w:tcPr>
            <w:tcW w:w="4566" w:type="dxa"/>
          </w:tcPr>
          <w:p>
            <w:pPr>
              <w:pStyle w:val="Compact"/>
              <w:spacing w:after="40"/>
              <w:jc w:val="left"/>
            </w:pPr>
            <w:r>
              <w:rPr>
                <w:sz w:val="18"/>
              </w:rPr>
              <w:t xml:space="preserve">Percentage to two decimals; never computed or edited by the LSP; independent recomputation used only to flag mismatches to the RE</w:t>
            </w:r>
          </w:p>
        </w:tc>
      </w:tr>
      <w:tr>
        <w:tc>
          <w:tcPr>
            <w:tcW w:w="2695" w:type="dxa"/>
          </w:tcPr>
          <w:p>
            <w:pPr>
              <w:pStyle w:val="Compact"/>
              <w:spacing w:after="40"/>
              <w:jc w:val="left"/>
            </w:pPr>
            <w:r>
              <w:rPr>
                <w:sz w:val="18"/>
              </w:rPr>
              <w:t xml:space="preserve">Monthly repayment obligation</w:t>
            </w:r>
          </w:p>
        </w:tc>
        <w:tc>
          <w:tcPr>
            <w:tcW w:w="2377" w:type="dxa"/>
          </w:tcPr>
          <w:p>
            <w:pPr>
              <w:pStyle w:val="Compact"/>
              <w:spacing w:after="40"/>
              <w:jc w:val="left"/>
            </w:pPr>
            <w:r>
              <w:rPr>
                <w:sz w:val="18"/>
              </w:rPr>
              <w:t xml:space="preserve">RE</w:t>
            </w:r>
          </w:p>
        </w:tc>
        <w:tc>
          <w:tcPr>
            <w:tcW w:w="4566" w:type="dxa"/>
          </w:tcPr>
          <w:p>
            <w:pPr>
              <w:pStyle w:val="Compact"/>
              <w:spacing w:after="40"/>
              <w:jc w:val="left"/>
            </w:pPr>
            <w:r>
              <w:rPr>
                <w:sz w:val="18"/>
              </w:rPr>
              <w:t xml:space="preserve">EMI or equivalent monthly outflow; for non-monthly structures, the RE’s stated equivalent</w:t>
            </w:r>
          </w:p>
        </w:tc>
      </w:tr>
      <w:tr>
        <w:tc>
          <w:tcPr>
            <w:tcW w:w="2695" w:type="dxa"/>
          </w:tcPr>
          <w:p>
            <w:pPr>
              <w:pStyle w:val="Compact"/>
              <w:spacing w:after="40"/>
              <w:jc w:val="left"/>
            </w:pPr>
            <w:r>
              <w:rPr>
                <w:sz w:val="18"/>
              </w:rPr>
              <w:t xml:space="preserve">Penal charges (if applicable)</w:t>
            </w:r>
          </w:p>
        </w:tc>
        <w:tc>
          <w:tcPr>
            <w:tcW w:w="2377" w:type="dxa"/>
          </w:tcPr>
          <w:p>
            <w:pPr>
              <w:pStyle w:val="Compact"/>
              <w:spacing w:after="40"/>
              <w:jc w:val="left"/>
            </w:pPr>
            <w:r>
              <w:rPr>
                <w:sz w:val="18"/>
              </w:rPr>
              <w:t xml:space="preserve">RE</w:t>
            </w:r>
          </w:p>
        </w:tc>
        <w:tc>
          <w:tcPr>
            <w:tcW w:w="4566" w:type="dxa"/>
          </w:tcPr>
          <w:p>
            <w:pPr>
              <w:pStyle w:val="Compact"/>
              <w:spacing w:after="40"/>
              <w:jc w:val="left"/>
            </w:pPr>
            <w:r>
              <w:rPr>
                <w:sz w:val="18"/>
              </w:rPr>
              <w:t xml:space="preserve">As in the KFS, with the basis (RBC para 30)</w:t>
            </w:r>
          </w:p>
        </w:tc>
      </w:tr>
      <w:tr>
        <w:tc>
          <w:tcPr>
            <w:tcW w:w="2695" w:type="dxa"/>
          </w:tcPr>
          <w:p>
            <w:pPr>
              <w:pStyle w:val="Compact"/>
              <w:spacing w:after="40"/>
              <w:jc w:val="left"/>
            </w:pPr>
            <w:r>
              <w:rPr>
                <w:sz w:val="18"/>
              </w:rPr>
              <w:t xml:space="preserve">Link to the KFS</w:t>
            </w:r>
          </w:p>
        </w:tc>
        <w:tc>
          <w:tcPr>
            <w:tcW w:w="2377" w:type="dxa"/>
          </w:tcPr>
          <w:p>
            <w:pPr>
              <w:pStyle w:val="Compact"/>
              <w:spacing w:after="40"/>
              <w:jc w:val="left"/>
            </w:pPr>
            <w:r>
              <w:rPr>
                <w:sz w:val="18"/>
              </w:rPr>
              <w:t xml:space="preserve">RE</w:t>
            </w:r>
          </w:p>
        </w:tc>
        <w:tc>
          <w:tcPr>
            <w:tcW w:w="4566" w:type="dxa"/>
          </w:tcPr>
          <w:p>
            <w:pPr>
              <w:pStyle w:val="Compact"/>
              <w:spacing w:after="40"/>
              <w:jc w:val="left"/>
            </w:pPr>
            <w:r>
              <w:rPr>
                <w:sz w:val="18"/>
              </w:rPr>
              <w:t xml:space="preserve">Live link to the RE-issued KFS for that offer (CF para 7(3))</w:t>
            </w:r>
          </w:p>
        </w:tc>
      </w:tr>
      <w:tr>
        <w:tc>
          <w:tcPr>
            <w:tcW w:w="2695" w:type="dxa"/>
          </w:tcPr>
          <w:p>
            <w:pPr>
              <w:pStyle w:val="Compact"/>
              <w:spacing w:after="40"/>
              <w:jc w:val="left"/>
            </w:pPr>
            <w:r>
              <w:rPr>
                <w:sz w:val="18"/>
              </w:rPr>
              <w:t xml:space="preserve">Matching mechanism and ranking metric version</w:t>
            </w:r>
          </w:p>
        </w:tc>
        <w:tc>
          <w:tcPr>
            <w:tcW w:w="2377" w:type="dxa"/>
          </w:tcPr>
          <w:p>
            <w:pPr>
              <w:pStyle w:val="Compact"/>
              <w:spacing w:after="40"/>
              <w:jc w:val="left"/>
            </w:pPr>
            <w:r>
              <w:rPr>
                <w:sz w:val="18"/>
              </w:rPr>
              <w:t xml:space="preserve">LSP</w:t>
            </w:r>
          </w:p>
        </w:tc>
        <w:tc>
          <w:tcPr>
            <w:tcW w:w="4566" w:type="dxa"/>
          </w:tcPr>
          <w:p>
            <w:pPr>
              <w:pStyle w:val="Compact"/>
              <w:spacing w:after="40"/>
              <w:jc w:val="left"/>
            </w:pPr>
            <w:r>
              <w:rPr>
                <w:sz w:val="18"/>
              </w:rPr>
              <w:t xml:space="preserve">Shown with a link to the public description (paras 5.4–5.6)</w:t>
            </w:r>
          </w:p>
        </w:tc>
      </w:tr>
    </w:tbl>
    <w:p>
      <w:pPr>
        <w:pStyle w:val="BodyText"/>
      </w:pPr>
      <w:r>
        <w:t xml:space="preserve">(CF para 7(3).)</w:t>
      </w:r>
    </w:p>
    <w:p>
      <w:pPr>
        <w:pStyle w:val="BodyText"/>
      </w:pPr>
      <w:r>
        <w:rPr>
          <w:bCs/>
          <w:b/>
        </w:rPr>
        <w:t xml:space="preserve">5.3 Unmatched lenders. [Mandatory — RBI]</w:t>
      </w:r>
      <w:r>
        <w:t xml:space="preserve"> </w:t>
      </w:r>
      <w:r>
        <w:t xml:space="preserve">The unmatched-lender list shall name each lender with which the LSP has an agreement for the requested product type and which did not produce an offer, with a neutral reason code where available (</w:t>
      </w:r>
      <w:r>
        <w:t xml:space="preserve">“</w:t>
      </w:r>
      <w:r>
        <w:t xml:space="preserve">did not match the request</w:t>
      </w:r>
      <w:r>
        <w:t xml:space="preserve">”</w:t>
      </w:r>
      <w:r>
        <w:t xml:space="preserve">,</w:t>
      </w:r>
      <w:r>
        <w:t xml:space="preserve"> </w:t>
      </w:r>
      <w:r>
        <w:t xml:space="preserve">“</w:t>
      </w:r>
      <w:r>
        <w:t xml:space="preserve">not available in this app</w:t>
      </w:r>
      <w:r>
        <w:t xml:space="preserve">”</w:t>
      </w:r>
      <w:r>
        <w:t xml:space="preserve">,</w:t>
      </w:r>
      <w:r>
        <w:t xml:space="preserve"> </w:t>
      </w:r>
      <w:r>
        <w:t xml:space="preserve">“</w:t>
      </w:r>
      <w:r>
        <w:t xml:space="preserve">service temporarily unavailable</w:t>
      </w:r>
      <w:r>
        <w:t xml:space="preserve">”</w:t>
      </w:r>
      <w:r>
        <w:t xml:space="preserve">). A lender omitted by a channel filter (Schedule 4, para 4.7) is listed with the reason</w:t>
      </w:r>
      <w:r>
        <w:t xml:space="preserve"> </w:t>
      </w:r>
      <w:r>
        <w:t xml:space="preserve">“</w:t>
      </w:r>
      <w:r>
        <w:t xml:space="preserve">not available in this app; available on the web</w:t>
      </w:r>
      <w:r>
        <w:t xml:space="preserve">”</w:t>
      </w:r>
      <w:r>
        <w:t xml:space="preserve"> </w:t>
      </w:r>
      <w:r>
        <w:t xml:space="preserve">[VERIFY: legal opinion on CF para 7(1)].</w:t>
      </w:r>
    </w:p>
    <w:p>
      <w:pPr>
        <w:pStyle w:val="BodyText"/>
      </w:pPr>
      <w:r>
        <w:rPr>
          <w:bCs/>
          <w:b/>
        </w:rPr>
        <w:t xml:space="preserve">5.4 Matching mechanism. [Mandatory — RBI]</w:t>
      </w:r>
      <w:r>
        <w:t xml:space="preserve"> </w:t>
      </w:r>
      <w:r>
        <w:t xml:space="preserve">The LSP may adopt any mechanism to match Borrower requests with lenders but shall follow a consistent approach for similarly placed borrowers and products; the mechanism and every change to it shall be documented (CF para 7(2)). The mechanism shall use only: (a) the Borrower’s request (product, amount, tenor, purpose); (b) the RE’s published eligibility rules (</w:t>
      </w:r>
      <w:r>
        <w:rPr>
          <w:rStyle w:val="VerbatimChar"/>
        </w:rPr>
        <w:t xml:space="preserve">ProductCatalogPublished</w:t>
      </w:r>
      <w:r>
        <w:t xml:space="preserve">); and (c) each RE’s</w:t>
      </w:r>
      <w:r>
        <w:t xml:space="preserve"> </w:t>
      </w:r>
      <w:r>
        <w:rPr>
          <w:rStyle w:val="VerbatimChar"/>
        </w:rPr>
        <w:t xml:space="preserve">EligibilityCheck</w:t>
      </w:r>
      <w:r>
        <w:t xml:space="preserve"> </w:t>
      </w:r>
      <w:r>
        <w:t xml:space="preserve">response. It shall not use: fee rates or fee models; DLG exposure or headroom; conversion or volume targets; any commercial benefit to the LSP [Mandatory — RBI; CF paras 7(2), 7(4), 20(2)].</w:t>
      </w:r>
    </w:p>
    <w:p>
      <w:pPr>
        <w:pStyle w:val="BodyText"/>
      </w:pPr>
      <w:r>
        <w:rPr>
          <w:bCs/>
          <w:b/>
        </w:rPr>
        <w:t xml:space="preserve">5.5 Ranking. [Mandatory — RBI]</w:t>
      </w:r>
      <w:r>
        <w:t xml:space="preserve"> </w:t>
      </w:r>
      <w:r>
        <w:t xml:space="preserve">Offers may be ranked only on a metric publicly pre-disclosed on the LSP’s website and in the DLA before offers are shown (CF para 7(4)). Default metric: ascending APR; ties broken by lower monthly repayment obligation, then by lender name alphabetically [Option: RE may agree another neutral metric, published in advance]. The metric version shall be stored with each offer set displayed.</w:t>
      </w:r>
    </w:p>
    <w:p>
      <w:pPr>
        <w:pStyle w:val="BodyText"/>
      </w:pPr>
      <w:r>
        <w:rPr>
          <w:bCs/>
          <w:b/>
        </w:rPr>
        <w:t xml:space="preserve">5.6 Neutral and unbiased content. [Mandatory — RBI]</w:t>
      </w:r>
      <w:r>
        <w:t xml:space="preserve"> </w:t>
      </w:r>
      <w:r>
        <w:t xml:space="preserve">Content displayed by the LSP shall be unbiased and objective and shall not directly or indirectly promote or push the product of a particular lender (CF para 7(4)). In particular the DLA shall not use any dark pattern as defined in section 2(e) of the Guidelines for Prevention and Regulation of Dark Patterns, 2023 issued by the Central Consumer Protection Authority on 30 Nov 2023 (CF para 7(4), Note), including the specified patterns of false urgency, basket sneaking, confirm shaming, forced action, subscription trap, interface interference, bait and switch, drip pricing, disguised advertisement, nagging, trick question, SaaS billing and rogue malware [VERIFY: current list in Annexure 1 of the Guidelines]. Concretely: no pre-selected offer; no</w:t>
      </w:r>
      <w:r>
        <w:t xml:space="preserve"> </w:t>
      </w:r>
      <w:r>
        <w:t xml:space="preserve">“</w:t>
      </w:r>
      <w:r>
        <w:t xml:space="preserve">recommended</w:t>
      </w:r>
      <w:r>
        <w:t xml:space="preserve">”</w:t>
      </w:r>
      <w:r>
        <w:t xml:space="preserve">,</w:t>
      </w:r>
      <w:r>
        <w:t xml:space="preserve"> </w:t>
      </w:r>
      <w:r>
        <w:t xml:space="preserve">“</w:t>
      </w:r>
      <w:r>
        <w:t xml:space="preserve">best</w:t>
      </w:r>
      <w:r>
        <w:t xml:space="preserve">”</w:t>
      </w:r>
      <w:r>
        <w:t xml:space="preserve">,</w:t>
      </w:r>
      <w:r>
        <w:t xml:space="preserve"> </w:t>
      </w:r>
      <w:r>
        <w:t xml:space="preserve">“</w:t>
      </w:r>
      <w:r>
        <w:t xml:space="preserve">sponsored</w:t>
      </w:r>
      <w:r>
        <w:t xml:space="preserve">”</w:t>
      </w:r>
      <w:r>
        <w:t xml:space="preserve"> </w:t>
      </w:r>
      <w:r>
        <w:t xml:space="preserve">or</w:t>
      </w:r>
      <w:r>
        <w:t xml:space="preserve"> </w:t>
      </w:r>
      <w:r>
        <w:t xml:space="preserve">“</w:t>
      </w:r>
      <w:r>
        <w:t xml:space="preserve">featured</w:t>
      </w:r>
      <w:r>
        <w:t xml:space="preserve">”</w:t>
      </w:r>
      <w:r>
        <w:t xml:space="preserve"> </w:t>
      </w:r>
      <w:r>
        <w:t xml:space="preserve">badge; equal visual weight and identical card layout; no countdown timer or false scarcity; no paid placement in the offer view; no hidden charges revealed late; decline and</w:t>
      </w:r>
      <w:r>
        <w:t xml:space="preserve"> </w:t>
      </w:r>
      <w:r>
        <w:t xml:space="preserve">“</w:t>
      </w:r>
      <w:r>
        <w:t xml:space="preserve">compare later</w:t>
      </w:r>
      <w:r>
        <w:t xml:space="preserve">”</w:t>
      </w:r>
      <w:r>
        <w:t xml:space="preserve"> </w:t>
      </w:r>
      <w:r>
        <w:t xml:space="preserve">options as prominent as</w:t>
      </w:r>
      <w:r>
        <w:t xml:space="preserve"> </w:t>
      </w:r>
      <w:r>
        <w:t xml:space="preserve">“</w:t>
      </w:r>
      <w:r>
        <w:t xml:space="preserve">accept</w:t>
      </w:r>
      <w:r>
        <w:t xml:space="preserve">”</w:t>
      </w:r>
      <w:r>
        <w:t xml:space="preserve">.</w:t>
      </w:r>
    </w:p>
    <w:p>
      <w:pPr>
        <w:pStyle w:val="BodyText"/>
      </w:pPr>
      <w:r>
        <w:rPr>
          <w:bCs/>
          <w:b/>
        </w:rPr>
        <w:t xml:space="preserve">5.7 Consistency. [Mandatory — RBI]</w:t>
      </w:r>
      <w:r>
        <w:t xml:space="preserve"> </w:t>
      </w:r>
      <w:r>
        <w:t xml:space="preserve">The same request by similarly placed Borrowers on the same channel and at the same time shall produce the same matched set and ranking, save for differences caused by the RE’s own responses. The LSP shall run a monthly consistency test using synthetic personas and report results to the RE (Schedule 19, item R4).</w:t>
      </w:r>
    </w:p>
    <w:p>
      <w:pPr>
        <w:pStyle w:val="BodyText"/>
      </w:pPr>
      <w:r>
        <w:rPr>
          <w:bCs/>
          <w:b/>
        </w:rPr>
        <w:t xml:space="preserve">5.8 Documentation and version log. [Mandatory — RBI]</w:t>
      </w:r>
      <w:r>
        <w:t xml:space="preserve"> </w:t>
      </w:r>
      <w:r>
        <w:t xml:space="preserve">The LSP shall maintain the following log, approve each change through maker-checker, publish the plain-language description of the current version on its website, and give each RE at least [15] Working Days’ prior notice of any change, with reasons (Clause 6.3; CF para 7(2)):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45"/>
        <w:gridCol w:w="1150"/>
        <w:gridCol w:w="2554"/>
        <w:gridCol w:w="1268"/>
        <w:gridCol w:w="1268"/>
        <w:gridCol w:w="1304"/>
        <w:gridCol w:w="1049"/>
      </w:tblGrid>
      <w:tr>
        <w:trPr>
          <w:tblHeader w:val="true"/>
          <w:tblHeader w:val="true"/>
        </w:trPr>
        <w:tc>
          <w:tcPr>
            <w:tcW w:w="1045" w:type="dxa"/>
            <w:shd w:val="clear" w:color="auto" w:fill="1F3A5F"/>
          </w:tcPr>
          <w:p>
            <w:pPr>
              <w:pStyle w:val="Compact"/>
              <w:spacing w:after="40"/>
              <w:jc w:val="left"/>
            </w:pPr>
            <w:r>
              <w:rPr>
                <w:b/>
                <w:color w:val="FFFFFF"/>
                <w:sz w:val="18"/>
              </w:rPr>
              <w:t xml:space="preserve">Version</w:t>
            </w:r>
          </w:p>
        </w:tc>
        <w:tc>
          <w:tcPr>
            <w:tcW w:w="1150" w:type="dxa"/>
            <w:shd w:val="clear" w:color="auto" w:fill="1F3A5F"/>
          </w:tcPr>
          <w:p>
            <w:pPr>
              <w:pStyle w:val="Compact"/>
              <w:spacing w:after="40"/>
              <w:jc w:val="left"/>
            </w:pPr>
            <w:r>
              <w:rPr>
                <w:b/>
                <w:color w:val="FFFFFF"/>
                <w:sz w:val="18"/>
              </w:rPr>
              <w:t xml:space="preserve">Effective date</w:t>
            </w:r>
          </w:p>
        </w:tc>
        <w:tc>
          <w:tcPr>
            <w:tcW w:w="2554" w:type="dxa"/>
            <w:shd w:val="clear" w:color="auto" w:fill="1F3A5F"/>
          </w:tcPr>
          <w:p>
            <w:pPr>
              <w:pStyle w:val="Compact"/>
              <w:spacing w:after="40"/>
              <w:jc w:val="left"/>
            </w:pPr>
            <w:r>
              <w:rPr>
                <w:b/>
                <w:color w:val="FFFFFF"/>
                <w:sz w:val="18"/>
              </w:rPr>
              <w:t xml:space="preserve">Description of mechanism and ranking metric</w:t>
            </w:r>
          </w:p>
        </w:tc>
        <w:tc>
          <w:tcPr>
            <w:tcW w:w="1268" w:type="dxa"/>
            <w:shd w:val="clear" w:color="auto" w:fill="1F3A5F"/>
          </w:tcPr>
          <w:p>
            <w:pPr>
              <w:pStyle w:val="Compact"/>
              <w:spacing w:after="40"/>
              <w:jc w:val="left"/>
            </w:pPr>
            <w:r>
              <w:rPr>
                <w:b/>
                <w:color w:val="FFFFFF"/>
                <w:sz w:val="18"/>
              </w:rPr>
              <w:t xml:space="preserve">Reason for change</w:t>
            </w:r>
          </w:p>
        </w:tc>
        <w:tc>
          <w:tcPr>
            <w:tcW w:w="1268" w:type="dxa"/>
            <w:shd w:val="clear" w:color="auto" w:fill="1F3A5F"/>
          </w:tcPr>
          <w:p>
            <w:pPr>
              <w:pStyle w:val="Compact"/>
              <w:spacing w:after="40"/>
              <w:jc w:val="left"/>
            </w:pPr>
            <w:r>
              <w:rPr>
                <w:b/>
                <w:color w:val="FFFFFF"/>
                <w:sz w:val="18"/>
              </w:rPr>
              <w:t xml:space="preserve">Approved by (LSP)</w:t>
            </w:r>
          </w:p>
        </w:tc>
        <w:tc>
          <w:tcPr>
            <w:tcW w:w="1304" w:type="dxa"/>
            <w:shd w:val="clear" w:color="auto" w:fill="1F3A5F"/>
          </w:tcPr>
          <w:p>
            <w:pPr>
              <w:pStyle w:val="Compact"/>
              <w:spacing w:after="40"/>
              <w:jc w:val="left"/>
            </w:pPr>
            <w:r>
              <w:rPr>
                <w:b/>
                <w:color w:val="FFFFFF"/>
                <w:sz w:val="18"/>
              </w:rPr>
              <w:t xml:space="preserve">Notified to REs on</w:t>
            </w:r>
          </w:p>
        </w:tc>
        <w:tc>
          <w:tcPr>
            <w:tcW w:w="1049" w:type="dxa"/>
            <w:shd w:val="clear" w:color="auto" w:fill="1F3A5F"/>
          </w:tcPr>
          <w:p>
            <w:pPr>
              <w:pStyle w:val="Compact"/>
              <w:spacing w:after="40"/>
              <w:jc w:val="left"/>
            </w:pPr>
            <w:r>
              <w:rPr>
                <w:b/>
                <w:color w:val="FFFFFF"/>
                <w:sz w:val="18"/>
              </w:rPr>
              <w:t xml:space="preserve">Public URL</w:t>
            </w:r>
          </w:p>
        </w:tc>
      </w:tr>
      <w:tr>
        <w:tc>
          <w:tcPr>
            <w:tcW w:w="1045" w:type="dxa"/>
          </w:tcPr>
          <w:p>
            <w:pPr>
              <w:pStyle w:val="Compact"/>
              <w:spacing w:after="40"/>
              <w:jc w:val="left"/>
            </w:pPr>
            <w:r>
              <w:rPr>
                <w:sz w:val="18"/>
              </w:rPr>
              <w:t xml:space="preserve">MM-1.0</w:t>
            </w:r>
          </w:p>
        </w:tc>
        <w:tc>
          <w:tcPr>
            <w:tcW w:w="1150" w:type="dxa"/>
          </w:tcPr>
          <w:p>
            <w:pPr>
              <w:pStyle w:val="Compact"/>
              <w:spacing w:after="40"/>
              <w:jc w:val="left"/>
            </w:pPr>
            <w:r>
              <w:rPr>
                <w:sz w:val="18"/>
              </w:rPr>
              <w:t xml:space="preserve">[●]</w:t>
            </w:r>
          </w:p>
        </w:tc>
        <w:tc>
          <w:tcPr>
            <w:tcW w:w="2554" w:type="dxa"/>
          </w:tcPr>
          <w:p>
            <w:pPr>
              <w:pStyle w:val="Compact"/>
              <w:spacing w:after="40"/>
              <w:jc w:val="left"/>
            </w:pPr>
            <w:r>
              <w:rPr>
                <w:sz w:val="18"/>
              </w:rPr>
              <w:t xml:space="preserve">[Eligibility via RE APIs; ranking by APR ascending; ties as para 5.5]</w:t>
            </w:r>
          </w:p>
        </w:tc>
        <w:tc>
          <w:tcPr>
            <w:tcW w:w="1268" w:type="dxa"/>
          </w:tcPr>
          <w:p>
            <w:pPr>
              <w:pStyle w:val="Compact"/>
              <w:spacing w:after="40"/>
              <w:jc w:val="left"/>
            </w:pPr>
            <w:r>
              <w:rPr>
                <w:sz w:val="18"/>
              </w:rPr>
              <w:t xml:space="preserve">Initial</w:t>
            </w:r>
          </w:p>
        </w:tc>
        <w:tc>
          <w:tcPr>
            <w:tcW w:w="1268" w:type="dxa"/>
          </w:tcPr>
          <w:p>
            <w:pPr>
              <w:pStyle w:val="Compact"/>
              <w:spacing w:after="40"/>
              <w:jc w:val="left"/>
            </w:pPr>
            <w:r>
              <w:rPr>
                <w:sz w:val="18"/>
              </w:rPr>
              <w:t xml:space="preserve">[●]</w:t>
            </w:r>
          </w:p>
        </w:tc>
        <w:tc>
          <w:tcPr>
            <w:tcW w:w="1304" w:type="dxa"/>
          </w:tcPr>
          <w:p>
            <w:pPr>
              <w:pStyle w:val="Compact"/>
              <w:spacing w:after="40"/>
              <w:jc w:val="left"/>
            </w:pPr>
            <w:r>
              <w:rPr>
                <w:sz w:val="18"/>
              </w:rPr>
              <w:t xml:space="preserve">[●]</w:t>
            </w:r>
          </w:p>
        </w:tc>
        <w:tc>
          <w:tcPr>
            <w:tcW w:w="1049" w:type="dxa"/>
          </w:tcPr>
          <w:p>
            <w:pPr>
              <w:pStyle w:val="Compact"/>
              <w:spacing w:after="40"/>
              <w:jc w:val="left"/>
            </w:pPr>
            <w:r>
              <w:rPr>
                <w:sz w:val="18"/>
              </w:rPr>
              <w:t xml:space="preserve">[●]</w:t>
            </w:r>
          </w:p>
        </w:tc>
      </w:tr>
    </w:tbl>
    <w:p>
      <w:pPr>
        <w:pStyle w:val="BodyText"/>
      </w:pPr>
      <w:r>
        <w:rPr>
          <w:bCs/>
          <w:b/>
        </w:rPr>
        <w:t xml:space="preserve">5.9 Attestation. [Mandatory — RBI]</w:t>
      </w:r>
      <w:r>
        <w:t xml:space="preserve"> </w:t>
      </w:r>
      <w:r>
        <w:t xml:space="preserve">The LSP’s compliance officer shall attest [quarterly] to the RE that paras 5.1–5.8 were complied with throughout the period, attaching the version log, consistency-test results, a dark-pattern UI review checklist for each release, and any exceptions (CF paras 6(3), 7; Schedule 19, item R4).</w:t>
      </w:r>
    </w:p>
    <w:p>
      <w:pPr>
        <w:pStyle w:val="BodyText"/>
      </w:pPr>
      <w:r>
        <w:rPr>
          <w:bCs/>
          <w:b/>
        </w:rPr>
        <w:t xml:space="preserve">5.10 Single-lender and white-label modes. [Option]</w:t>
      </w:r>
      <w:r>
        <w:t xml:space="preserve"> </w:t>
      </w:r>
      <w:r>
        <w:t xml:space="preserve">Where a DLA shows only one RE, the Parties shall apply this Schedule in full unless the RE’s legal counsel records in writing that CF para 7 does not apply to that DLA [VERIFY: legal opinion].</w:t>
      </w:r>
    </w:p>
    <w:p>
      <w:r>
        <w:pict>
          <v:rect style="width:0;height:1.5pt" o:hralign="center" o:hrstd="t" o:hr="t"/>
        </w:pict>
      </w:r>
    </w:p>
    <w:p>
      <w:r>
        <w:br w:type="page"/>
      </w:r>
    </w:p>
    <w:bookmarkEnd w:id="74"/>
    <w:bookmarkStart w:id="78" w:name="schedule-6-fund-flow-protocol"/>
    <w:p>
      <w:pPr>
        <w:pStyle w:val="Heading1"/>
      </w:pPr>
      <w:r>
        <w:t xml:space="preserve">SCHEDULE 6 — Fund Flow Protocol</w:t>
      </w:r>
    </w:p>
    <w:p>
      <w:pPr>
        <w:pStyle w:val="FirstParagraph"/>
      </w:pPr>
      <w:r>
        <w:rPr>
          <w:iCs/>
          <w:i/>
        </w:rPr>
        <w:t xml:space="preserve">Drafting note: This Schedule implements Article 9 (Disbursement, Repayment and Fund Flows). The rule is absolute: money moves only between the RE (or co-lenders) and the Borrower or a permitted end-beneficiary; the LSP never holds, pools, routes or controls it (CF para 10).</w:t>
      </w:r>
    </w:p>
    <w:bookmarkStart w:id="75" w:name="part-a-permitted-flows-mandatory-rbi"/>
    <w:p>
      <w:pPr>
        <w:pStyle w:val="Heading2"/>
      </w:pPr>
      <w:r>
        <w:t xml:space="preserve">Part A — Permitted flows [Mandatory — 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13"/>
        <w:gridCol w:w="1541"/>
        <w:gridCol w:w="1141"/>
        <w:gridCol w:w="1976"/>
        <w:gridCol w:w="2096"/>
        <w:gridCol w:w="2271"/>
      </w:tblGrid>
      <w:tr>
        <w:trPr>
          <w:tblHeader w:val="true"/>
          <w:tblHeader w:val="true"/>
        </w:trPr>
        <w:tc>
          <w:tcPr>
            <w:tcW w:w="613" w:type="dxa"/>
            <w:shd w:val="clear" w:color="auto" w:fill="1F3A5F"/>
          </w:tcPr>
          <w:p>
            <w:pPr>
              <w:pStyle w:val="Compact"/>
              <w:spacing w:after="40"/>
              <w:jc w:val="left"/>
            </w:pPr>
            <w:r>
              <w:rPr>
                <w:b/>
                <w:color w:val="FFFFFF"/>
                <w:sz w:val="18"/>
              </w:rPr>
              <w:t xml:space="preserve">#</w:t>
            </w:r>
          </w:p>
        </w:tc>
        <w:tc>
          <w:tcPr>
            <w:tcW w:w="1541" w:type="dxa"/>
            <w:shd w:val="clear" w:color="auto" w:fill="1F3A5F"/>
          </w:tcPr>
          <w:p>
            <w:pPr>
              <w:pStyle w:val="Compact"/>
              <w:spacing w:after="40"/>
              <w:jc w:val="left"/>
            </w:pPr>
            <w:r>
              <w:rPr>
                <w:b/>
                <w:color w:val="FFFFFF"/>
                <w:sz w:val="18"/>
              </w:rPr>
              <w:t xml:space="preserve">Flow</w:t>
            </w:r>
          </w:p>
        </w:tc>
        <w:tc>
          <w:tcPr>
            <w:tcW w:w="1141" w:type="dxa"/>
            <w:shd w:val="clear" w:color="auto" w:fill="1F3A5F"/>
          </w:tcPr>
          <w:p>
            <w:pPr>
              <w:pStyle w:val="Compact"/>
              <w:spacing w:after="40"/>
              <w:jc w:val="left"/>
            </w:pPr>
            <w:r>
              <w:rPr>
                <w:b/>
                <w:color w:val="FFFFFF"/>
                <w:sz w:val="18"/>
              </w:rPr>
              <w:t xml:space="preserve">From</w:t>
            </w:r>
          </w:p>
        </w:tc>
        <w:tc>
          <w:tcPr>
            <w:tcW w:w="1976" w:type="dxa"/>
            <w:shd w:val="clear" w:color="auto" w:fill="1F3A5F"/>
          </w:tcPr>
          <w:p>
            <w:pPr>
              <w:pStyle w:val="Compact"/>
              <w:spacing w:after="40"/>
              <w:jc w:val="left"/>
            </w:pPr>
            <w:r>
              <w:rPr>
                <w:b/>
                <w:color w:val="FFFFFF"/>
                <w:sz w:val="18"/>
              </w:rPr>
              <w:t xml:space="preserve">To</w:t>
            </w:r>
          </w:p>
        </w:tc>
        <w:tc>
          <w:tcPr>
            <w:tcW w:w="2096" w:type="dxa"/>
            <w:shd w:val="clear" w:color="auto" w:fill="1F3A5F"/>
          </w:tcPr>
          <w:p>
            <w:pPr>
              <w:pStyle w:val="Compact"/>
              <w:spacing w:after="40"/>
              <w:jc w:val="left"/>
            </w:pPr>
            <w:r>
              <w:rPr>
                <w:b/>
                <w:color w:val="FFFFFF"/>
                <w:sz w:val="18"/>
              </w:rPr>
              <w:t xml:space="preserve">Conditions</w:t>
            </w:r>
          </w:p>
        </w:tc>
        <w:tc>
          <w:tcPr>
            <w:tcW w:w="2271" w:type="dxa"/>
            <w:shd w:val="clear" w:color="auto" w:fill="1F3A5F"/>
          </w:tcPr>
          <w:p>
            <w:pPr>
              <w:pStyle w:val="Compact"/>
              <w:spacing w:after="40"/>
              <w:jc w:val="left"/>
            </w:pPr>
            <w:r>
              <w:rPr>
                <w:b/>
                <w:color w:val="FFFFFF"/>
                <w:sz w:val="18"/>
              </w:rPr>
              <w:t xml:space="preserve">Source</w:t>
            </w:r>
          </w:p>
        </w:tc>
      </w:tr>
      <w:tr>
        <w:tc>
          <w:tcPr>
            <w:tcW w:w="613" w:type="dxa"/>
          </w:tcPr>
          <w:p>
            <w:pPr>
              <w:pStyle w:val="Compact"/>
              <w:spacing w:after="40"/>
              <w:jc w:val="left"/>
            </w:pPr>
            <w:r>
              <w:rPr>
                <w:sz w:val="18"/>
              </w:rPr>
              <w:t xml:space="preserve">A1</w:t>
            </w:r>
          </w:p>
        </w:tc>
        <w:tc>
          <w:tcPr>
            <w:tcW w:w="1541" w:type="dxa"/>
          </w:tcPr>
          <w:p>
            <w:pPr>
              <w:pStyle w:val="Compact"/>
              <w:spacing w:after="40"/>
              <w:jc w:val="left"/>
            </w:pPr>
            <w:r>
              <w:rPr>
                <w:sz w:val="18"/>
              </w:rPr>
              <w:t xml:space="preserve">Disbursement</w:t>
            </w:r>
          </w:p>
        </w:tc>
        <w:tc>
          <w:tcPr>
            <w:tcW w:w="1141" w:type="dxa"/>
          </w:tcPr>
          <w:p>
            <w:pPr>
              <w:pStyle w:val="Compact"/>
              <w:spacing w:after="40"/>
              <w:jc w:val="left"/>
            </w:pPr>
            <w:r>
              <w:rPr>
                <w:sz w:val="18"/>
              </w:rPr>
              <w:t xml:space="preserve">RE’s bank account</w:t>
            </w:r>
          </w:p>
        </w:tc>
        <w:tc>
          <w:tcPr>
            <w:tcW w:w="1976" w:type="dxa"/>
          </w:tcPr>
          <w:p>
            <w:pPr>
              <w:pStyle w:val="Compact"/>
              <w:spacing w:after="40"/>
              <w:jc w:val="left"/>
            </w:pPr>
            <w:r>
              <w:rPr>
                <w:sz w:val="18"/>
              </w:rPr>
              <w:t xml:space="preserve">Borrower’s own bank account, verified by penny-drop or equivalent in the Borrower’s name</w:t>
            </w:r>
          </w:p>
        </w:tc>
        <w:tc>
          <w:tcPr>
            <w:tcW w:w="2096" w:type="dxa"/>
          </w:tcPr>
          <w:p>
            <w:pPr>
              <w:pStyle w:val="Compact"/>
              <w:spacing w:after="40"/>
              <w:jc w:val="left"/>
            </w:pPr>
            <w:r>
              <w:rPr>
                <w:sz w:val="18"/>
              </w:rPr>
              <w:t xml:space="preserve">Always the default</w:t>
            </w:r>
          </w:p>
        </w:tc>
        <w:tc>
          <w:tcPr>
            <w:tcW w:w="2271" w:type="dxa"/>
          </w:tcPr>
          <w:p>
            <w:pPr>
              <w:pStyle w:val="Compact"/>
              <w:spacing w:after="40"/>
              <w:jc w:val="left"/>
            </w:pPr>
            <w:r>
              <w:rPr>
                <w:sz w:val="18"/>
              </w:rPr>
              <w:t xml:space="preserve">CF para 10(1)</w:t>
            </w:r>
          </w:p>
        </w:tc>
      </w:tr>
      <w:tr>
        <w:tc>
          <w:tcPr>
            <w:tcW w:w="613" w:type="dxa"/>
          </w:tcPr>
          <w:p>
            <w:pPr>
              <w:pStyle w:val="Compact"/>
              <w:spacing w:after="40"/>
              <w:jc w:val="left"/>
            </w:pPr>
            <w:r>
              <w:rPr>
                <w:sz w:val="18"/>
              </w:rPr>
              <w:t xml:space="preserve">A2</w:t>
            </w:r>
          </w:p>
        </w:tc>
        <w:tc>
          <w:tcPr>
            <w:tcW w:w="1541" w:type="dxa"/>
          </w:tcPr>
          <w:p>
            <w:pPr>
              <w:pStyle w:val="Compact"/>
              <w:spacing w:after="40"/>
              <w:jc w:val="left"/>
            </w:pPr>
            <w:r>
              <w:rPr>
                <w:sz w:val="18"/>
              </w:rPr>
              <w:t xml:space="preserve">Disbursement for specific end use</w:t>
            </w:r>
          </w:p>
        </w:tc>
        <w:tc>
          <w:tcPr>
            <w:tcW w:w="1141" w:type="dxa"/>
          </w:tcPr>
          <w:p>
            <w:pPr>
              <w:pStyle w:val="Compact"/>
              <w:spacing w:after="40"/>
              <w:jc w:val="left"/>
            </w:pPr>
            <w:r>
              <w:rPr>
                <w:sz w:val="18"/>
              </w:rPr>
              <w:t xml:space="preserve">RE’s bank account</w:t>
            </w:r>
          </w:p>
        </w:tc>
        <w:tc>
          <w:tcPr>
            <w:tcW w:w="1976" w:type="dxa"/>
          </w:tcPr>
          <w:p>
            <w:pPr>
              <w:pStyle w:val="Compact"/>
              <w:spacing w:after="40"/>
              <w:jc w:val="left"/>
            </w:pPr>
            <w:r>
              <w:rPr>
                <w:sz w:val="18"/>
              </w:rPr>
              <w:t xml:space="preserve">End-beneficiary’s bank account (dealer, builder, seller, educational institution, hospital, existing lender on takeover)</w:t>
            </w:r>
          </w:p>
        </w:tc>
        <w:tc>
          <w:tcPr>
            <w:tcW w:w="2096" w:type="dxa"/>
          </w:tcPr>
          <w:p>
            <w:pPr>
              <w:pStyle w:val="Compact"/>
              <w:spacing w:after="40"/>
              <w:jc w:val="left"/>
            </w:pPr>
            <w:r>
              <w:rPr>
                <w:sz w:val="18"/>
              </w:rPr>
              <w:t xml:space="preserve">End use stated in the sanction; beneficiary verified by the RE</w:t>
            </w:r>
          </w:p>
        </w:tc>
        <w:tc>
          <w:tcPr>
            <w:tcW w:w="2271" w:type="dxa"/>
          </w:tcPr>
          <w:p>
            <w:pPr>
              <w:pStyle w:val="Compact"/>
              <w:spacing w:after="40"/>
              <w:jc w:val="left"/>
            </w:pPr>
            <w:r>
              <w:rPr>
                <w:sz w:val="18"/>
              </w:rPr>
              <w:t xml:space="preserve">CF para 10(1)</w:t>
            </w:r>
          </w:p>
        </w:tc>
      </w:tr>
      <w:tr>
        <w:tc>
          <w:tcPr>
            <w:tcW w:w="613" w:type="dxa"/>
          </w:tcPr>
          <w:p>
            <w:pPr>
              <w:pStyle w:val="Compact"/>
              <w:spacing w:after="40"/>
              <w:jc w:val="left"/>
            </w:pPr>
            <w:r>
              <w:rPr>
                <w:sz w:val="18"/>
              </w:rPr>
              <w:t xml:space="preserve">A3</w:t>
            </w:r>
          </w:p>
        </w:tc>
        <w:tc>
          <w:tcPr>
            <w:tcW w:w="1541" w:type="dxa"/>
          </w:tcPr>
          <w:p>
            <w:pPr>
              <w:pStyle w:val="Compact"/>
              <w:spacing w:after="40"/>
              <w:jc w:val="left"/>
            </w:pPr>
            <w:r>
              <w:rPr>
                <w:sz w:val="18"/>
              </w:rPr>
              <w:t xml:space="preserve">Disbursement under statutory or regulatory mandate</w:t>
            </w:r>
          </w:p>
        </w:tc>
        <w:tc>
          <w:tcPr>
            <w:tcW w:w="1141" w:type="dxa"/>
          </w:tcPr>
          <w:p>
            <w:pPr>
              <w:pStyle w:val="Compact"/>
              <w:spacing w:after="40"/>
              <w:jc w:val="left"/>
            </w:pPr>
            <w:r>
              <w:rPr>
                <w:sz w:val="18"/>
              </w:rPr>
              <w:t xml:space="preserve">RE’s bank account</w:t>
            </w:r>
          </w:p>
        </w:tc>
        <w:tc>
          <w:tcPr>
            <w:tcW w:w="1976" w:type="dxa"/>
          </w:tcPr>
          <w:p>
            <w:pPr>
              <w:pStyle w:val="Compact"/>
              <w:spacing w:after="40"/>
              <w:jc w:val="left"/>
            </w:pPr>
            <w:r>
              <w:rPr>
                <w:sz w:val="18"/>
              </w:rPr>
              <w:t xml:space="preserve">Account mandated by the statute or regulator</w:t>
            </w:r>
          </w:p>
        </w:tc>
        <w:tc>
          <w:tcPr>
            <w:tcW w:w="2096" w:type="dxa"/>
          </w:tcPr>
          <w:p>
            <w:pPr>
              <w:pStyle w:val="Compact"/>
              <w:spacing w:after="40"/>
              <w:jc w:val="left"/>
            </w:pPr>
            <w:r>
              <w:rPr>
                <w:sz w:val="18"/>
              </w:rPr>
              <w:t xml:space="preserve">Mandate cited in the RE’s records</w:t>
            </w:r>
          </w:p>
        </w:tc>
        <w:tc>
          <w:tcPr>
            <w:tcW w:w="2271" w:type="dxa"/>
          </w:tcPr>
          <w:p>
            <w:pPr>
              <w:pStyle w:val="Compact"/>
              <w:spacing w:after="40"/>
              <w:jc w:val="left"/>
            </w:pPr>
            <w:r>
              <w:rPr>
                <w:sz w:val="18"/>
              </w:rPr>
              <w:t xml:space="preserve">CF para 10(1)</w:t>
            </w:r>
          </w:p>
        </w:tc>
      </w:tr>
      <w:tr>
        <w:tc>
          <w:tcPr>
            <w:tcW w:w="613" w:type="dxa"/>
          </w:tcPr>
          <w:p>
            <w:pPr>
              <w:pStyle w:val="Compact"/>
              <w:spacing w:after="40"/>
              <w:jc w:val="left"/>
            </w:pPr>
            <w:r>
              <w:rPr>
                <w:sz w:val="18"/>
              </w:rPr>
              <w:t xml:space="preserve">A4</w:t>
            </w:r>
          </w:p>
        </w:tc>
        <w:tc>
          <w:tcPr>
            <w:tcW w:w="1541" w:type="dxa"/>
          </w:tcPr>
          <w:p>
            <w:pPr>
              <w:pStyle w:val="Compact"/>
              <w:spacing w:after="40"/>
              <w:jc w:val="left"/>
            </w:pPr>
            <w:r>
              <w:rPr>
                <w:sz w:val="18"/>
              </w:rPr>
              <w:t xml:space="preserve">Co-lending flows</w:t>
            </w:r>
          </w:p>
        </w:tc>
        <w:tc>
          <w:tcPr>
            <w:tcW w:w="1141" w:type="dxa"/>
          </w:tcPr>
          <w:p>
            <w:pPr>
              <w:pStyle w:val="Compact"/>
              <w:spacing w:after="40"/>
              <w:jc w:val="left"/>
            </w:pPr>
            <w:r>
              <w:rPr>
                <w:sz w:val="18"/>
              </w:rPr>
              <w:t xml:space="preserve">Between co-lenders and with the Borrower</w:t>
            </w:r>
          </w:p>
        </w:tc>
        <w:tc>
          <w:tcPr>
            <w:tcW w:w="1976" w:type="dxa"/>
          </w:tcPr>
          <w:p>
            <w:pPr>
              <w:pStyle w:val="Compact"/>
              <w:spacing w:after="40"/>
              <w:jc w:val="left"/>
            </w:pPr>
            <w:r>
              <w:rPr>
                <w:sz w:val="18"/>
              </w:rPr>
              <w:t xml:space="preserve">Escrow account maintained with a bank (which may be one of the co-lenders)</w:t>
            </w:r>
          </w:p>
        </w:tc>
        <w:tc>
          <w:tcPr>
            <w:tcW w:w="2096" w:type="dxa"/>
          </w:tcPr>
          <w:p>
            <w:pPr>
              <w:pStyle w:val="Compact"/>
              <w:spacing w:after="40"/>
              <w:jc w:val="left"/>
            </w:pPr>
            <w:r>
              <w:rPr>
                <w:sz w:val="18"/>
              </w:rPr>
              <w:t xml:space="preserve">No party other than the co-lenders has direct or indirect control over the flow at any time; appropriation per the co-lending agreement</w:t>
            </w:r>
          </w:p>
        </w:tc>
        <w:tc>
          <w:tcPr>
            <w:tcW w:w="2271" w:type="dxa"/>
          </w:tcPr>
          <w:p>
            <w:pPr>
              <w:pStyle w:val="Compact"/>
              <w:spacing w:after="40"/>
              <w:jc w:val="left"/>
            </w:pPr>
            <w:r>
              <w:rPr>
                <w:sz w:val="18"/>
              </w:rPr>
              <w:t xml:space="preserve">CF para 10(1), Note; TDCR para 117</w:t>
            </w:r>
          </w:p>
        </w:tc>
      </w:tr>
      <w:tr>
        <w:tc>
          <w:tcPr>
            <w:tcW w:w="613" w:type="dxa"/>
          </w:tcPr>
          <w:p>
            <w:pPr>
              <w:pStyle w:val="Compact"/>
              <w:spacing w:after="40"/>
              <w:jc w:val="left"/>
            </w:pPr>
            <w:r>
              <w:rPr>
                <w:sz w:val="18"/>
              </w:rPr>
              <w:t xml:space="preserve">A5</w:t>
            </w:r>
          </w:p>
        </w:tc>
        <w:tc>
          <w:tcPr>
            <w:tcW w:w="1541" w:type="dxa"/>
          </w:tcPr>
          <w:p>
            <w:pPr>
              <w:pStyle w:val="Compact"/>
              <w:spacing w:after="40"/>
              <w:jc w:val="left"/>
            </w:pPr>
            <w:r>
              <w:rPr>
                <w:sz w:val="18"/>
              </w:rPr>
              <w:t xml:space="preserve">Repayment and servicing</w:t>
            </w:r>
          </w:p>
        </w:tc>
        <w:tc>
          <w:tcPr>
            <w:tcW w:w="1141" w:type="dxa"/>
          </w:tcPr>
          <w:p>
            <w:pPr>
              <w:pStyle w:val="Compact"/>
              <w:spacing w:after="40"/>
              <w:jc w:val="left"/>
            </w:pPr>
            <w:r>
              <w:rPr>
                <w:sz w:val="18"/>
              </w:rPr>
              <w:t xml:space="preserve">Borrower’s bank account</w:t>
            </w:r>
          </w:p>
        </w:tc>
        <w:tc>
          <w:tcPr>
            <w:tcW w:w="1976" w:type="dxa"/>
          </w:tcPr>
          <w:p>
            <w:pPr>
              <w:pStyle w:val="Compact"/>
              <w:spacing w:after="40"/>
              <w:jc w:val="left"/>
            </w:pPr>
            <w:r>
              <w:rPr>
                <w:sz w:val="18"/>
              </w:rPr>
              <w:t xml:space="preserve">RE’s bank account (or co-lending escrow under A4)</w:t>
            </w:r>
          </w:p>
        </w:tc>
        <w:tc>
          <w:tcPr>
            <w:tcW w:w="2096" w:type="dxa"/>
          </w:tcPr>
          <w:p>
            <w:pPr>
              <w:pStyle w:val="Compact"/>
              <w:spacing w:after="40"/>
              <w:jc w:val="left"/>
            </w:pPr>
            <w:r>
              <w:rPr>
                <w:sz w:val="18"/>
              </w:rPr>
              <w:t xml:space="preserve">Directly, without any pass-through or pool account of any third party including the LSP</w:t>
            </w:r>
          </w:p>
        </w:tc>
        <w:tc>
          <w:tcPr>
            <w:tcW w:w="2271" w:type="dxa"/>
          </w:tcPr>
          <w:p>
            <w:pPr>
              <w:pStyle w:val="Compact"/>
              <w:spacing w:after="40"/>
              <w:jc w:val="left"/>
            </w:pPr>
            <w:r>
              <w:rPr>
                <w:sz w:val="18"/>
              </w:rPr>
              <w:t xml:space="preserve">CF para 10(2)–(3)</w:t>
            </w:r>
          </w:p>
        </w:tc>
      </w:tr>
      <w:tr>
        <w:tc>
          <w:tcPr>
            <w:tcW w:w="613" w:type="dxa"/>
          </w:tcPr>
          <w:p>
            <w:pPr>
              <w:pStyle w:val="Compact"/>
              <w:spacing w:after="40"/>
              <w:jc w:val="left"/>
            </w:pPr>
            <w:r>
              <w:rPr>
                <w:sz w:val="18"/>
              </w:rPr>
              <w:t xml:space="preserve">A6</w:t>
            </w:r>
          </w:p>
        </w:tc>
        <w:tc>
          <w:tcPr>
            <w:tcW w:w="1541" w:type="dxa"/>
          </w:tcPr>
          <w:p>
            <w:pPr>
              <w:pStyle w:val="Compact"/>
              <w:spacing w:after="40"/>
              <w:jc w:val="left"/>
            </w:pPr>
            <w:r>
              <w:rPr>
                <w:sz w:val="18"/>
              </w:rPr>
              <w:t xml:space="preserve">Repayment through payment gateway, UPI or NACH</w:t>
            </w:r>
          </w:p>
        </w:tc>
        <w:tc>
          <w:tcPr>
            <w:tcW w:w="1141" w:type="dxa"/>
          </w:tcPr>
          <w:p>
            <w:pPr>
              <w:pStyle w:val="Compact"/>
              <w:spacing w:after="40"/>
              <w:jc w:val="left"/>
            </w:pPr>
            <w:r>
              <w:rPr>
                <w:sz w:val="18"/>
              </w:rPr>
              <w:t xml:space="preserve">Borrower</w:t>
            </w:r>
          </w:p>
        </w:tc>
        <w:tc>
          <w:tcPr>
            <w:tcW w:w="1976" w:type="dxa"/>
          </w:tcPr>
          <w:p>
            <w:pPr>
              <w:pStyle w:val="Compact"/>
              <w:spacing w:after="40"/>
              <w:jc w:val="left"/>
            </w:pPr>
            <w:r>
              <w:rPr>
                <w:sz w:val="18"/>
              </w:rPr>
              <w:t xml:space="preserve">RE’s merchant account, collection account or sponsor-bank account; settlement to the RE’s bank account</w:t>
            </w:r>
          </w:p>
        </w:tc>
        <w:tc>
          <w:tcPr>
            <w:tcW w:w="2096" w:type="dxa"/>
          </w:tcPr>
          <w:p>
            <w:pPr>
              <w:pStyle w:val="Compact"/>
              <w:spacing w:after="40"/>
              <w:jc w:val="left"/>
            </w:pPr>
            <w:r>
              <w:rPr>
                <w:sz w:val="18"/>
              </w:rPr>
              <w:t xml:space="preserve">The RE is merchant of record and mandate beneficiary; the LSP holds only API credentials scoped by the RE</w:t>
            </w:r>
          </w:p>
        </w:tc>
        <w:tc>
          <w:tcPr>
            <w:tcW w:w="2271" w:type="dxa"/>
          </w:tcPr>
          <w:p>
            <w:pPr>
              <w:pStyle w:val="Compact"/>
              <w:spacing w:after="40"/>
              <w:jc w:val="left"/>
            </w:pPr>
            <w:r>
              <w:rPr>
                <w:sz w:val="18"/>
              </w:rPr>
              <w:t xml:space="preserve">CF para 10(2)–(3) [VERIFY: legal opinion that a payment aggregator’s regulated escrow account for the RE is not a third-party</w:t>
            </w:r>
            <w:r>
              <w:rPr>
                <w:sz w:val="18"/>
              </w:rPr>
              <w:t xml:space="preserve"> </w:t>
            </w:r>
            <w:r>
              <w:rPr>
                <w:sz w:val="18"/>
              </w:rPr>
              <w:t xml:space="preserve">“</w:t>
            </w:r>
            <w:r>
              <w:rPr>
                <w:sz w:val="18"/>
              </w:rPr>
              <w:t xml:space="preserve">pool account</w:t>
            </w:r>
            <w:r>
              <w:rPr>
                <w:sz w:val="18"/>
              </w:rPr>
              <w:t xml:space="preserve">”</w:t>
            </w:r>
            <w:r>
              <w:rPr>
                <w:sz w:val="18"/>
              </w:rPr>
              <w:t xml:space="preserve"> </w:t>
            </w:r>
            <w:r>
              <w:rPr>
                <w:sz w:val="18"/>
              </w:rPr>
              <w:t xml:space="preserve">under para 10(2)]</w:t>
            </w:r>
          </w:p>
        </w:tc>
      </w:tr>
      <w:tr>
        <w:tc>
          <w:tcPr>
            <w:tcW w:w="613" w:type="dxa"/>
          </w:tcPr>
          <w:p>
            <w:pPr>
              <w:pStyle w:val="Compact"/>
              <w:spacing w:after="40"/>
              <w:jc w:val="left"/>
            </w:pPr>
            <w:r>
              <w:rPr>
                <w:sz w:val="18"/>
              </w:rPr>
              <w:t xml:space="preserve">A7</w:t>
            </w:r>
          </w:p>
        </w:tc>
        <w:tc>
          <w:tcPr>
            <w:tcW w:w="1541" w:type="dxa"/>
          </w:tcPr>
          <w:p>
            <w:pPr>
              <w:pStyle w:val="Compact"/>
              <w:spacing w:after="40"/>
              <w:jc w:val="left"/>
            </w:pPr>
            <w:r>
              <w:rPr>
                <w:sz w:val="18"/>
              </w:rPr>
              <w:t xml:space="preserve">Salary-deduction repayment (if Product so provides)</w:t>
            </w:r>
          </w:p>
        </w:tc>
        <w:tc>
          <w:tcPr>
            <w:tcW w:w="1141" w:type="dxa"/>
          </w:tcPr>
          <w:p>
            <w:pPr>
              <w:pStyle w:val="Compact"/>
              <w:spacing w:after="40"/>
              <w:jc w:val="left"/>
            </w:pPr>
            <w:r>
              <w:rPr>
                <w:sz w:val="18"/>
              </w:rPr>
              <w:t xml:space="preserve">Corporate employer’s bank account</w:t>
            </w:r>
          </w:p>
        </w:tc>
        <w:tc>
          <w:tcPr>
            <w:tcW w:w="1976" w:type="dxa"/>
          </w:tcPr>
          <w:p>
            <w:pPr>
              <w:pStyle w:val="Compact"/>
              <w:spacing w:after="40"/>
              <w:jc w:val="left"/>
            </w:pPr>
            <w:r>
              <w:rPr>
                <w:sz w:val="18"/>
              </w:rPr>
              <w:t xml:space="preserve">RE’s bank account</w:t>
            </w:r>
          </w:p>
        </w:tc>
        <w:tc>
          <w:tcPr>
            <w:tcW w:w="2096" w:type="dxa"/>
          </w:tcPr>
          <w:p>
            <w:pPr>
              <w:pStyle w:val="Compact"/>
              <w:spacing w:after="40"/>
              <w:jc w:val="left"/>
            </w:pPr>
            <w:r>
              <w:rPr>
                <w:sz w:val="18"/>
              </w:rPr>
              <w:t xml:space="preserve">Disbursement to Borrower’s account; LSP has no control over the flow</w:t>
            </w:r>
          </w:p>
        </w:tc>
        <w:tc>
          <w:tcPr>
            <w:tcW w:w="2271" w:type="dxa"/>
          </w:tcPr>
          <w:p>
            <w:pPr>
              <w:pStyle w:val="Compact"/>
              <w:spacing w:after="40"/>
              <w:jc w:val="left"/>
            </w:pPr>
            <w:r>
              <w:rPr>
                <w:sz w:val="18"/>
              </w:rPr>
              <w:t xml:space="preserve">CF para 10(1), proviso</w:t>
            </w:r>
          </w:p>
        </w:tc>
      </w:tr>
      <w:tr>
        <w:tc>
          <w:tcPr>
            <w:tcW w:w="613" w:type="dxa"/>
          </w:tcPr>
          <w:p>
            <w:pPr>
              <w:pStyle w:val="Compact"/>
              <w:spacing w:after="40"/>
              <w:jc w:val="left"/>
            </w:pPr>
            <w:r>
              <w:rPr>
                <w:sz w:val="18"/>
              </w:rPr>
              <w:t xml:space="preserve">A8</w:t>
            </w:r>
          </w:p>
        </w:tc>
        <w:tc>
          <w:tcPr>
            <w:tcW w:w="1541" w:type="dxa"/>
          </w:tcPr>
          <w:p>
            <w:pPr>
              <w:pStyle w:val="Compact"/>
              <w:spacing w:after="40"/>
              <w:jc w:val="left"/>
            </w:pPr>
            <w:r>
              <w:rPr>
                <w:sz w:val="18"/>
              </w:rPr>
              <w:t xml:space="preserve">Cash recovery on delinquent loans (only if Schedule 10 executed)</w:t>
            </w:r>
          </w:p>
        </w:tc>
        <w:tc>
          <w:tcPr>
            <w:tcW w:w="1141" w:type="dxa"/>
          </w:tcPr>
          <w:p>
            <w:pPr>
              <w:pStyle w:val="Compact"/>
              <w:spacing w:after="40"/>
              <w:jc w:val="left"/>
            </w:pPr>
            <w:r>
              <w:rPr>
                <w:sz w:val="18"/>
              </w:rPr>
              <w:t xml:space="preserve">Borrower (physical interface)</w:t>
            </w:r>
          </w:p>
        </w:tc>
        <w:tc>
          <w:tcPr>
            <w:tcW w:w="1976" w:type="dxa"/>
          </w:tcPr>
          <w:p>
            <w:pPr>
              <w:pStyle w:val="Compact"/>
              <w:spacing w:after="40"/>
              <w:jc w:val="left"/>
            </w:pPr>
            <w:r>
              <w:rPr>
                <w:sz w:val="18"/>
              </w:rPr>
              <w:t xml:space="preserve">RE’s bank account via the agent</w:t>
            </w:r>
          </w:p>
        </w:tc>
        <w:tc>
          <w:tcPr>
            <w:tcW w:w="2096" w:type="dxa"/>
          </w:tcPr>
          <w:p>
            <w:pPr>
              <w:pStyle w:val="Compact"/>
              <w:spacing w:after="40"/>
              <w:jc w:val="left"/>
            </w:pPr>
            <w:r>
              <w:rPr>
                <w:sz w:val="18"/>
              </w:rPr>
              <w:t xml:space="preserve">Delinquent loans only; full amount reflected in the Borrower’s account the same day; no fee or charge deducted</w:t>
            </w:r>
          </w:p>
        </w:tc>
        <w:tc>
          <w:tcPr>
            <w:tcW w:w="2271" w:type="dxa"/>
          </w:tcPr>
          <w:p>
            <w:pPr>
              <w:pStyle w:val="Compact"/>
              <w:spacing w:after="40"/>
              <w:jc w:val="left"/>
            </w:pPr>
            <w:r>
              <w:rPr>
                <w:sz w:val="18"/>
              </w:rPr>
              <w:t xml:space="preserve">CF para 10(5); Schedule 10</w:t>
            </w:r>
          </w:p>
        </w:tc>
      </w:tr>
      <w:tr>
        <w:tc>
          <w:tcPr>
            <w:tcW w:w="613" w:type="dxa"/>
          </w:tcPr>
          <w:p>
            <w:pPr>
              <w:pStyle w:val="Compact"/>
              <w:spacing w:after="40"/>
              <w:jc w:val="left"/>
            </w:pPr>
            <w:r>
              <w:rPr>
                <w:sz w:val="18"/>
              </w:rPr>
              <w:t xml:space="preserve">A9</w:t>
            </w:r>
          </w:p>
        </w:tc>
        <w:tc>
          <w:tcPr>
            <w:tcW w:w="1541" w:type="dxa"/>
          </w:tcPr>
          <w:p>
            <w:pPr>
              <w:pStyle w:val="Compact"/>
              <w:spacing w:after="40"/>
              <w:jc w:val="left"/>
            </w:pPr>
            <w:r>
              <w:rPr>
                <w:sz w:val="18"/>
              </w:rPr>
              <w:t xml:space="preserve">LSP fees</w:t>
            </w:r>
          </w:p>
        </w:tc>
        <w:tc>
          <w:tcPr>
            <w:tcW w:w="1141" w:type="dxa"/>
          </w:tcPr>
          <w:p>
            <w:pPr>
              <w:pStyle w:val="Compact"/>
              <w:spacing w:after="40"/>
              <w:jc w:val="left"/>
            </w:pPr>
            <w:r>
              <w:rPr>
                <w:sz w:val="18"/>
              </w:rPr>
              <w:t xml:space="preserve">RE’s bank account</w:t>
            </w:r>
          </w:p>
        </w:tc>
        <w:tc>
          <w:tcPr>
            <w:tcW w:w="1976" w:type="dxa"/>
          </w:tcPr>
          <w:p>
            <w:pPr>
              <w:pStyle w:val="Compact"/>
              <w:spacing w:after="40"/>
              <w:jc w:val="left"/>
            </w:pPr>
            <w:r>
              <w:rPr>
                <w:sz w:val="18"/>
              </w:rPr>
              <w:t xml:space="preserve">LSP’s bank account</w:t>
            </w:r>
          </w:p>
        </w:tc>
        <w:tc>
          <w:tcPr>
            <w:tcW w:w="2096" w:type="dxa"/>
          </w:tcPr>
          <w:p>
            <w:pPr>
              <w:pStyle w:val="Compact"/>
              <w:spacing w:after="40"/>
              <w:jc w:val="left"/>
            </w:pPr>
            <w:r>
              <w:rPr>
                <w:sz w:val="18"/>
              </w:rPr>
              <w:t xml:space="preserve">Paid by the RE directly; never charged to or collected from Borrowers</w:t>
            </w:r>
          </w:p>
        </w:tc>
        <w:tc>
          <w:tcPr>
            <w:tcW w:w="2271" w:type="dxa"/>
          </w:tcPr>
          <w:p>
            <w:pPr>
              <w:pStyle w:val="Compact"/>
              <w:spacing w:after="40"/>
              <w:jc w:val="left"/>
            </w:pPr>
            <w:r>
              <w:rPr>
                <w:sz w:val="18"/>
              </w:rPr>
              <w:t xml:space="preserve">CF para 10(4); Schedule 1</w:t>
            </w:r>
          </w:p>
        </w:tc>
      </w:tr>
      <w:tr>
        <w:tc>
          <w:tcPr>
            <w:tcW w:w="613" w:type="dxa"/>
          </w:tcPr>
          <w:p>
            <w:pPr>
              <w:pStyle w:val="Compact"/>
              <w:spacing w:after="40"/>
              <w:jc w:val="left"/>
            </w:pPr>
            <w:r>
              <w:rPr>
                <w:sz w:val="18"/>
              </w:rPr>
              <w:t xml:space="preserve">A10</w:t>
            </w:r>
          </w:p>
        </w:tc>
        <w:tc>
          <w:tcPr>
            <w:tcW w:w="1541" w:type="dxa"/>
          </w:tcPr>
          <w:p>
            <w:pPr>
              <w:pStyle w:val="Compact"/>
              <w:spacing w:after="40"/>
              <w:jc w:val="left"/>
            </w:pPr>
            <w:r>
              <w:rPr>
                <w:sz w:val="18"/>
              </w:rPr>
              <w:t xml:space="preserve">DLG cover, invocation and recovery sharing (only if Schedule 11 executed)</w:t>
            </w:r>
          </w:p>
        </w:tc>
        <w:tc>
          <w:tcPr>
            <w:tcW w:w="1141" w:type="dxa"/>
          </w:tcPr>
          <w:p>
            <w:pPr>
              <w:pStyle w:val="Compact"/>
              <w:spacing w:after="40"/>
              <w:jc w:val="left"/>
            </w:pPr>
            <w:r>
              <w:rPr>
                <w:sz w:val="18"/>
              </w:rPr>
              <w:t xml:space="preserve">LSP / issuing bank</w:t>
            </w:r>
          </w:p>
        </w:tc>
        <w:tc>
          <w:tcPr>
            <w:tcW w:w="1976" w:type="dxa"/>
          </w:tcPr>
          <w:p>
            <w:pPr>
              <w:pStyle w:val="Compact"/>
              <w:spacing w:after="40"/>
              <w:jc w:val="left"/>
            </w:pPr>
            <w:r>
              <w:rPr>
                <w:sz w:val="18"/>
              </w:rPr>
              <w:t xml:space="preserve">RE</w:t>
            </w:r>
          </w:p>
        </w:tc>
        <w:tc>
          <w:tcPr>
            <w:tcW w:w="2096" w:type="dxa"/>
          </w:tcPr>
          <w:p>
            <w:pPr>
              <w:pStyle w:val="Compact"/>
              <w:spacing w:after="40"/>
              <w:jc w:val="left"/>
            </w:pPr>
            <w:r>
              <w:rPr>
                <w:sz w:val="18"/>
              </w:rPr>
              <w:t xml:space="preserve">Only in CF para 23 forms; no set-off against individual loans</w:t>
            </w:r>
          </w:p>
        </w:tc>
        <w:tc>
          <w:tcPr>
            <w:tcW w:w="2271" w:type="dxa"/>
          </w:tcPr>
          <w:p>
            <w:pPr>
              <w:pStyle w:val="Compact"/>
              <w:spacing w:after="40"/>
              <w:jc w:val="left"/>
            </w:pPr>
            <w:r>
              <w:rPr>
                <w:sz w:val="18"/>
              </w:rPr>
              <w:t xml:space="preserve">CF paras 23, 25; Schedule 11</w:t>
            </w:r>
          </w:p>
        </w:tc>
      </w:tr>
    </w:tbl>
    <w:bookmarkEnd w:id="75"/>
    <w:bookmarkStart w:id="76" w:name="Xbe92ccbdb729fad46c81d983d9e9d3279e5c1d5"/>
    <w:p>
      <w:pPr>
        <w:pStyle w:val="Heading2"/>
      </w:pPr>
      <w:r>
        <w:t xml:space="preserve">Part B — Prohibited flows and practices [Mandatory — 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19"/>
        <w:gridCol w:w="5715"/>
        <w:gridCol w:w="2604"/>
      </w:tblGrid>
      <w:tr>
        <w:trPr>
          <w:tblHeader w:val="true"/>
          <w:tblHeader w:val="true"/>
        </w:trPr>
        <w:tc>
          <w:tcPr>
            <w:tcW w:w="1319" w:type="dxa"/>
            <w:shd w:val="clear" w:color="auto" w:fill="1F3A5F"/>
          </w:tcPr>
          <w:p>
            <w:pPr>
              <w:pStyle w:val="Compact"/>
              <w:spacing w:after="40"/>
              <w:jc w:val="left"/>
            </w:pPr>
            <w:r>
              <w:rPr>
                <w:b/>
                <w:color w:val="FFFFFF"/>
                <w:sz w:val="18"/>
              </w:rPr>
              <w:t xml:space="preserve">#</w:t>
            </w:r>
          </w:p>
        </w:tc>
        <w:tc>
          <w:tcPr>
            <w:tcW w:w="5715" w:type="dxa"/>
            <w:shd w:val="clear" w:color="auto" w:fill="1F3A5F"/>
          </w:tcPr>
          <w:p>
            <w:pPr>
              <w:pStyle w:val="Compact"/>
              <w:spacing w:after="40"/>
              <w:jc w:val="left"/>
            </w:pPr>
            <w:r>
              <w:rPr>
                <w:b/>
                <w:color w:val="FFFFFF"/>
                <w:sz w:val="18"/>
              </w:rPr>
              <w:t xml:space="preserve">Prohibited</w:t>
            </w:r>
          </w:p>
        </w:tc>
        <w:tc>
          <w:tcPr>
            <w:tcW w:w="2604" w:type="dxa"/>
            <w:shd w:val="clear" w:color="auto" w:fill="1F3A5F"/>
          </w:tcPr>
          <w:p>
            <w:pPr>
              <w:pStyle w:val="Compact"/>
              <w:spacing w:after="40"/>
              <w:jc w:val="left"/>
            </w:pPr>
            <w:r>
              <w:rPr>
                <w:b/>
                <w:color w:val="FFFFFF"/>
                <w:sz w:val="18"/>
              </w:rPr>
              <w:t xml:space="preserve">Source</w:t>
            </w:r>
          </w:p>
        </w:tc>
      </w:tr>
      <w:tr>
        <w:tc>
          <w:tcPr>
            <w:tcW w:w="1319" w:type="dxa"/>
          </w:tcPr>
          <w:p>
            <w:pPr>
              <w:pStyle w:val="Compact"/>
              <w:spacing w:after="40"/>
              <w:jc w:val="left"/>
            </w:pPr>
            <w:r>
              <w:rPr>
                <w:sz w:val="18"/>
              </w:rPr>
              <w:t xml:space="preserve">B1</w:t>
            </w:r>
          </w:p>
        </w:tc>
        <w:tc>
          <w:tcPr>
            <w:tcW w:w="5715" w:type="dxa"/>
          </w:tcPr>
          <w:p>
            <w:pPr>
              <w:pStyle w:val="Compact"/>
              <w:spacing w:after="40"/>
              <w:jc w:val="left"/>
            </w:pPr>
            <w:r>
              <w:rPr>
                <w:sz w:val="18"/>
              </w:rPr>
              <w:t xml:space="preserve">Any disbursement into an account of the LSP, its group, agents, sub-contractors or any third party except A2–A4</w:t>
            </w:r>
          </w:p>
        </w:tc>
        <w:tc>
          <w:tcPr>
            <w:tcW w:w="2604" w:type="dxa"/>
          </w:tcPr>
          <w:p>
            <w:pPr>
              <w:pStyle w:val="Compact"/>
              <w:spacing w:after="40"/>
              <w:jc w:val="left"/>
            </w:pPr>
            <w:r>
              <w:rPr>
                <w:sz w:val="18"/>
              </w:rPr>
              <w:t xml:space="preserve">CF para 10(1)</w:t>
            </w:r>
          </w:p>
        </w:tc>
      </w:tr>
      <w:tr>
        <w:tc>
          <w:tcPr>
            <w:tcW w:w="1319" w:type="dxa"/>
          </w:tcPr>
          <w:p>
            <w:pPr>
              <w:pStyle w:val="Compact"/>
              <w:spacing w:after="40"/>
              <w:jc w:val="left"/>
            </w:pPr>
            <w:r>
              <w:rPr>
                <w:sz w:val="18"/>
              </w:rPr>
              <w:t xml:space="preserve">B2</w:t>
            </w:r>
          </w:p>
        </w:tc>
        <w:tc>
          <w:tcPr>
            <w:tcW w:w="5715" w:type="dxa"/>
          </w:tcPr>
          <w:p>
            <w:pPr>
              <w:pStyle w:val="Compact"/>
              <w:spacing w:after="40"/>
              <w:jc w:val="left"/>
            </w:pPr>
            <w:r>
              <w:rPr>
                <w:sz w:val="18"/>
              </w:rPr>
              <w:t xml:space="preserve">Any repayment routed through an LSP account, nodal account, virtual account, escrow, wallet or pool account of the LSP or any third party</w:t>
            </w:r>
          </w:p>
        </w:tc>
        <w:tc>
          <w:tcPr>
            <w:tcW w:w="2604" w:type="dxa"/>
          </w:tcPr>
          <w:p>
            <w:pPr>
              <w:pStyle w:val="Compact"/>
              <w:spacing w:after="40"/>
              <w:jc w:val="left"/>
            </w:pPr>
            <w:r>
              <w:rPr>
                <w:sz w:val="18"/>
              </w:rPr>
              <w:t xml:space="preserve">CF para 10(2)</w:t>
            </w:r>
          </w:p>
        </w:tc>
      </w:tr>
      <w:tr>
        <w:tc>
          <w:tcPr>
            <w:tcW w:w="1319" w:type="dxa"/>
          </w:tcPr>
          <w:p>
            <w:pPr>
              <w:pStyle w:val="Compact"/>
              <w:spacing w:after="40"/>
              <w:jc w:val="left"/>
            </w:pPr>
            <w:r>
              <w:rPr>
                <w:sz w:val="18"/>
              </w:rPr>
              <w:t xml:space="preserve">B3</w:t>
            </w:r>
          </w:p>
        </w:tc>
        <w:tc>
          <w:tcPr>
            <w:tcW w:w="5715" w:type="dxa"/>
          </w:tcPr>
          <w:p>
            <w:pPr>
              <w:pStyle w:val="Compact"/>
              <w:spacing w:after="40"/>
              <w:jc w:val="left"/>
            </w:pPr>
            <w:r>
              <w:rPr>
                <w:sz w:val="18"/>
              </w:rPr>
              <w:t xml:space="preserve">Any direct or indirect control by the LSP over the flow of funds between the Borrower and the RE, including holding mandate credentials capable of redirecting funds, changing beneficiary accounts or initiating refunds</w:t>
            </w:r>
          </w:p>
        </w:tc>
        <w:tc>
          <w:tcPr>
            <w:tcW w:w="2604" w:type="dxa"/>
          </w:tcPr>
          <w:p>
            <w:pPr>
              <w:pStyle w:val="Compact"/>
              <w:spacing w:after="40"/>
              <w:jc w:val="left"/>
            </w:pPr>
            <w:r>
              <w:rPr>
                <w:sz w:val="18"/>
              </w:rPr>
              <w:t xml:space="preserve">CF para 10(3)</w:t>
            </w:r>
          </w:p>
        </w:tc>
      </w:tr>
      <w:tr>
        <w:tc>
          <w:tcPr>
            <w:tcW w:w="1319" w:type="dxa"/>
          </w:tcPr>
          <w:p>
            <w:pPr>
              <w:pStyle w:val="Compact"/>
              <w:spacing w:after="40"/>
              <w:jc w:val="left"/>
            </w:pPr>
            <w:r>
              <w:rPr>
                <w:sz w:val="18"/>
              </w:rPr>
              <w:t xml:space="preserve">B4</w:t>
            </w:r>
          </w:p>
        </w:tc>
        <w:tc>
          <w:tcPr>
            <w:tcW w:w="5715" w:type="dxa"/>
          </w:tcPr>
          <w:p>
            <w:pPr>
              <w:pStyle w:val="Compact"/>
              <w:spacing w:after="40"/>
              <w:jc w:val="left"/>
            </w:pPr>
            <w:r>
              <w:rPr>
                <w:sz w:val="18"/>
              </w:rPr>
              <w:t xml:space="preserve">Any fee, charge or reimbursement of the LSP charged to or collected from a Borrower, including convenience fees on payments</w:t>
            </w:r>
          </w:p>
        </w:tc>
        <w:tc>
          <w:tcPr>
            <w:tcW w:w="2604" w:type="dxa"/>
          </w:tcPr>
          <w:p>
            <w:pPr>
              <w:pStyle w:val="Compact"/>
              <w:spacing w:after="40"/>
              <w:jc w:val="left"/>
            </w:pPr>
            <w:r>
              <w:rPr>
                <w:sz w:val="18"/>
              </w:rPr>
              <w:t xml:space="preserve">CF para 10(4)</w:t>
            </w:r>
          </w:p>
        </w:tc>
      </w:tr>
      <w:tr>
        <w:tc>
          <w:tcPr>
            <w:tcW w:w="1319" w:type="dxa"/>
          </w:tcPr>
          <w:p>
            <w:pPr>
              <w:pStyle w:val="Compact"/>
              <w:spacing w:after="40"/>
              <w:jc w:val="left"/>
            </w:pPr>
            <w:r>
              <w:rPr>
                <w:sz w:val="18"/>
              </w:rPr>
              <w:t xml:space="preserve">B5</w:t>
            </w:r>
          </w:p>
        </w:tc>
        <w:tc>
          <w:tcPr>
            <w:tcW w:w="5715" w:type="dxa"/>
          </w:tcPr>
          <w:p>
            <w:pPr>
              <w:pStyle w:val="Compact"/>
              <w:spacing w:after="40"/>
              <w:jc w:val="left"/>
            </w:pPr>
            <w:r>
              <w:rPr>
                <w:sz w:val="18"/>
              </w:rPr>
              <w:t xml:space="preserve">Any deduction from cash recovery proceeds, or delay in reflecting cash in the Borrower’s account beyond the same day</w:t>
            </w:r>
          </w:p>
        </w:tc>
        <w:tc>
          <w:tcPr>
            <w:tcW w:w="2604" w:type="dxa"/>
          </w:tcPr>
          <w:p>
            <w:pPr>
              <w:pStyle w:val="Compact"/>
              <w:spacing w:after="40"/>
              <w:jc w:val="left"/>
            </w:pPr>
            <w:r>
              <w:rPr>
                <w:sz w:val="18"/>
              </w:rPr>
              <w:t xml:space="preserve">CF para 10(5)</w:t>
            </w:r>
          </w:p>
        </w:tc>
      </w:tr>
      <w:tr>
        <w:tc>
          <w:tcPr>
            <w:tcW w:w="1319" w:type="dxa"/>
          </w:tcPr>
          <w:p>
            <w:pPr>
              <w:pStyle w:val="Compact"/>
              <w:spacing w:after="40"/>
              <w:jc w:val="left"/>
            </w:pPr>
            <w:r>
              <w:rPr>
                <w:sz w:val="18"/>
              </w:rPr>
              <w:t xml:space="preserve">B6</w:t>
            </w:r>
          </w:p>
        </w:tc>
        <w:tc>
          <w:tcPr>
            <w:tcW w:w="5715" w:type="dxa"/>
          </w:tcPr>
          <w:p>
            <w:pPr>
              <w:pStyle w:val="Compact"/>
              <w:spacing w:after="40"/>
              <w:jc w:val="left"/>
            </w:pPr>
            <w:r>
              <w:rPr>
                <w:sz w:val="18"/>
              </w:rPr>
              <w:t xml:space="preserve">The LSP being merchant of record, payment aggregator or mandate beneficiary for Loan disbursement or repayment</w:t>
            </w:r>
          </w:p>
        </w:tc>
        <w:tc>
          <w:tcPr>
            <w:tcW w:w="2604" w:type="dxa"/>
          </w:tcPr>
          <w:p>
            <w:pPr>
              <w:pStyle w:val="Compact"/>
              <w:spacing w:after="40"/>
              <w:jc w:val="left"/>
            </w:pPr>
            <w:r>
              <w:rPr>
                <w:sz w:val="18"/>
              </w:rPr>
              <w:t xml:space="preserve">CF para 10(2)–(3); CF para 4(1)(xix), proviso</w:t>
            </w:r>
          </w:p>
        </w:tc>
      </w:tr>
      <w:tr>
        <w:tc>
          <w:tcPr>
            <w:tcW w:w="1319" w:type="dxa"/>
          </w:tcPr>
          <w:p>
            <w:pPr>
              <w:pStyle w:val="Compact"/>
              <w:spacing w:after="40"/>
              <w:jc w:val="left"/>
            </w:pPr>
            <w:r>
              <w:rPr>
                <w:sz w:val="18"/>
              </w:rPr>
              <w:t xml:space="preserve">B7</w:t>
            </w:r>
          </w:p>
        </w:tc>
        <w:tc>
          <w:tcPr>
            <w:tcW w:w="5715" w:type="dxa"/>
          </w:tcPr>
          <w:p>
            <w:pPr>
              <w:pStyle w:val="Compact"/>
              <w:spacing w:after="40"/>
              <w:jc w:val="left"/>
            </w:pPr>
            <w:r>
              <w:rPr>
                <w:sz w:val="18"/>
              </w:rPr>
              <w:t xml:space="preserve">Any control by the LSP over a co-lending escrow</w:t>
            </w:r>
          </w:p>
        </w:tc>
        <w:tc>
          <w:tcPr>
            <w:tcW w:w="2604" w:type="dxa"/>
          </w:tcPr>
          <w:p>
            <w:pPr>
              <w:pStyle w:val="Compact"/>
              <w:spacing w:after="40"/>
              <w:jc w:val="left"/>
            </w:pPr>
            <w:r>
              <w:rPr>
                <w:sz w:val="18"/>
              </w:rPr>
              <w:t xml:space="preserve">CF para 10(1), Note</w:t>
            </w:r>
          </w:p>
        </w:tc>
      </w:tr>
      <w:tr>
        <w:tc>
          <w:tcPr>
            <w:tcW w:w="1319" w:type="dxa"/>
          </w:tcPr>
          <w:p>
            <w:pPr>
              <w:pStyle w:val="Compact"/>
              <w:spacing w:after="40"/>
              <w:jc w:val="left"/>
            </w:pPr>
            <w:r>
              <w:rPr>
                <w:sz w:val="18"/>
              </w:rPr>
              <w:t xml:space="preserve">B8</w:t>
            </w:r>
          </w:p>
        </w:tc>
        <w:tc>
          <w:tcPr>
            <w:tcW w:w="5715" w:type="dxa"/>
          </w:tcPr>
          <w:p>
            <w:pPr>
              <w:pStyle w:val="Compact"/>
              <w:spacing w:after="40"/>
              <w:jc w:val="left"/>
            </w:pPr>
            <w:r>
              <w:rPr>
                <w:sz w:val="18"/>
              </w:rPr>
              <w:t xml:space="preserve">Setting off invoked DLG against any individual Loan or showing a Loan as reduced or settled by reason of DLG invocation</w:t>
            </w:r>
          </w:p>
        </w:tc>
        <w:tc>
          <w:tcPr>
            <w:tcW w:w="2604" w:type="dxa"/>
          </w:tcPr>
          <w:p>
            <w:pPr>
              <w:pStyle w:val="Compact"/>
              <w:spacing w:after="40"/>
              <w:jc w:val="left"/>
            </w:pPr>
            <w:r>
              <w:rPr>
                <w:sz w:val="18"/>
              </w:rPr>
              <w:t xml:space="preserve">CF para 25(2)</w:t>
            </w:r>
          </w:p>
        </w:tc>
      </w:tr>
    </w:tbl>
    <w:p>
      <w:pPr>
        <w:pStyle w:val="BodyText"/>
      </w:pPr>
      <w:r>
        <w:rPr>
          <w:bCs/>
          <w:b/>
        </w:rPr>
        <w:t xml:space="preserve">6.1 Technical guards. [Mandatory — RBI]</w:t>
      </w:r>
      <w:r>
        <w:t xml:space="preserve"> </w:t>
      </w:r>
      <w:r>
        <w:t xml:space="preserve">The LSP shall implement and evidence configuration validators that reject any beneficiary, settlement or mandate account other than the Borrower’s verified account, an RE-approved end-beneficiary or the RE’s account; payment links and VPAs generated per RE and per Loan; no LSP account referenced in any connector configuration; and segregation of each RE’s payment credentials under that RE’s encryption key.</w:t>
      </w:r>
    </w:p>
    <w:p>
      <w:pPr>
        <w:pStyle w:val="BodyText"/>
      </w:pPr>
      <w:r>
        <w:rPr>
          <w:bCs/>
          <w:b/>
        </w:rPr>
        <w:t xml:space="preserve">6.2 Status only. [Mandatory — RBI]</w:t>
      </w:r>
      <w:r>
        <w:t xml:space="preserve"> </w:t>
      </w:r>
      <w:r>
        <w:t xml:space="preserve">The LSP shows disbursement and payment status only on receipt of the RE’s events (</w:t>
      </w:r>
      <w:r>
        <w:rPr>
          <w:rStyle w:val="VerbatimChar"/>
        </w:rPr>
        <w:t xml:space="preserve">LoanDisbursed</w:t>
      </w:r>
      <w:r>
        <w:t xml:space="preserve">,</w:t>
      </w:r>
      <w:r>
        <w:t xml:space="preserve"> </w:t>
      </w:r>
      <w:r>
        <w:rPr>
          <w:rStyle w:val="VerbatimChar"/>
        </w:rPr>
        <w:t xml:space="preserve">PaymentReceived</w:t>
      </w:r>
      <w:r>
        <w:t xml:space="preserve">). A gateway</w:t>
      </w:r>
      <w:r>
        <w:t xml:space="preserve"> </w:t>
      </w:r>
      <w:r>
        <w:t xml:space="preserve">“</w:t>
      </w:r>
      <w:r>
        <w:t xml:space="preserve">success</w:t>
      </w:r>
      <w:r>
        <w:t xml:space="preserve">”</w:t>
      </w:r>
      <w:r>
        <w:t xml:space="preserve"> </w:t>
      </w:r>
      <w:r>
        <w:t xml:space="preserve">message is shown as</w:t>
      </w:r>
      <w:r>
        <w:t xml:space="preserve"> </w:t>
      </w:r>
      <w:r>
        <w:t xml:space="preserve">“</w:t>
      </w:r>
      <w:r>
        <w:t xml:space="preserve">payment initiated</w:t>
      </w:r>
      <w:r>
        <w:t xml:space="preserve">”</w:t>
      </w:r>
      <w:r>
        <w:t xml:space="preserve"> </w:t>
      </w:r>
      <w:r>
        <w:t xml:space="preserve">until the RE confirms receipt.</w:t>
      </w:r>
    </w:p>
    <w:bookmarkEnd w:id="76"/>
    <w:bookmarkStart w:id="77" w:name="part-c-reconciliation"/>
    <w:p>
      <w:pPr>
        <w:pStyle w:val="Heading2"/>
      </w:pPr>
      <w:r>
        <w:t xml:space="preserve">Part C — Reconciliation</w:t>
      </w:r>
    </w:p>
    <w:p>
      <w:pPr>
        <w:pStyle w:val="FirstParagraph"/>
      </w:pPr>
      <w:r>
        <w:rPr>
          <w:bCs/>
          <w:b/>
        </w:rPr>
        <w:t xml:space="preserve">6.3 Daily reconciliation. [Mandatory — RBI]</w:t>
      </w:r>
      <w:r>
        <w:t xml:space="preserve"> </w:t>
      </w:r>
      <w:r>
        <w:t xml:space="preserve">The Parties shall exchange the</w:t>
      </w:r>
      <w:r>
        <w:t xml:space="preserve"> </w:t>
      </w:r>
      <w:r>
        <w:rPr>
          <w:rStyle w:val="VerbatimChar"/>
        </w:rPr>
        <w:t xml:space="preserve">DailyReconciliationFile</w:t>
      </w:r>
      <w:r>
        <w:t xml:space="preserve"> </w:t>
      </w:r>
      <w:r>
        <w:t xml:space="preserve">(Schedule 16) by 06:00 IST covering: disbursements by RE vs status shown; payment intents generated vs RE receipts; mandates registered vs RE confirmations; cash receipts (if any) vs same-day RE postings; and a control total proving that no amount was credited to any LSP account (OUT para 39; CF para 10).</w:t>
      </w:r>
    </w:p>
    <w:p>
      <w:pPr>
        <w:pStyle w:val="BodyText"/>
      </w:pPr>
      <w:r>
        <w:rPr>
          <w:bCs/>
          <w:b/>
        </w:rPr>
        <w:t xml:space="preserve">6.4 Breaks. [Option]</w:t>
      </w:r>
      <w:r>
        <w:t xml:space="preserve"> </w:t>
      </w:r>
      <w:r>
        <w:t xml:space="preserve">Breaks are classified: Severity 1 (any amount touching an account other than permitted in Part A, or cash not posted the same day) — notify the RE within [2] hours and treat as an Incident under Schedule 12; Severity 2 (status mismatch) — resolve within [1] working day; Severity 3 (reporting) — resolve within [3] working days. Ageing reports go monthly to the RE (Schedule 19, item R2).</w:t>
      </w:r>
    </w:p>
    <w:p>
      <w:pPr>
        <w:pStyle w:val="BodyText"/>
      </w:pPr>
      <w:r>
        <w:rPr>
          <w:bCs/>
          <w:b/>
        </w:rPr>
        <w:t xml:space="preserve">6.5 Changes in servicer or lender. [Mandatory — RBI]</w:t>
      </w:r>
      <w:r>
        <w:t xml:space="preserve"> </w:t>
      </w:r>
      <w:r>
        <w:t xml:space="preserve">On a transfer of a Loan or a change of servicer notified by the RE (</w:t>
      </w:r>
      <w:r>
        <w:rPr>
          <w:rStyle w:val="VerbatimChar"/>
        </w:rPr>
        <w:t xml:space="preserve">LoanTransferred</w:t>
      </w:r>
      <w:r>
        <w:t xml:space="preserve">,</w:t>
      </w:r>
      <w:r>
        <w:t xml:space="preserve"> </w:t>
      </w:r>
      <w:r>
        <w:rPr>
          <w:rStyle w:val="VerbatimChar"/>
        </w:rPr>
        <w:t xml:space="preserve">ServicerChanged</w:t>
      </w:r>
      <w:r>
        <w:t xml:space="preserve">), the LSP shall disable old payment instructions the same day and display only the new instruction; the RE shall give prior intimation to the Borrower of any change in customer interface in co-lending (TDCR para 105).</w:t>
      </w:r>
    </w:p>
    <w:p>
      <w:r>
        <w:pict>
          <v:rect style="width:0;height:1.5pt" o:hralign="center" o:hrstd="t" o:hr="t"/>
        </w:pict>
      </w:r>
    </w:p>
    <w:p>
      <w:r>
        <w:br w:type="page"/>
      </w:r>
    </w:p>
    <w:bookmarkEnd w:id="77"/>
    <w:bookmarkEnd w:id="78"/>
    <w:bookmarkStart w:id="85" w:name="schedule-7-data-protection-schedule"/>
    <w:p>
      <w:pPr>
        <w:pStyle w:val="Heading1"/>
      </w:pPr>
      <w:r>
        <w:t xml:space="preserve">SCHEDULE 7 — Data Protection Schedule</w:t>
      </w:r>
    </w:p>
    <w:p>
      <w:pPr>
        <w:pStyle w:val="FirstParagraph"/>
      </w:pPr>
      <w:r>
        <w:rPr>
          <w:iCs/>
          <w:i/>
        </w:rPr>
        <w:t xml:space="preserve">Drafting note: Implements Article 15 and operates as the data processing terms between the Parties. Where CF paras 13–15 are stricter than the DPDP Act or DPDP Rules, the RBI rule prevails. DPDP Rules (G.S.R. 846(E), 13 Nov 2025) commence in phases: Rules 1, 2 and 17–21 on 13 Nov 2025; Rule 4 (consent managers) on 13 Nov 2026; Rules 3, 5–16, 22 and 23 (notice, consent, safeguards, breach, retention, rights, cross-border) on 13 May 2027 [VERIFY: corresponding commencement of DPDP Act provisions].</w:t>
      </w:r>
    </w:p>
    <w:bookmarkStart w:id="79" w:name="part-a-roles"/>
    <w:p>
      <w:pPr>
        <w:pStyle w:val="Heading2"/>
      </w:pPr>
      <w:r>
        <w:t xml:space="preserve">Part A — Roles</w:t>
      </w:r>
    </w:p>
    <w:p>
      <w:pPr>
        <w:pStyle w:val="FirstParagraph"/>
      </w:pPr>
      <w:r>
        <w:rPr>
          <w:bCs/>
          <w:b/>
        </w:rPr>
        <w:t xml:space="preserve">7.1 RE. [Mandatory — RBI]</w:t>
      </w:r>
      <w:r>
        <w:t xml:space="preserve"> </w:t>
      </w:r>
      <w:r>
        <w:t xml:space="preserve">Responsibility for data privacy and security of Borrowers’ personal information on an ongoing basis is the RE’s (CF para 14(1)). The RE is data fiduciary for processing to evaluate, sanction, document, disburse, service and recover its Loans (DPDP Act s.2(i)).</w:t>
      </w:r>
    </w:p>
    <w:p>
      <w:pPr>
        <w:pStyle w:val="BodyText"/>
      </w:pPr>
      <w:r>
        <w:rPr>
          <w:bCs/>
          <w:b/>
        </w:rPr>
        <w:t xml:space="preserve">7.2 LSP as processor. [Mandatory — Law]</w:t>
      </w:r>
      <w:r>
        <w:t xml:space="preserve"> </w:t>
      </w:r>
      <w:r>
        <w:t xml:space="preserve">For those purposes the LSP is data processor of the RE (DPDP Act ss.2(k), 8(2)) and processes only on the RE’s documented instructions in the Agreement.</w:t>
      </w:r>
    </w:p>
    <w:p>
      <w:pPr>
        <w:pStyle w:val="BodyText"/>
      </w:pPr>
      <w:r>
        <w:rPr>
          <w:bCs/>
          <w:b/>
        </w:rPr>
        <w:t xml:space="preserve">7.3 LSP as independent fiduciary. [Option — analysis]</w:t>
      </w:r>
      <w:r>
        <w:t xml:space="preserve"> </w:t>
      </w:r>
      <w:r>
        <w:t xml:space="preserve">The LSP determines purpose and means, and is therefore an independent data fiduciary, for: (a) the Borrower’s platform account (mobile, login, device binding, preferences); (b) its own consent and grievance records under CF paras 12–13; (c) security and fraud prevention on its platform; (d) its own marketing, only with separate consent; and (e) its statutory books. For these it gives its own notice and answers for its own compliance, while still storing only basic minimal data (CF para 14(1)).</w:t>
      </w:r>
      <w:r>
        <w:t xml:space="preserve"> </w:t>
      </w:r>
      <w:r>
        <w:rPr>
          <w:iCs/>
          <w:i/>
        </w:rPr>
        <w:t xml:space="preserve">Drafting note: a multi-lender LSP running its own account layer and offer comparison is very likely a fiduciary for these purposes; a pure-processor characterisation would leave the platform account without a responsible fiduciary. Assess Significant Data Fiduciary risk under DPDP Act s.10 [VERIFY].</w:t>
      </w:r>
      <w:r>
        <w:t xml:space="preserve"> </w:t>
      </w:r>
      <w:r>
        <w:t xml:space="preserve">Where one screen collects data for both LSP and RE purposes, the notice separately identifies each purpose, fiduciary and recipient and consent is itemised (DPDP Act ss.5–6; CF para 13(3)).</w:t>
      </w:r>
    </w:p>
    <w:bookmarkEnd w:id="79"/>
    <w:bookmarkStart w:id="80" w:name="part-b-data-inventory-and-storage"/>
    <w:p>
      <w:pPr>
        <w:pStyle w:val="Heading2"/>
      </w:pPr>
      <w:r>
        <w:t xml:space="preserve">Part B — Data inventory and storage</w:t>
      </w:r>
    </w:p>
    <w:p>
      <w:pPr>
        <w:pStyle w:val="FirstParagraph"/>
      </w:pPr>
      <w:r>
        <w:rPr>
          <w:bCs/>
          <w:b/>
        </w:rPr>
        <w:t xml:space="preserve">7.4 Minimal data. [Mandatory — RBI]</w:t>
      </w:r>
      <w:r>
        <w:t xml:space="preserve"> </w:t>
      </w:r>
      <w:r>
        <w:t xml:space="preserve">The LSP stores no personal information of Borrowers except basic minimal data (name, address, contact details and the like) required for its operations within the scope of the Agreement (CF para 14(1)). All other personal data is held only transiently in a vault scoped to and encrypted under a key controlled by the 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68"/>
        <w:gridCol w:w="1993"/>
        <w:gridCol w:w="2532"/>
        <w:gridCol w:w="2645"/>
      </w:tblGrid>
      <w:tr>
        <w:trPr>
          <w:tblHeader w:val="true"/>
          <w:tblHeader w:val="true"/>
        </w:trPr>
        <w:tc>
          <w:tcPr>
            <w:tcW w:w="2468" w:type="dxa"/>
            <w:shd w:val="clear" w:color="auto" w:fill="1F3A5F"/>
          </w:tcPr>
          <w:p>
            <w:pPr>
              <w:pStyle w:val="Compact"/>
              <w:spacing w:after="40"/>
              <w:jc w:val="left"/>
            </w:pPr>
            <w:r>
              <w:rPr>
                <w:b/>
                <w:color w:val="FFFFFF"/>
                <w:sz w:val="18"/>
              </w:rPr>
              <w:t xml:space="preserve">Category</w:t>
            </w:r>
          </w:p>
        </w:tc>
        <w:tc>
          <w:tcPr>
            <w:tcW w:w="1993" w:type="dxa"/>
            <w:shd w:val="clear" w:color="auto" w:fill="1F3A5F"/>
          </w:tcPr>
          <w:p>
            <w:pPr>
              <w:pStyle w:val="Compact"/>
              <w:spacing w:after="40"/>
              <w:jc w:val="left"/>
            </w:pPr>
            <w:r>
              <w:rPr>
                <w:b/>
                <w:color w:val="FFFFFF"/>
                <w:sz w:val="18"/>
              </w:rPr>
              <w:t xml:space="preserve">LSP minimal store</w:t>
            </w:r>
          </w:p>
        </w:tc>
        <w:tc>
          <w:tcPr>
            <w:tcW w:w="2532" w:type="dxa"/>
            <w:shd w:val="clear" w:color="auto" w:fill="1F3A5F"/>
          </w:tcPr>
          <w:p>
            <w:pPr>
              <w:pStyle w:val="Compact"/>
              <w:spacing w:after="40"/>
              <w:jc w:val="left"/>
            </w:pPr>
            <w:r>
              <w:rPr>
                <w:b/>
                <w:color w:val="FFFFFF"/>
                <w:sz w:val="18"/>
              </w:rPr>
              <w:t xml:space="preserve">RE-scoped vault (transient)</w:t>
            </w:r>
          </w:p>
        </w:tc>
        <w:tc>
          <w:tcPr>
            <w:tcW w:w="2645" w:type="dxa"/>
            <w:shd w:val="clear" w:color="auto" w:fill="1F3A5F"/>
          </w:tcPr>
          <w:p>
            <w:pPr>
              <w:pStyle w:val="Compact"/>
              <w:spacing w:after="40"/>
              <w:jc w:val="left"/>
            </w:pPr>
            <w:r>
              <w:rPr>
                <w:b/>
                <w:color w:val="FFFFFF"/>
                <w:sz w:val="18"/>
              </w:rPr>
              <w:t xml:space="preserve">LSP retention</w:t>
            </w:r>
          </w:p>
        </w:tc>
      </w:tr>
      <w:tr>
        <w:tc>
          <w:tcPr>
            <w:tcW w:w="2468" w:type="dxa"/>
          </w:tcPr>
          <w:p>
            <w:pPr>
              <w:pStyle w:val="Compact"/>
              <w:spacing w:after="40"/>
              <w:jc w:val="left"/>
            </w:pPr>
            <w:r>
              <w:rPr>
                <w:sz w:val="18"/>
              </w:rPr>
              <w:t xml:space="preserve">Identity and contact; platform account</w:t>
            </w:r>
          </w:p>
        </w:tc>
        <w:tc>
          <w:tcPr>
            <w:tcW w:w="1993" w:type="dxa"/>
          </w:tcPr>
          <w:p>
            <w:pPr>
              <w:pStyle w:val="Compact"/>
              <w:spacing w:after="40"/>
              <w:jc w:val="left"/>
            </w:pPr>
            <w:r>
              <w:rPr>
                <w:sz w:val="18"/>
              </w:rPr>
              <w:t xml:space="preserve">Yes</w:t>
            </w:r>
          </w:p>
        </w:tc>
        <w:tc>
          <w:tcPr>
            <w:tcW w:w="2532" w:type="dxa"/>
          </w:tcPr>
          <w:p>
            <w:pPr>
              <w:pStyle w:val="Compact"/>
              <w:spacing w:after="40"/>
              <w:jc w:val="left"/>
            </w:pPr>
            <w:r>
              <w:rPr>
                <w:sz w:val="18"/>
              </w:rPr>
              <w:t xml:space="preserve">—</w:t>
            </w:r>
          </w:p>
        </w:tc>
        <w:tc>
          <w:tcPr>
            <w:tcW w:w="2645" w:type="dxa"/>
          </w:tcPr>
          <w:p>
            <w:pPr>
              <w:pStyle w:val="Compact"/>
              <w:spacing w:after="40"/>
              <w:jc w:val="left"/>
            </w:pPr>
            <w:r>
              <w:rPr>
                <w:sz w:val="18"/>
              </w:rPr>
              <w:t xml:space="preserve">Life of account plus [●] years, subject to erasure rights</w:t>
            </w:r>
          </w:p>
        </w:tc>
      </w:tr>
      <w:tr>
        <w:tc>
          <w:tcPr>
            <w:tcW w:w="2468" w:type="dxa"/>
          </w:tcPr>
          <w:p>
            <w:pPr>
              <w:pStyle w:val="Compact"/>
              <w:spacing w:after="40"/>
              <w:jc w:val="left"/>
            </w:pPr>
            <w:r>
              <w:rPr>
                <w:sz w:val="18"/>
              </w:rPr>
              <w:t xml:space="preserve">Consent artefacts and audit trail (CF para 13(1))</w:t>
            </w:r>
          </w:p>
        </w:tc>
        <w:tc>
          <w:tcPr>
            <w:tcW w:w="1993" w:type="dxa"/>
          </w:tcPr>
          <w:p>
            <w:pPr>
              <w:pStyle w:val="Compact"/>
              <w:spacing w:after="40"/>
              <w:jc w:val="left"/>
            </w:pPr>
            <w:r>
              <w:rPr>
                <w:sz w:val="18"/>
              </w:rPr>
              <w:t xml:space="preserve">Yes</w:t>
            </w:r>
          </w:p>
        </w:tc>
        <w:tc>
          <w:tcPr>
            <w:tcW w:w="2532" w:type="dxa"/>
          </w:tcPr>
          <w:p>
            <w:pPr>
              <w:pStyle w:val="Compact"/>
              <w:spacing w:after="40"/>
              <w:jc w:val="left"/>
            </w:pPr>
            <w:r>
              <w:rPr>
                <w:sz w:val="18"/>
              </w:rPr>
              <w:t xml:space="preserve">—</w:t>
            </w:r>
          </w:p>
        </w:tc>
        <w:tc>
          <w:tcPr>
            <w:tcW w:w="2645" w:type="dxa"/>
          </w:tcPr>
          <w:p>
            <w:pPr>
              <w:pStyle w:val="Compact"/>
              <w:spacing w:after="40"/>
              <w:jc w:val="left"/>
            </w:pPr>
            <w:r>
              <w:rPr>
                <w:sz w:val="18"/>
              </w:rPr>
              <w:t xml:space="preserve">[8] years after last activity</w:t>
            </w:r>
          </w:p>
        </w:tc>
      </w:tr>
      <w:tr>
        <w:tc>
          <w:tcPr>
            <w:tcW w:w="2468" w:type="dxa"/>
          </w:tcPr>
          <w:p>
            <w:pPr>
              <w:pStyle w:val="Compact"/>
              <w:spacing w:after="40"/>
              <w:jc w:val="left"/>
            </w:pPr>
            <w:r>
              <w:rPr>
                <w:sz w:val="18"/>
              </w:rPr>
              <w:t xml:space="preserve">KYC evidence (masked Aadhaar XML, DigiLocker documents, PAN check, photograph, liveness result)</w:t>
            </w:r>
          </w:p>
        </w:tc>
        <w:tc>
          <w:tcPr>
            <w:tcW w:w="1993" w:type="dxa"/>
          </w:tcPr>
          <w:p>
            <w:pPr>
              <w:pStyle w:val="Compact"/>
              <w:spacing w:after="40"/>
              <w:jc w:val="left"/>
            </w:pPr>
            <w:r>
              <w:rPr>
                <w:sz w:val="18"/>
              </w:rPr>
              <w:t xml:space="preserve">No</w:t>
            </w:r>
          </w:p>
        </w:tc>
        <w:tc>
          <w:tcPr>
            <w:tcW w:w="2532" w:type="dxa"/>
          </w:tcPr>
          <w:p>
            <w:pPr>
              <w:pStyle w:val="Compact"/>
              <w:spacing w:after="40"/>
              <w:jc w:val="left"/>
            </w:pPr>
            <w:r>
              <w:rPr>
                <w:sz w:val="18"/>
              </w:rPr>
              <w:t xml:space="preserve">Until RE acknowledges receipt; purged on acknowledgement and in any event within [7] days of capture</w:t>
            </w:r>
          </w:p>
        </w:tc>
        <w:tc>
          <w:tcPr>
            <w:tcW w:w="2645" w:type="dxa"/>
          </w:tcPr>
          <w:p>
            <w:pPr>
              <w:pStyle w:val="Compact"/>
              <w:spacing w:after="40"/>
              <w:jc w:val="left"/>
            </w:pPr>
            <w:r>
              <w:rPr>
                <w:sz w:val="18"/>
              </w:rPr>
              <w:t xml:space="preserve">Nil; RE retains under KYC para 47</w:t>
            </w:r>
          </w:p>
        </w:tc>
      </w:tr>
      <w:tr>
        <w:tc>
          <w:tcPr>
            <w:tcW w:w="2468" w:type="dxa"/>
          </w:tcPr>
          <w:p>
            <w:pPr>
              <w:pStyle w:val="Compact"/>
              <w:spacing w:after="40"/>
              <w:jc w:val="left"/>
            </w:pPr>
            <w:r>
              <w:rPr>
                <w:sz w:val="18"/>
              </w:rPr>
              <w:t xml:space="preserve">Aadhaar number; biometric data (fingerprint, iris, face template)</w:t>
            </w:r>
          </w:p>
        </w:tc>
        <w:tc>
          <w:tcPr>
            <w:tcW w:w="1993" w:type="dxa"/>
          </w:tcPr>
          <w:p>
            <w:pPr>
              <w:pStyle w:val="Compact"/>
              <w:spacing w:after="40"/>
              <w:jc w:val="left"/>
            </w:pPr>
            <w:r>
              <w:rPr>
                <w:sz w:val="18"/>
              </w:rPr>
              <w:t xml:space="preserve">Never</w:t>
            </w:r>
          </w:p>
        </w:tc>
        <w:tc>
          <w:tcPr>
            <w:tcW w:w="2532" w:type="dxa"/>
          </w:tcPr>
          <w:p>
            <w:pPr>
              <w:pStyle w:val="Compact"/>
              <w:spacing w:after="40"/>
              <w:jc w:val="left"/>
            </w:pPr>
            <w:r>
              <w:rPr>
                <w:sz w:val="18"/>
              </w:rPr>
              <w:t xml:space="preserve">Never (any Aadhaar Data Vault is the RE’s)</w:t>
            </w:r>
          </w:p>
        </w:tc>
        <w:tc>
          <w:tcPr>
            <w:tcW w:w="2645" w:type="dxa"/>
          </w:tcPr>
          <w:p>
            <w:pPr>
              <w:pStyle w:val="Compact"/>
              <w:spacing w:after="40"/>
              <w:jc w:val="left"/>
            </w:pPr>
            <w:r>
              <w:rPr>
                <w:sz w:val="18"/>
              </w:rPr>
              <w:t xml:space="preserve">Nil (CF para 14(3); Aadhaar Act s.29)</w:t>
            </w:r>
          </w:p>
        </w:tc>
      </w:tr>
      <w:tr>
        <w:tc>
          <w:tcPr>
            <w:tcW w:w="2468" w:type="dxa"/>
          </w:tcPr>
          <w:p>
            <w:pPr>
              <w:pStyle w:val="Compact"/>
              <w:spacing w:after="40"/>
              <w:jc w:val="left"/>
            </w:pPr>
            <w:r>
              <w:rPr>
                <w:sz w:val="18"/>
              </w:rPr>
              <w:t xml:space="preserve">Bureau reports; AA and bank-statement data</w:t>
            </w:r>
          </w:p>
        </w:tc>
        <w:tc>
          <w:tcPr>
            <w:tcW w:w="1993" w:type="dxa"/>
          </w:tcPr>
          <w:p>
            <w:pPr>
              <w:pStyle w:val="Compact"/>
              <w:spacing w:after="40"/>
              <w:jc w:val="left"/>
            </w:pPr>
            <w:r>
              <w:rPr>
                <w:sz w:val="18"/>
              </w:rPr>
              <w:t xml:space="preserve">No</w:t>
            </w:r>
          </w:p>
        </w:tc>
        <w:tc>
          <w:tcPr>
            <w:tcW w:w="2532" w:type="dxa"/>
          </w:tcPr>
          <w:p>
            <w:pPr>
              <w:pStyle w:val="Compact"/>
              <w:spacing w:after="40"/>
              <w:jc w:val="left"/>
            </w:pPr>
            <w:r>
              <w:rPr>
                <w:sz w:val="18"/>
              </w:rPr>
              <w:t xml:space="preserve">Transient; passed to RE (RE is CIC member and FIU)</w:t>
            </w:r>
          </w:p>
        </w:tc>
        <w:tc>
          <w:tcPr>
            <w:tcW w:w="2645" w:type="dxa"/>
          </w:tcPr>
          <w:p>
            <w:pPr>
              <w:pStyle w:val="Compact"/>
              <w:spacing w:after="40"/>
              <w:jc w:val="left"/>
            </w:pPr>
            <w:r>
              <w:rPr>
                <w:sz w:val="18"/>
              </w:rPr>
              <w:t xml:space="preserve">Nil</w:t>
            </w:r>
          </w:p>
        </w:tc>
      </w:tr>
      <w:tr>
        <w:tc>
          <w:tcPr>
            <w:tcW w:w="2468" w:type="dxa"/>
          </w:tcPr>
          <w:p>
            <w:pPr>
              <w:pStyle w:val="Compact"/>
              <w:spacing w:after="40"/>
              <w:jc w:val="left"/>
            </w:pPr>
            <w:r>
              <w:rPr>
                <w:sz w:val="18"/>
              </w:rPr>
              <w:t xml:space="preserve">Income, occupation, household data</w:t>
            </w:r>
          </w:p>
        </w:tc>
        <w:tc>
          <w:tcPr>
            <w:tcW w:w="1993" w:type="dxa"/>
          </w:tcPr>
          <w:p>
            <w:pPr>
              <w:pStyle w:val="Compact"/>
              <w:spacing w:after="40"/>
              <w:jc w:val="left"/>
            </w:pPr>
            <w:r>
              <w:rPr>
                <w:sz w:val="18"/>
              </w:rPr>
              <w:t xml:space="preserve">No</w:t>
            </w:r>
          </w:p>
        </w:tc>
        <w:tc>
          <w:tcPr>
            <w:tcW w:w="2532" w:type="dxa"/>
          </w:tcPr>
          <w:p>
            <w:pPr>
              <w:pStyle w:val="Compact"/>
              <w:spacing w:after="40"/>
              <w:jc w:val="left"/>
            </w:pPr>
            <w:r>
              <w:rPr>
                <w:sz w:val="18"/>
              </w:rPr>
              <w:t xml:space="preserve">Captured and evidence passed to the RE; purged on RE acknowledgement</w:t>
            </w:r>
          </w:p>
        </w:tc>
        <w:tc>
          <w:tcPr>
            <w:tcW w:w="2645" w:type="dxa"/>
          </w:tcPr>
          <w:p>
            <w:pPr>
              <w:pStyle w:val="Compact"/>
              <w:spacing w:after="40"/>
              <w:jc w:val="left"/>
            </w:pPr>
            <w:r>
              <w:rPr>
                <w:sz w:val="18"/>
              </w:rPr>
              <w:t xml:space="preserve">Nil (RE keeps for audit: CF para 8(1); CF para 52)</w:t>
            </w:r>
          </w:p>
        </w:tc>
      </w:tr>
      <w:tr>
        <w:tc>
          <w:tcPr>
            <w:tcW w:w="2468" w:type="dxa"/>
          </w:tcPr>
          <w:p>
            <w:pPr>
              <w:pStyle w:val="Compact"/>
              <w:spacing w:after="40"/>
              <w:jc w:val="left"/>
            </w:pPr>
            <w:r>
              <w:rPr>
                <w:sz w:val="18"/>
              </w:rPr>
              <w:t xml:space="preserve">Loan documents</w:t>
            </w:r>
          </w:p>
        </w:tc>
        <w:tc>
          <w:tcPr>
            <w:tcW w:w="1993" w:type="dxa"/>
          </w:tcPr>
          <w:p>
            <w:pPr>
              <w:pStyle w:val="Compact"/>
              <w:spacing w:after="40"/>
              <w:jc w:val="left"/>
            </w:pPr>
            <w:r>
              <w:rPr>
                <w:sz w:val="18"/>
              </w:rPr>
              <w:t xml:space="preserve">Reference and hash</w:t>
            </w:r>
          </w:p>
        </w:tc>
        <w:tc>
          <w:tcPr>
            <w:tcW w:w="2532" w:type="dxa"/>
          </w:tcPr>
          <w:p>
            <w:pPr>
              <w:pStyle w:val="Compact"/>
              <w:spacing w:after="40"/>
              <w:jc w:val="left"/>
            </w:pPr>
            <w:r>
              <w:rPr>
                <w:sz w:val="18"/>
              </w:rPr>
              <w:t xml:space="preserve">Signed documents until delivered</w:t>
            </w:r>
          </w:p>
        </w:tc>
        <w:tc>
          <w:tcPr>
            <w:tcW w:w="2645" w:type="dxa"/>
          </w:tcPr>
          <w:p>
            <w:pPr>
              <w:pStyle w:val="Compact"/>
              <w:spacing w:after="40"/>
              <w:jc w:val="left"/>
            </w:pPr>
            <w:r>
              <w:rPr>
                <w:sz w:val="18"/>
              </w:rPr>
              <w:t xml:space="preserve">As RE instructs</w:t>
            </w:r>
          </w:p>
        </w:tc>
      </w:tr>
      <w:tr>
        <w:tc>
          <w:tcPr>
            <w:tcW w:w="2468" w:type="dxa"/>
          </w:tcPr>
          <w:p>
            <w:pPr>
              <w:pStyle w:val="Compact"/>
              <w:spacing w:after="40"/>
              <w:jc w:val="left"/>
            </w:pPr>
            <w:r>
              <w:rPr>
                <w:sz w:val="18"/>
              </w:rPr>
              <w:t xml:space="preserve">Loan mirror (status, schedule, dues, DPD)</w:t>
            </w:r>
          </w:p>
        </w:tc>
        <w:tc>
          <w:tcPr>
            <w:tcW w:w="1993" w:type="dxa"/>
          </w:tcPr>
          <w:p>
            <w:pPr>
              <w:pStyle w:val="Compact"/>
              <w:spacing w:after="40"/>
              <w:jc w:val="left"/>
            </w:pPr>
            <w:r>
              <w:rPr>
                <w:sz w:val="18"/>
              </w:rPr>
              <w:t xml:space="preserve">Servicing projection (only while Schedule 2 servicing applies)</w:t>
            </w:r>
          </w:p>
        </w:tc>
        <w:tc>
          <w:tcPr>
            <w:tcW w:w="2532" w:type="dxa"/>
          </w:tcPr>
          <w:p>
            <w:pPr>
              <w:pStyle w:val="Compact"/>
              <w:spacing w:after="40"/>
              <w:jc w:val="left"/>
            </w:pPr>
            <w:r>
              <w:rPr>
                <w:sz w:val="18"/>
              </w:rPr>
              <w:t xml:space="preserve">—</w:t>
            </w:r>
          </w:p>
        </w:tc>
        <w:tc>
          <w:tcPr>
            <w:tcW w:w="2645" w:type="dxa"/>
          </w:tcPr>
          <w:p>
            <w:pPr>
              <w:pStyle w:val="Compact"/>
              <w:spacing w:after="40"/>
              <w:jc w:val="left"/>
            </w:pPr>
            <w:r>
              <w:rPr>
                <w:sz w:val="18"/>
              </w:rPr>
              <w:t xml:space="preserve">Life of Loan; deleted on closure or transfer of servicing unless the RE instructs a legal hold (Clause 15.12)</w:t>
            </w:r>
          </w:p>
        </w:tc>
      </w:tr>
      <w:tr>
        <w:tc>
          <w:tcPr>
            <w:tcW w:w="2468" w:type="dxa"/>
          </w:tcPr>
          <w:p>
            <w:pPr>
              <w:pStyle w:val="Compact"/>
              <w:spacing w:after="40"/>
              <w:jc w:val="left"/>
            </w:pPr>
            <w:r>
              <w:rPr>
                <w:sz w:val="18"/>
              </w:rPr>
              <w:t xml:space="preserve">Grievances</w:t>
            </w:r>
          </w:p>
        </w:tc>
        <w:tc>
          <w:tcPr>
            <w:tcW w:w="1993" w:type="dxa"/>
          </w:tcPr>
          <w:p>
            <w:pPr>
              <w:pStyle w:val="Compact"/>
              <w:spacing w:after="40"/>
              <w:jc w:val="left"/>
            </w:pPr>
            <w:r>
              <w:rPr>
                <w:sz w:val="18"/>
              </w:rPr>
              <w:t xml:space="preserve">Yes</w:t>
            </w:r>
          </w:p>
        </w:tc>
        <w:tc>
          <w:tcPr>
            <w:tcW w:w="2532" w:type="dxa"/>
          </w:tcPr>
          <w:p>
            <w:pPr>
              <w:pStyle w:val="Compact"/>
              <w:spacing w:after="40"/>
              <w:jc w:val="left"/>
            </w:pPr>
            <w:r>
              <w:rPr>
                <w:sz w:val="18"/>
              </w:rPr>
              <w:t xml:space="preserve">—</w:t>
            </w:r>
          </w:p>
        </w:tc>
        <w:tc>
          <w:tcPr>
            <w:tcW w:w="2645" w:type="dxa"/>
          </w:tcPr>
          <w:p>
            <w:pPr>
              <w:pStyle w:val="Compact"/>
              <w:spacing w:after="40"/>
              <w:jc w:val="left"/>
            </w:pPr>
            <w:r>
              <w:rPr>
                <w:sz w:val="18"/>
              </w:rPr>
              <w:t xml:space="preserve">[8] years</w:t>
            </w:r>
          </w:p>
        </w:tc>
      </w:tr>
      <w:tr>
        <w:tc>
          <w:tcPr>
            <w:tcW w:w="2468" w:type="dxa"/>
          </w:tcPr>
          <w:p>
            <w:pPr>
              <w:pStyle w:val="Compact"/>
              <w:spacing w:after="40"/>
              <w:jc w:val="left"/>
            </w:pPr>
            <w:r>
              <w:rPr>
                <w:sz w:val="18"/>
              </w:rPr>
              <w:t xml:space="preserve">Recovery records (Schedule 10 only)</w:t>
            </w:r>
          </w:p>
        </w:tc>
        <w:tc>
          <w:tcPr>
            <w:tcW w:w="1993" w:type="dxa"/>
          </w:tcPr>
          <w:p>
            <w:pPr>
              <w:pStyle w:val="Compact"/>
              <w:spacing w:after="40"/>
              <w:jc w:val="left"/>
            </w:pPr>
            <w:r>
              <w:rPr>
                <w:sz w:val="18"/>
              </w:rPr>
              <w:t xml:space="preserve">Yes</w:t>
            </w:r>
          </w:p>
        </w:tc>
        <w:tc>
          <w:tcPr>
            <w:tcW w:w="2532" w:type="dxa"/>
          </w:tcPr>
          <w:p>
            <w:pPr>
              <w:pStyle w:val="Compact"/>
              <w:spacing w:after="40"/>
              <w:jc w:val="left"/>
            </w:pPr>
            <w:r>
              <w:rPr>
                <w:sz w:val="18"/>
              </w:rPr>
              <w:t xml:space="preserve">—</w:t>
            </w:r>
          </w:p>
        </w:tc>
        <w:tc>
          <w:tcPr>
            <w:tcW w:w="2645" w:type="dxa"/>
          </w:tcPr>
          <w:p>
            <w:pPr>
              <w:pStyle w:val="Compact"/>
              <w:spacing w:after="40"/>
              <w:jc w:val="left"/>
            </w:pPr>
            <w:r>
              <w:rPr>
                <w:sz w:val="18"/>
              </w:rPr>
              <w:t xml:space="preserve">Recordings ≥ 6 months from call, longer if sub judice (RBC-3A para 100P [VERIFY]); default [12] months</w:t>
            </w:r>
          </w:p>
        </w:tc>
      </w:tr>
      <w:tr>
        <w:tc>
          <w:tcPr>
            <w:tcW w:w="2468" w:type="dxa"/>
          </w:tcPr>
          <w:p>
            <w:pPr>
              <w:pStyle w:val="Compact"/>
              <w:spacing w:after="40"/>
              <w:jc w:val="left"/>
            </w:pPr>
            <w:r>
              <w:rPr>
                <w:sz w:val="18"/>
              </w:rPr>
              <w:t xml:space="preserve">Device data (contacts, call logs, SMS, files, app list)</w:t>
            </w:r>
          </w:p>
        </w:tc>
        <w:tc>
          <w:tcPr>
            <w:tcW w:w="1993" w:type="dxa"/>
          </w:tcPr>
          <w:p>
            <w:pPr>
              <w:pStyle w:val="Compact"/>
              <w:spacing w:after="40"/>
              <w:jc w:val="left"/>
            </w:pPr>
            <w:r>
              <w:rPr>
                <w:sz w:val="18"/>
              </w:rPr>
              <w:t xml:space="preserve">Never</w:t>
            </w:r>
          </w:p>
        </w:tc>
        <w:tc>
          <w:tcPr>
            <w:tcW w:w="2532" w:type="dxa"/>
          </w:tcPr>
          <w:p>
            <w:pPr>
              <w:pStyle w:val="Compact"/>
              <w:spacing w:after="40"/>
              <w:jc w:val="left"/>
            </w:pPr>
            <w:r>
              <w:rPr>
                <w:sz w:val="18"/>
              </w:rPr>
              <w:t xml:space="preserve">Never</w:t>
            </w:r>
          </w:p>
        </w:tc>
        <w:tc>
          <w:tcPr>
            <w:tcW w:w="2645" w:type="dxa"/>
          </w:tcPr>
          <w:p>
            <w:pPr>
              <w:pStyle w:val="Compact"/>
              <w:spacing w:after="40"/>
              <w:jc w:val="left"/>
            </w:pPr>
            <w:r>
              <w:rPr>
                <w:sz w:val="18"/>
              </w:rPr>
              <w:t xml:space="preserve">Nil (CF para 13(1))</w:t>
            </w:r>
          </w:p>
        </w:tc>
      </w:tr>
    </w:tbl>
    <w:p>
      <w:pPr>
        <w:pStyle w:val="BodyText"/>
      </w:pPr>
      <w:r>
        <w:rPr>
          <w:bCs/>
          <w:b/>
        </w:rPr>
        <w:t xml:space="preserve">7.5 India only. [Mandatory — RBI]</w:t>
      </w:r>
      <w:r>
        <w:t xml:space="preserve"> </w:t>
      </w:r>
      <w:r>
        <w:t xml:space="preserve">All data, including backups, logs, replicas, analytics, crash reports, support tickets and sub-processor copies, is stored only on servers in India; anything processed outside India is deleted there and brought back within 24 hours of processing (CF para 14(4); OUT para 74(vi)). Push payloads and any non-India service carry no personal data.</w:t>
      </w:r>
    </w:p>
    <w:p>
      <w:pPr>
        <w:pStyle w:val="BodyText"/>
      </w:pPr>
      <w:r>
        <w:rPr>
          <w:bCs/>
          <w:b/>
        </w:rPr>
        <w:t xml:space="preserve">7.6 Isolation. [Mandatory — RBI]</w:t>
      </w:r>
      <w:r>
        <w:t xml:space="preserve"> </w:t>
      </w:r>
      <w:r>
        <w:t xml:space="preserve">The RE’s customer information is isolated and identifiable, never commingled with other lenders’ data, and removable or destroyable on termination (OUT paras 26–27, 42). Data from one RE is never used for an offer from, or disclosed to, another RE without the Borrower’s consent naming that RE.</w:t>
      </w:r>
    </w:p>
    <w:p>
      <w:pPr>
        <w:pStyle w:val="BodyText"/>
      </w:pPr>
      <w:r>
        <w:rPr>
          <w:bCs/>
          <w:b/>
        </w:rPr>
        <w:t xml:space="preserve">7.7 Data details. [Mandatory — RBI]</w:t>
      </w:r>
      <w:r>
        <w:t xml:space="preserve"> </w:t>
      </w:r>
      <w:r>
        <w:t xml:space="preserve">The LSP keeps this Part B and the sub-processor list (Schedule 17, Part C) current as its statement of data captured, processed and stored, and of data it may share (OUT para 74(vii)–(viii)).</w:t>
      </w:r>
    </w:p>
    <w:bookmarkEnd w:id="80"/>
    <w:bookmarkStart w:id="81" w:name="part-c-consent"/>
    <w:p>
      <w:pPr>
        <w:pStyle w:val="Heading2"/>
      </w:pPr>
      <w:r>
        <w:t xml:space="preserve">Part C — Consent</w:t>
      </w:r>
    </w:p>
    <w:p>
      <w:pPr>
        <w:pStyle w:val="FirstParagraph"/>
      </w:pPr>
      <w:r>
        <w:rPr>
          <w:bCs/>
          <w:b/>
        </w:rPr>
        <w:t xml:space="preserve">7.8 [Mandatory — RBI]</w:t>
      </w:r>
      <w:r>
        <w:t xml:space="preserve"> </w:t>
      </w:r>
      <w:r>
        <w:t xml:space="preserve">Collection by the DLA is need-based, with prior explicit consent and audit trail (CF para 13(1)); consent is free, specific, informed, unconditional and unambiguous by clear affirmative action (DPDP Act s.6(1)); no pre-ticked, bundled or inferred consent. The purpose is disclosed at each stage, naming the recipient RE(s), data items and retention, before any OS permission prompt (CF para 13(3)). The Borrower may give or deny consent for specific data, restrict third-party disclosure, choose retention, revoke consent and require deletion (CF para 13(2); DPDP Act ss.6(4), 12); withdrawal is as easy as giving consent. Explicit consent precedes any sharing with a third party except where statute or regulation requires (CF para 13(4)); every outbound message carries a consent reference or legal-basis code (Schedule 16).</w:t>
      </w:r>
    </w:p>
    <w:bookmarkEnd w:id="81"/>
    <w:bookmarkStart w:id="82" w:name="X9e4422f3bc3b4e9872b01ab08bcbc43403dfffe"/>
    <w:p>
      <w:pPr>
        <w:pStyle w:val="Heading2"/>
      </w:pPr>
      <w:r>
        <w:t xml:space="preserve">Part D — Device permission policy [Mandatory — RBI]</w:t>
      </w:r>
    </w:p>
    <w:p>
      <w:pPr>
        <w:pStyle w:val="FirstParagraph"/>
      </w:pPr>
      <w:r>
        <w:t xml:space="preserve">The DLA desists from accessing files and media, contact list, call logs and telephony functions; one-time access may be taken for camera, microphone, location or another facility necessary for on-boarding/KYC only, with explicit consent (CF para 13(1)). Every release build is scanned against this table and fails on any prohibited permission; the scan is evidence for Schedule 3, Part C (iii).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498"/>
        <w:gridCol w:w="1392"/>
        <w:gridCol w:w="4748"/>
      </w:tblGrid>
      <w:tr>
        <w:trPr>
          <w:tblHeader w:val="true"/>
          <w:tblHeader w:val="true"/>
        </w:trPr>
        <w:tc>
          <w:tcPr>
            <w:tcW w:w="3498" w:type="dxa"/>
            <w:shd w:val="clear" w:color="auto" w:fill="1F3A5F"/>
          </w:tcPr>
          <w:p>
            <w:pPr>
              <w:pStyle w:val="Compact"/>
              <w:spacing w:after="40"/>
              <w:jc w:val="left"/>
            </w:pPr>
            <w:r>
              <w:rPr>
                <w:b/>
                <w:color w:val="FFFFFF"/>
                <w:sz w:val="18"/>
              </w:rPr>
              <w:t xml:space="preserve">Permission</w:t>
            </w:r>
          </w:p>
        </w:tc>
        <w:tc>
          <w:tcPr>
            <w:tcW w:w="1392" w:type="dxa"/>
            <w:shd w:val="clear" w:color="auto" w:fill="1F3A5F"/>
          </w:tcPr>
          <w:p>
            <w:pPr>
              <w:pStyle w:val="Compact"/>
              <w:spacing w:after="40"/>
              <w:jc w:val="left"/>
            </w:pPr>
            <w:r>
              <w:rPr>
                <w:b/>
                <w:color w:val="FFFFFF"/>
                <w:sz w:val="18"/>
              </w:rPr>
              <w:t xml:space="preserve">Allowed</w:t>
            </w:r>
          </w:p>
        </w:tc>
        <w:tc>
          <w:tcPr>
            <w:tcW w:w="4748" w:type="dxa"/>
            <w:shd w:val="clear" w:color="auto" w:fill="1F3A5F"/>
          </w:tcPr>
          <w:p>
            <w:pPr>
              <w:pStyle w:val="Compact"/>
              <w:spacing w:after="40"/>
              <w:jc w:val="left"/>
            </w:pPr>
            <w:r>
              <w:rPr>
                <w:b/>
                <w:color w:val="FFFFFF"/>
                <w:sz w:val="18"/>
              </w:rPr>
              <w:t xml:space="preserve">When / note</w:t>
            </w:r>
          </w:p>
        </w:tc>
      </w:tr>
      <w:tr>
        <w:tc>
          <w:tcPr>
            <w:tcW w:w="3498" w:type="dxa"/>
          </w:tcPr>
          <w:p>
            <w:pPr>
              <w:pStyle w:val="Compact"/>
              <w:spacing w:after="40"/>
              <w:jc w:val="left"/>
            </w:pPr>
            <w:r>
              <w:rPr>
                <w:sz w:val="18"/>
              </w:rPr>
              <w:t xml:space="preserve">Camera</w:t>
            </w:r>
          </w:p>
        </w:tc>
        <w:tc>
          <w:tcPr>
            <w:tcW w:w="1392" w:type="dxa"/>
          </w:tcPr>
          <w:p>
            <w:pPr>
              <w:pStyle w:val="Compact"/>
              <w:spacing w:after="40"/>
              <w:jc w:val="left"/>
            </w:pPr>
            <w:r>
              <w:rPr>
                <w:sz w:val="18"/>
              </w:rPr>
              <w:t xml:space="preserve">One-time</w:t>
            </w:r>
          </w:p>
        </w:tc>
        <w:tc>
          <w:tcPr>
            <w:tcW w:w="4748" w:type="dxa"/>
          </w:tcPr>
          <w:p>
            <w:pPr>
              <w:pStyle w:val="Compact"/>
              <w:spacing w:after="40"/>
              <w:jc w:val="left"/>
            </w:pPr>
            <w:r>
              <w:rPr>
                <w:sz w:val="18"/>
              </w:rPr>
              <w:t xml:space="preserve">Onboarding/KYC capture, selfie, liveness, V-CIP</w:t>
            </w:r>
          </w:p>
        </w:tc>
      </w:tr>
      <w:tr>
        <w:tc>
          <w:tcPr>
            <w:tcW w:w="3498" w:type="dxa"/>
          </w:tcPr>
          <w:p>
            <w:pPr>
              <w:pStyle w:val="Compact"/>
              <w:spacing w:after="40"/>
              <w:jc w:val="left"/>
            </w:pPr>
            <w:r>
              <w:rPr>
                <w:sz w:val="18"/>
              </w:rPr>
              <w:t xml:space="preserve">Microphone</w:t>
            </w:r>
          </w:p>
        </w:tc>
        <w:tc>
          <w:tcPr>
            <w:tcW w:w="1392" w:type="dxa"/>
          </w:tcPr>
          <w:p>
            <w:pPr>
              <w:pStyle w:val="Compact"/>
              <w:spacing w:after="40"/>
              <w:jc w:val="left"/>
            </w:pPr>
            <w:r>
              <w:rPr>
                <w:sz w:val="18"/>
              </w:rPr>
              <w:t xml:space="preserve">One-time</w:t>
            </w:r>
          </w:p>
        </w:tc>
        <w:tc>
          <w:tcPr>
            <w:tcW w:w="4748" w:type="dxa"/>
          </w:tcPr>
          <w:p>
            <w:pPr>
              <w:pStyle w:val="Compact"/>
              <w:spacing w:after="40"/>
              <w:jc w:val="left"/>
            </w:pPr>
            <w:r>
              <w:rPr>
                <w:sz w:val="18"/>
              </w:rPr>
              <w:t xml:space="preserve">V-CIP conducted by the RE’s official (KYC para 27)</w:t>
            </w:r>
          </w:p>
        </w:tc>
      </w:tr>
      <w:tr>
        <w:tc>
          <w:tcPr>
            <w:tcW w:w="3498" w:type="dxa"/>
          </w:tcPr>
          <w:p>
            <w:pPr>
              <w:pStyle w:val="Compact"/>
              <w:spacing w:after="40"/>
              <w:jc w:val="left"/>
            </w:pPr>
            <w:r>
              <w:rPr>
                <w:sz w:val="18"/>
              </w:rPr>
              <w:t xml:space="preserve">Location (approximate, foreground)</w:t>
            </w:r>
          </w:p>
        </w:tc>
        <w:tc>
          <w:tcPr>
            <w:tcW w:w="1392" w:type="dxa"/>
          </w:tcPr>
          <w:p>
            <w:pPr>
              <w:pStyle w:val="Compact"/>
              <w:spacing w:after="40"/>
              <w:jc w:val="left"/>
            </w:pPr>
            <w:r>
              <w:rPr>
                <w:sz w:val="18"/>
              </w:rPr>
              <w:t xml:space="preserve">One-time</w:t>
            </w:r>
          </w:p>
        </w:tc>
        <w:tc>
          <w:tcPr>
            <w:tcW w:w="4748" w:type="dxa"/>
          </w:tcPr>
          <w:p>
            <w:pPr>
              <w:pStyle w:val="Compact"/>
              <w:spacing w:after="40"/>
              <w:jc w:val="left"/>
            </w:pPr>
            <w:r>
              <w:rPr>
                <w:sz w:val="18"/>
              </w:rPr>
              <w:t xml:space="preserve">Onboarding/KYC only; V-CIP geo-tag captured in the RE’s session (KYC para 27(1)(iv)); ACCESS_FINE_LOCATION barred by Google Play for personal-loan apps</w:t>
            </w:r>
          </w:p>
        </w:tc>
      </w:tr>
      <w:tr>
        <w:tc>
          <w:tcPr>
            <w:tcW w:w="3498" w:type="dxa"/>
          </w:tcPr>
          <w:p>
            <w:pPr>
              <w:pStyle w:val="Compact"/>
              <w:spacing w:after="40"/>
              <w:jc w:val="left"/>
            </w:pPr>
            <w:r>
              <w:rPr>
                <w:sz w:val="18"/>
              </w:rPr>
              <w:t xml:space="preserve">Background location</w:t>
            </w:r>
          </w:p>
        </w:tc>
        <w:tc>
          <w:tcPr>
            <w:tcW w:w="1392" w:type="dxa"/>
          </w:tcPr>
          <w:p>
            <w:pPr>
              <w:pStyle w:val="Compact"/>
              <w:spacing w:after="40"/>
              <w:jc w:val="left"/>
            </w:pPr>
            <w:r>
              <w:rPr>
                <w:sz w:val="18"/>
              </w:rPr>
              <w:t xml:space="preserve">No</w:t>
            </w:r>
          </w:p>
        </w:tc>
        <w:tc>
          <w:tcPr>
            <w:tcW w:w="4748" w:type="dxa"/>
          </w:tcPr>
          <w:p>
            <w:pPr>
              <w:pStyle w:val="Compact"/>
              <w:spacing w:after="40"/>
              <w:jc w:val="left"/>
            </w:pPr>
            <w:r>
              <w:rPr>
                <w:sz w:val="18"/>
              </w:rPr>
              <w:t xml:space="preserve">Never</w:t>
            </w:r>
          </w:p>
        </w:tc>
      </w:tr>
      <w:tr>
        <w:tc>
          <w:tcPr>
            <w:tcW w:w="3498" w:type="dxa"/>
          </w:tcPr>
          <w:p>
            <w:pPr>
              <w:pStyle w:val="Compact"/>
              <w:spacing w:after="40"/>
              <w:jc w:val="left"/>
            </w:pPr>
            <w:r>
              <w:rPr>
                <w:sz w:val="18"/>
              </w:rPr>
              <w:t xml:space="preserve">Files, photos, media, external storage</w:t>
            </w:r>
          </w:p>
        </w:tc>
        <w:tc>
          <w:tcPr>
            <w:tcW w:w="1392" w:type="dxa"/>
          </w:tcPr>
          <w:p>
            <w:pPr>
              <w:pStyle w:val="Compact"/>
              <w:spacing w:after="40"/>
              <w:jc w:val="left"/>
            </w:pPr>
            <w:r>
              <w:rPr>
                <w:sz w:val="18"/>
              </w:rPr>
              <w:t xml:space="preserve">No</w:t>
            </w:r>
          </w:p>
        </w:tc>
        <w:tc>
          <w:tcPr>
            <w:tcW w:w="4748" w:type="dxa"/>
          </w:tcPr>
          <w:p>
            <w:pPr>
              <w:pStyle w:val="Compact"/>
              <w:spacing w:after="40"/>
              <w:jc w:val="left"/>
            </w:pPr>
            <w:r>
              <w:rPr>
                <w:sz w:val="18"/>
              </w:rPr>
              <w:t xml:space="preserve">System picker only, returning the single file chosen [VERIFY: legal view]</w:t>
            </w:r>
          </w:p>
        </w:tc>
      </w:tr>
      <w:tr>
        <w:tc>
          <w:tcPr>
            <w:tcW w:w="3498" w:type="dxa"/>
          </w:tcPr>
          <w:p>
            <w:pPr>
              <w:pStyle w:val="Compact"/>
              <w:spacing w:after="40"/>
              <w:jc w:val="left"/>
            </w:pPr>
            <w:r>
              <w:rPr>
                <w:sz w:val="18"/>
              </w:rPr>
              <w:t xml:space="preserve">Contacts; call logs; SMS read/receive/send; phone state, numbers, IMEI, CALL_PHONE</w:t>
            </w:r>
          </w:p>
        </w:tc>
        <w:tc>
          <w:tcPr>
            <w:tcW w:w="1392" w:type="dxa"/>
          </w:tcPr>
          <w:p>
            <w:pPr>
              <w:pStyle w:val="Compact"/>
              <w:spacing w:after="40"/>
              <w:jc w:val="left"/>
            </w:pPr>
            <w:r>
              <w:rPr>
                <w:sz w:val="18"/>
              </w:rPr>
              <w:t xml:space="preserve">No</w:t>
            </w:r>
          </w:p>
        </w:tc>
        <w:tc>
          <w:tcPr>
            <w:tcW w:w="4748" w:type="dxa"/>
          </w:tcPr>
          <w:p>
            <w:pPr>
              <w:pStyle w:val="Compact"/>
              <w:spacing w:after="40"/>
              <w:jc w:val="left"/>
            </w:pPr>
            <w:r>
              <w:rPr>
                <w:sz w:val="18"/>
              </w:rPr>
              <w:t xml:space="preserve">Never; OTP autofill via SMS Retriever / User Consent API</w:t>
            </w:r>
          </w:p>
        </w:tc>
      </w:tr>
      <w:tr>
        <w:tc>
          <w:tcPr>
            <w:tcW w:w="3498" w:type="dxa"/>
          </w:tcPr>
          <w:p>
            <w:pPr>
              <w:pStyle w:val="Compact"/>
              <w:spacing w:after="40"/>
              <w:jc w:val="left"/>
            </w:pPr>
            <w:r>
              <w:rPr>
                <w:sz w:val="18"/>
              </w:rPr>
              <w:t xml:space="preserve">Installed-apps list; accessibility; overlay</w:t>
            </w:r>
          </w:p>
        </w:tc>
        <w:tc>
          <w:tcPr>
            <w:tcW w:w="1392" w:type="dxa"/>
          </w:tcPr>
          <w:p>
            <w:pPr>
              <w:pStyle w:val="Compact"/>
              <w:spacing w:after="40"/>
              <w:jc w:val="left"/>
            </w:pPr>
            <w:r>
              <w:rPr>
                <w:sz w:val="18"/>
              </w:rPr>
              <w:t xml:space="preserve">No</w:t>
            </w:r>
          </w:p>
        </w:tc>
        <w:tc>
          <w:tcPr>
            <w:tcW w:w="4748" w:type="dxa"/>
          </w:tcPr>
          <w:p>
            <w:pPr>
              <w:pStyle w:val="Compact"/>
              <w:spacing w:after="40"/>
              <w:jc w:val="left"/>
            </w:pPr>
            <w:r>
              <w:rPr>
                <w:sz w:val="18"/>
              </w:rPr>
              <w:t xml:space="preserve">Never (narrow declared list only for remote-access-app detection)</w:t>
            </w:r>
          </w:p>
        </w:tc>
      </w:tr>
      <w:tr>
        <w:tc>
          <w:tcPr>
            <w:tcW w:w="3498" w:type="dxa"/>
          </w:tcPr>
          <w:p>
            <w:pPr>
              <w:pStyle w:val="Compact"/>
              <w:spacing w:after="40"/>
              <w:jc w:val="left"/>
            </w:pPr>
            <w:r>
              <w:rPr>
                <w:sz w:val="18"/>
              </w:rPr>
              <w:t xml:space="preserve">Advertising ID</w:t>
            </w:r>
          </w:p>
        </w:tc>
        <w:tc>
          <w:tcPr>
            <w:tcW w:w="1392" w:type="dxa"/>
          </w:tcPr>
          <w:p>
            <w:pPr>
              <w:pStyle w:val="Compact"/>
              <w:spacing w:after="40"/>
              <w:jc w:val="left"/>
            </w:pPr>
            <w:r>
              <w:rPr>
                <w:sz w:val="18"/>
              </w:rPr>
              <w:t xml:space="preserve">No by default</w:t>
            </w:r>
          </w:p>
        </w:tc>
        <w:tc>
          <w:tcPr>
            <w:tcW w:w="4748" w:type="dxa"/>
          </w:tcPr>
          <w:p>
            <w:pPr>
              <w:pStyle w:val="Compact"/>
              <w:spacing w:after="40"/>
              <w:jc w:val="left"/>
            </w:pPr>
            <w:r>
              <w:rPr>
                <w:sz w:val="18"/>
              </w:rPr>
              <w:t xml:space="preserve">Only with separate marketing consent</w:t>
            </w:r>
          </w:p>
        </w:tc>
      </w:tr>
      <w:tr>
        <w:tc>
          <w:tcPr>
            <w:tcW w:w="3498" w:type="dxa"/>
          </w:tcPr>
          <w:p>
            <w:pPr>
              <w:pStyle w:val="Compact"/>
              <w:spacing w:after="40"/>
              <w:jc w:val="left"/>
            </w:pPr>
            <w:r>
              <w:rPr>
                <w:sz w:val="18"/>
              </w:rPr>
              <w:t xml:space="preserve">Notifications</w:t>
            </w:r>
          </w:p>
        </w:tc>
        <w:tc>
          <w:tcPr>
            <w:tcW w:w="1392" w:type="dxa"/>
          </w:tcPr>
          <w:p>
            <w:pPr>
              <w:pStyle w:val="Compact"/>
              <w:spacing w:after="40"/>
              <w:jc w:val="left"/>
            </w:pPr>
            <w:r>
              <w:rPr>
                <w:sz w:val="18"/>
              </w:rPr>
              <w:t xml:space="preserve">Opt-in</w:t>
            </w:r>
          </w:p>
        </w:tc>
        <w:tc>
          <w:tcPr>
            <w:tcW w:w="4748" w:type="dxa"/>
          </w:tcPr>
          <w:p>
            <w:pPr>
              <w:pStyle w:val="Compact"/>
              <w:spacing w:after="40"/>
              <w:jc w:val="left"/>
            </w:pPr>
            <w:r>
              <w:rPr>
                <w:sz w:val="18"/>
              </w:rPr>
              <w:t xml:space="preserve">Separate service and marketing toggles</w:t>
            </w:r>
          </w:p>
        </w:tc>
      </w:tr>
      <w:tr>
        <w:tc>
          <w:tcPr>
            <w:tcW w:w="3498" w:type="dxa"/>
          </w:tcPr>
          <w:p>
            <w:pPr>
              <w:pStyle w:val="Compact"/>
              <w:spacing w:after="40"/>
              <w:jc w:val="left"/>
            </w:pPr>
            <w:r>
              <w:rPr>
                <w:sz w:val="18"/>
              </w:rPr>
              <w:t xml:space="preserve">Device biometric unlock (OS-held)</w:t>
            </w:r>
          </w:p>
        </w:tc>
        <w:tc>
          <w:tcPr>
            <w:tcW w:w="1392" w:type="dxa"/>
          </w:tcPr>
          <w:p>
            <w:pPr>
              <w:pStyle w:val="Compact"/>
              <w:spacing w:after="40"/>
              <w:jc w:val="left"/>
            </w:pPr>
            <w:r>
              <w:rPr>
                <w:sz w:val="18"/>
              </w:rPr>
              <w:t xml:space="preserve">Optional</w:t>
            </w:r>
          </w:p>
        </w:tc>
        <w:tc>
          <w:tcPr>
            <w:tcW w:w="4748" w:type="dxa"/>
          </w:tcPr>
          <w:p>
            <w:pPr>
              <w:pStyle w:val="Compact"/>
              <w:spacing w:after="40"/>
              <w:jc w:val="left"/>
            </w:pPr>
            <w:r>
              <w:rPr>
                <w:sz w:val="18"/>
              </w:rPr>
              <w:t xml:space="preserve">LSP receives only pass/fail [VERIFY: not</w:t>
            </w:r>
            <w:r>
              <w:rPr>
                <w:sz w:val="18"/>
              </w:rPr>
              <w:t xml:space="preserve"> </w:t>
            </w:r>
            <w:r>
              <w:rPr>
                <w:sz w:val="18"/>
              </w:rPr>
              <w:t xml:space="preserve">“</w:t>
            </w:r>
            <w:r>
              <w:rPr>
                <w:sz w:val="18"/>
              </w:rPr>
              <w:t xml:space="preserve">collection</w:t>
            </w:r>
            <w:r>
              <w:rPr>
                <w:sz w:val="18"/>
              </w:rPr>
              <w:t xml:space="preserve">”</w:t>
            </w:r>
            <w:r>
              <w:rPr>
                <w:sz w:val="18"/>
              </w:rPr>
              <w:t xml:space="preserve"> </w:t>
            </w:r>
            <w:r>
              <w:rPr>
                <w:sz w:val="18"/>
              </w:rPr>
              <w:t xml:space="preserve">under CF para 14(3)]</w:t>
            </w:r>
          </w:p>
        </w:tc>
      </w:tr>
    </w:tbl>
    <w:bookmarkEnd w:id="82"/>
    <w:bookmarkStart w:id="83" w:name="part-e-policies-retention-and-deletion"/>
    <w:p>
      <w:pPr>
        <w:pStyle w:val="Heading2"/>
      </w:pPr>
      <w:r>
        <w:t xml:space="preserve">Part E — Policies, retention and deletion</w:t>
      </w:r>
    </w:p>
    <w:p>
      <w:pPr>
        <w:pStyle w:val="FirstParagraph"/>
      </w:pPr>
      <w:r>
        <w:rPr>
          <w:bCs/>
          <w:b/>
        </w:rPr>
        <w:t xml:space="preserve">7.9 Privacy policy. [Mandatory — RBI]</w:t>
      </w:r>
      <w:r>
        <w:t xml:space="preserve"> </w:t>
      </w:r>
      <w:r>
        <w:t xml:space="preserve">The LSP maintains a comprehensive privacy policy compliant with law and RBI guidelines, publicly available on its website, disclosing third parties (including SDK providers) allowed to collect personal information through the DLA (CF para 15).</w:t>
      </w:r>
    </w:p>
    <w:p>
      <w:pPr>
        <w:pStyle w:val="BodyText"/>
      </w:pPr>
      <w:r>
        <w:rPr>
          <w:bCs/>
          <w:b/>
        </w:rPr>
        <w:t xml:space="preserve">7.10 Storage policy. [Mandatory — RBI]</w:t>
      </w:r>
      <w:r>
        <w:t xml:space="preserve"> </w:t>
      </w:r>
      <w:r>
        <w:t xml:space="preserve">The LSP discloses prominently on its website and DLA at all times a storage policy covering data types, storage period, use restrictions, destruction protocol and breach-handling standards, consistent with the RE’s (CF para 14(2)).</w:t>
      </w:r>
    </w:p>
    <w:p>
      <w:pPr>
        <w:pStyle w:val="BodyText"/>
      </w:pPr>
      <w:r>
        <w:rPr>
          <w:bCs/>
          <w:b/>
        </w:rPr>
        <w:t xml:space="preserve">7.11 Erasure. [Mandatory — Law]</w:t>
      </w:r>
      <w:r>
        <w:t xml:space="preserve"> </w:t>
      </w:r>
      <w:r>
        <w:t xml:space="preserve">Personal data is erased when the purpose is served, consent is withdrawn or retention is no longer legally required (DPDP Act s.8(7)), subject to: RE records under KYC para 47 and the PML Act; retention of personal data and processing logs for at least one year under DPDP Rules, Rule 8(3) (from 13 May 2027); and legal holds notified by the RE (</w:t>
      </w:r>
      <w:r>
        <w:rPr>
          <w:rStyle w:val="VerbatimChar"/>
        </w:rPr>
        <w:t xml:space="preserve">LegalHoldChanged</w:t>
      </w:r>
      <w:r>
        <w:t xml:space="preserve">). Any prior intimation to the data principal required by the Rules is given by the fiduciary concerned [VERIFY: Rule 8]. Each destruction is logged; on exit an independent assurance certificate is issued (OUT para 97(xvi)(d)).</w:t>
      </w:r>
    </w:p>
    <w:bookmarkEnd w:id="83"/>
    <w:bookmarkStart w:id="84" w:name="part-f-rights-breach-aadhaar-and-general"/>
    <w:p>
      <w:pPr>
        <w:pStyle w:val="Heading2"/>
      </w:pPr>
      <w:r>
        <w:t xml:space="preserve">Part F — Rights, breach, Aadhaar and general</w:t>
      </w:r>
    </w:p>
    <w:p>
      <w:pPr>
        <w:pStyle w:val="FirstParagraph"/>
      </w:pPr>
      <w:r>
        <w:rPr>
          <w:bCs/>
          <w:b/>
        </w:rPr>
        <w:t xml:space="preserve">7.12 Rights requests. [Mandatory — Law]</w:t>
      </w:r>
      <w:r>
        <w:t xml:space="preserve"> </w:t>
      </w:r>
      <w:r>
        <w:t xml:space="preserve">Requests for access, correction, erasure, grievance or nomination (DPDP Act ss.11–14) concerning RE purposes are forwarded to the RE within [1] working day (</w:t>
      </w:r>
      <w:r>
        <w:rPr>
          <w:rStyle w:val="VerbatimChar"/>
        </w:rPr>
        <w:t xml:space="preserve">DataPrincipalRequest</w:t>
      </w:r>
      <w:r>
        <w:t xml:space="preserve">) and executed on the RE’s instruction within [3] working days; requests on LSP purposes are handled by the LSP within the period under the DPDP Rules [VERIFY: Rule 14]. Statutory retention by the RE is explained, not overridden.</w:t>
      </w:r>
    </w:p>
    <w:p>
      <w:pPr>
        <w:pStyle w:val="BodyText"/>
      </w:pPr>
      <w:r>
        <w:rPr>
          <w:bCs/>
          <w:b/>
        </w:rPr>
        <w:t xml:space="preserve">7.13 Breach. [Mandatory — Law/RBI]</w:t>
      </w:r>
      <w:r>
        <w:t xml:space="preserve"> </w:t>
      </w:r>
      <w:r>
        <w:t xml:space="preserve">The LSP notifies the RE of any personal data breach under Schedule 12 (target 2 hours), so the fiduciary can intimate the Data Protection Board and affected data principals without delay and file the detailed report within 72 hours (DPDP Act s.8(6); DPDP Rules, Rule 7 [VERIFY]). The LSP discloses every security breach to the RE (OUT para 25); the RE notifies RBI immediately of any breach and leakage of confidential customer information (OUT para 28).</w:t>
      </w:r>
    </w:p>
    <w:p>
      <w:pPr>
        <w:pStyle w:val="BodyText"/>
      </w:pPr>
      <w:r>
        <w:rPr>
          <w:bCs/>
          <w:b/>
        </w:rPr>
        <w:t xml:space="preserve">7.14 Aadhaar. [Mandatory — Law]</w:t>
      </w:r>
      <w:r>
        <w:t xml:space="preserve"> </w:t>
      </w:r>
      <w:r>
        <w:t xml:space="preserve">The LSP does not collect, store or display the full Aadhaar number; uses offline verification or DigiLocker returning masked data; does not perform Aadhaar authentication except on behalf of an RE that is a permitted requesting entity (Aadhaar Act ss.8, 8A, 29; PML Act s.11A); never stores core biometric information (Aadhaar Act s.29(1)); and any Aadhaar Data Vault is held by the RE [VERIFY: current UIDAI circulars].</w:t>
      </w:r>
    </w:p>
    <w:p>
      <w:pPr>
        <w:pStyle w:val="BodyText"/>
      </w:pPr>
      <w:r>
        <w:rPr>
          <w:bCs/>
          <w:b/>
        </w:rPr>
        <w:t xml:space="preserve">7.15 General. [Mandatory — RBI/Law]</w:t>
      </w:r>
      <w:r>
        <w:t xml:space="preserve"> </w:t>
      </w:r>
      <w:r>
        <w:t xml:space="preserve">Reasonable security safeguards per Schedule 8 (DPDP Act s.8(5); IT Act s.43A); confidentiality survives termination (OUT para 34(xi)); no sub-processor without the RE’s prior written consent (OUT para 34(iv); Schedule 17, Part C).</w:t>
      </w:r>
    </w:p>
    <w:p>
      <w:r>
        <w:pict>
          <v:rect style="width:0;height:1.5pt" o:hralign="center" o:hrstd="t" o:hr="t"/>
        </w:pict>
      </w:r>
    </w:p>
    <w:p>
      <w:r>
        <w:br w:type="page"/>
      </w:r>
    </w:p>
    <w:bookmarkEnd w:id="84"/>
    <w:bookmarkEnd w:id="85"/>
    <w:bookmarkStart w:id="87" w:name="X8e65d109020d8fd73ed095d80675e99e81b4dec"/>
    <w:p>
      <w:pPr>
        <w:pStyle w:val="Heading1"/>
      </w:pPr>
      <w:r>
        <w:t xml:space="preserve">SCHEDULE 8 — Information Security and Technology Standards</w:t>
      </w:r>
    </w:p>
    <w:p>
      <w:pPr>
        <w:pStyle w:val="FirstParagraph"/>
      </w:pPr>
      <w:r>
        <w:rPr>
          <w:iCs/>
          <w:i/>
        </w:rPr>
        <w:t xml:space="preserve">Drafting note: This Schedule implements Article 16 (Information Security, Technology Standards and Cyber Resilience). The RE must ensure that its LSPs comply with the cybersecurity standards stipulated by RBI and other agencies (CF para 16). The LSP is a co-branded fintech partner whose arrangement is outsourcing of financial services under OUT Chapter III (OUT para 58(3)(iii)); because it also hosts RE data and runs RE integrations, the Parties apply the IT-outsourcing controls of OUT Chapter IV (for ML/UL REs; OUT para 3(2)) or CYB paras 60–64 (for BL REs with assets of ₹500 crore and above), and the LSP meets the baseline in CYB Chapter V as a vendor standard [Option — recommended for every RE].</w:t>
      </w:r>
    </w:p>
    <w:p>
      <w:pPr>
        <w:pStyle w:val="BodyText"/>
      </w:pPr>
      <w:r>
        <w:rPr>
          <w:bCs/>
          <w:b/>
        </w:rPr>
        <w:t xml:space="preserve">8.1 Applicable layer. [Option]</w:t>
      </w:r>
      <w:r>
        <w:t xml:space="preserve"> </w:t>
      </w:r>
      <w:r>
        <w:t xml:space="preserve">RE layer: [BL &lt; ₹500 crore / BL ≥ ₹500 crore / ML / UL]. Flow-down set: [CYB para 8 / CYB paras 60–64 / OUT Chapter IV and CYB Chapter V].</w:t>
      </w:r>
    </w:p>
    <w:bookmarkStart w:id="86" w:name="part-a-controls-table"/>
    <w:p>
      <w:pPr>
        <w:pStyle w:val="Heading2"/>
      </w:pPr>
      <w:r>
        <w:t xml:space="preserve">Part A — Controls table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59"/>
        <w:gridCol w:w="1320"/>
        <w:gridCol w:w="4259"/>
        <w:gridCol w:w="1996"/>
        <w:gridCol w:w="1304"/>
      </w:tblGrid>
      <w:tr>
        <w:trPr>
          <w:tblHeader w:val="true"/>
          <w:tblHeader w:val="true"/>
        </w:trPr>
        <w:tc>
          <w:tcPr>
            <w:tcW w:w="759" w:type="dxa"/>
            <w:shd w:val="clear" w:color="auto" w:fill="1F3A5F"/>
          </w:tcPr>
          <w:p>
            <w:pPr>
              <w:pStyle w:val="Compact"/>
              <w:spacing w:after="40"/>
              <w:jc w:val="left"/>
            </w:pPr>
            <w:r>
              <w:rPr>
                <w:b/>
                <w:color w:val="FFFFFF"/>
                <w:sz w:val="18"/>
              </w:rPr>
              <w:t xml:space="preserve">#</w:t>
            </w:r>
          </w:p>
        </w:tc>
        <w:tc>
          <w:tcPr>
            <w:tcW w:w="1320" w:type="dxa"/>
            <w:shd w:val="clear" w:color="auto" w:fill="1F3A5F"/>
          </w:tcPr>
          <w:p>
            <w:pPr>
              <w:pStyle w:val="Compact"/>
              <w:spacing w:after="40"/>
              <w:jc w:val="left"/>
            </w:pPr>
            <w:r>
              <w:rPr>
                <w:b/>
                <w:color w:val="FFFFFF"/>
                <w:sz w:val="18"/>
              </w:rPr>
              <w:t xml:space="preserve">Domain</w:t>
            </w:r>
          </w:p>
        </w:tc>
        <w:tc>
          <w:tcPr>
            <w:tcW w:w="4259" w:type="dxa"/>
            <w:shd w:val="clear" w:color="auto" w:fill="1F3A5F"/>
          </w:tcPr>
          <w:p>
            <w:pPr>
              <w:pStyle w:val="Compact"/>
              <w:spacing w:after="40"/>
              <w:jc w:val="left"/>
            </w:pPr>
            <w:r>
              <w:rPr>
                <w:b/>
                <w:color w:val="FFFFFF"/>
                <w:sz w:val="18"/>
              </w:rPr>
              <w:t xml:space="preserve">Control required of the LSP</w:t>
            </w:r>
          </w:p>
        </w:tc>
        <w:tc>
          <w:tcPr>
            <w:tcW w:w="1996" w:type="dxa"/>
            <w:shd w:val="clear" w:color="auto" w:fill="1F3A5F"/>
          </w:tcPr>
          <w:p>
            <w:pPr>
              <w:pStyle w:val="Compact"/>
              <w:spacing w:after="40"/>
              <w:jc w:val="left"/>
            </w:pPr>
            <w:r>
              <w:rPr>
                <w:b/>
                <w:color w:val="FFFFFF"/>
                <w:sz w:val="18"/>
              </w:rPr>
              <w:t xml:space="preserve">Source</w:t>
            </w:r>
          </w:p>
        </w:tc>
        <w:tc>
          <w:tcPr>
            <w:tcW w:w="1304" w:type="dxa"/>
            <w:shd w:val="clear" w:color="auto" w:fill="1F3A5F"/>
          </w:tcPr>
          <w:p>
            <w:pPr>
              <w:pStyle w:val="Compact"/>
              <w:spacing w:after="40"/>
              <w:jc w:val="left"/>
            </w:pPr>
            <w:r>
              <w:rPr>
                <w:b/>
                <w:color w:val="FFFFFF"/>
                <w:sz w:val="18"/>
              </w:rPr>
              <w:t xml:space="preserve">Evidence</w:t>
            </w:r>
          </w:p>
        </w:tc>
      </w:tr>
      <w:tr>
        <w:tc>
          <w:tcPr>
            <w:tcW w:w="759" w:type="dxa"/>
          </w:tcPr>
          <w:p>
            <w:pPr>
              <w:pStyle w:val="Compact"/>
              <w:spacing w:after="40"/>
              <w:jc w:val="left"/>
            </w:pPr>
            <w:r>
              <w:rPr>
                <w:sz w:val="18"/>
              </w:rPr>
              <w:t xml:space="preserve">C1</w:t>
            </w:r>
          </w:p>
        </w:tc>
        <w:tc>
          <w:tcPr>
            <w:tcW w:w="1320" w:type="dxa"/>
          </w:tcPr>
          <w:p>
            <w:pPr>
              <w:pStyle w:val="Compact"/>
              <w:spacing w:after="40"/>
              <w:jc w:val="left"/>
            </w:pPr>
            <w:r>
              <w:rPr>
                <w:sz w:val="18"/>
              </w:rPr>
              <w:t xml:space="preserve">Governance</w:t>
            </w:r>
          </w:p>
        </w:tc>
        <w:tc>
          <w:tcPr>
            <w:tcW w:w="4259" w:type="dxa"/>
          </w:tcPr>
          <w:p>
            <w:pPr>
              <w:pStyle w:val="Compact"/>
              <w:spacing w:after="40"/>
              <w:jc w:val="left"/>
            </w:pPr>
            <w:r>
              <w:rPr>
                <w:sz w:val="18"/>
              </w:rPr>
              <w:t xml:space="preserve">Board-approved information security, cyber security and BCP policies; annual IT risk assessment; named CISO</w:t>
            </w:r>
          </w:p>
        </w:tc>
        <w:tc>
          <w:tcPr>
            <w:tcW w:w="1996" w:type="dxa"/>
          </w:tcPr>
          <w:p>
            <w:pPr>
              <w:pStyle w:val="Compact"/>
              <w:spacing w:after="40"/>
              <w:jc w:val="left"/>
            </w:pPr>
            <w:r>
              <w:rPr>
                <w:sz w:val="18"/>
              </w:rPr>
              <w:t xml:space="preserve">CYB paras 8, 20–22 (by layer); OUT para 30(vii)</w:t>
            </w:r>
          </w:p>
        </w:tc>
        <w:tc>
          <w:tcPr>
            <w:tcW w:w="1304" w:type="dxa"/>
          </w:tcPr>
          <w:p>
            <w:pPr>
              <w:pStyle w:val="Compact"/>
              <w:spacing w:after="40"/>
              <w:jc w:val="left"/>
            </w:pPr>
            <w:r>
              <w:rPr>
                <w:sz w:val="18"/>
              </w:rPr>
              <w:t xml:space="preserve">Policies; risk register</w:t>
            </w:r>
          </w:p>
        </w:tc>
      </w:tr>
      <w:tr>
        <w:tc>
          <w:tcPr>
            <w:tcW w:w="759" w:type="dxa"/>
          </w:tcPr>
          <w:p>
            <w:pPr>
              <w:pStyle w:val="Compact"/>
              <w:spacing w:after="40"/>
              <w:jc w:val="left"/>
            </w:pPr>
            <w:r>
              <w:rPr>
                <w:sz w:val="18"/>
              </w:rPr>
              <w:t xml:space="preserve">C2</w:t>
            </w:r>
          </w:p>
        </w:tc>
        <w:tc>
          <w:tcPr>
            <w:tcW w:w="1320" w:type="dxa"/>
          </w:tcPr>
          <w:p>
            <w:pPr>
              <w:pStyle w:val="Compact"/>
              <w:spacing w:after="40"/>
              <w:jc w:val="left"/>
            </w:pPr>
            <w:r>
              <w:rPr>
                <w:sz w:val="18"/>
              </w:rPr>
              <w:t xml:space="preserve">Certification</w:t>
            </w:r>
          </w:p>
        </w:tc>
        <w:tc>
          <w:tcPr>
            <w:tcW w:w="4259" w:type="dxa"/>
          </w:tcPr>
          <w:p>
            <w:pPr>
              <w:pStyle w:val="Compact"/>
              <w:spacing w:after="40"/>
              <w:jc w:val="left"/>
            </w:pPr>
            <w:r>
              <w:rPr>
                <w:sz w:val="18"/>
              </w:rPr>
              <w:t xml:space="preserve">ISO/IEC 27001 certification and SOC 2 Type II report with scope covering cloud governance, access, configuration, monitoring, encryption, logs, change, incident and resilience</w:t>
            </w:r>
          </w:p>
        </w:tc>
        <w:tc>
          <w:tcPr>
            <w:tcW w:w="1996" w:type="dxa"/>
          </w:tcPr>
          <w:p>
            <w:pPr>
              <w:pStyle w:val="Compact"/>
              <w:spacing w:after="40"/>
              <w:jc w:val="left"/>
            </w:pPr>
            <w:r>
              <w:rPr>
                <w:sz w:val="18"/>
              </w:rPr>
              <w:t xml:space="preserve">OUT paras 79, 97(xvii)</w:t>
            </w:r>
          </w:p>
        </w:tc>
        <w:tc>
          <w:tcPr>
            <w:tcW w:w="1304" w:type="dxa"/>
          </w:tcPr>
          <w:p>
            <w:pPr>
              <w:pStyle w:val="Compact"/>
              <w:spacing w:after="40"/>
              <w:jc w:val="left"/>
            </w:pPr>
            <w:r>
              <w:rPr>
                <w:sz w:val="18"/>
              </w:rPr>
              <w:t xml:space="preserve">Certificates; reports</w:t>
            </w:r>
          </w:p>
        </w:tc>
      </w:tr>
      <w:tr>
        <w:tc>
          <w:tcPr>
            <w:tcW w:w="759" w:type="dxa"/>
          </w:tcPr>
          <w:p>
            <w:pPr>
              <w:pStyle w:val="Compact"/>
              <w:spacing w:after="40"/>
              <w:jc w:val="left"/>
            </w:pPr>
            <w:r>
              <w:rPr>
                <w:sz w:val="18"/>
              </w:rPr>
              <w:t xml:space="preserve">C3</w:t>
            </w:r>
          </w:p>
        </w:tc>
        <w:tc>
          <w:tcPr>
            <w:tcW w:w="1320" w:type="dxa"/>
          </w:tcPr>
          <w:p>
            <w:pPr>
              <w:pStyle w:val="Compact"/>
              <w:spacing w:after="40"/>
              <w:jc w:val="left"/>
            </w:pPr>
            <w:r>
              <w:rPr>
                <w:sz w:val="18"/>
              </w:rPr>
              <w:t xml:space="preserve">Hosting</w:t>
            </w:r>
          </w:p>
        </w:tc>
        <w:tc>
          <w:tcPr>
            <w:tcW w:w="4259" w:type="dxa"/>
          </w:tcPr>
          <w:p>
            <w:pPr>
              <w:pStyle w:val="Compact"/>
              <w:spacing w:after="40"/>
              <w:jc w:val="left"/>
            </w:pPr>
            <w:r>
              <w:rPr>
                <w:sz w:val="18"/>
              </w:rPr>
              <w:t xml:space="preserve">India-only cloud regions; DC and DR geographically separated; CSP selected on risk assessment; shared-responsibility mapping</w:t>
            </w:r>
          </w:p>
        </w:tc>
        <w:tc>
          <w:tcPr>
            <w:tcW w:w="1996" w:type="dxa"/>
          </w:tcPr>
          <w:p>
            <w:pPr>
              <w:pStyle w:val="Compact"/>
              <w:spacing w:after="40"/>
              <w:jc w:val="left"/>
            </w:pPr>
            <w:r>
              <w:rPr>
                <w:sz w:val="18"/>
              </w:rPr>
              <w:t xml:space="preserve">CF para 14(4); OUT para 97(iii)–(vi); CYB para 102</w:t>
            </w:r>
          </w:p>
        </w:tc>
        <w:tc>
          <w:tcPr>
            <w:tcW w:w="1304" w:type="dxa"/>
          </w:tcPr>
          <w:p>
            <w:pPr>
              <w:pStyle w:val="Compact"/>
              <w:spacing w:after="40"/>
              <w:jc w:val="left"/>
            </w:pPr>
            <w:r>
              <w:rPr>
                <w:sz w:val="18"/>
              </w:rPr>
              <w:t xml:space="preserve">Architecture; CSP contracts</w:t>
            </w:r>
          </w:p>
        </w:tc>
      </w:tr>
      <w:tr>
        <w:tc>
          <w:tcPr>
            <w:tcW w:w="759" w:type="dxa"/>
          </w:tcPr>
          <w:p>
            <w:pPr>
              <w:pStyle w:val="Compact"/>
              <w:spacing w:after="40"/>
              <w:jc w:val="left"/>
            </w:pPr>
            <w:r>
              <w:rPr>
                <w:sz w:val="18"/>
              </w:rPr>
              <w:t xml:space="preserve">C4</w:t>
            </w:r>
          </w:p>
        </w:tc>
        <w:tc>
          <w:tcPr>
            <w:tcW w:w="1320" w:type="dxa"/>
          </w:tcPr>
          <w:p>
            <w:pPr>
              <w:pStyle w:val="Compact"/>
              <w:spacing w:after="40"/>
              <w:jc w:val="left"/>
            </w:pPr>
            <w:r>
              <w:rPr>
                <w:sz w:val="18"/>
              </w:rPr>
              <w:t xml:space="preserve">Multi-tenancy</w:t>
            </w:r>
          </w:p>
        </w:tc>
        <w:tc>
          <w:tcPr>
            <w:tcW w:w="4259" w:type="dxa"/>
          </w:tcPr>
          <w:p>
            <w:pPr>
              <w:pStyle w:val="Compact"/>
              <w:spacing w:after="40"/>
              <w:jc w:val="left"/>
            </w:pPr>
            <w:r>
              <w:rPr>
                <w:sz w:val="18"/>
              </w:rPr>
              <w:t xml:space="preserve">Logical isolation per RE; no commingling; per-RE encryption keys</w:t>
            </w:r>
          </w:p>
        </w:tc>
        <w:tc>
          <w:tcPr>
            <w:tcW w:w="1996" w:type="dxa"/>
          </w:tcPr>
          <w:p>
            <w:pPr>
              <w:pStyle w:val="Compact"/>
              <w:spacing w:after="40"/>
              <w:jc w:val="left"/>
            </w:pPr>
            <w:r>
              <w:rPr>
                <w:sz w:val="18"/>
              </w:rPr>
              <w:t xml:space="preserve">OUT paras 26–27, 97(vii)(c)</w:t>
            </w:r>
          </w:p>
        </w:tc>
        <w:tc>
          <w:tcPr>
            <w:tcW w:w="1304" w:type="dxa"/>
          </w:tcPr>
          <w:p>
            <w:pPr>
              <w:pStyle w:val="Compact"/>
              <w:spacing w:after="40"/>
              <w:jc w:val="left"/>
            </w:pPr>
            <w:r>
              <w:rPr>
                <w:sz w:val="18"/>
              </w:rPr>
              <w:t xml:space="preserve">Design review; tests</w:t>
            </w:r>
          </w:p>
        </w:tc>
      </w:tr>
      <w:tr>
        <w:tc>
          <w:tcPr>
            <w:tcW w:w="759" w:type="dxa"/>
          </w:tcPr>
          <w:p>
            <w:pPr>
              <w:pStyle w:val="Compact"/>
              <w:spacing w:after="40"/>
              <w:jc w:val="left"/>
            </w:pPr>
            <w:r>
              <w:rPr>
                <w:sz w:val="18"/>
              </w:rPr>
              <w:t xml:space="preserve">C5</w:t>
            </w:r>
          </w:p>
        </w:tc>
        <w:tc>
          <w:tcPr>
            <w:tcW w:w="1320" w:type="dxa"/>
          </w:tcPr>
          <w:p>
            <w:pPr>
              <w:pStyle w:val="Compact"/>
              <w:spacing w:after="40"/>
              <w:jc w:val="left"/>
            </w:pPr>
            <w:r>
              <w:rPr>
                <w:sz w:val="18"/>
              </w:rPr>
              <w:t xml:space="preserve">Cryptography</w:t>
            </w:r>
          </w:p>
        </w:tc>
        <w:tc>
          <w:tcPr>
            <w:tcW w:w="4259" w:type="dxa"/>
          </w:tcPr>
          <w:p>
            <w:pPr>
              <w:pStyle w:val="Compact"/>
              <w:spacing w:after="40"/>
              <w:jc w:val="left"/>
            </w:pPr>
            <w:r>
              <w:rPr>
                <w:sz w:val="18"/>
              </w:rPr>
              <w:t xml:space="preserve">TLS 1.2 or higher (1.3 preferred); AES-256 at rest; field-level encryption for PAN, bank account, DOB; keys in India KMS/HSM; RE-controlled keys where the RE requires</w:t>
            </w:r>
          </w:p>
        </w:tc>
        <w:tc>
          <w:tcPr>
            <w:tcW w:w="1996" w:type="dxa"/>
          </w:tcPr>
          <w:p>
            <w:pPr>
              <w:pStyle w:val="Compact"/>
              <w:spacing w:after="40"/>
              <w:jc w:val="left"/>
            </w:pPr>
            <w:r>
              <w:rPr>
                <w:sz w:val="18"/>
              </w:rPr>
              <w:t xml:space="preserve">OUT para 97(vii)(b); CYB para 118</w:t>
            </w:r>
          </w:p>
        </w:tc>
        <w:tc>
          <w:tcPr>
            <w:tcW w:w="1304" w:type="dxa"/>
          </w:tcPr>
          <w:p>
            <w:pPr>
              <w:pStyle w:val="Compact"/>
              <w:spacing w:after="40"/>
              <w:jc w:val="left"/>
            </w:pPr>
            <w:r>
              <w:rPr>
                <w:sz w:val="18"/>
              </w:rPr>
              <w:t xml:space="preserve">Key inventory</w:t>
            </w:r>
          </w:p>
        </w:tc>
      </w:tr>
      <w:tr>
        <w:tc>
          <w:tcPr>
            <w:tcW w:w="759" w:type="dxa"/>
          </w:tcPr>
          <w:p>
            <w:pPr>
              <w:pStyle w:val="Compact"/>
              <w:spacing w:after="40"/>
              <w:jc w:val="left"/>
            </w:pPr>
            <w:r>
              <w:rPr>
                <w:sz w:val="18"/>
              </w:rPr>
              <w:t xml:space="preserve">C6</w:t>
            </w:r>
          </w:p>
        </w:tc>
        <w:tc>
          <w:tcPr>
            <w:tcW w:w="1320" w:type="dxa"/>
          </w:tcPr>
          <w:p>
            <w:pPr>
              <w:pStyle w:val="Compact"/>
              <w:spacing w:after="40"/>
              <w:jc w:val="left"/>
            </w:pPr>
            <w:r>
              <w:rPr>
                <w:sz w:val="18"/>
              </w:rPr>
              <w:t xml:space="preserve">Identity and access</w:t>
            </w:r>
          </w:p>
        </w:tc>
        <w:tc>
          <w:tcPr>
            <w:tcW w:w="4259" w:type="dxa"/>
          </w:tcPr>
          <w:p>
            <w:pPr>
              <w:pStyle w:val="Compact"/>
              <w:spacing w:after="40"/>
              <w:jc w:val="left"/>
            </w:pPr>
            <w:r>
              <w:rPr>
                <w:sz w:val="18"/>
              </w:rPr>
              <w:t xml:space="preserve">SSO with MFA for all staff and RE users; MFA for privileged users and critical actions; PAM with session recording; least privilege and need-to-know; SoD matrix; quarterly access reviews; leavers removed within [4] hours</w:t>
            </w:r>
          </w:p>
        </w:tc>
        <w:tc>
          <w:tcPr>
            <w:tcW w:w="1996" w:type="dxa"/>
          </w:tcPr>
          <w:p>
            <w:pPr>
              <w:pStyle w:val="Compact"/>
              <w:spacing w:after="40"/>
              <w:jc w:val="left"/>
            </w:pPr>
            <w:r>
              <w:rPr>
                <w:sz w:val="18"/>
              </w:rPr>
              <w:t xml:space="preserve">OUT paras 24, 97(viii); CYB paras 113–115</w:t>
            </w:r>
          </w:p>
        </w:tc>
        <w:tc>
          <w:tcPr>
            <w:tcW w:w="1304" w:type="dxa"/>
          </w:tcPr>
          <w:p>
            <w:pPr>
              <w:pStyle w:val="Compact"/>
              <w:spacing w:after="40"/>
              <w:jc w:val="left"/>
            </w:pPr>
            <w:r>
              <w:rPr>
                <w:sz w:val="18"/>
              </w:rPr>
              <w:t xml:space="preserve">Access reviews; PAM logs</w:t>
            </w:r>
          </w:p>
        </w:tc>
      </w:tr>
      <w:tr>
        <w:tc>
          <w:tcPr>
            <w:tcW w:w="759" w:type="dxa"/>
          </w:tcPr>
          <w:p>
            <w:pPr>
              <w:pStyle w:val="Compact"/>
              <w:spacing w:after="40"/>
              <w:jc w:val="left"/>
            </w:pPr>
            <w:r>
              <w:rPr>
                <w:sz w:val="18"/>
              </w:rPr>
              <w:t xml:space="preserve">C7</w:t>
            </w:r>
          </w:p>
        </w:tc>
        <w:tc>
          <w:tcPr>
            <w:tcW w:w="1320" w:type="dxa"/>
          </w:tcPr>
          <w:p>
            <w:pPr>
              <w:pStyle w:val="Compact"/>
              <w:spacing w:after="40"/>
              <w:jc w:val="left"/>
            </w:pPr>
            <w:r>
              <w:rPr>
                <w:sz w:val="18"/>
              </w:rPr>
              <w:t xml:space="preserve">Application security</w:t>
            </w:r>
          </w:p>
        </w:tc>
        <w:tc>
          <w:tcPr>
            <w:tcW w:w="4259" w:type="dxa"/>
          </w:tcPr>
          <w:p>
            <w:pPr>
              <w:pStyle w:val="Compact"/>
              <w:spacing w:after="40"/>
              <w:jc w:val="left"/>
            </w:pPr>
            <w:r>
              <w:rPr>
                <w:sz w:val="18"/>
              </w:rPr>
              <w:t xml:space="preserve">OWASP ASVS Level 2 for web and APIs; input validation; BOLA/IDOR tests; webhook signature and replay protection; WAF and DDoS protection</w:t>
            </w:r>
          </w:p>
        </w:tc>
        <w:tc>
          <w:tcPr>
            <w:tcW w:w="1996" w:type="dxa"/>
          </w:tcPr>
          <w:p>
            <w:pPr>
              <w:pStyle w:val="Compact"/>
              <w:spacing w:after="40"/>
              <w:jc w:val="left"/>
            </w:pPr>
            <w:r>
              <w:rPr>
                <w:sz w:val="18"/>
              </w:rPr>
              <w:t xml:space="preserve">CYB paras 26–27</w:t>
            </w:r>
          </w:p>
        </w:tc>
        <w:tc>
          <w:tcPr>
            <w:tcW w:w="1304" w:type="dxa"/>
          </w:tcPr>
          <w:p>
            <w:pPr>
              <w:pStyle w:val="Compact"/>
              <w:spacing w:after="40"/>
              <w:jc w:val="left"/>
            </w:pPr>
            <w:r>
              <w:rPr>
                <w:sz w:val="18"/>
              </w:rPr>
              <w:t xml:space="preserve">Test reports</w:t>
            </w:r>
          </w:p>
        </w:tc>
      </w:tr>
      <w:tr>
        <w:tc>
          <w:tcPr>
            <w:tcW w:w="759" w:type="dxa"/>
          </w:tcPr>
          <w:p>
            <w:pPr>
              <w:pStyle w:val="Compact"/>
              <w:spacing w:after="40"/>
              <w:jc w:val="left"/>
            </w:pPr>
            <w:r>
              <w:rPr>
                <w:sz w:val="18"/>
              </w:rPr>
              <w:t xml:space="preserve">C8</w:t>
            </w:r>
          </w:p>
        </w:tc>
        <w:tc>
          <w:tcPr>
            <w:tcW w:w="1320" w:type="dxa"/>
          </w:tcPr>
          <w:p>
            <w:pPr>
              <w:pStyle w:val="Compact"/>
              <w:spacing w:after="40"/>
              <w:jc w:val="left"/>
            </w:pPr>
            <w:r>
              <w:rPr>
                <w:sz w:val="18"/>
              </w:rPr>
              <w:t xml:space="preserve">Mobile app security</w:t>
            </w:r>
          </w:p>
        </w:tc>
        <w:tc>
          <w:tcPr>
            <w:tcW w:w="4259" w:type="dxa"/>
          </w:tcPr>
          <w:p>
            <w:pPr>
              <w:pStyle w:val="Compact"/>
              <w:spacing w:after="40"/>
              <w:jc w:val="left"/>
            </w:pPr>
            <w:r>
              <w:rPr>
                <w:sz w:val="18"/>
              </w:rPr>
              <w:t xml:space="preserve">OWASP MASVS (v2.x) L2 plus resilience controls; secure storage only in Keystore/Keychain; certificate pinning to LSP API domains; root/jailbreak, tamper and repackaging detection; Play Integrity / App Attest verification server-side; no secrets in the app bundle</w:t>
            </w:r>
          </w:p>
        </w:tc>
        <w:tc>
          <w:tcPr>
            <w:tcW w:w="1996" w:type="dxa"/>
          </w:tcPr>
          <w:p>
            <w:pPr>
              <w:pStyle w:val="Compact"/>
              <w:spacing w:after="40"/>
              <w:jc w:val="left"/>
            </w:pPr>
            <w:r>
              <w:rPr>
                <w:sz w:val="18"/>
              </w:rPr>
              <w:t xml:space="preserve">CF para 16; RBI Digital Payment Security Controls Directions (baseline) [VERIFY]</w:t>
            </w:r>
          </w:p>
        </w:tc>
        <w:tc>
          <w:tcPr>
            <w:tcW w:w="1304" w:type="dxa"/>
          </w:tcPr>
          <w:p>
            <w:pPr>
              <w:pStyle w:val="Compact"/>
              <w:spacing w:after="40"/>
              <w:jc w:val="left"/>
            </w:pPr>
            <w:r>
              <w:rPr>
                <w:sz w:val="18"/>
              </w:rPr>
              <w:t xml:space="preserve">MASVS assessment per major release</w:t>
            </w:r>
          </w:p>
        </w:tc>
      </w:tr>
      <w:tr>
        <w:tc>
          <w:tcPr>
            <w:tcW w:w="759" w:type="dxa"/>
          </w:tcPr>
          <w:p>
            <w:pPr>
              <w:pStyle w:val="Compact"/>
              <w:spacing w:after="40"/>
              <w:jc w:val="left"/>
            </w:pPr>
            <w:r>
              <w:rPr>
                <w:sz w:val="18"/>
              </w:rPr>
              <w:t xml:space="preserve">C9</w:t>
            </w:r>
          </w:p>
        </w:tc>
        <w:tc>
          <w:tcPr>
            <w:tcW w:w="1320" w:type="dxa"/>
          </w:tcPr>
          <w:p>
            <w:pPr>
              <w:pStyle w:val="Compact"/>
              <w:spacing w:after="40"/>
              <w:jc w:val="left"/>
            </w:pPr>
            <w:r>
              <w:rPr>
                <w:sz w:val="18"/>
              </w:rPr>
              <w:t xml:space="preserve">Secure development</w:t>
            </w:r>
          </w:p>
        </w:tc>
        <w:tc>
          <w:tcPr>
            <w:tcW w:w="4259" w:type="dxa"/>
          </w:tcPr>
          <w:p>
            <w:pPr>
              <w:pStyle w:val="Compact"/>
              <w:spacing w:after="40"/>
              <w:jc w:val="left"/>
            </w:pPr>
            <w:r>
              <w:rPr>
                <w:sz w:val="18"/>
              </w:rPr>
              <w:t xml:space="preserve">SAST, SCA, secret scanning, SBOM per release; signed builds; pinned dependencies</w:t>
            </w:r>
          </w:p>
        </w:tc>
        <w:tc>
          <w:tcPr>
            <w:tcW w:w="1996" w:type="dxa"/>
          </w:tcPr>
          <w:p>
            <w:pPr>
              <w:pStyle w:val="Compact"/>
              <w:spacing w:after="40"/>
              <w:jc w:val="left"/>
            </w:pPr>
            <w:r>
              <w:rPr>
                <w:sz w:val="18"/>
              </w:rPr>
              <w:t xml:space="preserve">CYB paras 106, 112</w:t>
            </w:r>
          </w:p>
        </w:tc>
        <w:tc>
          <w:tcPr>
            <w:tcW w:w="1304" w:type="dxa"/>
          </w:tcPr>
          <w:p>
            <w:pPr>
              <w:pStyle w:val="Compact"/>
              <w:spacing w:after="40"/>
              <w:jc w:val="left"/>
            </w:pPr>
            <w:r>
              <w:rPr>
                <w:sz w:val="18"/>
              </w:rPr>
              <w:t xml:space="preserve">Pipeline evidence</w:t>
            </w:r>
          </w:p>
        </w:tc>
      </w:tr>
      <w:tr>
        <w:tc>
          <w:tcPr>
            <w:tcW w:w="759" w:type="dxa"/>
          </w:tcPr>
          <w:p>
            <w:pPr>
              <w:pStyle w:val="Compact"/>
              <w:spacing w:after="40"/>
              <w:jc w:val="left"/>
            </w:pPr>
            <w:r>
              <w:rPr>
                <w:sz w:val="18"/>
              </w:rPr>
              <w:t xml:space="preserve">C10</w:t>
            </w:r>
          </w:p>
        </w:tc>
        <w:tc>
          <w:tcPr>
            <w:tcW w:w="1320" w:type="dxa"/>
          </w:tcPr>
          <w:p>
            <w:pPr>
              <w:pStyle w:val="Compact"/>
              <w:spacing w:after="40"/>
              <w:jc w:val="left"/>
            </w:pPr>
            <w:r>
              <w:rPr>
                <w:sz w:val="18"/>
              </w:rPr>
              <w:t xml:space="preserve">Vendor certificate</w:t>
            </w:r>
          </w:p>
        </w:tc>
        <w:tc>
          <w:tcPr>
            <w:tcW w:w="4259" w:type="dxa"/>
          </w:tcPr>
          <w:p>
            <w:pPr>
              <w:pStyle w:val="Compact"/>
              <w:spacing w:after="40"/>
              <w:jc w:val="left"/>
            </w:pPr>
            <w:r>
              <w:rPr>
                <w:sz w:val="18"/>
              </w:rPr>
              <w:t xml:space="preserve">Written certificate that the application is free of known vulnerabilities, malware and covert channels, at onboarding and on each material change (materiality as defined in para 8.4)</w:t>
            </w:r>
          </w:p>
        </w:tc>
        <w:tc>
          <w:tcPr>
            <w:tcW w:w="1996" w:type="dxa"/>
          </w:tcPr>
          <w:p>
            <w:pPr>
              <w:pStyle w:val="Compact"/>
              <w:spacing w:after="40"/>
              <w:jc w:val="left"/>
            </w:pPr>
            <w:r>
              <w:rPr>
                <w:sz w:val="18"/>
              </w:rPr>
              <w:t xml:space="preserve">CYB para 106</w:t>
            </w:r>
          </w:p>
        </w:tc>
        <w:tc>
          <w:tcPr>
            <w:tcW w:w="1304" w:type="dxa"/>
          </w:tcPr>
          <w:p>
            <w:pPr>
              <w:pStyle w:val="Compact"/>
              <w:spacing w:after="40"/>
              <w:jc w:val="left"/>
            </w:pPr>
            <w:r>
              <w:rPr>
                <w:sz w:val="18"/>
              </w:rPr>
              <w:t xml:space="preserve">Certificate</w:t>
            </w:r>
          </w:p>
        </w:tc>
      </w:tr>
      <w:tr>
        <w:tc>
          <w:tcPr>
            <w:tcW w:w="759" w:type="dxa"/>
          </w:tcPr>
          <w:p>
            <w:pPr>
              <w:pStyle w:val="Compact"/>
              <w:spacing w:after="40"/>
              <w:jc w:val="left"/>
            </w:pPr>
            <w:r>
              <w:rPr>
                <w:sz w:val="18"/>
              </w:rPr>
              <w:t xml:space="preserve">C11</w:t>
            </w:r>
          </w:p>
        </w:tc>
        <w:tc>
          <w:tcPr>
            <w:tcW w:w="1320" w:type="dxa"/>
          </w:tcPr>
          <w:p>
            <w:pPr>
              <w:pStyle w:val="Compact"/>
              <w:spacing w:after="40"/>
              <w:jc w:val="left"/>
            </w:pPr>
            <w:r>
              <w:rPr>
                <w:sz w:val="18"/>
              </w:rPr>
              <w:t xml:space="preserve">VA/PT</w:t>
            </w:r>
          </w:p>
        </w:tc>
        <w:tc>
          <w:tcPr>
            <w:tcW w:w="4259" w:type="dxa"/>
          </w:tcPr>
          <w:p>
            <w:pPr>
              <w:pStyle w:val="Compact"/>
              <w:spacing w:after="40"/>
              <w:jc w:val="left"/>
            </w:pPr>
            <w:r>
              <w:rPr>
                <w:sz w:val="18"/>
              </w:rPr>
              <w:t xml:space="preserve">VA at least every 6 months and PT at least every 12 months on critical and internet-facing systems, and pre- and post-implementation and after change; by appropriately trained independent experts (CERT-In empanelled by policy); on production; documented approach with CVSS scoring</w:t>
            </w:r>
          </w:p>
        </w:tc>
        <w:tc>
          <w:tcPr>
            <w:tcW w:w="1996" w:type="dxa"/>
          </w:tcPr>
          <w:p>
            <w:pPr>
              <w:pStyle w:val="Compact"/>
              <w:spacing w:after="40"/>
              <w:jc w:val="left"/>
            </w:pPr>
            <w:r>
              <w:rPr>
                <w:sz w:val="18"/>
              </w:rPr>
              <w:t xml:space="preserve">CYB paras 121–126</w:t>
            </w:r>
          </w:p>
        </w:tc>
        <w:tc>
          <w:tcPr>
            <w:tcW w:w="1304" w:type="dxa"/>
          </w:tcPr>
          <w:p>
            <w:pPr>
              <w:pStyle w:val="Compact"/>
              <w:spacing w:after="40"/>
              <w:jc w:val="left"/>
            </w:pPr>
            <w:r>
              <w:rPr>
                <w:sz w:val="18"/>
              </w:rPr>
              <w:t xml:space="preserve">Reports; remediation tracker</w:t>
            </w:r>
          </w:p>
        </w:tc>
      </w:tr>
      <w:tr>
        <w:tc>
          <w:tcPr>
            <w:tcW w:w="759" w:type="dxa"/>
          </w:tcPr>
          <w:p>
            <w:pPr>
              <w:pStyle w:val="Compact"/>
              <w:spacing w:after="40"/>
              <w:jc w:val="left"/>
            </w:pPr>
            <w:r>
              <w:rPr>
                <w:sz w:val="18"/>
              </w:rPr>
              <w:t xml:space="preserve">C12</w:t>
            </w:r>
          </w:p>
        </w:tc>
        <w:tc>
          <w:tcPr>
            <w:tcW w:w="1320" w:type="dxa"/>
          </w:tcPr>
          <w:p>
            <w:pPr>
              <w:pStyle w:val="Compact"/>
              <w:spacing w:after="40"/>
              <w:jc w:val="left"/>
            </w:pPr>
            <w:r>
              <w:rPr>
                <w:sz w:val="18"/>
              </w:rPr>
              <w:t xml:space="preserve">Remediation</w:t>
            </w:r>
          </w:p>
        </w:tc>
        <w:tc>
          <w:tcPr>
            <w:tcW w:w="4259" w:type="dxa"/>
          </w:tcPr>
          <w:p>
            <w:pPr>
              <w:pStyle w:val="Compact"/>
              <w:spacing w:after="40"/>
              <w:jc w:val="left"/>
            </w:pPr>
            <w:r>
              <w:rPr>
                <w:sz w:val="18"/>
              </w:rPr>
              <w:t xml:space="preserve">Critical findings closed within [7] days, high within [30] days, medium within [90] days; recurrence prevention</w:t>
            </w:r>
          </w:p>
        </w:tc>
        <w:tc>
          <w:tcPr>
            <w:tcW w:w="1996" w:type="dxa"/>
          </w:tcPr>
          <w:p>
            <w:pPr>
              <w:pStyle w:val="Compact"/>
              <w:spacing w:after="40"/>
              <w:jc w:val="left"/>
            </w:pPr>
            <w:r>
              <w:rPr>
                <w:sz w:val="18"/>
              </w:rPr>
              <w:t xml:space="preserve">CYB para 125</w:t>
            </w:r>
          </w:p>
        </w:tc>
        <w:tc>
          <w:tcPr>
            <w:tcW w:w="1304" w:type="dxa"/>
          </w:tcPr>
          <w:p>
            <w:pPr>
              <w:pStyle w:val="Compact"/>
              <w:spacing w:after="40"/>
              <w:jc w:val="left"/>
            </w:pPr>
            <w:r>
              <w:rPr>
                <w:sz w:val="18"/>
              </w:rPr>
              <w:t xml:space="preserve">Tracker</w:t>
            </w:r>
          </w:p>
        </w:tc>
      </w:tr>
      <w:tr>
        <w:tc>
          <w:tcPr>
            <w:tcW w:w="759" w:type="dxa"/>
          </w:tcPr>
          <w:p>
            <w:pPr>
              <w:pStyle w:val="Compact"/>
              <w:spacing w:after="40"/>
              <w:jc w:val="left"/>
            </w:pPr>
            <w:r>
              <w:rPr>
                <w:sz w:val="18"/>
              </w:rPr>
              <w:t xml:space="preserve">C13</w:t>
            </w:r>
          </w:p>
        </w:tc>
        <w:tc>
          <w:tcPr>
            <w:tcW w:w="1320" w:type="dxa"/>
          </w:tcPr>
          <w:p>
            <w:pPr>
              <w:pStyle w:val="Compact"/>
              <w:spacing w:after="40"/>
              <w:jc w:val="left"/>
            </w:pPr>
            <w:r>
              <w:rPr>
                <w:sz w:val="18"/>
              </w:rPr>
              <w:t xml:space="preserve">Logging and audit trails</w:t>
            </w:r>
          </w:p>
        </w:tc>
        <w:tc>
          <w:tcPr>
            <w:tcW w:w="4259" w:type="dxa"/>
          </w:tcPr>
          <w:p>
            <w:pPr>
              <w:pStyle w:val="Compact"/>
              <w:spacing w:after="40"/>
              <w:jc w:val="left"/>
            </w:pPr>
            <w:r>
              <w:rPr>
                <w:sz w:val="18"/>
              </w:rPr>
              <w:t xml:space="preserve">Audit trails for every system accessing RE data; administrative logs retained and accessible to the RE on approved request; ICT logs kept in India for 180 days rolling (CERT-In Directions, 28 Apr 2022); processing logs for at least one year (DPDP Rules, Rule 8(3), from 13 May 2027); NTP-synchronised clocks; no PAN, Aadhaar, OTP, account numbers or images in logs</w:t>
            </w:r>
          </w:p>
        </w:tc>
        <w:tc>
          <w:tcPr>
            <w:tcW w:w="1996" w:type="dxa"/>
          </w:tcPr>
          <w:p>
            <w:pPr>
              <w:pStyle w:val="Compact"/>
              <w:spacing w:after="40"/>
              <w:jc w:val="left"/>
            </w:pPr>
            <w:r>
              <w:rPr>
                <w:sz w:val="18"/>
              </w:rPr>
              <w:t xml:space="preserve">CYB paras 62(2)(i), 109–111; CERT-In Directions</w:t>
            </w:r>
          </w:p>
        </w:tc>
        <w:tc>
          <w:tcPr>
            <w:tcW w:w="1304" w:type="dxa"/>
          </w:tcPr>
          <w:p>
            <w:pPr>
              <w:pStyle w:val="Compact"/>
              <w:spacing w:after="40"/>
              <w:jc w:val="left"/>
            </w:pPr>
            <w:r>
              <w:rPr>
                <w:sz w:val="18"/>
              </w:rPr>
              <w:t xml:space="preserve">Log policy; samples</w:t>
            </w:r>
          </w:p>
        </w:tc>
      </w:tr>
      <w:tr>
        <w:tc>
          <w:tcPr>
            <w:tcW w:w="759" w:type="dxa"/>
          </w:tcPr>
          <w:p>
            <w:pPr>
              <w:pStyle w:val="Compact"/>
              <w:spacing w:after="40"/>
              <w:jc w:val="left"/>
            </w:pPr>
            <w:r>
              <w:rPr>
                <w:sz w:val="18"/>
              </w:rPr>
              <w:t xml:space="preserve">C14</w:t>
            </w:r>
          </w:p>
        </w:tc>
        <w:tc>
          <w:tcPr>
            <w:tcW w:w="1320" w:type="dxa"/>
          </w:tcPr>
          <w:p>
            <w:pPr>
              <w:pStyle w:val="Compact"/>
              <w:spacing w:after="40"/>
              <w:jc w:val="left"/>
            </w:pPr>
            <w:r>
              <w:rPr>
                <w:sz w:val="18"/>
              </w:rPr>
              <w:t xml:space="preserve">Monitoring and SOC</w:t>
            </w:r>
          </w:p>
        </w:tc>
        <w:tc>
          <w:tcPr>
            <w:tcW w:w="4259" w:type="dxa"/>
          </w:tcPr>
          <w:p>
            <w:pPr>
              <w:pStyle w:val="Compact"/>
              <w:spacing w:after="40"/>
              <w:jc w:val="left"/>
            </w:pPr>
            <w:r>
              <w:rPr>
                <w:sz w:val="18"/>
              </w:rPr>
              <w:t xml:space="preserve">24x7 monitoring; SIEM; integration of logs and alerts into the RE’s SOC where required</w:t>
            </w:r>
          </w:p>
        </w:tc>
        <w:tc>
          <w:tcPr>
            <w:tcW w:w="1996" w:type="dxa"/>
          </w:tcPr>
          <w:p>
            <w:pPr>
              <w:pStyle w:val="Compact"/>
              <w:spacing w:after="40"/>
              <w:jc w:val="left"/>
            </w:pPr>
            <w:r>
              <w:rPr>
                <w:sz w:val="18"/>
              </w:rPr>
              <w:t xml:space="preserve">OUT para 97(xi); CYB para 139</w:t>
            </w:r>
          </w:p>
        </w:tc>
        <w:tc>
          <w:tcPr>
            <w:tcW w:w="1304" w:type="dxa"/>
          </w:tcPr>
          <w:p>
            <w:pPr>
              <w:pStyle w:val="Compact"/>
              <w:spacing w:after="40"/>
              <w:jc w:val="left"/>
            </w:pPr>
            <w:r>
              <w:rPr>
                <w:sz w:val="18"/>
              </w:rPr>
              <w:t xml:space="preserve">SOC runbook</w:t>
            </w:r>
          </w:p>
        </w:tc>
      </w:tr>
      <w:tr>
        <w:tc>
          <w:tcPr>
            <w:tcW w:w="759" w:type="dxa"/>
          </w:tcPr>
          <w:p>
            <w:pPr>
              <w:pStyle w:val="Compact"/>
              <w:spacing w:after="40"/>
              <w:jc w:val="left"/>
            </w:pPr>
            <w:r>
              <w:rPr>
                <w:sz w:val="18"/>
              </w:rPr>
              <w:t xml:space="preserve">C15</w:t>
            </w:r>
          </w:p>
        </w:tc>
        <w:tc>
          <w:tcPr>
            <w:tcW w:w="1320" w:type="dxa"/>
          </w:tcPr>
          <w:p>
            <w:pPr>
              <w:pStyle w:val="Compact"/>
              <w:spacing w:after="40"/>
              <w:jc w:val="left"/>
            </w:pPr>
            <w:r>
              <w:rPr>
                <w:sz w:val="18"/>
              </w:rPr>
              <w:t xml:space="preserve">Incident response</w:t>
            </w:r>
          </w:p>
        </w:tc>
        <w:tc>
          <w:tcPr>
            <w:tcW w:w="4259" w:type="dxa"/>
          </w:tcPr>
          <w:p>
            <w:pPr>
              <w:pStyle w:val="Compact"/>
              <w:spacing w:after="40"/>
              <w:jc w:val="left"/>
            </w:pPr>
            <w:r>
              <w:rPr>
                <w:sz w:val="18"/>
              </w:rPr>
              <w:t xml:space="preserve">Documented incident response and recovery procedures; notification under Schedule 12; forensic support; participation in RE crisis drills</w:t>
            </w:r>
          </w:p>
        </w:tc>
        <w:tc>
          <w:tcPr>
            <w:tcW w:w="1996" w:type="dxa"/>
          </w:tcPr>
          <w:p>
            <w:pPr>
              <w:pStyle w:val="Compact"/>
              <w:spacing w:after="40"/>
              <w:jc w:val="left"/>
            </w:pPr>
            <w:r>
              <w:rPr>
                <w:sz w:val="18"/>
              </w:rPr>
              <w:t xml:space="preserve">OUT para 61; CYB paras 25, 139–146</w:t>
            </w:r>
          </w:p>
        </w:tc>
        <w:tc>
          <w:tcPr>
            <w:tcW w:w="1304" w:type="dxa"/>
          </w:tcPr>
          <w:p>
            <w:pPr>
              <w:pStyle w:val="Compact"/>
              <w:spacing w:after="40"/>
              <w:jc w:val="left"/>
            </w:pPr>
            <w:r>
              <w:rPr>
                <w:sz w:val="18"/>
              </w:rPr>
              <w:t xml:space="preserve">Playbooks; drill reports</w:t>
            </w:r>
          </w:p>
        </w:tc>
      </w:tr>
      <w:tr>
        <w:tc>
          <w:tcPr>
            <w:tcW w:w="759" w:type="dxa"/>
          </w:tcPr>
          <w:p>
            <w:pPr>
              <w:pStyle w:val="Compact"/>
              <w:spacing w:after="40"/>
              <w:jc w:val="left"/>
            </w:pPr>
            <w:r>
              <w:rPr>
                <w:sz w:val="18"/>
              </w:rPr>
              <w:t xml:space="preserve">C16</w:t>
            </w:r>
          </w:p>
        </w:tc>
        <w:tc>
          <w:tcPr>
            <w:tcW w:w="1320" w:type="dxa"/>
          </w:tcPr>
          <w:p>
            <w:pPr>
              <w:pStyle w:val="Compact"/>
              <w:spacing w:after="40"/>
              <w:jc w:val="left"/>
            </w:pPr>
            <w:r>
              <w:rPr>
                <w:sz w:val="18"/>
              </w:rPr>
              <w:t xml:space="preserve">Change management</w:t>
            </w:r>
          </w:p>
        </w:tc>
        <w:tc>
          <w:tcPr>
            <w:tcW w:w="4259" w:type="dxa"/>
          </w:tcPr>
          <w:p>
            <w:pPr>
              <w:pStyle w:val="Compact"/>
              <w:spacing w:after="40"/>
              <w:jc w:val="left"/>
            </w:pPr>
            <w:r>
              <w:rPr>
                <w:sz w:val="18"/>
              </w:rPr>
              <w:t xml:space="preserve">Documented change control; RE notice for changes affecting RE data, DLA permissions, matching mechanism or fund-flow configuration</w:t>
            </w:r>
          </w:p>
        </w:tc>
        <w:tc>
          <w:tcPr>
            <w:tcW w:w="1996" w:type="dxa"/>
          </w:tcPr>
          <w:p>
            <w:pPr>
              <w:pStyle w:val="Compact"/>
              <w:spacing w:after="40"/>
              <w:jc w:val="left"/>
            </w:pPr>
            <w:r>
              <w:rPr>
                <w:sz w:val="18"/>
              </w:rPr>
              <w:t xml:space="preserve">CYB para 112</w:t>
            </w:r>
          </w:p>
        </w:tc>
        <w:tc>
          <w:tcPr>
            <w:tcW w:w="1304" w:type="dxa"/>
          </w:tcPr>
          <w:p>
            <w:pPr>
              <w:pStyle w:val="Compact"/>
              <w:spacing w:after="40"/>
              <w:jc w:val="left"/>
            </w:pPr>
            <w:r>
              <w:rPr>
                <w:sz w:val="18"/>
              </w:rPr>
              <w:t xml:space="preserve">Change log</w:t>
            </w:r>
          </w:p>
        </w:tc>
      </w:tr>
      <w:tr>
        <w:tc>
          <w:tcPr>
            <w:tcW w:w="759" w:type="dxa"/>
          </w:tcPr>
          <w:p>
            <w:pPr>
              <w:pStyle w:val="Compact"/>
              <w:spacing w:after="40"/>
              <w:jc w:val="left"/>
            </w:pPr>
            <w:r>
              <w:rPr>
                <w:sz w:val="18"/>
              </w:rPr>
              <w:t xml:space="preserve">C18</w:t>
            </w:r>
          </w:p>
        </w:tc>
        <w:tc>
          <w:tcPr>
            <w:tcW w:w="1320" w:type="dxa"/>
          </w:tcPr>
          <w:p>
            <w:pPr>
              <w:pStyle w:val="Compact"/>
              <w:spacing w:after="40"/>
              <w:jc w:val="left"/>
            </w:pPr>
            <w:r>
              <w:rPr>
                <w:sz w:val="18"/>
              </w:rPr>
              <w:t xml:space="preserve">Backup and DR</w:t>
            </w:r>
          </w:p>
        </w:tc>
        <w:tc>
          <w:tcPr>
            <w:tcW w:w="4259" w:type="dxa"/>
          </w:tcPr>
          <w:p>
            <w:pPr>
              <w:pStyle w:val="Compact"/>
              <w:spacing w:after="40"/>
              <w:jc w:val="left"/>
            </w:pPr>
            <w:r>
              <w:rPr>
                <w:sz w:val="18"/>
              </w:rPr>
              <w:t xml:space="preserve">Encrypted immutable backups in India; quarterly restore tests; DR drills at least half-yearly for systems supporting RE critical operations</w:t>
            </w:r>
          </w:p>
        </w:tc>
        <w:tc>
          <w:tcPr>
            <w:tcW w:w="1996" w:type="dxa"/>
          </w:tcPr>
          <w:p>
            <w:pPr>
              <w:pStyle w:val="Compact"/>
              <w:spacing w:after="40"/>
              <w:jc w:val="left"/>
            </w:pPr>
            <w:r>
              <w:rPr>
                <w:sz w:val="18"/>
              </w:rPr>
              <w:t xml:space="preserve">CYB paras 129, 133</w:t>
            </w:r>
          </w:p>
        </w:tc>
        <w:tc>
          <w:tcPr>
            <w:tcW w:w="1304" w:type="dxa"/>
          </w:tcPr>
          <w:p>
            <w:pPr>
              <w:pStyle w:val="Compact"/>
              <w:spacing w:after="40"/>
              <w:jc w:val="left"/>
            </w:pPr>
            <w:r>
              <w:rPr>
                <w:sz w:val="18"/>
              </w:rPr>
              <w:t xml:space="preserve">Drill reports</w:t>
            </w:r>
          </w:p>
        </w:tc>
      </w:tr>
      <w:tr>
        <w:tc>
          <w:tcPr>
            <w:tcW w:w="759" w:type="dxa"/>
          </w:tcPr>
          <w:p>
            <w:pPr>
              <w:pStyle w:val="Compact"/>
              <w:spacing w:after="40"/>
              <w:jc w:val="left"/>
            </w:pPr>
            <w:r>
              <w:rPr>
                <w:sz w:val="18"/>
              </w:rPr>
              <w:t xml:space="preserve">C19</w:t>
            </w:r>
          </w:p>
        </w:tc>
        <w:tc>
          <w:tcPr>
            <w:tcW w:w="1320" w:type="dxa"/>
          </w:tcPr>
          <w:p>
            <w:pPr>
              <w:pStyle w:val="Compact"/>
              <w:spacing w:after="40"/>
              <w:jc w:val="left"/>
            </w:pPr>
            <w:r>
              <w:rPr>
                <w:sz w:val="18"/>
              </w:rPr>
              <w:t xml:space="preserve">Source-code escrow (if RE requires)</w:t>
            </w:r>
          </w:p>
        </w:tc>
        <w:tc>
          <w:tcPr>
            <w:tcW w:w="4259" w:type="dxa"/>
          </w:tcPr>
          <w:p>
            <w:pPr>
              <w:pStyle w:val="Compact"/>
              <w:spacing w:after="40"/>
              <w:jc w:val="left"/>
            </w:pPr>
            <w:r>
              <w:rPr>
                <w:sz w:val="18"/>
              </w:rPr>
              <w:t xml:space="preserve">Escrow with an independent agent including all updates and fixes</w:t>
            </w:r>
          </w:p>
        </w:tc>
        <w:tc>
          <w:tcPr>
            <w:tcW w:w="1996" w:type="dxa"/>
          </w:tcPr>
          <w:p>
            <w:pPr>
              <w:pStyle w:val="Compact"/>
              <w:spacing w:after="40"/>
              <w:jc w:val="left"/>
            </w:pPr>
            <w:r>
              <w:rPr>
                <w:sz w:val="18"/>
              </w:rPr>
              <w:t xml:space="preserve">CYB para 105</w:t>
            </w:r>
          </w:p>
        </w:tc>
        <w:tc>
          <w:tcPr>
            <w:tcW w:w="1304" w:type="dxa"/>
          </w:tcPr>
          <w:p>
            <w:pPr>
              <w:pStyle w:val="Compact"/>
              <w:spacing w:after="40"/>
              <w:jc w:val="left"/>
            </w:pPr>
            <w:r>
              <w:rPr>
                <w:sz w:val="18"/>
              </w:rPr>
              <w:t xml:space="preserve">Escrow agreement; deposit receipts</w:t>
            </w:r>
          </w:p>
        </w:tc>
      </w:tr>
      <w:tr>
        <w:tc>
          <w:tcPr>
            <w:tcW w:w="759" w:type="dxa"/>
          </w:tcPr>
          <w:p>
            <w:pPr>
              <w:pStyle w:val="Compact"/>
              <w:spacing w:after="40"/>
              <w:jc w:val="left"/>
            </w:pPr>
            <w:r>
              <w:rPr>
                <w:sz w:val="18"/>
              </w:rPr>
              <w:t xml:space="preserve">C21</w:t>
            </w:r>
          </w:p>
        </w:tc>
        <w:tc>
          <w:tcPr>
            <w:tcW w:w="1320" w:type="dxa"/>
          </w:tcPr>
          <w:p>
            <w:pPr>
              <w:pStyle w:val="Compact"/>
              <w:spacing w:after="40"/>
              <w:jc w:val="left"/>
            </w:pPr>
            <w:r>
              <w:rPr>
                <w:sz w:val="18"/>
              </w:rPr>
              <w:t xml:space="preserve">Supply chain</w:t>
            </w:r>
          </w:p>
        </w:tc>
        <w:tc>
          <w:tcPr>
            <w:tcW w:w="4259" w:type="dxa"/>
          </w:tcPr>
          <w:p>
            <w:pPr>
              <w:pStyle w:val="Compact"/>
              <w:spacing w:after="40"/>
              <w:jc w:val="left"/>
            </w:pPr>
            <w:r>
              <w:rPr>
                <w:sz w:val="18"/>
              </w:rPr>
              <w:t xml:space="preserve">Inventory of sub-contractors and key supply-chain entities; RE right to information; back-to-back terms with OEMs and CSPs</w:t>
            </w:r>
          </w:p>
        </w:tc>
        <w:tc>
          <w:tcPr>
            <w:tcW w:w="1996" w:type="dxa"/>
          </w:tcPr>
          <w:p>
            <w:pPr>
              <w:pStyle w:val="Compact"/>
              <w:spacing w:after="40"/>
              <w:jc w:val="left"/>
            </w:pPr>
            <w:r>
              <w:rPr>
                <w:sz w:val="18"/>
              </w:rPr>
              <w:t xml:space="preserve">OUT paras 74(xi), 74(xiii), 74(xviii), 82; CYB para 117</w:t>
            </w:r>
          </w:p>
        </w:tc>
        <w:tc>
          <w:tcPr>
            <w:tcW w:w="1304" w:type="dxa"/>
          </w:tcPr>
          <w:p>
            <w:pPr>
              <w:pStyle w:val="Compact"/>
              <w:spacing w:after="40"/>
              <w:jc w:val="left"/>
            </w:pPr>
            <w:r>
              <w:rPr>
                <w:sz w:val="18"/>
              </w:rPr>
              <w:t xml:space="preserve">Schedule 17, Part C</w:t>
            </w:r>
          </w:p>
        </w:tc>
      </w:tr>
      <w:tr>
        <w:tc>
          <w:tcPr>
            <w:tcW w:w="759" w:type="dxa"/>
          </w:tcPr>
          <w:p>
            <w:pPr>
              <w:pStyle w:val="Compact"/>
              <w:spacing w:after="40"/>
              <w:jc w:val="left"/>
            </w:pPr>
            <w:r>
              <w:rPr>
                <w:sz w:val="18"/>
              </w:rPr>
              <w:t xml:space="preserve">C23</w:t>
            </w:r>
          </w:p>
        </w:tc>
        <w:tc>
          <w:tcPr>
            <w:tcW w:w="1320" w:type="dxa"/>
          </w:tcPr>
          <w:p>
            <w:pPr>
              <w:pStyle w:val="Compact"/>
              <w:spacing w:after="40"/>
              <w:jc w:val="left"/>
            </w:pPr>
            <w:r>
              <w:rPr>
                <w:sz w:val="18"/>
              </w:rPr>
              <w:t xml:space="preserve">Personnel</w:t>
            </w:r>
          </w:p>
        </w:tc>
        <w:tc>
          <w:tcPr>
            <w:tcW w:w="4259" w:type="dxa"/>
          </w:tcPr>
          <w:p>
            <w:pPr>
              <w:pStyle w:val="Compact"/>
              <w:spacing w:after="40"/>
              <w:jc w:val="left"/>
            </w:pPr>
            <w:r>
              <w:rPr>
                <w:sz w:val="18"/>
              </w:rPr>
              <w:t xml:space="preserve">Background verification of staff with access to RE data; confidentiality undertakings; annual security and privacy training</w:t>
            </w:r>
          </w:p>
        </w:tc>
        <w:tc>
          <w:tcPr>
            <w:tcW w:w="1996" w:type="dxa"/>
          </w:tcPr>
          <w:p>
            <w:pPr>
              <w:pStyle w:val="Compact"/>
              <w:spacing w:after="40"/>
              <w:jc w:val="left"/>
            </w:pPr>
            <w:r>
              <w:rPr>
                <w:sz w:val="18"/>
              </w:rPr>
              <w:t xml:space="preserve">OUT para 30(vi); RBC para 98</w:t>
            </w:r>
          </w:p>
        </w:tc>
        <w:tc>
          <w:tcPr>
            <w:tcW w:w="1304" w:type="dxa"/>
          </w:tcPr>
          <w:p>
            <w:pPr>
              <w:pStyle w:val="Compact"/>
              <w:spacing w:after="40"/>
              <w:jc w:val="left"/>
            </w:pPr>
            <w:r>
              <w:rPr>
                <w:sz w:val="18"/>
              </w:rPr>
              <w:t xml:space="preserve">Records</w:t>
            </w:r>
          </w:p>
        </w:tc>
      </w:tr>
      <w:tr>
        <w:tc>
          <w:tcPr>
            <w:tcW w:w="759" w:type="dxa"/>
          </w:tcPr>
          <w:p>
            <w:pPr>
              <w:pStyle w:val="Compact"/>
              <w:spacing w:after="40"/>
              <w:jc w:val="left"/>
            </w:pPr>
            <w:r>
              <w:rPr>
                <w:sz w:val="18"/>
              </w:rPr>
              <w:t xml:space="preserve">C24</w:t>
            </w:r>
          </w:p>
        </w:tc>
        <w:tc>
          <w:tcPr>
            <w:tcW w:w="1320" w:type="dxa"/>
          </w:tcPr>
          <w:p>
            <w:pPr>
              <w:pStyle w:val="Compact"/>
              <w:spacing w:after="40"/>
              <w:jc w:val="left"/>
            </w:pPr>
            <w:r>
              <w:rPr>
                <w:sz w:val="18"/>
              </w:rPr>
              <w:t xml:space="preserve">AI components</w:t>
            </w:r>
          </w:p>
        </w:tc>
        <w:tc>
          <w:tcPr>
            <w:tcW w:w="4259" w:type="dxa"/>
          </w:tcPr>
          <w:p>
            <w:pPr>
              <w:pStyle w:val="Compact"/>
              <w:spacing w:after="40"/>
              <w:jc w:val="left"/>
            </w:pPr>
            <w:r>
              <w:rPr>
                <w:sz w:val="18"/>
              </w:rPr>
              <w:t xml:space="preserve">Any AI used in Borrower interactions discloses that it is automated, offers a human, is limited to approved knowledge sources and never makes or communicates a credit, KYC, settlement or grievance decision; prompts sent to models hosted outside India are redacted of personal data</w:t>
            </w:r>
          </w:p>
        </w:tc>
        <w:tc>
          <w:tcPr>
            <w:tcW w:w="1996" w:type="dxa"/>
          </w:tcPr>
          <w:p>
            <w:pPr>
              <w:pStyle w:val="Compact"/>
              <w:spacing w:after="40"/>
              <w:jc w:val="left"/>
            </w:pPr>
            <w:r>
              <w:rPr>
                <w:sz w:val="18"/>
              </w:rPr>
              <w:t xml:space="preserve">CF paras 13–14; OUT para 15 [REC]</w:t>
            </w:r>
          </w:p>
        </w:tc>
        <w:tc>
          <w:tcPr>
            <w:tcW w:w="1304" w:type="dxa"/>
          </w:tcPr>
          <w:p>
            <w:pPr>
              <w:pStyle w:val="Compact"/>
              <w:spacing w:after="40"/>
              <w:jc w:val="left"/>
            </w:pPr>
            <w:r>
              <w:rPr>
                <w:sz w:val="18"/>
              </w:rPr>
              <w:t xml:space="preserve">AI register</w:t>
            </w:r>
          </w:p>
        </w:tc>
      </w:tr>
    </w:tbl>
    <w:p>
      <w:pPr>
        <w:pStyle w:val="BodyText"/>
      </w:pPr>
      <w:r>
        <w:rPr>
          <w:bCs/>
          <w:b/>
        </w:rPr>
        <w:t xml:space="preserve">8.2 Standards updates. [Mandatory — RBI]</w:t>
      </w:r>
      <w:r>
        <w:t xml:space="preserve"> </w:t>
      </w:r>
      <w:r>
        <w:t xml:space="preserve">Where RBI, CERT-In, UIDAI, NPCI or MeitY issue new or amended standards applicable to digital lending, the LSP shall comply within the time specified by the issuer or, if none, within [90] days, through the change process in Article 32 (CF para 16; OUT para 74(xiv)).</w:t>
      </w:r>
    </w:p>
    <w:p>
      <w:pPr>
        <w:pStyle w:val="BodyText"/>
      </w:pPr>
      <w:r>
        <w:rPr>
          <w:bCs/>
          <w:b/>
        </w:rPr>
        <w:t xml:space="preserve">8.3 Testing evidence. [Mandatory — RBI]</w:t>
      </w:r>
      <w:r>
        <w:t xml:space="preserve"> </w:t>
      </w:r>
      <w:r>
        <w:t xml:space="preserve">The LSP shall share VA/PT reports (or executive summaries with full reports available for inspection), remediation status and certificates with the RE within [15] days of receipt (OUT paras 25, 34(vii); CYB para 62(2)(ii)).</w:t>
      </w:r>
    </w:p>
    <w:p>
      <w:pPr>
        <w:pStyle w:val="BodyText"/>
      </w:pPr>
      <w:r>
        <w:rPr>
          <w:bCs/>
          <w:b/>
        </w:rPr>
        <w:t xml:space="preserve">8.4 Material change. [Option]</w:t>
      </w:r>
      <w:r>
        <w:t xml:space="preserve"> </w:t>
      </w:r>
      <w:r>
        <w:t xml:space="preserve">“</w:t>
      </w:r>
      <w:r>
        <w:t xml:space="preserve">Material change</w:t>
      </w:r>
      <w:r>
        <w:t xml:space="preserve">”</w:t>
      </w:r>
      <w:r>
        <w:t xml:space="preserve"> </w:t>
      </w:r>
      <w:r>
        <w:t xml:space="preserve">for C10 means a change to code that could impact functionality, security or performance, excluding routine maintenance such as minor bug fixes and performance optimisations that do not alter core functions, security posture or compliance status (CYB para 106), and always includes a change to the permission table, data flows, fund-flow configuration or matching mechanism.</w:t>
      </w:r>
    </w:p>
    <w:p>
      <w:pPr>
        <w:pStyle w:val="BodyText"/>
      </w:pPr>
      <w:r>
        <w:rPr>
          <w:bCs/>
          <w:b/>
        </w:rPr>
        <w:t xml:space="preserve">8.5 Keys. [Mandatory — RBI for ML/UL REs]</w:t>
      </w:r>
      <w:r>
        <w:t xml:space="preserve"> </w:t>
      </w:r>
      <w:r>
        <w:t xml:space="preserve">Where the RE so requires, encryption keys protecting the RE’s data shall be under the RE’s control (BYOK/HYOK) and held in HSMs (OUT para 97(vii)(b)). Signing keys used for regulated messages (Schedule 16) shall be HSM-backed and rotated at least annually.</w:t>
      </w:r>
    </w:p>
    <w:p>
      <w:r>
        <w:pict>
          <v:rect style="width:0;height:1.5pt" o:hralign="center" o:hrstd="t" o:hr="t"/>
        </w:pict>
      </w:r>
    </w:p>
    <w:p>
      <w:r>
        <w:br w:type="page"/>
      </w:r>
    </w:p>
    <w:bookmarkEnd w:id="86"/>
    <w:bookmarkEnd w:id="87"/>
    <w:bookmarkStart w:id="92" w:name="schedule-9-grievance-redressal-protocol"/>
    <w:p>
      <w:pPr>
        <w:pStyle w:val="Heading1"/>
      </w:pPr>
      <w:r>
        <w:t xml:space="preserve">SCHEDULE 9 — Grievance Redressal Protocol</w:t>
      </w:r>
    </w:p>
    <w:p>
      <w:pPr>
        <w:pStyle w:val="FirstParagraph"/>
      </w:pPr>
      <w:r>
        <w:rPr>
          <w:iCs/>
          <w:i/>
        </w:rPr>
        <w:t xml:space="preserve">Drafting note: This Schedule implements Article 14 (Grievance Redressal). Responsibility for grievance redressal remains with the RE (CF para 12(3); OUT para 56); the LSP, as an LSP with a borrower interface, designates its own nodal grievance redressal officer (CF para 12(1)).</w:t>
      </w:r>
    </w:p>
    <w:bookmarkStart w:id="88" w:name="part-a-officers"/>
    <w:p>
      <w:pPr>
        <w:pStyle w:val="Heading2"/>
      </w:pPr>
      <w:r>
        <w:t xml:space="preserve">Part A — Officers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10"/>
        <w:gridCol w:w="1032"/>
        <w:gridCol w:w="1032"/>
        <w:gridCol w:w="1032"/>
        <w:gridCol w:w="1032"/>
        <w:gridCol w:w="1032"/>
        <w:gridCol w:w="1032"/>
        <w:gridCol w:w="1036"/>
      </w:tblGrid>
      <w:tr>
        <w:trPr>
          <w:tblHeader w:val="true"/>
          <w:tblHeader w:val="true"/>
        </w:trPr>
        <w:tc>
          <w:tcPr>
            <w:tcW w:w="2410" w:type="dxa"/>
            <w:shd w:val="clear" w:color="auto" w:fill="1F3A5F"/>
          </w:tcPr>
          <w:p>
            <w:pPr>
              <w:pStyle w:val="Compact"/>
              <w:spacing w:after="40"/>
              <w:jc w:val="left"/>
            </w:pPr>
            <w:r>
              <w:rPr>
                <w:b/>
                <w:color w:val="FFFFFF"/>
                <w:sz w:val="18"/>
              </w:rPr>
              <w:t xml:space="preserve">Role</w:t>
            </w:r>
          </w:p>
        </w:tc>
        <w:tc>
          <w:tcPr>
            <w:tcW w:w="1032" w:type="dxa"/>
            <w:shd w:val="clear" w:color="auto" w:fill="1F3A5F"/>
          </w:tcPr>
          <w:p>
            <w:pPr>
              <w:pStyle w:val="Compact"/>
              <w:spacing w:after="40"/>
              <w:jc w:val="left"/>
            </w:pPr>
            <w:r>
              <w:rPr>
                <w:b/>
                <w:color w:val="FFFFFF"/>
                <w:sz w:val="18"/>
              </w:rPr>
              <w:t xml:space="preserve">Name</w:t>
            </w:r>
          </w:p>
        </w:tc>
        <w:tc>
          <w:tcPr>
            <w:tcW w:w="1032" w:type="dxa"/>
            <w:shd w:val="clear" w:color="auto" w:fill="1F3A5F"/>
          </w:tcPr>
          <w:p>
            <w:pPr>
              <w:pStyle w:val="Compact"/>
              <w:spacing w:after="40"/>
              <w:jc w:val="left"/>
            </w:pPr>
            <w:r>
              <w:rPr>
                <w:b/>
                <w:color w:val="FFFFFF"/>
                <w:sz w:val="18"/>
              </w:rPr>
              <w:t xml:space="preserve">Designation</w:t>
            </w:r>
          </w:p>
        </w:tc>
        <w:tc>
          <w:tcPr>
            <w:tcW w:w="1032" w:type="dxa"/>
            <w:shd w:val="clear" w:color="auto" w:fill="1F3A5F"/>
          </w:tcPr>
          <w:p>
            <w:pPr>
              <w:pStyle w:val="Compact"/>
              <w:spacing w:after="40"/>
              <w:jc w:val="left"/>
            </w:pPr>
            <w:r>
              <w:rPr>
                <w:b/>
                <w:color w:val="FFFFFF"/>
                <w:sz w:val="18"/>
              </w:rPr>
              <w:t xml:space="preserve">Email</w:t>
            </w:r>
          </w:p>
        </w:tc>
        <w:tc>
          <w:tcPr>
            <w:tcW w:w="1032" w:type="dxa"/>
            <w:shd w:val="clear" w:color="auto" w:fill="1F3A5F"/>
          </w:tcPr>
          <w:p>
            <w:pPr>
              <w:pStyle w:val="Compact"/>
              <w:spacing w:after="40"/>
              <w:jc w:val="left"/>
            </w:pPr>
            <w:r>
              <w:rPr>
                <w:b/>
                <w:color w:val="FFFFFF"/>
                <w:sz w:val="18"/>
              </w:rPr>
              <w:t xml:space="preserve">Telephone</w:t>
            </w:r>
          </w:p>
        </w:tc>
        <w:tc>
          <w:tcPr>
            <w:tcW w:w="1032" w:type="dxa"/>
            <w:shd w:val="clear" w:color="auto" w:fill="1F3A5F"/>
          </w:tcPr>
          <w:p>
            <w:pPr>
              <w:pStyle w:val="Compact"/>
              <w:spacing w:after="40"/>
              <w:jc w:val="left"/>
            </w:pPr>
            <w:r>
              <w:rPr>
                <w:b/>
                <w:color w:val="FFFFFF"/>
                <w:sz w:val="18"/>
              </w:rPr>
              <w:t xml:space="preserve">Mobile</w:t>
            </w:r>
          </w:p>
        </w:tc>
        <w:tc>
          <w:tcPr>
            <w:tcW w:w="1032" w:type="dxa"/>
            <w:shd w:val="clear" w:color="auto" w:fill="1F3A5F"/>
          </w:tcPr>
          <w:p>
            <w:pPr>
              <w:pStyle w:val="Compact"/>
              <w:spacing w:after="40"/>
              <w:jc w:val="left"/>
            </w:pPr>
            <w:r>
              <w:rPr>
                <w:b/>
                <w:color w:val="FFFFFF"/>
                <w:sz w:val="18"/>
              </w:rPr>
              <w:t xml:space="preserve">Address</w:t>
            </w:r>
          </w:p>
        </w:tc>
        <w:tc>
          <w:tcPr>
            <w:tcW w:w="1036" w:type="dxa"/>
            <w:shd w:val="clear" w:color="auto" w:fill="1F3A5F"/>
          </w:tcPr>
          <w:p>
            <w:pPr>
              <w:pStyle w:val="Compact"/>
              <w:spacing w:after="40"/>
              <w:jc w:val="left"/>
            </w:pPr>
            <w:r>
              <w:rPr>
                <w:b/>
                <w:color w:val="FFFFFF"/>
                <w:sz w:val="18"/>
              </w:rPr>
              <w:t xml:space="preserve">Hours</w:t>
            </w:r>
          </w:p>
        </w:tc>
      </w:tr>
      <w:tr>
        <w:tc>
          <w:tcPr>
            <w:tcW w:w="2410" w:type="dxa"/>
          </w:tcPr>
          <w:p>
            <w:pPr>
              <w:pStyle w:val="Compact"/>
              <w:spacing w:after="40"/>
              <w:jc w:val="left"/>
            </w:pPr>
            <w:r>
              <w:rPr>
                <w:sz w:val="18"/>
              </w:rPr>
              <w:t xml:space="preserve">LSP nodal grievance redressal officer (digital lending)</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6" w:type="dxa"/>
          </w:tcPr>
          <w:p>
            <w:pPr>
              <w:pStyle w:val="Compact"/>
              <w:spacing w:after="40"/>
              <w:jc w:val="left"/>
            </w:pPr>
            <w:r>
              <w:rPr>
                <w:sz w:val="18"/>
              </w:rPr>
              <w:t xml:space="preserve">[●]</w:t>
            </w:r>
          </w:p>
        </w:tc>
      </w:tr>
      <w:tr>
        <w:tc>
          <w:tcPr>
            <w:tcW w:w="2410" w:type="dxa"/>
          </w:tcPr>
          <w:p>
            <w:pPr>
              <w:pStyle w:val="Compact"/>
              <w:spacing w:after="40"/>
              <w:jc w:val="left"/>
            </w:pPr>
            <w:r>
              <w:rPr>
                <w:sz w:val="18"/>
              </w:rPr>
              <w:t xml:space="preserve">LSP alternate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6" w:type="dxa"/>
          </w:tcPr>
          <w:p>
            <w:pPr>
              <w:pStyle w:val="Compact"/>
              <w:spacing w:after="40"/>
              <w:jc w:val="left"/>
            </w:pPr>
            <w:r>
              <w:rPr>
                <w:sz w:val="18"/>
              </w:rPr>
              <w:t xml:space="preserve">[●]</w:t>
            </w:r>
          </w:p>
        </w:tc>
      </w:tr>
      <w:tr>
        <w:tc>
          <w:tcPr>
            <w:tcW w:w="2410" w:type="dxa"/>
          </w:tcPr>
          <w:p>
            <w:pPr>
              <w:pStyle w:val="Compact"/>
              <w:spacing w:after="40"/>
              <w:jc w:val="left"/>
            </w:pPr>
            <w:r>
              <w:rPr>
                <w:sz w:val="18"/>
              </w:rPr>
              <w:t xml:space="preserve">RE Grievance Redressal Officer</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6" w:type="dxa"/>
          </w:tcPr>
          <w:p>
            <w:pPr>
              <w:pStyle w:val="Compact"/>
              <w:spacing w:after="40"/>
              <w:jc w:val="left"/>
            </w:pPr>
            <w:r>
              <w:rPr>
                <w:sz w:val="18"/>
              </w:rPr>
              <w:t xml:space="preserve">[●]</w:t>
            </w:r>
          </w:p>
        </w:tc>
      </w:tr>
      <w:tr>
        <w:tc>
          <w:tcPr>
            <w:tcW w:w="2410" w:type="dxa"/>
          </w:tcPr>
          <w:p>
            <w:pPr>
              <w:pStyle w:val="Compact"/>
              <w:spacing w:after="40"/>
              <w:jc w:val="left"/>
            </w:pPr>
            <w:r>
              <w:rPr>
                <w:sz w:val="18"/>
              </w:rPr>
              <w:t xml:space="preserve">RE Principal Nodal Officer / Internal Ombudsman (if applicable)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6" w:type="dxa"/>
          </w:tcPr>
          <w:p>
            <w:pPr>
              <w:pStyle w:val="Compact"/>
              <w:spacing w:after="40"/>
              <w:jc w:val="left"/>
            </w:pPr>
            <w:r>
              <w:rPr>
                <w:sz w:val="18"/>
              </w:rPr>
              <w:t xml:space="preserve">[●]</w:t>
            </w:r>
          </w:p>
        </w:tc>
      </w:tr>
      <w:tr>
        <w:tc>
          <w:tcPr>
            <w:tcW w:w="2410" w:type="dxa"/>
          </w:tcPr>
          <w:p>
            <w:pPr>
              <w:pStyle w:val="Compact"/>
              <w:spacing w:after="40"/>
              <w:jc w:val="left"/>
            </w:pPr>
            <w:r>
              <w:rPr>
                <w:sz w:val="18"/>
              </w:rPr>
              <w:t xml:space="preserve">RE recovery-grievance mechanism (if Schedule 10)</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2" w:type="dxa"/>
          </w:tcPr>
          <w:p>
            <w:pPr>
              <w:pStyle w:val="Compact"/>
              <w:spacing w:after="40"/>
              <w:jc w:val="left"/>
            </w:pPr>
            <w:r>
              <w:rPr>
                <w:sz w:val="18"/>
              </w:rPr>
              <w:t xml:space="preserve">[●]</w:t>
            </w:r>
          </w:p>
        </w:tc>
        <w:tc>
          <w:tcPr>
            <w:tcW w:w="1036" w:type="dxa"/>
          </w:tcPr>
          <w:p>
            <w:pPr>
              <w:pStyle w:val="Compact"/>
              <w:spacing w:after="40"/>
              <w:jc w:val="left"/>
            </w:pPr>
            <w:r>
              <w:rPr>
                <w:sz w:val="18"/>
              </w:rPr>
              <w:t xml:space="preserve">[●]</w:t>
            </w:r>
          </w:p>
        </w:tc>
      </w:tr>
    </w:tbl>
    <w:p>
      <w:pPr>
        <w:pStyle w:val="BodyText"/>
      </w:pPr>
      <w:r>
        <w:rPr>
          <w:bCs/>
          <w:b/>
        </w:rPr>
        <w:t xml:space="preserve">9.1 Display. [Mandatory — RBI]</w:t>
      </w:r>
      <w:r>
        <w:t xml:space="preserve"> </w:t>
      </w:r>
      <w:r>
        <w:t xml:space="preserve">The contact details of the nodal grievance redressal officers of the RE and the LSP shall be prominently displayed on the websites of the RE and the LSP, on the DLA, and in the KFS (CF para 12(2); RBC Annex I, Part 2, item 3). Where a generic email ID is furnished in the KFS, a response shall be made within one working day (RBC Annex I, Part 2, item 3, note). The LSP shall notify the RE of any change in its officer at least [10] working days in advance, or immediately if the change is unplanned, so that the RE can update its website, KFS template and CIMS (Clause 14.2; Schedule 19, item R7).</w:t>
      </w:r>
    </w:p>
    <w:bookmarkEnd w:id="88"/>
    <w:bookmarkStart w:id="89" w:name="part-b-channels"/>
    <w:p>
      <w:pPr>
        <w:pStyle w:val="Heading2"/>
      </w:pPr>
      <w:r>
        <w:t xml:space="preserve">Part B — Channels</w:t>
      </w:r>
    </w:p>
    <w:p>
      <w:pPr>
        <w:pStyle w:val="FirstParagraph"/>
      </w:pPr>
      <w:r>
        <w:rPr>
          <w:bCs/>
          <w:b/>
        </w:rPr>
        <w:t xml:space="preserve">9.2 Lodging. [Mandatory — RBI]</w:t>
      </w:r>
      <w:r>
        <w:t xml:space="preserve"> </w:t>
      </w:r>
      <w:r>
        <w:t xml:space="preserve">The facility to lodge a complaint shall be available on the DLA (Android, iOS, web) and on the LSP’s website (CF para 12(3)), and additionally by email and telephone to the LSP’s nodal officer. Each complaint receives a unique reference.</w:t>
      </w:r>
    </w:p>
    <w:p>
      <w:pPr>
        <w:pStyle w:val="BodyText"/>
      </w:pPr>
      <w:r>
        <w:rPr>
          <w:bCs/>
          <w:b/>
        </w:rPr>
        <w:t xml:space="preserve">9.3 Language. [Mandatory — RBI]</w:t>
      </w:r>
      <w:r>
        <w:t xml:space="preserve"> </w:t>
      </w:r>
      <w:r>
        <w:t xml:space="preserve">Acknowledgements and responses shall be in the vernacular language or a language understood by the Borrower (RBC para 10).</w:t>
      </w:r>
    </w:p>
    <w:bookmarkEnd w:id="89"/>
    <w:bookmarkStart w:id="90" w:name="part-c-routing-and-timelines"/>
    <w:p>
      <w:pPr>
        <w:pStyle w:val="Heading2"/>
      </w:pPr>
      <w:r>
        <w:t xml:space="preserve">Part C — Routing and timelines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51"/>
        <w:gridCol w:w="3832"/>
        <w:gridCol w:w="1508"/>
        <w:gridCol w:w="1877"/>
        <w:gridCol w:w="1770"/>
      </w:tblGrid>
      <w:tr>
        <w:trPr>
          <w:tblHeader w:val="true"/>
          <w:tblHeader w:val="true"/>
        </w:trPr>
        <w:tc>
          <w:tcPr>
            <w:tcW w:w="651" w:type="dxa"/>
            <w:shd w:val="clear" w:color="auto" w:fill="1F3A5F"/>
          </w:tcPr>
          <w:p>
            <w:pPr>
              <w:pStyle w:val="Compact"/>
              <w:spacing w:after="40"/>
              <w:jc w:val="left"/>
            </w:pPr>
            <w:r>
              <w:rPr>
                <w:b/>
                <w:color w:val="FFFFFF"/>
                <w:sz w:val="18"/>
              </w:rPr>
              <w:t xml:space="preserve">Step</w:t>
            </w:r>
          </w:p>
        </w:tc>
        <w:tc>
          <w:tcPr>
            <w:tcW w:w="3832" w:type="dxa"/>
            <w:shd w:val="clear" w:color="auto" w:fill="1F3A5F"/>
          </w:tcPr>
          <w:p>
            <w:pPr>
              <w:pStyle w:val="Compact"/>
              <w:spacing w:after="40"/>
              <w:jc w:val="left"/>
            </w:pPr>
            <w:r>
              <w:rPr>
                <w:b/>
                <w:color w:val="FFFFFF"/>
                <w:sz w:val="18"/>
              </w:rPr>
              <w:t xml:space="preserve">Action</w:t>
            </w:r>
          </w:p>
        </w:tc>
        <w:tc>
          <w:tcPr>
            <w:tcW w:w="1508" w:type="dxa"/>
            <w:shd w:val="clear" w:color="auto" w:fill="1F3A5F"/>
          </w:tcPr>
          <w:p>
            <w:pPr>
              <w:pStyle w:val="Compact"/>
              <w:spacing w:after="40"/>
              <w:jc w:val="left"/>
            </w:pPr>
            <w:r>
              <w:rPr>
                <w:b/>
                <w:color w:val="FFFFFF"/>
                <w:sz w:val="18"/>
              </w:rPr>
              <w:t xml:space="preserve">Owner</w:t>
            </w:r>
          </w:p>
        </w:tc>
        <w:tc>
          <w:tcPr>
            <w:tcW w:w="1877" w:type="dxa"/>
            <w:shd w:val="clear" w:color="auto" w:fill="1F3A5F"/>
          </w:tcPr>
          <w:p>
            <w:pPr>
              <w:pStyle w:val="Compact"/>
              <w:spacing w:after="40"/>
              <w:jc w:val="left"/>
            </w:pPr>
            <w:r>
              <w:rPr>
                <w:b/>
                <w:color w:val="FFFFFF"/>
                <w:sz w:val="18"/>
              </w:rPr>
              <w:t xml:space="preserve">Timeline</w:t>
            </w:r>
          </w:p>
        </w:tc>
        <w:tc>
          <w:tcPr>
            <w:tcW w:w="1770" w:type="dxa"/>
            <w:shd w:val="clear" w:color="auto" w:fill="1F3A5F"/>
          </w:tcPr>
          <w:p>
            <w:pPr>
              <w:pStyle w:val="Compact"/>
              <w:spacing w:after="40"/>
              <w:jc w:val="left"/>
            </w:pPr>
            <w:r>
              <w:rPr>
                <w:b/>
                <w:color w:val="FFFFFF"/>
                <w:sz w:val="18"/>
              </w:rPr>
              <w:t xml:space="preserve">Source</w:t>
            </w:r>
          </w:p>
        </w:tc>
      </w:tr>
      <w:tr>
        <w:tc>
          <w:tcPr>
            <w:tcW w:w="651" w:type="dxa"/>
          </w:tcPr>
          <w:p>
            <w:pPr>
              <w:pStyle w:val="Compact"/>
              <w:spacing w:after="40"/>
              <w:jc w:val="left"/>
            </w:pPr>
            <w:r>
              <w:rPr>
                <w:sz w:val="18"/>
              </w:rPr>
              <w:t xml:space="preserve">1</w:t>
            </w:r>
          </w:p>
        </w:tc>
        <w:tc>
          <w:tcPr>
            <w:tcW w:w="3832" w:type="dxa"/>
          </w:tcPr>
          <w:p>
            <w:pPr>
              <w:pStyle w:val="Compact"/>
              <w:spacing w:after="40"/>
              <w:jc w:val="left"/>
            </w:pPr>
            <w:r>
              <w:rPr>
                <w:sz w:val="18"/>
              </w:rPr>
              <w:t xml:space="preserve">Acknowledge complaint with reference number, expected timeline and RE GRO details</w:t>
            </w:r>
          </w:p>
        </w:tc>
        <w:tc>
          <w:tcPr>
            <w:tcW w:w="1508" w:type="dxa"/>
          </w:tcPr>
          <w:p>
            <w:pPr>
              <w:pStyle w:val="Compact"/>
              <w:spacing w:after="40"/>
              <w:jc w:val="left"/>
            </w:pPr>
            <w:r>
              <w:rPr>
                <w:sz w:val="18"/>
              </w:rPr>
              <w:t xml:space="preserve">LSP</w:t>
            </w:r>
          </w:p>
        </w:tc>
        <w:tc>
          <w:tcPr>
            <w:tcW w:w="1877" w:type="dxa"/>
          </w:tcPr>
          <w:p>
            <w:pPr>
              <w:pStyle w:val="Compact"/>
              <w:spacing w:after="40"/>
              <w:jc w:val="left"/>
            </w:pPr>
            <w:r>
              <w:rPr>
                <w:sz w:val="18"/>
              </w:rPr>
              <w:t xml:space="preserve">Same working day; automated acknowledgement immediately</w:t>
            </w:r>
          </w:p>
        </w:tc>
        <w:tc>
          <w:tcPr>
            <w:tcW w:w="1770" w:type="dxa"/>
          </w:tcPr>
          <w:p>
            <w:pPr>
              <w:pStyle w:val="Compact"/>
              <w:spacing w:after="40"/>
              <w:jc w:val="left"/>
            </w:pPr>
            <w:r>
              <w:rPr>
                <w:sz w:val="18"/>
              </w:rPr>
              <w:t xml:space="preserve">[Option — recommended]</w:t>
            </w:r>
          </w:p>
        </w:tc>
      </w:tr>
      <w:tr>
        <w:tc>
          <w:tcPr>
            <w:tcW w:w="651" w:type="dxa"/>
          </w:tcPr>
          <w:p>
            <w:pPr>
              <w:pStyle w:val="Compact"/>
              <w:spacing w:after="40"/>
              <w:jc w:val="left"/>
            </w:pPr>
            <w:r>
              <w:rPr>
                <w:sz w:val="18"/>
              </w:rPr>
              <w:t xml:space="preserve">2</w:t>
            </w:r>
          </w:p>
        </w:tc>
        <w:tc>
          <w:tcPr>
            <w:tcW w:w="3832" w:type="dxa"/>
          </w:tcPr>
          <w:p>
            <w:pPr>
              <w:pStyle w:val="Compact"/>
              <w:spacing w:after="40"/>
              <w:jc w:val="left"/>
            </w:pPr>
            <w:r>
              <w:rPr>
                <w:sz w:val="18"/>
              </w:rPr>
              <w:t xml:space="preserve">Classify: (a) concerns the RE’s product, decision, pricing, KFS, disbursement, repayment, recovery, credit information; (b) concerns only the LSP’s platform or conduct; (c) mixed</w:t>
            </w:r>
          </w:p>
        </w:tc>
        <w:tc>
          <w:tcPr>
            <w:tcW w:w="1508" w:type="dxa"/>
          </w:tcPr>
          <w:p>
            <w:pPr>
              <w:pStyle w:val="Compact"/>
              <w:spacing w:after="40"/>
              <w:jc w:val="left"/>
            </w:pPr>
            <w:r>
              <w:rPr>
                <w:sz w:val="18"/>
              </w:rPr>
              <w:t xml:space="preserve">LSP</w:t>
            </w:r>
          </w:p>
        </w:tc>
        <w:tc>
          <w:tcPr>
            <w:tcW w:w="1877" w:type="dxa"/>
          </w:tcPr>
          <w:p>
            <w:pPr>
              <w:pStyle w:val="Compact"/>
              <w:spacing w:after="40"/>
              <w:jc w:val="left"/>
            </w:pPr>
            <w:r>
              <w:rPr>
                <w:sz w:val="18"/>
              </w:rPr>
              <w:t xml:space="preserve">Within [4] working hours</w:t>
            </w:r>
          </w:p>
        </w:tc>
        <w:tc>
          <w:tcPr>
            <w:tcW w:w="1770" w:type="dxa"/>
          </w:tcPr>
          <w:p>
            <w:pPr>
              <w:pStyle w:val="Compact"/>
              <w:spacing w:after="40"/>
              <w:jc w:val="left"/>
            </w:pPr>
            <w:r>
              <w:rPr>
                <w:sz w:val="18"/>
              </w:rPr>
              <w:t xml:space="preserve">CF para 12(3)</w:t>
            </w:r>
          </w:p>
        </w:tc>
      </w:tr>
      <w:tr>
        <w:tc>
          <w:tcPr>
            <w:tcW w:w="651" w:type="dxa"/>
          </w:tcPr>
          <w:p>
            <w:pPr>
              <w:pStyle w:val="Compact"/>
              <w:spacing w:after="40"/>
              <w:jc w:val="left"/>
            </w:pPr>
            <w:r>
              <w:rPr>
                <w:sz w:val="18"/>
              </w:rPr>
              <w:t xml:space="preserve">3</w:t>
            </w:r>
          </w:p>
        </w:tc>
        <w:tc>
          <w:tcPr>
            <w:tcW w:w="3832" w:type="dxa"/>
          </w:tcPr>
          <w:p>
            <w:pPr>
              <w:pStyle w:val="Compact"/>
              <w:spacing w:after="40"/>
              <w:jc w:val="left"/>
            </w:pPr>
            <w:r>
              <w:rPr>
                <w:sz w:val="18"/>
              </w:rPr>
              <w:t xml:space="preserve">Forward category (a) and (c) complaints to the RE’s GRO with all attachments and history (</w:t>
            </w:r>
            <w:r>
              <w:rPr>
                <w:rStyle w:val="VerbatimChar"/>
                <w:sz w:val="18"/>
              </w:rPr>
              <w:t xml:space="preserve">GrievanceRaised</w:t>
            </w:r>
            <w:r>
              <w:rPr>
                <w:sz w:val="18"/>
              </w:rPr>
              <w:t xml:space="preserve">); obtain delivery acknowledgement</w:t>
            </w:r>
          </w:p>
        </w:tc>
        <w:tc>
          <w:tcPr>
            <w:tcW w:w="1508" w:type="dxa"/>
          </w:tcPr>
          <w:p>
            <w:pPr>
              <w:pStyle w:val="Compact"/>
              <w:spacing w:after="40"/>
              <w:jc w:val="left"/>
            </w:pPr>
            <w:r>
              <w:rPr>
                <w:sz w:val="18"/>
              </w:rPr>
              <w:t xml:space="preserve">LSP</w:t>
            </w:r>
          </w:p>
        </w:tc>
        <w:tc>
          <w:tcPr>
            <w:tcW w:w="1877" w:type="dxa"/>
          </w:tcPr>
          <w:p>
            <w:pPr>
              <w:pStyle w:val="Compact"/>
              <w:spacing w:after="40"/>
              <w:jc w:val="left"/>
            </w:pPr>
            <w:r>
              <w:rPr>
                <w:sz w:val="18"/>
              </w:rPr>
              <w:t xml:space="preserve">Immediately and in any case within [1] hour of receipt (the RE’s 30-day clock runs from receipt)</w:t>
            </w:r>
          </w:p>
        </w:tc>
        <w:tc>
          <w:tcPr>
            <w:tcW w:w="1770" w:type="dxa"/>
          </w:tcPr>
          <w:p>
            <w:pPr>
              <w:pStyle w:val="Compact"/>
              <w:spacing w:after="40"/>
              <w:jc w:val="left"/>
            </w:pPr>
            <w:r>
              <w:rPr>
                <w:sz w:val="18"/>
              </w:rPr>
              <w:t xml:space="preserve">CF para 12(4); OUT para 57(4)</w:t>
            </w:r>
          </w:p>
        </w:tc>
      </w:tr>
      <w:tr>
        <w:tc>
          <w:tcPr>
            <w:tcW w:w="651" w:type="dxa"/>
          </w:tcPr>
          <w:p>
            <w:pPr>
              <w:pStyle w:val="Compact"/>
              <w:spacing w:after="40"/>
              <w:jc w:val="left"/>
            </w:pPr>
            <w:r>
              <w:rPr>
                <w:sz w:val="18"/>
              </w:rPr>
              <w:t xml:space="preserve">4</w:t>
            </w:r>
          </w:p>
        </w:tc>
        <w:tc>
          <w:tcPr>
            <w:tcW w:w="3832" w:type="dxa"/>
          </w:tcPr>
          <w:p>
            <w:pPr>
              <w:pStyle w:val="Compact"/>
              <w:spacing w:after="40"/>
              <w:jc w:val="left"/>
            </w:pPr>
            <w:r>
              <w:rPr>
                <w:sz w:val="18"/>
              </w:rPr>
              <w:t xml:space="preserve">Investigate and respond on category (b); copy the RE</w:t>
            </w:r>
          </w:p>
        </w:tc>
        <w:tc>
          <w:tcPr>
            <w:tcW w:w="1508" w:type="dxa"/>
          </w:tcPr>
          <w:p>
            <w:pPr>
              <w:pStyle w:val="Compact"/>
              <w:spacing w:after="40"/>
              <w:jc w:val="left"/>
            </w:pPr>
            <w:r>
              <w:rPr>
                <w:sz w:val="18"/>
              </w:rPr>
              <w:t xml:space="preserve">LSP</w:t>
            </w:r>
          </w:p>
        </w:tc>
        <w:tc>
          <w:tcPr>
            <w:tcW w:w="1877" w:type="dxa"/>
          </w:tcPr>
          <w:p>
            <w:pPr>
              <w:pStyle w:val="Compact"/>
              <w:spacing w:after="40"/>
              <w:jc w:val="left"/>
            </w:pPr>
            <w:r>
              <w:rPr>
                <w:sz w:val="18"/>
              </w:rPr>
              <w:t xml:space="preserve">Within [7] days; final within [15] days</w:t>
            </w:r>
          </w:p>
        </w:tc>
        <w:tc>
          <w:tcPr>
            <w:tcW w:w="1770" w:type="dxa"/>
          </w:tcPr>
          <w:p>
            <w:pPr>
              <w:pStyle w:val="Compact"/>
              <w:spacing w:after="40"/>
              <w:jc w:val="left"/>
            </w:pPr>
            <w:r>
              <w:rPr>
                <w:sz w:val="18"/>
              </w:rPr>
              <w:t xml:space="preserve">[Option]</w:t>
            </w:r>
          </w:p>
        </w:tc>
      </w:tr>
      <w:tr>
        <w:tc>
          <w:tcPr>
            <w:tcW w:w="651" w:type="dxa"/>
          </w:tcPr>
          <w:p>
            <w:pPr>
              <w:pStyle w:val="Compact"/>
              <w:spacing w:after="40"/>
              <w:jc w:val="left"/>
            </w:pPr>
            <w:r>
              <w:rPr>
                <w:sz w:val="18"/>
              </w:rPr>
              <w:t xml:space="preserve">5</w:t>
            </w:r>
          </w:p>
        </w:tc>
        <w:tc>
          <w:tcPr>
            <w:tcW w:w="3832" w:type="dxa"/>
          </w:tcPr>
          <w:p>
            <w:pPr>
              <w:pStyle w:val="Compact"/>
              <w:spacing w:after="40"/>
              <w:jc w:val="left"/>
            </w:pPr>
            <w:r>
              <w:rPr>
                <w:sz w:val="18"/>
              </w:rPr>
              <w:t xml:space="preserve">Resolve category (a) and (c); LSP supplies facts and evidence to the RE</w:t>
            </w:r>
          </w:p>
        </w:tc>
        <w:tc>
          <w:tcPr>
            <w:tcW w:w="1508" w:type="dxa"/>
          </w:tcPr>
          <w:p>
            <w:pPr>
              <w:pStyle w:val="Compact"/>
              <w:spacing w:after="40"/>
              <w:jc w:val="left"/>
            </w:pPr>
            <w:r>
              <w:rPr>
                <w:sz w:val="18"/>
              </w:rPr>
              <w:t xml:space="preserve">RE (LSP within [3] working days of RE request)</w:t>
            </w:r>
          </w:p>
        </w:tc>
        <w:tc>
          <w:tcPr>
            <w:tcW w:w="1877" w:type="dxa"/>
          </w:tcPr>
          <w:p>
            <w:pPr>
              <w:pStyle w:val="Compact"/>
              <w:spacing w:after="40"/>
              <w:jc w:val="left"/>
            </w:pPr>
            <w:r>
              <w:rPr>
                <w:sz w:val="18"/>
              </w:rPr>
              <w:t xml:space="preserve">RE to reply within 30 days of receipt</w:t>
            </w:r>
          </w:p>
        </w:tc>
        <w:tc>
          <w:tcPr>
            <w:tcW w:w="1770" w:type="dxa"/>
          </w:tcPr>
          <w:p>
            <w:pPr>
              <w:pStyle w:val="Compact"/>
              <w:spacing w:after="40"/>
              <w:jc w:val="left"/>
            </w:pPr>
            <w:r>
              <w:rPr>
                <w:sz w:val="18"/>
              </w:rPr>
              <w:t xml:space="preserve">CF para 12(3)–(4); OUT para 57(3)–(4)</w:t>
            </w:r>
          </w:p>
        </w:tc>
      </w:tr>
      <w:tr>
        <w:tc>
          <w:tcPr>
            <w:tcW w:w="651" w:type="dxa"/>
          </w:tcPr>
          <w:p>
            <w:pPr>
              <w:pStyle w:val="Compact"/>
              <w:spacing w:after="40"/>
              <w:jc w:val="left"/>
            </w:pPr>
            <w:r>
              <w:rPr>
                <w:sz w:val="18"/>
              </w:rPr>
              <w:t xml:space="preserve">6</w:t>
            </w:r>
          </w:p>
        </w:tc>
        <w:tc>
          <w:tcPr>
            <w:tcW w:w="3832" w:type="dxa"/>
          </w:tcPr>
          <w:p>
            <w:pPr>
              <w:pStyle w:val="Compact"/>
              <w:spacing w:after="40"/>
              <w:jc w:val="left"/>
            </w:pPr>
            <w:r>
              <w:rPr>
                <w:sz w:val="18"/>
              </w:rPr>
              <w:t xml:space="preserve">Escalation within the RE (next higher level; Internal Ombudsman where applicable)</w:t>
            </w:r>
          </w:p>
        </w:tc>
        <w:tc>
          <w:tcPr>
            <w:tcW w:w="1508" w:type="dxa"/>
          </w:tcPr>
          <w:p>
            <w:pPr>
              <w:pStyle w:val="Compact"/>
              <w:spacing w:after="40"/>
              <w:jc w:val="left"/>
            </w:pPr>
            <w:r>
              <w:rPr>
                <w:sz w:val="18"/>
              </w:rPr>
              <w:t xml:space="preserve">RE</w:t>
            </w:r>
          </w:p>
        </w:tc>
        <w:tc>
          <w:tcPr>
            <w:tcW w:w="1877" w:type="dxa"/>
          </w:tcPr>
          <w:p>
            <w:pPr>
              <w:pStyle w:val="Compact"/>
              <w:spacing w:after="40"/>
              <w:jc w:val="left"/>
            </w:pPr>
            <w:r>
              <w:rPr>
                <w:sz w:val="18"/>
              </w:rPr>
              <w:t xml:space="preserve">Per RE policy</w:t>
            </w:r>
          </w:p>
        </w:tc>
        <w:tc>
          <w:tcPr>
            <w:tcW w:w="1770" w:type="dxa"/>
          </w:tcPr>
          <w:p>
            <w:pPr>
              <w:pStyle w:val="Compact"/>
              <w:spacing w:after="40"/>
              <w:jc w:val="left"/>
            </w:pPr>
            <w:r>
              <w:rPr>
                <w:sz w:val="18"/>
              </w:rPr>
              <w:t xml:space="preserve">RBC para 7, A.1(2), Note [VERIFY: Internal Ombudsman Directions applicable to the RE]</w:t>
            </w:r>
          </w:p>
        </w:tc>
      </w:tr>
      <w:tr>
        <w:tc>
          <w:tcPr>
            <w:tcW w:w="651" w:type="dxa"/>
          </w:tcPr>
          <w:p>
            <w:pPr>
              <w:pStyle w:val="Compact"/>
              <w:spacing w:after="40"/>
              <w:jc w:val="left"/>
            </w:pPr>
            <w:r>
              <w:rPr>
                <w:sz w:val="18"/>
              </w:rPr>
              <w:t xml:space="preserve">7</w:t>
            </w:r>
          </w:p>
        </w:tc>
        <w:tc>
          <w:tcPr>
            <w:tcW w:w="3832" w:type="dxa"/>
          </w:tcPr>
          <w:p>
            <w:pPr>
              <w:pStyle w:val="Compact"/>
              <w:spacing w:after="40"/>
              <w:jc w:val="left"/>
            </w:pPr>
            <w:r>
              <w:rPr>
                <w:sz w:val="18"/>
              </w:rPr>
              <w:t xml:space="preserve">Inform the Borrower of the RBI route: if the complaint is rejected wholly or partly, the Borrower is not satisfied, or no reply is received within 30 days of receipt by the RE, the Borrower may lodge a complaint on the CMS portal (https://cms.rbi.org.in) under the Reserve Bank – Integrated Ombudsman Scheme (as applicable) or send a physical complaint to the Centralised Receipt and Processing Centre, 4th Floor, Reserve Bank of India, Sector 17, Central Vista, Chandigarh – 160017</w:t>
            </w:r>
          </w:p>
        </w:tc>
        <w:tc>
          <w:tcPr>
            <w:tcW w:w="1508" w:type="dxa"/>
          </w:tcPr>
          <w:p>
            <w:pPr>
              <w:pStyle w:val="Compact"/>
              <w:spacing w:after="40"/>
              <w:jc w:val="left"/>
            </w:pPr>
            <w:r>
              <w:rPr>
                <w:sz w:val="18"/>
              </w:rPr>
              <w:t xml:space="preserve">RE in its reply; LSP on the DLA at day 31 and on any rejection</w:t>
            </w:r>
          </w:p>
        </w:tc>
        <w:tc>
          <w:tcPr>
            <w:tcW w:w="1877" w:type="dxa"/>
          </w:tcPr>
          <w:p>
            <w:pPr>
              <w:pStyle w:val="Compact"/>
              <w:spacing w:after="40"/>
              <w:jc w:val="left"/>
            </w:pPr>
            <w:r>
              <w:rPr>
                <w:sz w:val="18"/>
              </w:rPr>
              <w:t xml:space="preserve">Day 31 or on rejection</w:t>
            </w:r>
          </w:p>
        </w:tc>
        <w:tc>
          <w:tcPr>
            <w:tcW w:w="1770" w:type="dxa"/>
          </w:tcPr>
          <w:p>
            <w:pPr>
              <w:pStyle w:val="Compact"/>
              <w:spacing w:after="40"/>
              <w:jc w:val="left"/>
            </w:pPr>
            <w:r>
              <w:rPr>
                <w:sz w:val="18"/>
              </w:rPr>
              <w:t xml:space="preserve">CF para 12(4)</w:t>
            </w:r>
          </w:p>
        </w:tc>
      </w:tr>
      <w:tr>
        <w:tc>
          <w:tcPr>
            <w:tcW w:w="651" w:type="dxa"/>
          </w:tcPr>
          <w:p>
            <w:pPr>
              <w:pStyle w:val="Compact"/>
              <w:spacing w:after="40"/>
              <w:jc w:val="left"/>
            </w:pPr>
            <w:r>
              <w:rPr>
                <w:sz w:val="18"/>
              </w:rPr>
              <w:t xml:space="preserve">8</w:t>
            </w:r>
          </w:p>
        </w:tc>
        <w:tc>
          <w:tcPr>
            <w:tcW w:w="3832" w:type="dxa"/>
          </w:tcPr>
          <w:p>
            <w:pPr>
              <w:pStyle w:val="Compact"/>
              <w:spacing w:after="40"/>
              <w:jc w:val="left"/>
            </w:pPr>
            <w:r>
              <w:rPr>
                <w:sz w:val="18"/>
              </w:rPr>
              <w:t xml:space="preserve">Closure: the LSP never closes a category (a) or (c) complaint; status is updated only from the RE’s</w:t>
            </w:r>
            <w:r>
              <w:rPr>
                <w:sz w:val="18"/>
              </w:rPr>
              <w:t xml:space="preserve"> </w:t>
            </w:r>
            <w:r>
              <w:rPr>
                <w:rStyle w:val="VerbatimChar"/>
                <w:sz w:val="18"/>
              </w:rPr>
              <w:t xml:space="preserve">GrievanceUpdated</w:t>
            </w:r>
          </w:p>
        </w:tc>
        <w:tc>
          <w:tcPr>
            <w:tcW w:w="1508" w:type="dxa"/>
          </w:tcPr>
          <w:p>
            <w:pPr>
              <w:pStyle w:val="Compact"/>
              <w:spacing w:after="40"/>
              <w:jc w:val="left"/>
            </w:pPr>
            <w:r>
              <w:rPr>
                <w:sz w:val="18"/>
              </w:rPr>
              <w:t xml:space="preserve">RE</w:t>
            </w:r>
          </w:p>
        </w:tc>
        <w:tc>
          <w:tcPr>
            <w:tcW w:w="1877" w:type="dxa"/>
          </w:tcPr>
          <w:p>
            <w:pPr>
              <w:pStyle w:val="Compact"/>
              <w:spacing w:after="40"/>
              <w:jc w:val="left"/>
            </w:pPr>
            <w:r>
              <w:rPr>
                <w:sz w:val="18"/>
              </w:rPr>
              <w:t xml:space="preserve">—</w:t>
            </w:r>
          </w:p>
        </w:tc>
        <w:tc>
          <w:tcPr>
            <w:tcW w:w="1770" w:type="dxa"/>
          </w:tcPr>
          <w:p>
            <w:pPr>
              <w:pStyle w:val="Compact"/>
              <w:spacing w:after="40"/>
              <w:jc w:val="left"/>
            </w:pPr>
            <w:r>
              <w:rPr>
                <w:sz w:val="18"/>
              </w:rPr>
              <w:t xml:space="preserve">CF para 12(3)</w:t>
            </w:r>
          </w:p>
        </w:tc>
      </w:tr>
    </w:tbl>
    <w:p>
      <w:pPr>
        <w:pStyle w:val="BodyText"/>
      </w:pPr>
      <w:r>
        <w:rPr>
          <w:bCs/>
          <w:b/>
        </w:rPr>
        <w:t xml:space="preserve">9.4 Credit-information complaints. [Mandatory — RBI]</w:t>
      </w:r>
      <w:r>
        <w:t xml:space="preserve"> </w:t>
      </w:r>
      <w:r>
        <w:t xml:space="preserve">Complaints about credit information reported by the RE are routed to the RE at once. The RE, as credit institution, has 21 calendar days to send corrected information to the CIC and the RE and CICs together have 30 calendar days; compensation of ₹100 per calendar day accrues for delay beyond 30 days, apportioned between CI and CIC; reasons for rejection must be given (CIR para 35(1)–(4); CICRA s.21(3); CIC Rules, rule 20(3)(c)). The LSP shall not advise Borrowers on bureau correction beyond directing them to the RE and the CIC.</w:t>
      </w:r>
    </w:p>
    <w:p>
      <w:pPr>
        <w:pStyle w:val="BodyText"/>
      </w:pPr>
      <w:r>
        <w:rPr>
          <w:bCs/>
          <w:b/>
        </w:rPr>
        <w:t xml:space="preserve">9.5 Recovery grievances. [Mandatory — RBI]</w:t>
      </w:r>
      <w:r>
        <w:t xml:space="preserve"> </w:t>
      </w:r>
      <w:r>
        <w:t xml:space="preserve">Where the LSP acts as recovery agent, complaints about recovery conduct are escalated to the RE the same day, the agent is withdrawn from the account pending review if the complaint alleges harassment, and the RE’s recovery-grievance mechanism details are carried on every recovery communication (RBC paras 92, 100; RBC-3A para 100AA from 1 Jan 2027).</w:t>
      </w:r>
    </w:p>
    <w:p>
      <w:pPr>
        <w:pStyle w:val="BodyText"/>
      </w:pPr>
      <w:r>
        <w:rPr>
          <w:bCs/>
          <w:b/>
        </w:rPr>
        <w:t xml:space="preserve">9.6 ADR. [Option]</w:t>
      </w:r>
      <w:r>
        <w:t xml:space="preserve"> </w:t>
      </w:r>
      <w:r>
        <w:t xml:space="preserve">The LSP shall never refer a dispute to arbitration, conciliation, mediation or Lok Adalat, nor present ADR as a substitute for the RBI route. ADR access for disputes the RE has lawfully referred is governed by Article 33 and the RE’s policy.</w:t>
      </w:r>
    </w:p>
    <w:bookmarkEnd w:id="90"/>
    <w:bookmarkStart w:id="91" w:name="part-d-records-and-reporting"/>
    <w:p>
      <w:pPr>
        <w:pStyle w:val="Heading2"/>
      </w:pPr>
      <w:r>
        <w:t xml:space="preserve">Part D — Records and reporting</w:t>
      </w:r>
    </w:p>
    <w:p>
      <w:pPr>
        <w:pStyle w:val="FirstParagraph"/>
      </w:pPr>
      <w:r>
        <w:rPr>
          <w:bCs/>
          <w:b/>
        </w:rPr>
        <w:t xml:space="preserve">9.7 Register. [Mandatory — RBI]</w:t>
      </w:r>
      <w:r>
        <w:t xml:space="preserve"> </w:t>
      </w:r>
      <w:r>
        <w:t xml:space="preserve">The LSP shall maintain a complaint register (reference, date and time of receipt, channel, category, RE, date forwarded, RE acknowledgement, status, closure date, outcome, root cause) for at least [8] years and make it available to the RE, its auditors and RBI (OUT paras 34(ii), 34(viii)).</w:t>
      </w:r>
    </w:p>
    <w:p>
      <w:pPr>
        <w:pStyle w:val="BodyText"/>
      </w:pPr>
      <w:r>
        <w:rPr>
          <w:bCs/>
          <w:b/>
        </w:rPr>
        <w:t xml:space="preserve">9.8 Reports. [Mandatory — RBI]</w:t>
      </w:r>
      <w:r>
        <w:t xml:space="preserve"> </w:t>
      </w:r>
      <w:r>
        <w:t xml:space="preserve">Monthly grievance MIS to the RE (Schedule 19, item R3) with volumes, categories, ageing, turnaround against this Schedule, repeat complainants and RBI CMS complaints notified; half-yearly root-cause analysis (supporting the RE’s periodical review of the grievance mechanism, RBC para 8, and the RE’s periodic review of the LSP’s conduct, CF para 6(3)).</w:t>
      </w:r>
    </w:p>
    <w:p>
      <w:r>
        <w:pict>
          <v:rect style="width:0;height:1.5pt" o:hralign="center" o:hrstd="t" o:hr="t"/>
        </w:pict>
      </w:r>
    </w:p>
    <w:p>
      <w:r>
        <w:br w:type="page"/>
      </w:r>
    </w:p>
    <w:bookmarkEnd w:id="91"/>
    <w:bookmarkEnd w:id="92"/>
    <w:bookmarkStart w:id="96" w:name="X992524c87925628757534f153b502f7def22cc8"/>
    <w:p>
      <w:pPr>
        <w:pStyle w:val="Heading1"/>
      </w:pPr>
      <w:r>
        <w:t xml:space="preserve">SCHEDULE 10 — Recovery Agent Services Addendum (optional)</w:t>
      </w:r>
    </w:p>
    <w:p>
      <w:pPr>
        <w:pStyle w:val="FirstParagraph"/>
      </w:pPr>
      <w:r>
        <w:rPr>
          <w:iCs/>
          <w:i/>
        </w:rPr>
        <w:t xml:space="preserve">Drafting note: Implements Article 12; effective only if executed. A DLG under Schedule 11 confers no right or duty to collect. Rule Pack A (RBC paras 89–101) governs contact attempts up to 31 Dec 2026; Rule Pack B (RBC-3A, Section J, paras 100A–100AB) from 1 Jan 2027. RBC-3A was not supplied; references were checked against the notification on rbi.org.in (Id 13672) on 19 Oct 2026 [VERIFY: against the signed PDF].</w:t>
      </w:r>
    </w:p>
    <w:bookmarkStart w:id="93" w:name="part-a-appointment-and-scope"/>
    <w:p>
      <w:pPr>
        <w:pStyle w:val="Heading2"/>
      </w:pPr>
      <w:r>
        <w:t xml:space="preserve">Part A — Appointment and scope</w:t>
      </w:r>
    </w:p>
    <w:p>
      <w:pPr>
        <w:pStyle w:val="FirstParagraph"/>
      </w:pPr>
      <w:r>
        <w:rPr>
          <w:bCs/>
          <w:b/>
        </w:rPr>
        <w:t xml:space="preserve">10.1 Appointment. [Option]</w:t>
      </w:r>
      <w:r>
        <w:t xml:space="preserve"> </w:t>
      </w:r>
      <w:r>
        <w:t xml:space="preserve">From [date] the RE appoints the LSP as recovery agent for the scope below. The RE remains responsible for its recovery agents (OUT para 17; CF para 6(7)).</w:t>
      </w:r>
    </w:p>
    <w:p>
      <w:pPr>
        <w:pStyle w:val="BodyText"/>
      </w:pPr>
      <w:r>
        <w:rPr>
          <w:bCs/>
          <w:b/>
        </w:rPr>
        <w:t xml:space="preserve">10.2 Conditions precedent. [Mandatory — RBI]</w:t>
      </w:r>
      <w:r>
        <w:t xml:space="preserve"> </w:t>
      </w:r>
      <w:r>
        <w:t xml:space="preserve">No allocation until: (a) the RE has completed due diligence on the LSP under its Board policy on engagement of recovery agents (RBC paras 7 A.1(7)–(8), 94; from 1 Jan 2027, RBC-3A paras 100D–100E, 100H); (b) the LSP’s role is disclosed in the KFS (RBC Annex I, Part 2, item 6(ii)) or notified under CF para 9(6); (c) the LSP is on the RE’s website list of recovery agencies (RBC para 97; RBC-3A para 100K); (d) the RE has issued guidance under CF para 6(5); and (e) each agent meets para 10.3.</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603"/>
        <w:gridCol w:w="5035"/>
      </w:tblGrid>
      <w:tr>
        <w:trPr>
          <w:tblHeader w:val="true"/>
          <w:tblHeader w:val="true"/>
        </w:trPr>
        <w:tc>
          <w:tcPr>
            <w:tcW w:w="4603" w:type="dxa"/>
            <w:shd w:val="clear" w:color="auto" w:fill="1F3A5F"/>
          </w:tcPr>
          <w:p>
            <w:pPr>
              <w:pStyle w:val="Compact"/>
              <w:spacing w:after="40"/>
              <w:jc w:val="left"/>
            </w:pPr>
            <w:r>
              <w:rPr>
                <w:b/>
                <w:color w:val="FFFFFF"/>
                <w:sz w:val="18"/>
              </w:rPr>
              <w:t xml:space="preserve">Item</w:t>
            </w:r>
          </w:p>
        </w:tc>
        <w:tc>
          <w:tcPr>
            <w:tcW w:w="5035" w:type="dxa"/>
            <w:shd w:val="clear" w:color="auto" w:fill="1F3A5F"/>
          </w:tcPr>
          <w:p>
            <w:pPr>
              <w:pStyle w:val="Compact"/>
              <w:spacing w:after="40"/>
              <w:jc w:val="left"/>
            </w:pPr>
            <w:r>
              <w:rPr>
                <w:b/>
                <w:color w:val="FFFFFF"/>
                <w:sz w:val="18"/>
              </w:rPr>
              <w:t xml:space="preserve">Selection</w:t>
            </w:r>
          </w:p>
        </w:tc>
      </w:tr>
      <w:tr>
        <w:tc>
          <w:tcPr>
            <w:tcW w:w="4603" w:type="dxa"/>
          </w:tcPr>
          <w:p>
            <w:pPr>
              <w:pStyle w:val="Compact"/>
              <w:spacing w:after="40"/>
              <w:jc w:val="left"/>
            </w:pPr>
            <w:r>
              <w:rPr>
                <w:sz w:val="18"/>
              </w:rPr>
              <w:t xml:space="preserve">Products; DPD buckets; territories</w:t>
            </w:r>
          </w:p>
        </w:tc>
        <w:tc>
          <w:tcPr>
            <w:tcW w:w="5035" w:type="dxa"/>
          </w:tcPr>
          <w:p>
            <w:pPr>
              <w:pStyle w:val="Compact"/>
              <w:spacing w:after="40"/>
              <w:jc w:val="left"/>
            </w:pPr>
            <w:r>
              <w:rPr>
                <w:sz w:val="18"/>
              </w:rPr>
              <w:t xml:space="preserve">[●]; [●]; [●]</w:t>
            </w:r>
          </w:p>
        </w:tc>
      </w:tr>
      <w:tr>
        <w:tc>
          <w:tcPr>
            <w:tcW w:w="4603" w:type="dxa"/>
          </w:tcPr>
          <w:p>
            <w:pPr>
              <w:pStyle w:val="Compact"/>
              <w:spacing w:after="40"/>
              <w:jc w:val="left"/>
            </w:pPr>
            <w:r>
              <w:rPr>
                <w:sz w:val="18"/>
              </w:rPr>
              <w:t xml:space="preserve">Channels</w:t>
            </w:r>
          </w:p>
        </w:tc>
        <w:tc>
          <w:tcPr>
            <w:tcW w:w="5035" w:type="dxa"/>
          </w:tcPr>
          <w:p>
            <w:pPr>
              <w:pStyle w:val="Compact"/>
              <w:spacing w:after="40"/>
              <w:jc w:val="left"/>
            </w:pPr>
            <w:r>
              <w:rPr>
                <w:sz w:val="18"/>
              </w:rPr>
              <w:t xml:space="preserve">[Tele-calling / Digital reminders / Field visits / Cash collection]</w:t>
            </w:r>
          </w:p>
        </w:tc>
      </w:tr>
      <w:tr>
        <w:tc>
          <w:tcPr>
            <w:tcW w:w="4603" w:type="dxa"/>
          </w:tcPr>
          <w:p>
            <w:pPr>
              <w:pStyle w:val="Compact"/>
              <w:spacing w:after="40"/>
              <w:jc w:val="left"/>
            </w:pPr>
            <w:r>
              <w:rPr>
                <w:sz w:val="18"/>
              </w:rPr>
              <w:t xml:space="preserve">Sub-agencies (RE prior written consent, OUT para 34(iv))</w:t>
            </w:r>
          </w:p>
        </w:tc>
        <w:tc>
          <w:tcPr>
            <w:tcW w:w="5035" w:type="dxa"/>
          </w:tcPr>
          <w:p>
            <w:pPr>
              <w:pStyle w:val="Compact"/>
              <w:spacing w:after="40"/>
              <w:jc w:val="left"/>
            </w:pPr>
            <w:r>
              <w:rPr>
                <w:sz w:val="18"/>
              </w:rPr>
              <w:t xml:space="preserve">[Nil / named]</w:t>
            </w:r>
          </w:p>
        </w:tc>
      </w:tr>
      <w:tr>
        <w:tc>
          <w:tcPr>
            <w:tcW w:w="4603" w:type="dxa"/>
          </w:tcPr>
          <w:p>
            <w:pPr>
              <w:pStyle w:val="Compact"/>
              <w:spacing w:after="40"/>
              <w:jc w:val="left"/>
            </w:pPr>
            <w:r>
              <w:rPr>
                <w:sz w:val="18"/>
              </w:rPr>
              <w:t xml:space="preserve">Fees; term</w:t>
            </w:r>
          </w:p>
        </w:tc>
        <w:tc>
          <w:tcPr>
            <w:tcW w:w="5035" w:type="dxa"/>
          </w:tcPr>
          <w:p>
            <w:pPr>
              <w:pStyle w:val="Compact"/>
              <w:spacing w:after="40"/>
              <w:jc w:val="left"/>
            </w:pPr>
            <w:r>
              <w:rPr>
                <w:sz w:val="18"/>
              </w:rPr>
              <w:t xml:space="preserve">Schedule 1, F5; [●] months, subject to para 10.12</w:t>
            </w:r>
          </w:p>
        </w:tc>
      </w:tr>
    </w:tbl>
    <w:bookmarkEnd w:id="93"/>
    <w:bookmarkStart w:id="94" w:name="part-b-agents-and-conduct"/>
    <w:p>
      <w:pPr>
        <w:pStyle w:val="Heading2"/>
      </w:pPr>
      <w:r>
        <w:t xml:space="preserve">Part B — Agents and conduct</w:t>
      </w:r>
    </w:p>
    <w:p>
      <w:pPr>
        <w:pStyle w:val="FirstParagraph"/>
      </w:pPr>
      <w:r>
        <w:rPr>
          <w:bCs/>
          <w:b/>
        </w:rPr>
        <w:t xml:space="preserve">10.3 Agent eligibility. [Mandatory — RBI]</w:t>
      </w:r>
      <w:r>
        <w:t xml:space="preserve"> </w:t>
      </w:r>
      <w:r>
        <w:t xml:space="preserve">“</w:t>
      </w:r>
      <w:r>
        <w:t xml:space="preserve">Recovery agents</w:t>
      </w:r>
      <w:r>
        <w:t xml:space="preserve">”</w:t>
      </w:r>
      <w:r>
        <w:t xml:space="preserve"> </w:t>
      </w:r>
      <w:r>
        <w:t xml:space="preserve">means agencies engaged for recovery and their employees (RBC para 93; from 1 Jan 2027, RBC paras 6(11A)–(11B) as inserted by RBC-3A). Before allocation each agent shall have: antecedent and police verification, re-verified at the RE’s periodicity (RBC para 94; from 1 Jan 2027, RBC-3A para 100H); training on care and sensitivity, calling hours, privacy and correct terms (RBC para 98); a signed undertaking to the code of conduct and Fair Practices Code (RBC para 99; from 1 Jan 2027, RBC-3A para 100J); an ID card and the RE’s notice and authorisation letter with contact details of the agency and the RE (RBC paras 95–96; from 1 Jan 2027, RBC-3A para 100X); and, from 1 Jan 2027, an IIBF Debt Recovery Agents certificate or equivalent from an IIBF-tied institute, existing agents within one year (RBC-3A para 100I) [VERIFY]. The LSP keeps an agent register and shares it monthly and on change (Schedule 19, R6).</w:t>
      </w:r>
    </w:p>
    <w:p>
      <w:pPr>
        <w:pStyle w:val="BodyText"/>
      </w:pPr>
      <w:r>
        <w:rPr>
          <w:bCs/>
          <w:b/>
        </w:rPr>
        <w:t xml:space="preserve">10.4 Notice before contact. [Mandatory — RBI]</w:t>
      </w:r>
      <w:r>
        <w:t xml:space="preserve"> </w:t>
      </w:r>
      <w:r>
        <w:t xml:space="preserve">On allocation or change of agent, the agent’s particulars are sent to the Borrower by email/SMS before any contact (CF para 9(6); RBC para 95); from 1 Jan 2027 agency details are also shared at least one day before the first in-person visit, and changes notified (RBC-3A paras 100L–100N) [VERIFY]. The LSP’s systems block any contact until a delivered-notice record exists.</w:t>
      </w:r>
    </w:p>
    <w:p>
      <w:pPr>
        <w:pStyle w:val="BodyText"/>
      </w:pPr>
      <w:r>
        <w:rPr>
          <w:bCs/>
          <w:b/>
        </w:rPr>
        <w:t xml:space="preserve">10.5 Contact hours. [Mandatory — 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38"/>
        <w:gridCol w:w="3544"/>
        <w:gridCol w:w="4656"/>
      </w:tblGrid>
      <w:tr>
        <w:trPr>
          <w:tblHeader w:val="true"/>
          <w:tblHeader w:val="true"/>
        </w:trPr>
        <w:tc>
          <w:tcPr>
            <w:tcW w:w="1438" w:type="dxa"/>
            <w:shd w:val="clear" w:color="auto" w:fill="1F3A5F"/>
          </w:tcPr>
          <w:p>
            <w:pPr>
              <w:pStyle w:val="Compact"/>
              <w:spacing w:after="40"/>
              <w:jc w:val="left"/>
            </w:pPr>
            <w:r>
              <w:rPr>
                <w:b/>
                <w:color w:val="FFFFFF"/>
                <w:sz w:val="18"/>
              </w:rPr>
              <w:t xml:space="preserve">Period</w:t>
            </w:r>
          </w:p>
        </w:tc>
        <w:tc>
          <w:tcPr>
            <w:tcW w:w="3544" w:type="dxa"/>
            <w:shd w:val="clear" w:color="auto" w:fill="1F3A5F"/>
          </w:tcPr>
          <w:p>
            <w:pPr>
              <w:pStyle w:val="Compact"/>
              <w:spacing w:after="40"/>
              <w:jc w:val="left"/>
            </w:pPr>
            <w:r>
              <w:rPr>
                <w:b/>
                <w:color w:val="FFFFFF"/>
                <w:sz w:val="18"/>
              </w:rPr>
              <w:t xml:space="preserve">Other loans</w:t>
            </w:r>
          </w:p>
        </w:tc>
        <w:tc>
          <w:tcPr>
            <w:tcW w:w="4656" w:type="dxa"/>
            <w:shd w:val="clear" w:color="auto" w:fill="1F3A5F"/>
          </w:tcPr>
          <w:p>
            <w:pPr>
              <w:pStyle w:val="Compact"/>
              <w:spacing w:after="40"/>
              <w:jc w:val="left"/>
            </w:pPr>
            <w:r>
              <w:rPr>
                <w:b/>
                <w:color w:val="FFFFFF"/>
                <w:sz w:val="18"/>
              </w:rPr>
              <w:t xml:space="preserve">Microfinance loans</w:t>
            </w:r>
          </w:p>
        </w:tc>
      </w:tr>
      <w:tr>
        <w:tc>
          <w:tcPr>
            <w:tcW w:w="1438" w:type="dxa"/>
          </w:tcPr>
          <w:p>
            <w:pPr>
              <w:pStyle w:val="Compact"/>
              <w:spacing w:after="40"/>
              <w:jc w:val="left"/>
            </w:pPr>
            <w:r>
              <w:rPr>
                <w:sz w:val="18"/>
              </w:rPr>
              <w:t xml:space="preserve">To 31 Dec 2026</w:t>
            </w:r>
          </w:p>
        </w:tc>
        <w:tc>
          <w:tcPr>
            <w:tcW w:w="3544" w:type="dxa"/>
          </w:tcPr>
          <w:p>
            <w:pPr>
              <w:pStyle w:val="Compact"/>
              <w:spacing w:after="40"/>
              <w:jc w:val="left"/>
            </w:pPr>
            <w:r>
              <w:rPr>
                <w:sz w:val="18"/>
              </w:rPr>
              <w:t xml:space="preserve">Not before 08:00 or after 19:00 (RBC para 100)</w:t>
            </w:r>
          </w:p>
        </w:tc>
        <w:tc>
          <w:tcPr>
            <w:tcW w:w="4656" w:type="dxa"/>
          </w:tcPr>
          <w:p>
            <w:pPr>
              <w:pStyle w:val="Compact"/>
              <w:spacing w:after="40"/>
              <w:jc w:val="left"/>
            </w:pPr>
            <w:r>
              <w:rPr>
                <w:sz w:val="18"/>
              </w:rPr>
              <w:t xml:space="preserve">Not before 09:00 or after 18:00 (RBC para 91(2)); recovery at the designated place, residence or work only after two successive non-appearances (RBC para 90)</w:t>
            </w:r>
          </w:p>
        </w:tc>
      </w:tr>
      <w:tr>
        <w:tc>
          <w:tcPr>
            <w:tcW w:w="1438" w:type="dxa"/>
          </w:tcPr>
          <w:p>
            <w:pPr>
              <w:pStyle w:val="Compact"/>
              <w:spacing w:after="40"/>
              <w:jc w:val="left"/>
            </w:pPr>
            <w:r>
              <w:rPr>
                <w:sz w:val="18"/>
              </w:rPr>
              <w:t xml:space="preserve">From 1 Jan 2027</w:t>
            </w:r>
          </w:p>
        </w:tc>
        <w:tc>
          <w:tcPr>
            <w:tcW w:w="3544" w:type="dxa"/>
          </w:tcPr>
          <w:p>
            <w:pPr>
              <w:pStyle w:val="Compact"/>
              <w:spacing w:after="40"/>
              <w:jc w:val="left"/>
            </w:pPr>
            <w:r>
              <w:rPr>
                <w:sz w:val="18"/>
              </w:rPr>
              <w:t xml:space="preserve">08:00–19:00 unless the Borrower expressly requests otherwise (RBC-3A para 100Y(4)) [VERIFY]</w:t>
            </w:r>
          </w:p>
        </w:tc>
        <w:tc>
          <w:tcPr>
            <w:tcW w:w="4656" w:type="dxa"/>
          </w:tcPr>
          <w:p>
            <w:pPr>
              <w:pStyle w:val="Compact"/>
              <w:spacing w:after="40"/>
              <w:jc w:val="left"/>
            </w:pPr>
            <w:r>
              <w:rPr>
                <w:sz w:val="18"/>
              </w:rPr>
              <w:t xml:space="preserve">Designated-place rule retained (RBC-3A para 100Y(7)) [VERIFY]; [Option: keep 09:00–18:00 by RE policy]</w:t>
            </w:r>
          </w:p>
        </w:tc>
      </w:tr>
    </w:tbl>
    <w:p>
      <w:pPr>
        <w:pStyle w:val="BodyText"/>
      </w:pPr>
      <w:r>
        <w:rPr>
          <w:bCs/>
          <w:b/>
        </w:rPr>
        <w:t xml:space="preserve">10.6 Prohibited conduct. [Mandatory — RBI]</w:t>
      </w:r>
      <w:r>
        <w:t xml:space="preserve"> </w:t>
      </w:r>
      <w:r>
        <w:t xml:space="preserve">No intimidation or harassment, verbal or physical, against any person; no public humiliation or intrusion on the privacy of family, referees or friends; no inappropriate messages on mobile or social media; no threatening or anonymous calls; no persistent calling; no false or misleading representations (RBC paras 20, 91, 100; from 1 Jan 2027 RBC-3A para 100Z [VERIFY]). Further, no contact with anyone other than the Borrower, co-borrower or guarantor of record; no use of device data (CF para 13(1); RBC-3A para 100U [VERIFY]); no impersonation of lender, court, police or government; no legal notice in the LSP’s name; no threat of action the RE has not decided.</w:t>
      </w:r>
    </w:p>
    <w:p>
      <w:pPr>
        <w:pStyle w:val="BodyText"/>
      </w:pPr>
      <w:r>
        <w:rPr>
          <w:bCs/>
          <w:b/>
        </w:rPr>
        <w:t xml:space="preserve">10.7 Calls and communications. [Mandatory — RBI]</w:t>
      </w:r>
      <w:r>
        <w:t xml:space="preserve"> </w:t>
      </w:r>
      <w:r>
        <w:t xml:space="preserve">Recovery calls are logged and recorded with disclosure to the Borrower, recordings kept at least six months or until disposal if sub judice (RBC-3A para 100P [VERIFY]; default [12] months, stored in India). Written communications are in the Borrower’s language (RBC para 10), on RE-approved templates naming the sender, and carry the RE’s recovery-grievance mechanism (RBC para 92) and, from 1 Jan 2027, the grievance officer’s name, email, telephone and address (RBC-3A para 100AA). Calls and messages comply with TCCCPR (DLT headers and templates; number series per Schedule 15) (RBC para 101; RBC-3A para 100AB).</w:t>
      </w:r>
    </w:p>
    <w:p>
      <w:pPr>
        <w:pStyle w:val="BodyText"/>
      </w:pPr>
      <w:r>
        <w:rPr>
          <w:bCs/>
          <w:b/>
        </w:rPr>
        <w:t xml:space="preserve">10.8 No WhatsApp. [Mandatory — Platform policy; Clause 11.4]</w:t>
      </w:r>
      <w:r>
        <w:t xml:space="preserve"> </w:t>
      </w:r>
      <w:r>
        <w:t xml:space="preserve">No recovery communication by WhatsApp or any channel whose terms bar debt collection [VERIFY: WhatsApp Business Messaging Policy].</w:t>
      </w:r>
    </w:p>
    <w:p>
      <w:pPr>
        <w:pStyle w:val="BodyText"/>
      </w:pPr>
      <w:r>
        <w:rPr>
          <w:bCs/>
          <w:b/>
        </w:rPr>
        <w:t xml:space="preserve">10.9 Settlement. [Mandatory — RBI]</w:t>
      </w:r>
      <w:r>
        <w:t xml:space="preserve"> </w:t>
      </w:r>
      <w:r>
        <w:t xml:space="preserve">The LSP may present only an offer the RE has issued for that account and relays any Borrower proposal; it never negotiates, approves or promises a waiver (OUT para 15).</w:t>
      </w:r>
    </w:p>
    <w:bookmarkEnd w:id="94"/>
    <w:bookmarkStart w:id="95" w:name="part-c-cash-and-oversight"/>
    <w:p>
      <w:pPr>
        <w:pStyle w:val="Heading2"/>
      </w:pPr>
      <w:r>
        <w:t xml:space="preserve">Part C — Cash and oversight</w:t>
      </w:r>
    </w:p>
    <w:p>
      <w:pPr>
        <w:pStyle w:val="FirstParagraph"/>
      </w:pPr>
      <w:r>
        <w:rPr>
          <w:bCs/>
          <w:b/>
        </w:rPr>
        <w:t xml:space="preserve">10.10 Cash. [Mandatory — RBI]</w:t>
      </w:r>
      <w:r>
        <w:t xml:space="preserve"> </w:t>
      </w:r>
      <w:r>
        <w:t xml:space="preserve">Cash only on delinquent Loans and where Part A permits (CF para 10(5)): immediate digital receipt for the full amount; full amount reflected in the Borrower’s account the same day; no deduction; daily-reconciled cash-in-transit ledger; unposted receipt at end of day is a Severity 1 break (Schedule 6). Per-receipt and per-agent limits set by the RE [VERIFY: Income-tax Act, 2025 cash rules].</w:t>
      </w:r>
    </w:p>
    <w:p>
      <w:pPr>
        <w:pStyle w:val="BodyText"/>
      </w:pPr>
      <w:r>
        <w:rPr>
          <w:bCs/>
          <w:b/>
        </w:rPr>
        <w:t xml:space="preserve">10.11 Incentives. [Mandatory — RBI from 1 Jan 2027]</w:t>
      </w:r>
      <w:r>
        <w:t xml:space="preserve"> </w:t>
      </w:r>
      <w:r>
        <w:t xml:space="preserve">Incentives shall not encourage harsh recovery (RBC-3A para 100Q) [VERIFY] and include conduct metrics.</w:t>
      </w:r>
    </w:p>
    <w:p>
      <w:pPr>
        <w:pStyle w:val="BodyText"/>
      </w:pPr>
      <w:r>
        <w:rPr>
          <w:bCs/>
          <w:b/>
        </w:rPr>
        <w:t xml:space="preserve">10.12 RE’s right to stop. [Mandatory — RBI]</w:t>
      </w:r>
      <w:r>
        <w:t xml:space="preserve"> </w:t>
      </w:r>
      <w:r>
        <w:t xml:space="preserve">The RE may at any time suspend or withdraw any agent, account or the appointment; the LSP stops all contact immediately and hands back allocations with history; the RE notifies Borrowers immediately (OUT para 17; RBC para 95; from 1 Jan 2027, RBC-3A paras 100M–100N). DLG exposure has no bearing on allocation or contact strategy; the RE samples accounts where the LSP is both DLG provider and agent [Option — recommended].</w:t>
      </w:r>
    </w:p>
    <w:p>
      <w:pPr>
        <w:pStyle w:val="BodyText"/>
      </w:pPr>
      <w:r>
        <w:rPr>
          <w:bCs/>
          <w:b/>
        </w:rPr>
        <w:t xml:space="preserve">10.13 Reporting. [Mandatory — RBI]</w:t>
      </w:r>
      <w:r>
        <w:t xml:space="preserve"> </w:t>
      </w:r>
      <w:r>
        <w:t xml:space="preserve">Daily activity feed; monthly conduct report: complaints per 1,000 allocated accounts, out-of-window attempts (target zero), recording coverage, notice-before-contact rate and same-day cash posting rate (targets 100%), QA scores (Schedule 19, R6).</w:t>
      </w:r>
    </w:p>
    <w:p>
      <w:r>
        <w:pict>
          <v:rect style="width:0;height:1.5pt" o:hralign="center" o:hrstd="t" o:hr="t"/>
        </w:pict>
      </w:r>
    </w:p>
    <w:p>
      <w:r>
        <w:br w:type="page"/>
      </w:r>
    </w:p>
    <w:bookmarkEnd w:id="95"/>
    <w:bookmarkEnd w:id="96"/>
    <w:bookmarkStart w:id="103" w:name="X55298296581e275e3e96347b62e16e5e33a5497"/>
    <w:p>
      <w:pPr>
        <w:pStyle w:val="Heading1"/>
      </w:pPr>
      <w:r>
        <w:t xml:space="preserve">SCHEDULE 11 — Default Loss Guarantee Agreement (optional)</w:t>
      </w:r>
    </w:p>
    <w:p>
      <w:pPr>
        <w:pStyle w:val="FirstParagraph"/>
      </w:pPr>
      <w:r>
        <w:rPr>
          <w:iCs/>
          <w:i/>
        </w:rPr>
        <w:t xml:space="preserve">Drafting note: Implements Article 13. A self-contained, explicit and legally enforceable contract as required by CF para 22, effective only if executed; may be stamped and executed separately [VERIFY: State stamp duty on the agreement, lien letter and bank guarantee]. Complies with CF paras 19–29.</w:t>
      </w:r>
    </w:p>
    <w:p>
      <w:pPr>
        <w:pStyle w:val="BodyText"/>
      </w:pPr>
      <w:r>
        <w:rPr>
          <w:bCs/>
          <w:b/>
        </w:rPr>
        <w:t xml:space="preserve">THIS DEFAULT LOSS GUARANTEE AGREEMENT</w:t>
      </w:r>
      <w:r>
        <w:t xml:space="preserve"> </w:t>
      </w:r>
      <w:r>
        <w:t xml:space="preserve">is made on [date] at [place] between</w:t>
      </w:r>
      <w:r>
        <w:t xml:space="preserve"> </w:t>
      </w:r>
      <w:r>
        <w:rPr>
          <w:bCs/>
          <w:b/>
        </w:rPr>
        <w:t xml:space="preserve">[RE name]</w:t>
      </w:r>
      <w:r>
        <w:t xml:space="preserve">, a [NBFC / HFC] registered with the Reserve Bank of India [under the RBI Act, 1934 / under the NHB Act, 1987] (CoR No. [●]), registered office [●] (the</w:t>
      </w:r>
      <w:r>
        <w:t xml:space="preserve"> </w:t>
      </w:r>
      <w:r>
        <w:t xml:space="preserve">“</w:t>
      </w:r>
      <w:r>
        <w:rPr>
          <w:bCs/>
          <w:b/>
        </w:rPr>
        <w:t xml:space="preserve">RE</w:t>
      </w:r>
      <w:r>
        <w:t xml:space="preserve">”</w:t>
      </w:r>
      <w:r>
        <w:t xml:space="preserve">), and</w:t>
      </w:r>
      <w:r>
        <w:t xml:space="preserve"> </w:t>
      </w:r>
      <w:r>
        <w:rPr>
          <w:bCs/>
          <w:b/>
        </w:rPr>
        <w:t xml:space="preserve">[LSP name]</w:t>
      </w:r>
      <w:r>
        <w:t xml:space="preserve">, a company incorporated under the Companies Act, 2013 (CIN [●]), registered office [●] (the</w:t>
      </w:r>
      <w:r>
        <w:t xml:space="preserve"> </w:t>
      </w:r>
      <w:r>
        <w:t xml:space="preserve">“</w:t>
      </w:r>
      <w:r>
        <w:rPr>
          <w:bCs/>
          <w:b/>
        </w:rPr>
        <w:t xml:space="preserve">DLG Provider</w:t>
      </w:r>
      <w:r>
        <w:t xml:space="preserve">”</w:t>
      </w:r>
      <w:r>
        <w:t xml:space="preserve">).</w:t>
      </w:r>
    </w:p>
    <w:bookmarkStart w:id="97" w:name="part-a-terms"/>
    <w:p>
      <w:pPr>
        <w:pStyle w:val="Heading2"/>
      </w:pPr>
      <w:r>
        <w:t xml:space="preserve">Part A — Terms</w:t>
      </w:r>
    </w:p>
    <w:p>
      <w:pPr>
        <w:pStyle w:val="FirstParagraph"/>
      </w:pPr>
      <w:r>
        <w:rPr>
          <w:bCs/>
          <w:b/>
        </w:rPr>
        <w:t xml:space="preserve">11.1 Definitions.</w:t>
      </w:r>
      <w:r>
        <w:t xml:space="preserve"> </w:t>
      </w:r>
      <w:r>
        <w:t xml:space="preserve">“</w:t>
      </w:r>
      <w:r>
        <w:rPr>
          <w:bCs/>
          <w:b/>
        </w:rPr>
        <w:t xml:space="preserve">DLG</w:t>
      </w:r>
      <w:r>
        <w:t xml:space="preserve">”</w:t>
      </w:r>
      <w:r>
        <w:t xml:space="preserve"> </w:t>
      </w:r>
      <w:r>
        <w:t xml:space="preserve">has the meaning in CF para 4(1)(viii).</w:t>
      </w:r>
      <w:r>
        <w:t xml:space="preserve"> </w:t>
      </w:r>
      <w:r>
        <w:t xml:space="preserve">“</w:t>
      </w:r>
      <w:r>
        <w:rPr>
          <w:bCs/>
          <w:b/>
        </w:rPr>
        <w:t xml:space="preserve">DLG Set</w:t>
      </w:r>
      <w:r>
        <w:t xml:space="preserve">”</w:t>
      </w:r>
      <w:r>
        <w:t xml:space="preserve"> </w:t>
      </w:r>
      <w:r>
        <w:t xml:space="preserve">means the identifiable and measurable portfolio of sanctioned Loans listed in a DLG Set Notice and fixed on its Closing Date.</w:t>
      </w:r>
      <w:r>
        <w:t xml:space="preserve"> </w:t>
      </w:r>
      <w:r>
        <w:t xml:space="preserve">“</w:t>
      </w:r>
      <w:r>
        <w:rPr>
          <w:bCs/>
          <w:b/>
        </w:rPr>
        <w:t xml:space="preserve">Amount Disbursed</w:t>
      </w:r>
      <w:r>
        <w:t xml:space="preserve">”</w:t>
      </w:r>
      <w:r>
        <w:t xml:space="preserve"> </w:t>
      </w:r>
      <w:r>
        <w:t xml:space="preserve">means the aggregate principal actually disbursed out of a DLG Set.</w:t>
      </w:r>
      <w:r>
        <w:t xml:space="preserve"> </w:t>
      </w:r>
      <w:r>
        <w:t xml:space="preserve">“</w:t>
      </w:r>
      <w:r>
        <w:rPr>
          <w:bCs/>
          <w:b/>
        </w:rPr>
        <w:t xml:space="preserve">DLG Cap</w:t>
      </w:r>
      <w:r>
        <w:t xml:space="preserve">”</w:t>
      </w:r>
      <w:r>
        <w:t xml:space="preserve"> </w:t>
      </w:r>
      <w:r>
        <w:t xml:space="preserve">means the percentage of the Amount Disbursed specified upfront in Part B for the DLG Set, which shall not exceed 5%.</w:t>
      </w:r>
      <w:r>
        <w:t xml:space="preserve"> </w:t>
      </w:r>
      <w:r>
        <w:t xml:space="preserve">“</w:t>
      </w:r>
      <w:r>
        <w:rPr>
          <w:bCs/>
          <w:b/>
        </w:rPr>
        <w:t xml:space="preserve">available cover</w:t>
      </w:r>
      <w:r>
        <w:t xml:space="preserve">”</w:t>
      </w:r>
      <w:r>
        <w:t xml:space="preserve"> </w:t>
      </w:r>
      <w:r>
        <w:t xml:space="preserve">means, at any time, the DLG Cap less all amounts invoked to date (which are never reinstated).</w:t>
      </w:r>
      <w:r>
        <w:t xml:space="preserve"> </w:t>
      </w:r>
      <w:r>
        <w:t xml:space="preserve">“</w:t>
      </w:r>
      <w:r>
        <w:rPr>
          <w:bCs/>
          <w:b/>
        </w:rPr>
        <w:t xml:space="preserve">Cover Instrument</w:t>
      </w:r>
      <w:r>
        <w:t xml:space="preserve">”</w:t>
      </w:r>
      <w:r>
        <w:t xml:space="preserve"> </w:t>
      </w:r>
      <w:r>
        <w:t xml:space="preserve">means the cash deposit, fixed deposit or bank guarantee under para 11.6.</w:t>
      </w:r>
    </w:p>
    <w:p>
      <w:pPr>
        <w:pStyle w:val="BodyText"/>
      </w:pPr>
      <w:r>
        <w:rPr>
          <w:bCs/>
          <w:b/>
        </w:rPr>
        <w:t xml:space="preserve">11.2 Eligibility. [Mandatory — RBI]</w:t>
      </w:r>
      <w:r>
        <w:t xml:space="preserve"> </w:t>
      </w:r>
      <w:r>
        <w:t xml:space="preserve">The DLG Provider warrants that it is an LSP engaged by the RE and is incorporated as a company under the Companies Act, 2013 (CF para 19), and is not an NBFC-P2P (CF para 21(2)). If it is an NBFC, it shall deduct the full DLG outstanding from its capital (CF para 26(2)).</w:t>
      </w:r>
    </w:p>
    <w:p>
      <w:pPr>
        <w:pStyle w:val="BodyText"/>
      </w:pPr>
      <w:r>
        <w:rPr>
          <w:bCs/>
          <w:b/>
        </w:rPr>
        <w:t xml:space="preserve">11.3 RE’s policy. [Mandatory — RBI]</w:t>
      </w:r>
      <w:r>
        <w:t xml:space="preserve"> </w:t>
      </w:r>
      <w:r>
        <w:t xml:space="preserve">The RE confirms that its Board-approved policy lays down eligibility criteria for DLG providers, nature and extent of cover, monitoring and review, and fees payable to or received by the DLG provider (CF paras 5(1), 20(1)), and that this arrangement conforms to it.</w:t>
      </w:r>
    </w:p>
    <w:p>
      <w:pPr>
        <w:pStyle w:val="BodyText"/>
      </w:pPr>
      <w:r>
        <w:rPr>
          <w:bCs/>
          <w:b/>
        </w:rPr>
        <w:t xml:space="preserve">11.4 No substitute for underwriting. [Mandatory — RBI]</w:t>
      </w:r>
      <w:r>
        <w:t xml:space="preserve"> </w:t>
      </w:r>
      <w:r>
        <w:t xml:space="preserve">DLG shall not substitute for credit appraisal; the RE applies robust underwriting irrespective of cover (CF para 20(2)). DLG data is not an input to the RE’s credit decision or to the LSP’s matching, ranking or contact strategy (Sch. 5 para 5.4; Sch. 10 para 10.12).</w:t>
      </w:r>
    </w:p>
    <w:p>
      <w:pPr>
        <w:pStyle w:val="BodyText"/>
      </w:pPr>
      <w:r>
        <w:rPr>
          <w:bCs/>
          <w:b/>
        </w:rPr>
        <w:t xml:space="preserve">11.5 Declaration on every entry or renewal. [Mandatory — RBI]</w:t>
      </w:r>
      <w:r>
        <w:t xml:space="preserve"> </w:t>
      </w:r>
      <w:r>
        <w:t xml:space="preserve">Before this Agreement, each renewal and each new DLG Set, the DLG Provider shall deliver a declaration certified by its statutory auditor of the aggregate DLG amount outstanding, the number of lenders, the respective number of portfolios covered, and past default rates on similar portfolios (CF para 20(3)), in the form of Annexure 11B, with its latest audited financial statements and such other information as the RE reasonably requires to satisfy itself that the DLG Provider can honour the DLG. This is in addition to the due diligence under CF para 6 (CF para 20(4); Sch. 17).</w:t>
      </w:r>
    </w:p>
    <w:p>
      <w:pPr>
        <w:pStyle w:val="BodyText"/>
      </w:pPr>
      <w:r>
        <w:rPr>
          <w:bCs/>
          <w:b/>
        </w:rPr>
        <w:t xml:space="preserve">11.6 Forms of cover. [Mandatory — RBI]</w:t>
      </w:r>
      <w:r>
        <w:t xml:space="preserve"> </w:t>
      </w:r>
      <w:r>
        <w:t xml:space="preserve">Cover shall be maintained only as (CF para 23): (a) cash deposited with the RE in a designated account (Form 11A-1); (b) a fixed deposit with a Scheduled Commercial Bank with lien marked in favour of the RE, auto-renewing under lien (Form 11A-2); or (c) an irrevocable, unconditional, on-demand bank guarantee in favour of the RE (Form 11A-3). No other form (corporate guarantee, fee holdback, set-off against fees, escrow controlled by the DLG Provider, insurance) is acceptable.</w:t>
      </w:r>
    </w:p>
    <w:p>
      <w:pPr>
        <w:pStyle w:val="BodyText"/>
      </w:pPr>
      <w:r>
        <w:rPr>
          <w:bCs/>
          <w:b/>
        </w:rPr>
        <w:t xml:space="preserve">11.7 Fixed DLG Set. [Mandatory — RBI]</w:t>
      </w:r>
      <w:r>
        <w:t xml:space="preserve"> </w:t>
      </w:r>
      <w:r>
        <w:t xml:space="preserve">The RE issues a DLG Set Notice listing the Loans (account numbers, sanction dates, amounts, tenors) and the Closing Date. No Loan is added or removed after the Closing Date except by repayment or write-off; the RE may have multiple DLG Sets (CF para 24(2)–(3)).</w:t>
      </w:r>
    </w:p>
    <w:p>
      <w:pPr>
        <w:pStyle w:val="BodyText"/>
      </w:pPr>
      <w:r>
        <w:rPr>
          <w:bCs/>
          <w:b/>
        </w:rPr>
        <w:t xml:space="preserve">11.8 Cap. [Mandatory — RBI]</w:t>
      </w:r>
      <w:r>
        <w:t xml:space="preserve"> </w:t>
      </w:r>
      <w:r>
        <w:t xml:space="preserve">Total cover on a DLG Set, specified upfront, shall not exceed 5% of the Amount Disbursed out of that set at any time, activating proportionately on disbursal (CF para 24(1), (3)). Any implicit guarantee between the Parties counts toward the same 5% (CF paras 4(1)(viii), 24(1)). Illustration (CF para 24(3)): set of ₹40 crore, ceiling ₹2 crore; on ₹10 crore disbursed, cover ₹0.5 crore; on a further ₹10 crore, ₹1 crore; maturities without default do not reduce it; recoveries after invocation do not reinstate it.</w:t>
      </w:r>
    </w:p>
    <w:p>
      <w:pPr>
        <w:pStyle w:val="BodyText"/>
      </w:pPr>
      <w:r>
        <w:rPr>
          <w:bCs/>
          <w:b/>
        </w:rPr>
        <w:t xml:space="preserve">11.9 Exclusions. [Mandatory — RBI]</w:t>
      </w:r>
      <w:r>
        <w:t xml:space="preserve"> </w:t>
      </w:r>
      <w:r>
        <w:t xml:space="preserve">No DLG on Loans covered by credit guarantee schemes administered by trust funds (CF para 21(1)); CGTMSE, CRGFTLIH, NCGTC, BIS, IMF and MDB guarantees are not DLG (CF para 29). Co-lending DLG by an originating NBFC is governed by TDCR para 123 and is outside this Agreement.</w:t>
      </w:r>
    </w:p>
    <w:p>
      <w:pPr>
        <w:pStyle w:val="BodyText"/>
      </w:pPr>
      <w:r>
        <w:rPr>
          <w:bCs/>
          <w:b/>
        </w:rPr>
        <w:t xml:space="preserve">11.10 Term. [Mandatory — RBI]</w:t>
      </w:r>
      <w:r>
        <w:t xml:space="preserve"> </w:t>
      </w:r>
      <w:r>
        <w:t xml:space="preserve">This Agreement and each DLG Set remain in force for not less than the longest tenor of the Loans in the set (CF para 27(2)); so that a default near maturity can still be invoked under para 11.12, the term of each DLG Set ends no earlier than 120 days after the latest scheduled maturity date of any Loan in it. Fixed deposits under lien and bank guarantees remain valid until then, and each bank guarantee carries a claim period of not less than [12] months after its expiry (Indian Contract Act, 1872, s.28, Exception 3).</w:t>
      </w:r>
    </w:p>
    <w:p>
      <w:pPr>
        <w:pStyle w:val="BodyText"/>
      </w:pPr>
      <w:r>
        <w:rPr>
          <w:bCs/>
          <w:b/>
        </w:rPr>
        <w:t xml:space="preserve">11.11 Top-up. [Option]</w:t>
      </w:r>
      <w:r>
        <w:t xml:space="preserve"> </w:t>
      </w:r>
      <w:r>
        <w:t xml:space="preserve">The DLG Provider keeps the Cover Instrument at least equal to available cover and tops up within [5] working days of the RE’s monthly coverage statement (</w:t>
      </w:r>
      <w:r>
        <w:rPr>
          <w:rStyle w:val="VerbatimChar"/>
        </w:rPr>
        <w:t xml:space="preserve">DLGPortfolioCoverage</w:t>
      </w:r>
      <w:r>
        <w:t xml:space="preserve">). Top-up never exceeds the DLG Cap or reinstates invoked amounts.</w:t>
      </w:r>
    </w:p>
    <w:p>
      <w:pPr>
        <w:pStyle w:val="BodyText"/>
      </w:pPr>
      <w:r>
        <w:rPr>
          <w:bCs/>
          <w:b/>
        </w:rPr>
        <w:t xml:space="preserve">11.12 Invocation. [Mandatory — RBI]</w:t>
      </w:r>
      <w:r>
        <w:t xml:space="preserve"> </w:t>
      </w:r>
      <w:r>
        <w:t xml:space="preserve">The RE shall invoke within a maximum overdue period of 120 days unless the dues are made good earlier (CF para 27(1)), by notice in the form of Annexure 11D, for an amount not exceeding available cover. Payment or appropriation within [2] working days, without set-off or counterclaim (</w:t>
      </w:r>
      <w:r>
        <w:rPr>
          <w:rStyle w:val="VerbatimChar"/>
        </w:rPr>
        <w:t xml:space="preserve">DLGInvocationRaised</w:t>
      </w:r>
      <w:r>
        <w:t xml:space="preserve">,</w:t>
      </w:r>
      <w:r>
        <w:t xml:space="preserve"> </w:t>
      </w:r>
      <w:r>
        <w:rPr>
          <w:rStyle w:val="VerbatimChar"/>
        </w:rPr>
        <w:t xml:space="preserve">DLGInvocationSettled</w:t>
      </w:r>
      <w:r>
        <w:t xml:space="preserve">).</w:t>
      </w:r>
    </w:p>
    <w:p>
      <w:pPr>
        <w:pStyle w:val="BodyText"/>
      </w:pPr>
      <w:r>
        <w:rPr>
          <w:bCs/>
          <w:b/>
        </w:rPr>
        <w:t xml:space="preserve">11.13 No reinstatement. [Mandatory — RBI]</w:t>
      </w:r>
      <w:r>
        <w:t xml:space="preserve"> </w:t>
      </w:r>
      <w:r>
        <w:t xml:space="preserve">Invoked DLG shall not be reinstated, including through loan recovery (CF para 25(4)).</w:t>
      </w:r>
    </w:p>
    <w:p>
      <w:pPr>
        <w:pStyle w:val="BodyText"/>
      </w:pPr>
      <w:r>
        <w:rPr>
          <w:bCs/>
          <w:b/>
        </w:rPr>
        <w:t xml:space="preserve">11.14 Borrower liability unaffected. [Mandatory — RBI]</w:t>
      </w:r>
      <w:r>
        <w:t xml:space="preserve"> </w:t>
      </w:r>
      <w:r>
        <w:t xml:space="preserve">Invoked DLG shall not be set off against the underlying individual Loans; Borrowers’ liability remains unaffected (CF para 25(2)). The LSP shall not show any Loan as reduced or settled by reason of invocation.</w:t>
      </w:r>
    </w:p>
    <w:p>
      <w:pPr>
        <w:pStyle w:val="BodyText"/>
      </w:pPr>
      <w:r>
        <w:rPr>
          <w:bCs/>
          <w:b/>
        </w:rPr>
        <w:t xml:space="preserve">11.15 Recovery sharing. [Option — CF para 25(3)]</w:t>
      </w:r>
      <w:r>
        <w:t xml:space="preserve"> </w:t>
      </w:r>
      <w:r>
        <w:t xml:space="preserve">Recoveries on Loans on which DLG was invoked and realised [shall / shall not] be shared: [●]% of net recoveries, up to the amount invoked on that Loan, paid monthly (</w:t>
      </w:r>
      <w:r>
        <w:rPr>
          <w:rStyle w:val="VerbatimChar"/>
        </w:rPr>
        <w:t xml:space="preserve">DLGRecoveryShared</w:t>
      </w:r>
      <w:r>
        <w:t xml:space="preserve">); sharing does not reinstate cover.</w:t>
      </w:r>
    </w:p>
    <w:p>
      <w:pPr>
        <w:pStyle w:val="BodyText"/>
      </w:pPr>
      <w:r>
        <w:rPr>
          <w:bCs/>
          <w:b/>
        </w:rPr>
        <w:t xml:space="preserve">11.16 Classification and capital. [Mandatory — RBI]</w:t>
      </w:r>
      <w:r>
        <w:t xml:space="preserve"> </w:t>
      </w:r>
      <w:r>
        <w:t xml:space="preserve">Asset classification of individual Loans and consequent provisioning follow the IRACP Directions (CF para 25(1), as substituted w.e.f. 13 Feb 2026). Classification is unaffected by DLG; an RE applying Ind AS may consider the DLG in its Expected Credit Loss provisioning across all stages only where Ind AS permits (the DLG being integral to the contractual terms of the Loans and not recognised separately), shall make the Ind AS 1 disclosures, and shall recompute ECL after every invocation for the reduced cover (IRACP paras 36A–36C, inserted w.e.f. 13 Feb 2026). Capital computation, including credit risk mitigation on individual Loans, continues under the Capital Adequacy Directions (CF para 26(1)) [VERIFY: treatment there]. Compliant DLG is not synthetic securitisation or loan participation (CF para 30(2)).</w:t>
      </w:r>
    </w:p>
    <w:p>
      <w:pPr>
        <w:pStyle w:val="BodyText"/>
      </w:pPr>
      <w:r>
        <w:rPr>
          <w:bCs/>
          <w:b/>
        </w:rPr>
        <w:t xml:space="preserve">11.17 Monthly disclosure. [Mandatory — RBI]</w:t>
      </w:r>
      <w:r>
        <w:t xml:space="preserve"> </w:t>
      </w:r>
      <w:r>
        <w:t xml:space="preserve">The DLG Provider shall publish on its website, monthly and no later than seven working days after month end, the total number of portfolios and the amount of each portfolio on which DLG has been offered, lender names optional (CF para 28), in the form of Annexure 11C, and send the RE the URL and document hash within one working day (</w:t>
      </w:r>
      <w:r>
        <w:rPr>
          <w:rStyle w:val="VerbatimChar"/>
        </w:rPr>
        <w:t xml:space="preserve">DLGDisclosurePublished</w:t>
      </w:r>
      <w:r>
        <w:t xml:space="preserve">). Failure is a material breach.</w:t>
      </w:r>
    </w:p>
    <w:p>
      <w:pPr>
        <w:pStyle w:val="BodyText"/>
      </w:pPr>
      <w:r>
        <w:rPr>
          <w:bCs/>
          <w:b/>
        </w:rPr>
        <w:t xml:space="preserve">11.18 Fees. [Option]</w:t>
      </w:r>
      <w:r>
        <w:t xml:space="preserve"> </w:t>
      </w:r>
      <w:r>
        <w:t xml:space="preserve">DLG fee: [Nil / ₹[●] / [●]% p.a. of available cover], per the RE’s policy (CF para 20(1)); never netted against the Cover Instrument (Sch. 1 para 1.9).</w:t>
      </w:r>
    </w:p>
    <w:p>
      <w:pPr>
        <w:pStyle w:val="BodyText"/>
      </w:pPr>
      <w:r>
        <w:rPr>
          <w:bCs/>
          <w:b/>
        </w:rPr>
        <w:t xml:space="preserve">11.19 No collection rights. [Mandatory — RBI]</w:t>
      </w:r>
      <w:r>
        <w:t xml:space="preserve"> </w:t>
      </w:r>
      <w:r>
        <w:t xml:space="preserve">This Agreement confers no right to collect, contact Borrowers, receive repayments or influence recovery; any recovery role exists only under Schedule 10.</w:t>
      </w:r>
    </w:p>
    <w:p>
      <w:pPr>
        <w:pStyle w:val="BodyText"/>
      </w:pPr>
      <w:r>
        <w:rPr>
          <w:bCs/>
          <w:b/>
        </w:rPr>
        <w:t xml:space="preserve">11.20 Release and default. [Option]</w:t>
      </w:r>
      <w:r>
        <w:t xml:space="preserve"> </w:t>
      </w:r>
      <w:r>
        <w:t xml:space="preserve">After the term and settlement of the last invocation, the RE releases the lien, returns the cash balance or returns the guarantee within [10] working days. On failure to maintain cover, pay an invocation or publish the disclosure, or on insolvency of the DLG Provider, the RE may appropriate the Cover Instrument (up to available cover) as security for future invocations and suspend new DLG Sets, without prejudice to existing sets. Each Party accounts under Ind AS as its auditors advise [VERIFY].</w:t>
      </w:r>
    </w:p>
    <w:p>
      <w:pPr>
        <w:pStyle w:val="BodyText"/>
      </w:pPr>
      <w:r>
        <w:rPr>
          <w:bCs/>
          <w:b/>
        </w:rPr>
        <w:t xml:space="preserve">11.21 Incorporation.</w:t>
      </w:r>
      <w:r>
        <w:t xml:space="preserve"> </w:t>
      </w:r>
      <w:r>
        <w:t xml:space="preserve">Articles 24, 33, 34 and 35 of the Agreement apply.</w:t>
      </w:r>
    </w:p>
    <w:bookmarkEnd w:id="97"/>
    <w:bookmarkStart w:id="98" w:name="part-b-dlg-particulars"/>
    <w:p>
      <w:pPr>
        <w:pStyle w:val="Heading2"/>
      </w:pPr>
      <w:r>
        <w:t xml:space="preserve">Part B — DLG particulars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032"/>
        <w:gridCol w:w="5606"/>
      </w:tblGrid>
      <w:tr>
        <w:trPr>
          <w:tblHeader w:val="true"/>
          <w:tblHeader w:val="true"/>
        </w:trPr>
        <w:tc>
          <w:tcPr>
            <w:tcW w:w="4032" w:type="dxa"/>
            <w:shd w:val="clear" w:color="auto" w:fill="1F3A5F"/>
          </w:tcPr>
          <w:p>
            <w:pPr>
              <w:pStyle w:val="Compact"/>
              <w:spacing w:after="40"/>
              <w:jc w:val="left"/>
            </w:pPr>
            <w:r>
              <w:rPr>
                <w:b/>
                <w:color w:val="FFFFFF"/>
                <w:sz w:val="18"/>
              </w:rPr>
              <w:t xml:space="preserve">Item</w:t>
            </w:r>
          </w:p>
        </w:tc>
        <w:tc>
          <w:tcPr>
            <w:tcW w:w="5606" w:type="dxa"/>
            <w:shd w:val="clear" w:color="auto" w:fill="1F3A5F"/>
          </w:tcPr>
          <w:p>
            <w:pPr>
              <w:pStyle w:val="Compact"/>
              <w:spacing w:after="40"/>
              <w:jc w:val="left"/>
            </w:pPr>
            <w:r>
              <w:rPr>
                <w:b/>
                <w:color w:val="FFFFFF"/>
                <w:sz w:val="18"/>
              </w:rPr>
              <w:t xml:space="preserve">Particulars</w:t>
            </w:r>
          </w:p>
        </w:tc>
      </w:tr>
      <w:tr>
        <w:tc>
          <w:tcPr>
            <w:tcW w:w="4032" w:type="dxa"/>
          </w:tcPr>
          <w:p>
            <w:pPr>
              <w:pStyle w:val="Compact"/>
              <w:spacing w:after="40"/>
              <w:jc w:val="left"/>
            </w:pPr>
            <w:r>
              <w:rPr>
                <w:sz w:val="18"/>
              </w:rPr>
              <w:t xml:space="preserve">DLG Set reference; Products</w:t>
            </w:r>
          </w:p>
        </w:tc>
        <w:tc>
          <w:tcPr>
            <w:tcW w:w="5606" w:type="dxa"/>
          </w:tcPr>
          <w:p>
            <w:pPr>
              <w:pStyle w:val="Compact"/>
              <w:spacing w:after="40"/>
              <w:jc w:val="left"/>
            </w:pPr>
            <w:r>
              <w:rPr>
                <w:sz w:val="18"/>
              </w:rPr>
              <w:t xml:space="preserve">[DLG-SET-●]; [●]</w:t>
            </w:r>
          </w:p>
        </w:tc>
      </w:tr>
      <w:tr>
        <w:tc>
          <w:tcPr>
            <w:tcW w:w="4032" w:type="dxa"/>
          </w:tcPr>
          <w:p>
            <w:pPr>
              <w:pStyle w:val="Compact"/>
              <w:spacing w:after="40"/>
              <w:jc w:val="left"/>
            </w:pPr>
            <w:r>
              <w:rPr>
                <w:sz w:val="18"/>
              </w:rPr>
              <w:t xml:space="preserve">Closing Date; sanctioned amount; maximum cap</w:t>
            </w:r>
          </w:p>
        </w:tc>
        <w:tc>
          <w:tcPr>
            <w:tcW w:w="5606" w:type="dxa"/>
          </w:tcPr>
          <w:p>
            <w:pPr>
              <w:pStyle w:val="Compact"/>
              <w:spacing w:after="40"/>
              <w:jc w:val="left"/>
            </w:pPr>
            <w:r>
              <w:rPr>
                <w:sz w:val="18"/>
              </w:rPr>
              <w:t xml:space="preserve">[●]; ₹[●]; ₹[●] ([●]% of amount disbursed, not exceeding 5%, activating on disbursal)</w:t>
            </w:r>
          </w:p>
        </w:tc>
      </w:tr>
      <w:tr>
        <w:tc>
          <w:tcPr>
            <w:tcW w:w="4032" w:type="dxa"/>
          </w:tcPr>
          <w:p>
            <w:pPr>
              <w:pStyle w:val="Compact"/>
              <w:spacing w:after="40"/>
              <w:jc w:val="left"/>
            </w:pPr>
            <w:r>
              <w:rPr>
                <w:sz w:val="18"/>
              </w:rPr>
              <w:t xml:space="preserve">Form(s) of cover</w:t>
            </w:r>
          </w:p>
        </w:tc>
        <w:tc>
          <w:tcPr>
            <w:tcW w:w="5606" w:type="dxa"/>
          </w:tcPr>
          <w:p>
            <w:pPr>
              <w:pStyle w:val="Compact"/>
              <w:spacing w:after="40"/>
              <w:jc w:val="left"/>
            </w:pPr>
            <w:r>
              <w:rPr>
                <w:sz w:val="18"/>
              </w:rPr>
              <w:t xml:space="preserve">[Cash / FD lien at [bank] / BG by [bank]]</w:t>
            </w:r>
          </w:p>
        </w:tc>
      </w:tr>
      <w:tr>
        <w:tc>
          <w:tcPr>
            <w:tcW w:w="4032" w:type="dxa"/>
          </w:tcPr>
          <w:p>
            <w:pPr>
              <w:pStyle w:val="Compact"/>
              <w:spacing w:after="40"/>
              <w:jc w:val="left"/>
            </w:pPr>
            <w:r>
              <w:rPr>
                <w:sz w:val="18"/>
              </w:rPr>
              <w:t xml:space="preserve">Longest tenor; DLG term</w:t>
            </w:r>
          </w:p>
        </w:tc>
        <w:tc>
          <w:tcPr>
            <w:tcW w:w="5606" w:type="dxa"/>
          </w:tcPr>
          <w:p>
            <w:pPr>
              <w:pStyle w:val="Compact"/>
              <w:spacing w:after="40"/>
              <w:jc w:val="left"/>
            </w:pPr>
            <w:r>
              <w:rPr>
                <w:sz w:val="18"/>
              </w:rPr>
              <w:t xml:space="preserve">[●] months; [●] to [●]</w:t>
            </w:r>
          </w:p>
        </w:tc>
      </w:tr>
      <w:tr>
        <w:tc>
          <w:tcPr>
            <w:tcW w:w="4032" w:type="dxa"/>
          </w:tcPr>
          <w:p>
            <w:pPr>
              <w:pStyle w:val="Compact"/>
              <w:spacing w:after="40"/>
              <w:jc w:val="left"/>
            </w:pPr>
            <w:r>
              <w:rPr>
                <w:sz w:val="18"/>
              </w:rPr>
              <w:t xml:space="preserve">Invocation trigger (≤ 120 days overdue)</w:t>
            </w:r>
          </w:p>
        </w:tc>
        <w:tc>
          <w:tcPr>
            <w:tcW w:w="5606" w:type="dxa"/>
          </w:tcPr>
          <w:p>
            <w:pPr>
              <w:pStyle w:val="Compact"/>
              <w:spacing w:after="40"/>
              <w:jc w:val="left"/>
            </w:pPr>
            <w:r>
              <w:rPr>
                <w:sz w:val="18"/>
              </w:rPr>
              <w:t xml:space="preserve">[●] days</w:t>
            </w:r>
          </w:p>
        </w:tc>
      </w:tr>
      <w:tr>
        <w:tc>
          <w:tcPr>
            <w:tcW w:w="4032" w:type="dxa"/>
          </w:tcPr>
          <w:p>
            <w:pPr>
              <w:pStyle w:val="Compact"/>
              <w:spacing w:after="40"/>
              <w:jc w:val="left"/>
            </w:pPr>
            <w:r>
              <w:rPr>
                <w:sz w:val="18"/>
              </w:rPr>
              <w:t xml:space="preserve">Recovery sharing; fee</w:t>
            </w:r>
          </w:p>
        </w:tc>
        <w:tc>
          <w:tcPr>
            <w:tcW w:w="5606" w:type="dxa"/>
          </w:tcPr>
          <w:p>
            <w:pPr>
              <w:pStyle w:val="Compact"/>
              <w:spacing w:after="40"/>
              <w:jc w:val="left"/>
            </w:pPr>
            <w:r>
              <w:rPr>
                <w:sz w:val="18"/>
              </w:rPr>
              <w:t xml:space="preserve">[●]; [●]</w:t>
            </w:r>
          </w:p>
        </w:tc>
      </w:tr>
      <w:tr>
        <w:tc>
          <w:tcPr>
            <w:tcW w:w="4032" w:type="dxa"/>
          </w:tcPr>
          <w:p>
            <w:pPr>
              <w:pStyle w:val="Compact"/>
              <w:spacing w:after="40"/>
              <w:jc w:val="left"/>
            </w:pPr>
            <w:r>
              <w:rPr>
                <w:sz w:val="18"/>
              </w:rPr>
              <w:t xml:space="preserve">Auditor’s certificate (firm, date)</w:t>
            </w:r>
          </w:p>
        </w:tc>
        <w:tc>
          <w:tcPr>
            <w:tcW w:w="5606" w:type="dxa"/>
          </w:tcPr>
          <w:p>
            <w:pPr>
              <w:pStyle w:val="Compact"/>
              <w:spacing w:after="40"/>
              <w:jc w:val="left"/>
            </w:pPr>
            <w:r>
              <w:rPr>
                <w:sz w:val="18"/>
              </w:rPr>
              <w:t xml:space="preserve">[●]</w:t>
            </w:r>
          </w:p>
        </w:tc>
      </w:tr>
    </w:tbl>
    <w:p>
      <w:pPr>
        <w:pStyle w:val="BodyText"/>
      </w:pPr>
      <w:r>
        <w:t xml:space="preserve">Executed by the authorised signatories of [RE name] and [LSP name] on the date first written above.</w:t>
      </w:r>
    </w:p>
    <w:bookmarkEnd w:id="98"/>
    <w:bookmarkStart w:id="99" w:name="annexure-11a-forms-of-dlg"/>
    <w:p>
      <w:pPr>
        <w:pStyle w:val="Heading2"/>
      </w:pPr>
      <w:r>
        <w:t xml:space="preserve">Annexure 11A — Forms of DLG</w:t>
      </w:r>
    </w:p>
    <w:p>
      <w:pPr>
        <w:pStyle w:val="FirstParagraph"/>
      </w:pPr>
      <w:r>
        <w:rPr>
          <w:bCs/>
          <w:b/>
        </w:rPr>
        <w:t xml:space="preserve">Form 11A-1 — Cash Deposit Letter.</w:t>
      </w:r>
      <w:r>
        <w:t xml:space="preserve"> </w:t>
      </w:r>
      <w:r>
        <w:t xml:space="preserve">To [RE name]. Re: DLG — DLG Set [●] — DLG Agreement dated [●]. (1) We, [LSP name], have transferred ₹[●] by [RTGS/NEFT] UTR [●] to your account [●] with [bank] as cash deposited with you under CF para 23(1). (2) You may appropriate from it any amount properly invoked under para 11.12, up to available cover, without reference to us. (3) We shall not withdraw, assign or encumber it during the term; invoked amounts are not reinstated; the balance is refundable only under para 11.20. (4) [Interest: [●]% p.a. / nil.] For [LSP name], Authorised Signatory. Acknowledged: for [RE name].</w:t>
      </w:r>
    </w:p>
    <w:p>
      <w:pPr>
        <w:pStyle w:val="BodyText"/>
      </w:pPr>
      <w:r>
        <w:rPr>
          <w:bCs/>
          <w:b/>
        </w:rPr>
        <w:t xml:space="preserve">Form 11A-2 — Fixed Deposit Lien Letter.</w:t>
      </w:r>
      <w:r>
        <w:t xml:space="preserve"> </w:t>
      </w:r>
      <w:r>
        <w:rPr>
          <w:iCs/>
          <w:i/>
        </w:rPr>
        <w:t xml:space="preserve">Part 1 (DLG Provider to Bank):</w:t>
      </w:r>
      <w:r>
        <w:t xml:space="preserve"> </w:t>
      </w:r>
      <w:r>
        <w:t xml:space="preserve">To the Branch Manager, [Scheduled Commercial Bank]. Please mark a lien on FD no. [●] for ₹[●] maturing [●], including renewals and interest, in favour of [RE name]; renew automatically under lien until released by [RE name] in writing; we irrevocably authorise you to pay [RE name] on its first written demand any amount up to the liened amount, including by premature encashment.</w:t>
      </w:r>
      <w:r>
        <w:t xml:space="preserve"> </w:t>
      </w:r>
      <w:r>
        <w:rPr>
          <w:iCs/>
          <w:i/>
        </w:rPr>
        <w:t xml:space="preserve">Part 2 (Bank to RE):</w:t>
      </w:r>
      <w:r>
        <w:t xml:space="preserve"> </w:t>
      </w:r>
      <w:r>
        <w:t xml:space="preserve">We confirm the lien for ₹[●] in your favour on FD no. [●] in the name of [LSP name]; auto-renewal under lien; no withdrawal, premature closure, loan or further lien without your written consent; payment on your first written demand. We are a Scheduled Commercial Bank (CF para 23(2)). For [Bank], Authorised Signatory.</w:t>
      </w:r>
    </w:p>
    <w:p>
      <w:pPr>
        <w:pStyle w:val="BodyText"/>
      </w:pPr>
      <w:r>
        <w:rPr>
          <w:bCs/>
          <w:b/>
        </w:rPr>
        <w:t xml:space="preserve">Form 11A-3 — Bank Guarantee.</w:t>
      </w:r>
      <w:r>
        <w:t xml:space="preserve"> </w:t>
      </w:r>
      <w:r>
        <w:rPr>
          <w:iCs/>
          <w:i/>
        </w:rPr>
        <w:t xml:space="preserve">On stamp paper or e-stamp as applicable [VERIFY]; the bank’s standard format may be used if no less favourable to the RE.</w:t>
      </w:r>
    </w:p>
    <w:p>
      <w:pPr>
        <w:pStyle w:val="BodyText"/>
      </w:pPr>
      <w:r>
        <w:t xml:space="preserve">To [RE name] (the</w:t>
      </w:r>
      <w:r>
        <w:t xml:space="preserve"> </w:t>
      </w:r>
      <w:r>
        <w:t xml:space="preserve">“</w:t>
      </w:r>
      <w:r>
        <w:t xml:space="preserve">Beneficiary</w:t>
      </w:r>
      <w:r>
        <w:t xml:space="preserve">”</w:t>
      </w:r>
      <w:r>
        <w:t xml:space="preserve">). In consideration of the Beneficiary accepting a default loss guarantee from [LSP name] under the DLG Agreement dated [●], we, [Bank], a Scheduled Commercial Bank acting through our [●] branch, irrevocably and unconditionally undertake to pay the Beneficiary on first written demand, without demur, protest, reference to [LSP name] or proof of default, and notwithstanding any dispute raised by [LSP name] or pending before any court, tribunal or arbitrator, any amount up to ₹[●] in aggregate. A demand signed by an authorised officer of the Beneficiary stating that the amount is payable under the DLG Agreement is conclusive; payment within [2] working days. This is a continuing guarantee valid from [●] to [●] (not earlier than 120 days after the latest scheduled maturity date of any loan in the DLG Set) with a claim period of not less than twelve months after expiry, ending on [●]. Our liability is not affected by any variation of the DLG Agreement, indulgence or change in constitution of any party; partial demands are permitted and reduce the guaranteed amount without reinstatement. Governed by Indian law; courts at [●]. [e-BG / SFMS reference [●].] Notwithstanding anything herein: (a) our liability shall not exceed ₹[●]; (b) this guarantee remains in force up to [●]; (c) we are liable only on a written claim served on or before [claim expiry date]. For [Bank], Authorised Signatory, Code, Seal.</w:t>
      </w:r>
    </w:p>
    <w:bookmarkEnd w:id="99"/>
    <w:bookmarkStart w:id="100" w:name="X9cef8e9f1a9d1b49d18ee0cd1f5a3a1d37d134b"/>
    <w:p>
      <w:pPr>
        <w:pStyle w:val="Heading2"/>
      </w:pPr>
      <w:r>
        <w:t xml:space="preserve">Annexure 11B — Statutory Auditor’s Certificate (format)</w:t>
      </w:r>
    </w:p>
    <w:p>
      <w:pPr>
        <w:pStyle w:val="FirstParagraph"/>
      </w:pPr>
      <w:r>
        <w:rPr>
          <w:iCs/>
          <w:i/>
        </w:rPr>
        <w:t xml:space="preserve">Drafting note: The declaration under CF para 20(3) is made by the DLG Provider and certified by its statutory auditor. AUD (RBI/DoS/2026-27/468) prescribes no DLG certificate format; this follows the ICAI Guidance Note on Reports or Certificates for Special Purposes [VERIFY: current ICAI pronouncement and assurance level]. Define default rate consistently (e.g. 90+ DPD by amount disbursed, by vintage).</w:t>
      </w:r>
    </w:p>
    <w:p>
      <w:pPr>
        <w:pStyle w:val="BodyText"/>
      </w:pPr>
      <w:r>
        <w:rPr>
          <w:bCs/>
          <w:b/>
        </w:rPr>
        <w:t xml:space="preserve">Part 1 — Declaration by the DLG Provider.</w:t>
      </w:r>
      <w:r>
        <w:t xml:space="preserve"> </w:t>
      </w:r>
      <w:r>
        <w:t xml:space="preserve">We, [LSP name] (CIN [●]), declare to [RE name] that as at [Reference Date]: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5314"/>
        <w:gridCol w:w="4324"/>
      </w:tblGrid>
      <w:tr>
        <w:trPr>
          <w:tblHeader w:val="true"/>
          <w:tblHeader w:val="true"/>
        </w:trPr>
        <w:tc>
          <w:tcPr>
            <w:tcW w:w="5314" w:type="dxa"/>
            <w:shd w:val="clear" w:color="auto" w:fill="1F3A5F"/>
          </w:tcPr>
          <w:p>
            <w:pPr>
              <w:pStyle w:val="Compact"/>
              <w:spacing w:after="40"/>
              <w:jc w:val="left"/>
            </w:pPr>
            <w:r>
              <w:rPr>
                <w:b/>
                <w:color w:val="FFFFFF"/>
                <w:sz w:val="18"/>
              </w:rPr>
              <w:t xml:space="preserve">Item</w:t>
            </w:r>
          </w:p>
        </w:tc>
        <w:tc>
          <w:tcPr>
            <w:tcW w:w="4324" w:type="dxa"/>
            <w:shd w:val="clear" w:color="auto" w:fill="1F3A5F"/>
          </w:tcPr>
          <w:p>
            <w:pPr>
              <w:pStyle w:val="Compact"/>
              <w:spacing w:after="40"/>
              <w:jc w:val="left"/>
            </w:pPr>
            <w:r>
              <w:rPr>
                <w:b/>
                <w:color w:val="FFFFFF"/>
                <w:sz w:val="18"/>
              </w:rPr>
              <w:t xml:space="preserve">Particulars</w:t>
            </w:r>
          </w:p>
        </w:tc>
      </w:tr>
      <w:tr>
        <w:tc>
          <w:tcPr>
            <w:tcW w:w="5314" w:type="dxa"/>
          </w:tcPr>
          <w:p>
            <w:pPr>
              <w:pStyle w:val="Compact"/>
              <w:spacing w:after="40"/>
              <w:jc w:val="left"/>
            </w:pPr>
            <w:r>
              <w:rPr>
                <w:sz w:val="18"/>
              </w:rPr>
              <w:t xml:space="preserve">Aggregate DLG amount outstanding (all lenders)</w:t>
            </w:r>
          </w:p>
        </w:tc>
        <w:tc>
          <w:tcPr>
            <w:tcW w:w="4324" w:type="dxa"/>
          </w:tcPr>
          <w:p>
            <w:pPr>
              <w:pStyle w:val="Compact"/>
              <w:spacing w:after="40"/>
              <w:jc w:val="left"/>
            </w:pPr>
            <w:r>
              <w:rPr>
                <w:sz w:val="18"/>
              </w:rPr>
              <w:t xml:space="preserve">₹[●]</w:t>
            </w:r>
          </w:p>
        </w:tc>
      </w:tr>
      <w:tr>
        <w:tc>
          <w:tcPr>
            <w:tcW w:w="5314" w:type="dxa"/>
          </w:tcPr>
          <w:p>
            <w:pPr>
              <w:pStyle w:val="Compact"/>
              <w:spacing w:after="40"/>
              <w:jc w:val="left"/>
            </w:pPr>
            <w:r>
              <w:rPr>
                <w:sz w:val="18"/>
              </w:rPr>
              <w:t xml:space="preserve">Number of lenders to whom DLG has been provided</w:t>
            </w:r>
          </w:p>
        </w:tc>
        <w:tc>
          <w:tcPr>
            <w:tcW w:w="4324" w:type="dxa"/>
          </w:tcPr>
          <w:p>
            <w:pPr>
              <w:pStyle w:val="Compact"/>
              <w:spacing w:after="40"/>
              <w:jc w:val="left"/>
            </w:pPr>
            <w:r>
              <w:rPr>
                <w:sz w:val="18"/>
              </w:rPr>
              <w:t xml:space="preserve">[●]</w:t>
            </w:r>
          </w:p>
        </w:tc>
      </w:tr>
      <w:tr>
        <w:tc>
          <w:tcPr>
            <w:tcW w:w="5314" w:type="dxa"/>
          </w:tcPr>
          <w:p>
            <w:pPr>
              <w:pStyle w:val="Compact"/>
              <w:spacing w:after="40"/>
              <w:jc w:val="left"/>
            </w:pPr>
            <w:r>
              <w:rPr>
                <w:sz w:val="18"/>
              </w:rPr>
              <w:t xml:space="preserve">Number of portfolios against which DLG has been provided, per lender</w:t>
            </w:r>
          </w:p>
        </w:tc>
        <w:tc>
          <w:tcPr>
            <w:tcW w:w="4324" w:type="dxa"/>
          </w:tcPr>
          <w:p>
            <w:pPr>
              <w:pStyle w:val="Compact"/>
              <w:spacing w:after="40"/>
              <w:jc w:val="left"/>
            </w:pPr>
            <w:r>
              <w:rPr>
                <w:sz w:val="18"/>
              </w:rPr>
              <w:t xml:space="preserve">[Lender 1: ●; Lender 2: ●]</w:t>
            </w:r>
          </w:p>
        </w:tc>
      </w:tr>
      <w:tr>
        <w:tc>
          <w:tcPr>
            <w:tcW w:w="5314" w:type="dxa"/>
          </w:tcPr>
          <w:p>
            <w:pPr>
              <w:pStyle w:val="Compact"/>
              <w:spacing w:after="40"/>
              <w:jc w:val="left"/>
            </w:pPr>
            <w:r>
              <w:rPr>
                <w:sz w:val="18"/>
              </w:rPr>
              <w:t xml:space="preserve">Amount, cover and form for each portfolio</w:t>
            </w:r>
          </w:p>
        </w:tc>
        <w:tc>
          <w:tcPr>
            <w:tcW w:w="4324" w:type="dxa"/>
          </w:tcPr>
          <w:p>
            <w:pPr>
              <w:pStyle w:val="Compact"/>
              <w:spacing w:after="40"/>
              <w:jc w:val="left"/>
            </w:pPr>
            <w:r>
              <w:rPr>
                <w:sz w:val="18"/>
              </w:rPr>
              <w:t xml:space="preserve">Statement 1</w:t>
            </w:r>
          </w:p>
        </w:tc>
      </w:tr>
      <w:tr>
        <w:tc>
          <w:tcPr>
            <w:tcW w:w="5314" w:type="dxa"/>
          </w:tcPr>
          <w:p>
            <w:pPr>
              <w:pStyle w:val="Compact"/>
              <w:spacing w:after="40"/>
              <w:jc w:val="left"/>
            </w:pPr>
            <w:r>
              <w:rPr>
                <w:sz w:val="18"/>
              </w:rPr>
              <w:t xml:space="preserve">DLG invoked in the last 12 months</w:t>
            </w:r>
          </w:p>
        </w:tc>
        <w:tc>
          <w:tcPr>
            <w:tcW w:w="4324" w:type="dxa"/>
          </w:tcPr>
          <w:p>
            <w:pPr>
              <w:pStyle w:val="Compact"/>
              <w:spacing w:after="40"/>
              <w:jc w:val="left"/>
            </w:pPr>
            <w:r>
              <w:rPr>
                <w:sz w:val="18"/>
              </w:rPr>
              <w:t xml:space="preserve">₹[●]</w:t>
            </w:r>
          </w:p>
        </w:tc>
      </w:tr>
      <w:tr>
        <w:tc>
          <w:tcPr>
            <w:tcW w:w="5314" w:type="dxa"/>
          </w:tcPr>
          <w:p>
            <w:pPr>
              <w:pStyle w:val="Compact"/>
              <w:spacing w:after="40"/>
              <w:jc w:val="left"/>
            </w:pPr>
            <w:r>
              <w:rPr>
                <w:sz w:val="18"/>
              </w:rPr>
              <w:t xml:space="preserve">Past default rates on similar portfolios (definition [●])</w:t>
            </w:r>
          </w:p>
        </w:tc>
        <w:tc>
          <w:tcPr>
            <w:tcW w:w="4324" w:type="dxa"/>
          </w:tcPr>
          <w:p>
            <w:pPr>
              <w:pStyle w:val="Compact"/>
              <w:spacing w:after="40"/>
              <w:jc w:val="left"/>
            </w:pPr>
            <w:r>
              <w:rPr>
                <w:sz w:val="18"/>
              </w:rPr>
              <w:t xml:space="preserve">Statement 2 (by product and vintage, 3 years)</w:t>
            </w:r>
          </w:p>
        </w:tc>
      </w:tr>
      <w:tr>
        <w:tc>
          <w:tcPr>
            <w:tcW w:w="5314" w:type="dxa"/>
          </w:tcPr>
          <w:p>
            <w:pPr>
              <w:pStyle w:val="Compact"/>
              <w:spacing w:after="40"/>
              <w:jc w:val="left"/>
            </w:pPr>
            <w:r>
              <w:rPr>
                <w:sz w:val="18"/>
              </w:rPr>
              <w:t xml:space="preserve">Net worth (latest audited); other contingent liabilities</w:t>
            </w:r>
          </w:p>
        </w:tc>
        <w:tc>
          <w:tcPr>
            <w:tcW w:w="4324" w:type="dxa"/>
          </w:tcPr>
          <w:p>
            <w:pPr>
              <w:pStyle w:val="Compact"/>
              <w:spacing w:after="40"/>
              <w:jc w:val="left"/>
            </w:pPr>
            <w:r>
              <w:rPr>
                <w:sz w:val="18"/>
              </w:rPr>
              <w:t xml:space="preserve">₹[●]; ₹[●]</w:t>
            </w:r>
          </w:p>
        </w:tc>
      </w:tr>
    </w:tbl>
    <w:p>
      <w:pPr>
        <w:pStyle w:val="BodyText"/>
      </w:pPr>
      <w:r>
        <w:t xml:space="preserve">We confirm that we are a company under the Companies Act, 2013 and that all DLG provided by us is in a form permitted by CF para 23 and within the cap in CF para 24. For [LSP name], Director / CFO, date.</w:t>
      </w:r>
    </w:p>
    <w:p>
      <w:pPr>
        <w:pStyle w:val="BodyText"/>
      </w:pPr>
      <w:r>
        <w:rPr>
          <w:bCs/>
          <w:b/>
        </w:rPr>
        <w:t xml:space="preserve">Part 2 — Certificate.</w:t>
      </w:r>
      <w:r>
        <w:t xml:space="preserve"> </w:t>
      </w:r>
      <w:r>
        <w:t xml:space="preserve">To the Board of Directors of [LSP name] and to [RE name]. (1) We, [audit firm] (FRN [●]), statutory auditors of [LSP name] (the</w:t>
      </w:r>
      <w:r>
        <w:t xml:space="preserve"> </w:t>
      </w:r>
      <w:r>
        <w:t xml:space="preserve">“</w:t>
      </w:r>
      <w:r>
        <w:t xml:space="preserve">Company</w:t>
      </w:r>
      <w:r>
        <w:t xml:space="preserve">”</w:t>
      </w:r>
      <w:r>
        <w:t xml:space="preserve">), have examined the accompanying Declaration dated [●] for submission to [RE name] under paragraph 20(3) of the RBI (NBFC – Credit Facilities) Directions, 2025. (2) Management is responsible for the Declaration and for maintaining the DLG register, agreements, cover instruments and portfolio data supporting it. (3) Our responsibility is to provide [reasonable] assurance whether the particulars agree with the Company’s books, DLG register, agreements, bank and lender confirmations and portfolio data. We conducted our examination in accordance with the ICAI Guidance Note on Reports or Certificates for Special Purposes and applicable ethical and quality-control requirements. (4) Procedures included tracing each arrangement to executed agreements and to confirmations of deposits, liens and guarantees; recomputing outstanding DLG; checking counts of lenders and portfolios; recomputing past default rates on the stated definition from portfolio data reconciled to lender statements; and obtaining management representations. (5) Based on our examination, the particulars in the Declaration agree with the books, records and confirmations examined [except: ●]. (6) This certificate is issued solely for submission to [RE name] and may be produced to the Reserve Bank of India. For [audit firm], Chartered Accountants, FRN [●]; [Partner], M. No. [●]; UDIN [●]; place; date.</w:t>
      </w:r>
    </w:p>
    <w:bookmarkEnd w:id="100"/>
    <w:bookmarkStart w:id="101" w:name="Xe09619d2110e5c66289c5153bab9f03fa766889"/>
    <w:p>
      <w:pPr>
        <w:pStyle w:val="Heading2"/>
      </w:pPr>
      <w:r>
        <w:t xml:space="preserve">Annexure 11C — Monthly DLG Disclosure (website format)</w:t>
      </w:r>
    </w:p>
    <w:p>
      <w:pPr>
        <w:pStyle w:val="FirstParagraph"/>
      </w:pPr>
      <w:r>
        <w:rPr>
          <w:iCs/>
          <w:i/>
        </w:rPr>
        <w:t xml:space="preserve">Disclosure under paragraph 28 of the RBI (NBFC – Credit Facilities) Directions, 2025. Month: [MMM YYYY]. Published: [date, ≤ 7 working days after month end]. Archive: [link].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43"/>
        <w:gridCol w:w="1338"/>
        <w:gridCol w:w="1338"/>
        <w:gridCol w:w="1043"/>
        <w:gridCol w:w="2171"/>
        <w:gridCol w:w="1595"/>
        <w:gridCol w:w="1110"/>
      </w:tblGrid>
      <w:tr>
        <w:trPr>
          <w:tblHeader w:val="true"/>
          <w:tblHeader w:val="true"/>
        </w:trPr>
        <w:tc>
          <w:tcPr>
            <w:tcW w:w="1043" w:type="dxa"/>
            <w:shd w:val="clear" w:color="auto" w:fill="1F3A5F"/>
          </w:tcPr>
          <w:p>
            <w:pPr>
              <w:pStyle w:val="Compact"/>
              <w:spacing w:after="40"/>
              <w:jc w:val="left"/>
            </w:pPr>
            <w:r>
              <w:rPr>
                <w:b/>
                <w:color w:val="FFFFFF"/>
                <w:sz w:val="18"/>
              </w:rPr>
              <w:t xml:space="preserve">S. No.</w:t>
            </w:r>
          </w:p>
        </w:tc>
        <w:tc>
          <w:tcPr>
            <w:tcW w:w="1338" w:type="dxa"/>
            <w:shd w:val="clear" w:color="auto" w:fill="1F3A5F"/>
          </w:tcPr>
          <w:p>
            <w:pPr>
              <w:pStyle w:val="Compact"/>
              <w:spacing w:after="40"/>
              <w:jc w:val="left"/>
            </w:pPr>
            <w:r>
              <w:rPr>
                <w:b/>
                <w:color w:val="FFFFFF"/>
                <w:sz w:val="18"/>
              </w:rPr>
              <w:t xml:space="preserve">Portfolio reference</w:t>
            </w:r>
          </w:p>
        </w:tc>
        <w:tc>
          <w:tcPr>
            <w:tcW w:w="1338" w:type="dxa"/>
            <w:shd w:val="clear" w:color="auto" w:fill="1F3A5F"/>
          </w:tcPr>
          <w:p>
            <w:pPr>
              <w:pStyle w:val="Compact"/>
              <w:spacing w:after="40"/>
              <w:jc w:val="left"/>
            </w:pPr>
            <w:r>
              <w:rPr>
                <w:b/>
                <w:color w:val="FFFFFF"/>
                <w:sz w:val="18"/>
              </w:rPr>
              <w:t xml:space="preserve">Lender (optional)</w:t>
            </w:r>
          </w:p>
        </w:tc>
        <w:tc>
          <w:tcPr>
            <w:tcW w:w="1043" w:type="dxa"/>
            <w:shd w:val="clear" w:color="auto" w:fill="1F3A5F"/>
          </w:tcPr>
          <w:p>
            <w:pPr>
              <w:pStyle w:val="Compact"/>
              <w:spacing w:after="40"/>
              <w:jc w:val="left"/>
            </w:pPr>
            <w:r>
              <w:rPr>
                <w:b/>
                <w:color w:val="FFFFFF"/>
                <w:sz w:val="18"/>
              </w:rPr>
              <w:t xml:space="preserve">Product</w:t>
            </w:r>
          </w:p>
        </w:tc>
        <w:tc>
          <w:tcPr>
            <w:tcW w:w="2171" w:type="dxa"/>
            <w:shd w:val="clear" w:color="auto" w:fill="1F3A5F"/>
          </w:tcPr>
          <w:p>
            <w:pPr>
              <w:pStyle w:val="Compact"/>
              <w:spacing w:after="40"/>
              <w:jc w:val="left"/>
            </w:pPr>
            <w:r>
              <w:rPr>
                <w:b/>
                <w:color w:val="FFFFFF"/>
                <w:sz w:val="18"/>
              </w:rPr>
              <w:t xml:space="preserve">Amount of portfolio on which DLG offered (₹ crore)</w:t>
            </w:r>
          </w:p>
        </w:tc>
        <w:tc>
          <w:tcPr>
            <w:tcW w:w="1595" w:type="dxa"/>
            <w:shd w:val="clear" w:color="auto" w:fill="1F3A5F"/>
          </w:tcPr>
          <w:p>
            <w:pPr>
              <w:pStyle w:val="Compact"/>
              <w:spacing w:after="40"/>
              <w:jc w:val="left"/>
            </w:pPr>
            <w:r>
              <w:rPr>
                <w:b/>
                <w:color w:val="FFFFFF"/>
                <w:sz w:val="18"/>
              </w:rPr>
              <w:t xml:space="preserve">DLG cover offered (₹ crore)</w:t>
            </w:r>
          </w:p>
        </w:tc>
        <w:tc>
          <w:tcPr>
            <w:tcW w:w="1110" w:type="dxa"/>
            <w:shd w:val="clear" w:color="auto" w:fill="1F3A5F"/>
          </w:tcPr>
          <w:p>
            <w:pPr>
              <w:pStyle w:val="Compact"/>
              <w:spacing w:after="40"/>
              <w:jc w:val="left"/>
            </w:pPr>
            <w:r>
              <w:rPr>
                <w:b/>
                <w:color w:val="FFFFFF"/>
                <w:sz w:val="18"/>
              </w:rPr>
              <w:t xml:space="preserve">Form of cover</w:t>
            </w:r>
          </w:p>
        </w:tc>
      </w:tr>
      <w:tr>
        <w:tc>
          <w:tcPr>
            <w:tcW w:w="1043" w:type="dxa"/>
          </w:tcPr>
          <w:p>
            <w:pPr>
              <w:pStyle w:val="Compact"/>
              <w:spacing w:after="40"/>
              <w:jc w:val="left"/>
            </w:pPr>
            <w:r>
              <w:rPr>
                <w:sz w:val="18"/>
              </w:rPr>
              <w:t xml:space="preserve">1</w:t>
            </w:r>
          </w:p>
        </w:tc>
        <w:tc>
          <w:tcPr>
            <w:tcW w:w="1338" w:type="dxa"/>
          </w:tcPr>
          <w:p>
            <w:pPr>
              <w:pStyle w:val="Compact"/>
              <w:spacing w:after="40"/>
              <w:jc w:val="left"/>
            </w:pPr>
            <w:r>
              <w:rPr>
                <w:sz w:val="18"/>
              </w:rPr>
              <w:t xml:space="preserve">[●]</w:t>
            </w:r>
          </w:p>
        </w:tc>
        <w:tc>
          <w:tcPr>
            <w:tcW w:w="1338" w:type="dxa"/>
          </w:tcPr>
          <w:p>
            <w:pPr>
              <w:pStyle w:val="Compact"/>
              <w:spacing w:after="40"/>
              <w:jc w:val="left"/>
            </w:pPr>
            <w:r>
              <w:rPr>
                <w:sz w:val="18"/>
              </w:rPr>
              <w:t xml:space="preserve">[Name /</w:t>
            </w:r>
            <w:r>
              <w:rPr>
                <w:sz w:val="18"/>
              </w:rPr>
              <w:t xml:space="preserve"> </w:t>
            </w:r>
            <w:r>
              <w:rPr>
                <w:sz w:val="18"/>
              </w:rPr>
              <w:t xml:space="preserve">“</w:t>
            </w:r>
            <w:r>
              <w:rPr>
                <w:sz w:val="18"/>
              </w:rPr>
              <w:t xml:space="preserve">Lender 1</w:t>
            </w:r>
            <w:r>
              <w:rPr>
                <w:sz w:val="18"/>
              </w:rPr>
              <w:t xml:space="preserve">”</w:t>
            </w:r>
            <w:r>
              <w:rPr>
                <w:sz w:val="18"/>
              </w:rPr>
              <w:t xml:space="preserve">]</w:t>
            </w:r>
          </w:p>
        </w:tc>
        <w:tc>
          <w:tcPr>
            <w:tcW w:w="1043" w:type="dxa"/>
          </w:tcPr>
          <w:p>
            <w:pPr>
              <w:pStyle w:val="Compact"/>
              <w:spacing w:after="40"/>
              <w:jc w:val="left"/>
            </w:pPr>
            <w:r>
              <w:rPr>
                <w:sz w:val="18"/>
              </w:rPr>
              <w:t xml:space="preserve">[●]</w:t>
            </w:r>
          </w:p>
        </w:tc>
        <w:tc>
          <w:tcPr>
            <w:tcW w:w="2171" w:type="dxa"/>
          </w:tcPr>
          <w:p>
            <w:pPr>
              <w:pStyle w:val="Compact"/>
              <w:spacing w:after="40"/>
              <w:jc w:val="left"/>
            </w:pPr>
            <w:r>
              <w:rPr>
                <w:sz w:val="18"/>
              </w:rPr>
              <w:t xml:space="preserve">[●]</w:t>
            </w:r>
          </w:p>
        </w:tc>
        <w:tc>
          <w:tcPr>
            <w:tcW w:w="1595" w:type="dxa"/>
          </w:tcPr>
          <w:p>
            <w:pPr>
              <w:pStyle w:val="Compact"/>
              <w:spacing w:after="40"/>
              <w:jc w:val="left"/>
            </w:pPr>
            <w:r>
              <w:rPr>
                <w:sz w:val="18"/>
              </w:rPr>
              <w:t xml:space="preserve">[●]</w:t>
            </w:r>
          </w:p>
        </w:tc>
        <w:tc>
          <w:tcPr>
            <w:tcW w:w="1110" w:type="dxa"/>
          </w:tcPr>
          <w:p>
            <w:pPr>
              <w:pStyle w:val="Compact"/>
              <w:spacing w:after="40"/>
              <w:jc w:val="left"/>
            </w:pPr>
            <w:r>
              <w:rPr>
                <w:sz w:val="18"/>
              </w:rPr>
              <w:t xml:space="preserve">[●]</w:t>
            </w:r>
          </w:p>
        </w:tc>
      </w:tr>
      <w:tr>
        <w:tc>
          <w:tcPr>
            <w:tcW w:w="1043" w:type="dxa"/>
          </w:tcPr>
          <w:p>
            <w:pPr>
              <w:pStyle w:val="Compact"/>
              <w:spacing w:after="40"/>
              <w:jc w:val="left"/>
            </w:pPr>
            <w:r>
              <w:rPr>
                <w:sz w:val="18"/>
              </w:rPr>
              <w:t xml:space="preserve">Total</w:t>
            </w:r>
          </w:p>
        </w:tc>
        <w:tc>
          <w:tcPr>
            <w:tcW w:w="1338" w:type="dxa"/>
          </w:tcPr>
          <w:p>
            <w:pPr>
              <w:pStyle w:val="Compact"/>
              <w:spacing w:after="40"/>
              <w:jc w:val="left"/>
            </w:pPr>
            <w:r>
              <w:rPr>
                <w:sz w:val="18"/>
              </w:rPr>
              <w:t xml:space="preserve">Portfolios: [●]</w:t>
            </w:r>
          </w:p>
        </w:tc>
        <w:tc>
          <w:tcPr>
            <w:tcW w:w="1338" w:type="dxa"/>
          </w:tcPr>
          <w:p>
            <w:pPr>
              <w:pStyle w:val="Compact"/>
              <w:spacing w:after="40"/>
            </w:pPr>
          </w:p>
        </w:tc>
        <w:tc>
          <w:tcPr>
            <w:tcW w:w="1043" w:type="dxa"/>
          </w:tcPr>
          <w:p>
            <w:pPr>
              <w:pStyle w:val="Compact"/>
              <w:spacing w:after="40"/>
            </w:pPr>
          </w:p>
        </w:tc>
        <w:tc>
          <w:tcPr>
            <w:tcW w:w="2171" w:type="dxa"/>
          </w:tcPr>
          <w:p>
            <w:pPr>
              <w:pStyle w:val="Compact"/>
              <w:spacing w:after="40"/>
              <w:jc w:val="left"/>
            </w:pPr>
            <w:r>
              <w:rPr>
                <w:sz w:val="18"/>
              </w:rPr>
              <w:t xml:space="preserve">[●]</w:t>
            </w:r>
          </w:p>
        </w:tc>
        <w:tc>
          <w:tcPr>
            <w:tcW w:w="1595" w:type="dxa"/>
          </w:tcPr>
          <w:p>
            <w:pPr>
              <w:pStyle w:val="Compact"/>
              <w:spacing w:after="40"/>
              <w:jc w:val="left"/>
            </w:pPr>
            <w:r>
              <w:rPr>
                <w:sz w:val="18"/>
              </w:rPr>
              <w:t xml:space="preserve">[●]</w:t>
            </w:r>
          </w:p>
        </w:tc>
        <w:tc>
          <w:tcPr>
            <w:tcW w:w="1110" w:type="dxa"/>
          </w:tcPr>
          <w:p>
            <w:pPr>
              <w:pStyle w:val="Compact"/>
              <w:spacing w:after="40"/>
            </w:pPr>
          </w:p>
        </w:tc>
      </w:tr>
    </w:tbl>
    <w:p>
      <w:pPr>
        <w:pStyle w:val="BodyText"/>
      </w:pPr>
      <w:r>
        <w:rPr>
          <w:iCs/>
          <w:i/>
        </w:rPr>
        <w:t xml:space="preserve">Mandatory minimum (CF para 28(1)): total number of portfolios and the amount of each portfolio. Other columns are [Option].</w:t>
      </w:r>
    </w:p>
    <w:bookmarkEnd w:id="101"/>
    <w:bookmarkStart w:id="102" w:name="X8f5f5719dd76e3bc5e65674181e9a62189eecc2"/>
    <w:p>
      <w:pPr>
        <w:pStyle w:val="Heading2"/>
      </w:pPr>
      <w:r>
        <w:t xml:space="preserve">Annexure 11D — DLG Invocation Notice (format)</w:t>
      </w:r>
    </w:p>
    <w:p>
      <w:pPr>
        <w:pStyle w:val="FirstParagraph"/>
      </w:pPr>
      <w:r>
        <w:t xml:space="preserve">To [LSP name] [and, for a bank guarantee, [Bank]]. From [RE name]. Date [●]. Re: Invocation of DLG — DLG Set [●] — DLG Agreement dated [●].</w:t>
      </w:r>
    </w:p>
    <w:p>
      <w:pPr>
        <w:numPr>
          <w:ilvl w:val="0"/>
          <w:numId w:val="1010"/>
        </w:numPr>
        <w:pStyle w:val="Compact"/>
      </w:pPr>
      <w:r>
        <w:t xml:space="preserve">We invoke the DLG under para 11.12 for the Loans below, each overdue, not made good by the Borrower, and not overdue beyond 120 days at the date of this notice (CF para 27(1)).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10"/>
        <w:gridCol w:w="2074"/>
        <w:gridCol w:w="1568"/>
        <w:gridCol w:w="2263"/>
        <w:gridCol w:w="1923"/>
      </w:tblGrid>
      <w:tr>
        <w:trPr>
          <w:tblHeader w:val="true"/>
          <w:tblHeader w:val="true"/>
        </w:trPr>
        <w:tc>
          <w:tcPr>
            <w:tcW w:w="1810" w:type="dxa"/>
            <w:shd w:val="clear" w:color="auto" w:fill="1F3A5F"/>
          </w:tcPr>
          <w:p>
            <w:pPr>
              <w:pStyle w:val="Compact"/>
              <w:spacing w:after="40"/>
              <w:jc w:val="left"/>
            </w:pPr>
            <w:r>
              <w:rPr>
                <w:b/>
                <w:color w:val="FFFFFF"/>
                <w:sz w:val="18"/>
              </w:rPr>
              <w:t xml:space="preserve">Loan account no.</w:t>
            </w:r>
          </w:p>
        </w:tc>
        <w:tc>
          <w:tcPr>
            <w:tcW w:w="2074" w:type="dxa"/>
            <w:shd w:val="clear" w:color="auto" w:fill="1F3A5F"/>
          </w:tcPr>
          <w:p>
            <w:pPr>
              <w:pStyle w:val="Compact"/>
              <w:spacing w:after="40"/>
              <w:jc w:val="left"/>
            </w:pPr>
            <w:r>
              <w:rPr>
                <w:b/>
                <w:color w:val="FFFFFF"/>
                <w:sz w:val="18"/>
              </w:rPr>
              <w:t xml:space="preserve">Date of first overdue</w:t>
            </w:r>
          </w:p>
        </w:tc>
        <w:tc>
          <w:tcPr>
            <w:tcW w:w="1568" w:type="dxa"/>
            <w:shd w:val="clear" w:color="auto" w:fill="1F3A5F"/>
          </w:tcPr>
          <w:p>
            <w:pPr>
              <w:pStyle w:val="Compact"/>
              <w:spacing w:after="40"/>
              <w:jc w:val="left"/>
            </w:pPr>
            <w:r>
              <w:rPr>
                <w:b/>
                <w:color w:val="FFFFFF"/>
                <w:sz w:val="18"/>
              </w:rPr>
              <w:t xml:space="preserve">Days overdue</w:t>
            </w:r>
          </w:p>
        </w:tc>
        <w:tc>
          <w:tcPr>
            <w:tcW w:w="2263" w:type="dxa"/>
            <w:shd w:val="clear" w:color="auto" w:fill="1F3A5F"/>
          </w:tcPr>
          <w:p>
            <w:pPr>
              <w:pStyle w:val="Compact"/>
              <w:spacing w:after="40"/>
              <w:jc w:val="left"/>
            </w:pPr>
            <w:r>
              <w:rPr>
                <w:b/>
                <w:color w:val="FFFFFF"/>
                <w:sz w:val="18"/>
              </w:rPr>
              <w:t xml:space="preserve">Principal outstanding (₹)</w:t>
            </w:r>
          </w:p>
        </w:tc>
        <w:tc>
          <w:tcPr>
            <w:tcW w:w="1923" w:type="dxa"/>
            <w:shd w:val="clear" w:color="auto" w:fill="1F3A5F"/>
          </w:tcPr>
          <w:p>
            <w:pPr>
              <w:pStyle w:val="Compact"/>
              <w:spacing w:after="40"/>
              <w:jc w:val="left"/>
            </w:pPr>
            <w:r>
              <w:rPr>
                <w:b/>
                <w:color w:val="FFFFFF"/>
                <w:sz w:val="18"/>
              </w:rPr>
              <w:t xml:space="preserve">Amount invoked (₹)</w:t>
            </w:r>
          </w:p>
        </w:tc>
      </w:tr>
      <w:tr>
        <w:tc>
          <w:tcPr>
            <w:tcW w:w="1810" w:type="dxa"/>
          </w:tcPr>
          <w:p>
            <w:pPr>
              <w:pStyle w:val="Compact"/>
              <w:spacing w:after="40"/>
              <w:jc w:val="left"/>
            </w:pPr>
            <w:r>
              <w:rPr>
                <w:sz w:val="18"/>
              </w:rPr>
              <w:t xml:space="preserve">[●]</w:t>
            </w:r>
          </w:p>
        </w:tc>
        <w:tc>
          <w:tcPr>
            <w:tcW w:w="2074" w:type="dxa"/>
          </w:tcPr>
          <w:p>
            <w:pPr>
              <w:pStyle w:val="Compact"/>
              <w:spacing w:after="40"/>
              <w:jc w:val="left"/>
            </w:pPr>
            <w:r>
              <w:rPr>
                <w:sz w:val="18"/>
              </w:rPr>
              <w:t xml:space="preserve">[●]</w:t>
            </w:r>
          </w:p>
        </w:tc>
        <w:tc>
          <w:tcPr>
            <w:tcW w:w="1568" w:type="dxa"/>
          </w:tcPr>
          <w:p>
            <w:pPr>
              <w:pStyle w:val="Compact"/>
              <w:spacing w:after="40"/>
              <w:jc w:val="left"/>
            </w:pPr>
            <w:r>
              <w:rPr>
                <w:sz w:val="18"/>
              </w:rPr>
              <w:t xml:space="preserve">[●]</w:t>
            </w:r>
          </w:p>
        </w:tc>
        <w:tc>
          <w:tcPr>
            <w:tcW w:w="2263" w:type="dxa"/>
          </w:tcPr>
          <w:p>
            <w:pPr>
              <w:pStyle w:val="Compact"/>
              <w:spacing w:after="40"/>
              <w:jc w:val="left"/>
            </w:pPr>
            <w:r>
              <w:rPr>
                <w:sz w:val="18"/>
              </w:rPr>
              <w:t xml:space="preserve">[●]</w:t>
            </w:r>
          </w:p>
        </w:tc>
        <w:tc>
          <w:tcPr>
            <w:tcW w:w="1923" w:type="dxa"/>
          </w:tcPr>
          <w:p>
            <w:pPr>
              <w:pStyle w:val="Compact"/>
              <w:spacing w:after="40"/>
              <w:jc w:val="left"/>
            </w:pPr>
            <w:r>
              <w:rPr>
                <w:sz w:val="18"/>
              </w:rPr>
              <w:t xml:space="preserve">[●]</w:t>
            </w:r>
          </w:p>
        </w:tc>
      </w:tr>
    </w:tbl>
    <w:p>
      <w:pPr>
        <w:numPr>
          <w:ilvl w:val="0"/>
          <w:numId w:val="1011"/>
        </w:numPr>
        <w:pStyle w:val="Compact"/>
      </w:pPr>
      <w:r>
        <w:t xml:space="preserve">Available cover before this invocation: ₹[●] (DLG Cap of [●]% of Amount Disbursed ₹[●], less invoked to date ₹[●]); the amount invoked does not exceed it (CF para 24(1)).</w:t>
      </w:r>
    </w:p>
    <w:p>
      <w:pPr>
        <w:numPr>
          <w:ilvl w:val="0"/>
          <w:numId w:val="1011"/>
        </w:numPr>
        <w:pStyle w:val="Compact"/>
      </w:pPr>
      <w:r>
        <w:t xml:space="preserve">[Please pay to account [●] within [2] working days] / [We are appropriating from the cash deposit / fixed deposit under lien].</w:t>
      </w:r>
    </w:p>
    <w:p>
      <w:pPr>
        <w:numPr>
          <w:ilvl w:val="0"/>
          <w:numId w:val="1011"/>
        </w:numPr>
        <w:pStyle w:val="Compact"/>
      </w:pPr>
      <w:r>
        <w:t xml:space="preserve">The amount invoked will not be set off against the Loans and Borrowers’ liability is unaffected (CF para 25(2)); it will not be reinstated (CF para 25(4)); classification and provisioning continue under the IRACP Directions (CF para 25(1)).</w:t>
      </w:r>
    </w:p>
    <w:p>
      <w:pPr>
        <w:numPr>
          <w:ilvl w:val="0"/>
          <w:numId w:val="1011"/>
        </w:numPr>
        <w:pStyle w:val="Compact"/>
      </w:pPr>
      <w:r>
        <w:t xml:space="preserve">[For a bank guarantee: This is a demand under bank guarantee no. [●] dated [●] issued by [Bank], made within its claim period. We state that the amount demanded, ₹[●], is payable under the DLG Agreement.]</w:t>
      </w:r>
    </w:p>
    <w:p>
      <w:pPr>
        <w:pStyle w:val="FirstParagraph"/>
      </w:pPr>
      <w:r>
        <w:t xml:space="preserve">For [RE name], Authorised Signatory.</w:t>
      </w:r>
    </w:p>
    <w:p>
      <w:r>
        <w:pict>
          <v:rect style="width:0;height:1.5pt" o:hralign="center" o:hrstd="t" o:hr="t"/>
        </w:pict>
      </w:r>
    </w:p>
    <w:p>
      <w:r>
        <w:br w:type="page"/>
      </w:r>
    </w:p>
    <w:bookmarkEnd w:id="102"/>
    <w:bookmarkEnd w:id="103"/>
    <w:bookmarkStart w:id="104" w:name="Xa6aa23f817100180920f5e236c95266a28f2b1f"/>
    <w:p>
      <w:pPr>
        <w:pStyle w:val="Heading1"/>
      </w:pPr>
      <w:r>
        <w:t xml:space="preserve">SCHEDULE 12 — Incident Notification Protocol</w:t>
      </w:r>
    </w:p>
    <w:p>
      <w:pPr>
        <w:pStyle w:val="FirstParagraph"/>
      </w:pPr>
      <w:r>
        <w:rPr>
          <w:iCs/>
          <w:i/>
        </w:rPr>
        <w:t xml:space="preserve">Drafting note: Implements Article 17. The RE reports cyber incidents on DAKSH within six hours of detection by the service provider (OUT para 61; CYB paras 28, 141; HFCs report to NHB) and notifies RBI immediately of any security breach and leakage of confidential customer information (OUT para 28). The LSP separately reports to CERT-In within six hours (CERT-In Directions, 28 Apr 2022, under IT Act s.70B(6)).</w:t>
      </w:r>
    </w:p>
    <w:p>
      <w:pPr>
        <w:pStyle w:val="BodyText"/>
      </w:pPr>
      <w:r>
        <w:rPr>
          <w:bCs/>
          <w:b/>
        </w:rPr>
        <w:t xml:space="preserve">12.1 Reportable events. [Mandatory — RBI]</w:t>
      </w:r>
      <w:r>
        <w:t xml:space="preserve"> </w:t>
      </w:r>
      <w:r>
        <w:t xml:space="preserve">(OUT para 74(iii)):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37"/>
        <w:gridCol w:w="4779"/>
        <w:gridCol w:w="2722"/>
      </w:tblGrid>
      <w:tr>
        <w:trPr>
          <w:tblHeader w:val="true"/>
          <w:tblHeader w:val="true"/>
        </w:trPr>
        <w:tc>
          <w:tcPr>
            <w:tcW w:w="2137" w:type="dxa"/>
            <w:shd w:val="clear" w:color="auto" w:fill="1F3A5F"/>
          </w:tcPr>
          <w:p>
            <w:pPr>
              <w:pStyle w:val="Compact"/>
              <w:spacing w:after="40"/>
              <w:jc w:val="left"/>
            </w:pPr>
            <w:r>
              <w:rPr>
                <w:b/>
                <w:color w:val="FFFFFF"/>
                <w:sz w:val="18"/>
              </w:rPr>
              <w:t xml:space="preserve">Category</w:t>
            </w:r>
          </w:p>
        </w:tc>
        <w:tc>
          <w:tcPr>
            <w:tcW w:w="4779" w:type="dxa"/>
            <w:shd w:val="clear" w:color="auto" w:fill="1F3A5F"/>
          </w:tcPr>
          <w:p>
            <w:pPr>
              <w:pStyle w:val="Compact"/>
              <w:spacing w:after="40"/>
              <w:jc w:val="left"/>
            </w:pPr>
            <w:r>
              <w:rPr>
                <w:b/>
                <w:color w:val="FFFFFF"/>
                <w:sz w:val="18"/>
              </w:rPr>
              <w:t xml:space="preserve">Examples</w:t>
            </w:r>
          </w:p>
        </w:tc>
        <w:tc>
          <w:tcPr>
            <w:tcW w:w="2722" w:type="dxa"/>
            <w:shd w:val="clear" w:color="auto" w:fill="1F3A5F"/>
          </w:tcPr>
          <w:p>
            <w:pPr>
              <w:pStyle w:val="Compact"/>
              <w:spacing w:after="40"/>
              <w:jc w:val="left"/>
            </w:pPr>
            <w:r>
              <w:rPr>
                <w:b/>
                <w:color w:val="FFFFFF"/>
                <w:sz w:val="18"/>
              </w:rPr>
              <w:t xml:space="preserve">Severity</w:t>
            </w:r>
          </w:p>
        </w:tc>
      </w:tr>
      <w:tr>
        <w:tc>
          <w:tcPr>
            <w:tcW w:w="2137" w:type="dxa"/>
          </w:tcPr>
          <w:p>
            <w:pPr>
              <w:pStyle w:val="Compact"/>
              <w:spacing w:after="40"/>
              <w:jc w:val="left"/>
            </w:pPr>
            <w:r>
              <w:rPr>
                <w:sz w:val="18"/>
              </w:rPr>
              <w:t xml:space="preserve">Cyber incident</w:t>
            </w:r>
          </w:p>
        </w:tc>
        <w:tc>
          <w:tcPr>
            <w:tcW w:w="4779" w:type="dxa"/>
          </w:tcPr>
          <w:p>
            <w:pPr>
              <w:pStyle w:val="Compact"/>
              <w:spacing w:after="40"/>
              <w:jc w:val="left"/>
            </w:pPr>
            <w:r>
              <w:rPr>
                <w:sz w:val="18"/>
              </w:rPr>
              <w:t xml:space="preserve">Unauthorised access, ransomware, malware, credential or key compromise, DDoS, API abuse, repackaged app in circulation</w:t>
            </w:r>
          </w:p>
        </w:tc>
        <w:tc>
          <w:tcPr>
            <w:tcW w:w="2722" w:type="dxa"/>
          </w:tcPr>
          <w:p>
            <w:pPr>
              <w:pStyle w:val="Compact"/>
              <w:spacing w:after="40"/>
              <w:jc w:val="left"/>
            </w:pPr>
            <w:r>
              <w:rPr>
                <w:sz w:val="18"/>
              </w:rPr>
              <w:t xml:space="preserve">S1 if RE data or funds may be affected; else S2</w:t>
            </w:r>
          </w:p>
        </w:tc>
      </w:tr>
      <w:tr>
        <w:tc>
          <w:tcPr>
            <w:tcW w:w="2137" w:type="dxa"/>
          </w:tcPr>
          <w:p>
            <w:pPr>
              <w:pStyle w:val="Compact"/>
              <w:spacing w:after="40"/>
              <w:jc w:val="left"/>
            </w:pPr>
            <w:r>
              <w:rPr>
                <w:sz w:val="18"/>
              </w:rPr>
              <w:t xml:space="preserve">Personal data breach</w:t>
            </w:r>
          </w:p>
        </w:tc>
        <w:tc>
          <w:tcPr>
            <w:tcW w:w="4779" w:type="dxa"/>
          </w:tcPr>
          <w:p>
            <w:pPr>
              <w:pStyle w:val="Compact"/>
              <w:spacing w:after="40"/>
              <w:jc w:val="left"/>
            </w:pPr>
            <w:r>
              <w:rPr>
                <w:sz w:val="18"/>
              </w:rPr>
              <w:t xml:space="preserve">Unauthorised processing, disclosure, alteration, loss or destruction of Borrower data</w:t>
            </w:r>
          </w:p>
        </w:tc>
        <w:tc>
          <w:tcPr>
            <w:tcW w:w="2722" w:type="dxa"/>
          </w:tcPr>
          <w:p>
            <w:pPr>
              <w:pStyle w:val="Compact"/>
              <w:spacing w:after="40"/>
              <w:jc w:val="left"/>
            </w:pPr>
            <w:r>
              <w:rPr>
                <w:sz w:val="18"/>
              </w:rPr>
              <w:t xml:space="preserve">S1</w:t>
            </w:r>
          </w:p>
        </w:tc>
      </w:tr>
      <w:tr>
        <w:tc>
          <w:tcPr>
            <w:tcW w:w="2137" w:type="dxa"/>
          </w:tcPr>
          <w:p>
            <w:pPr>
              <w:pStyle w:val="Compact"/>
              <w:spacing w:after="40"/>
              <w:jc w:val="left"/>
            </w:pPr>
            <w:r>
              <w:rPr>
                <w:sz w:val="18"/>
              </w:rPr>
              <w:t xml:space="preserve">Fund-flow anomaly</w:t>
            </w:r>
          </w:p>
        </w:tc>
        <w:tc>
          <w:tcPr>
            <w:tcW w:w="4779" w:type="dxa"/>
          </w:tcPr>
          <w:p>
            <w:pPr>
              <w:pStyle w:val="Compact"/>
              <w:spacing w:after="40"/>
              <w:jc w:val="left"/>
            </w:pPr>
            <w:r>
              <w:rPr>
                <w:sz w:val="18"/>
              </w:rPr>
              <w:t xml:space="preserve">Money in an account not permitted by Schedule 6; cash not posted same day; mandate beneficiary mismatch</w:t>
            </w:r>
          </w:p>
        </w:tc>
        <w:tc>
          <w:tcPr>
            <w:tcW w:w="2722" w:type="dxa"/>
          </w:tcPr>
          <w:p>
            <w:pPr>
              <w:pStyle w:val="Compact"/>
              <w:spacing w:after="40"/>
              <w:jc w:val="left"/>
            </w:pPr>
            <w:r>
              <w:rPr>
                <w:sz w:val="18"/>
              </w:rPr>
              <w:t xml:space="preserve">S1</w:t>
            </w:r>
          </w:p>
        </w:tc>
      </w:tr>
      <w:tr>
        <w:tc>
          <w:tcPr>
            <w:tcW w:w="2137" w:type="dxa"/>
          </w:tcPr>
          <w:p>
            <w:pPr>
              <w:pStyle w:val="Compact"/>
              <w:spacing w:after="40"/>
              <w:jc w:val="left"/>
            </w:pPr>
            <w:r>
              <w:rPr>
                <w:sz w:val="18"/>
              </w:rPr>
              <w:t xml:space="preserve">Service unavailability</w:t>
            </w:r>
          </w:p>
        </w:tc>
        <w:tc>
          <w:tcPr>
            <w:tcW w:w="4779" w:type="dxa"/>
          </w:tcPr>
          <w:p>
            <w:pPr>
              <w:pStyle w:val="Compact"/>
              <w:spacing w:after="40"/>
              <w:jc w:val="left"/>
            </w:pPr>
            <w:r>
              <w:rPr>
                <w:sz w:val="18"/>
              </w:rPr>
              <w:t xml:space="preserve">Outage beyond Schedule 18 thresholds; RE events delayed beyond SLA</w:t>
            </w:r>
          </w:p>
        </w:tc>
        <w:tc>
          <w:tcPr>
            <w:tcW w:w="2722" w:type="dxa"/>
          </w:tcPr>
          <w:p>
            <w:pPr>
              <w:pStyle w:val="Compact"/>
              <w:spacing w:after="40"/>
              <w:jc w:val="left"/>
            </w:pPr>
            <w:r>
              <w:rPr>
                <w:sz w:val="18"/>
              </w:rPr>
              <w:t xml:space="preserve">S2 (S1 if borrower journeys down &gt; [4] hours)</w:t>
            </w:r>
          </w:p>
        </w:tc>
      </w:tr>
      <w:tr>
        <w:tc>
          <w:tcPr>
            <w:tcW w:w="2137" w:type="dxa"/>
          </w:tcPr>
          <w:p>
            <w:pPr>
              <w:pStyle w:val="Compact"/>
              <w:spacing w:after="40"/>
              <w:jc w:val="left"/>
            </w:pPr>
            <w:r>
              <w:rPr>
                <w:sz w:val="18"/>
              </w:rPr>
              <w:t xml:space="preserve">Regulatory or conduct event</w:t>
            </w:r>
          </w:p>
        </w:tc>
        <w:tc>
          <w:tcPr>
            <w:tcW w:w="4779" w:type="dxa"/>
          </w:tcPr>
          <w:p>
            <w:pPr>
              <w:pStyle w:val="Compact"/>
              <w:spacing w:after="40"/>
              <w:jc w:val="left"/>
            </w:pPr>
            <w:r>
              <w:rPr>
                <w:sz w:val="18"/>
              </w:rPr>
              <w:t xml:space="preserve">DLA removed from a store; permission, neutrality or recovery-conduct breach; RBI-endorsement misrepresentation; authority complaint about the LSP</w:t>
            </w:r>
          </w:p>
        </w:tc>
        <w:tc>
          <w:tcPr>
            <w:tcW w:w="2722" w:type="dxa"/>
          </w:tcPr>
          <w:p>
            <w:pPr>
              <w:pStyle w:val="Compact"/>
              <w:spacing w:after="40"/>
              <w:jc w:val="left"/>
            </w:pPr>
            <w:r>
              <w:rPr>
                <w:sz w:val="18"/>
              </w:rPr>
              <w:t xml:space="preserve">S2</w:t>
            </w:r>
          </w:p>
        </w:tc>
      </w:tr>
      <w:tr>
        <w:tc>
          <w:tcPr>
            <w:tcW w:w="2137" w:type="dxa"/>
          </w:tcPr>
          <w:p>
            <w:pPr>
              <w:pStyle w:val="Compact"/>
              <w:spacing w:after="40"/>
              <w:jc w:val="left"/>
            </w:pPr>
            <w:r>
              <w:rPr>
                <w:sz w:val="18"/>
              </w:rPr>
              <w:t xml:space="preserve">Fraud</w:t>
            </w:r>
          </w:p>
        </w:tc>
        <w:tc>
          <w:tcPr>
            <w:tcW w:w="4779" w:type="dxa"/>
          </w:tcPr>
          <w:p>
            <w:pPr>
              <w:pStyle w:val="Compact"/>
              <w:spacing w:after="40"/>
              <w:jc w:val="left"/>
            </w:pPr>
            <w:r>
              <w:rPr>
                <w:sz w:val="18"/>
              </w:rPr>
              <w:t xml:space="preserve">Identity fraud, synthetic identities, staff or agent collusion, forgery</w:t>
            </w:r>
          </w:p>
        </w:tc>
        <w:tc>
          <w:tcPr>
            <w:tcW w:w="2722" w:type="dxa"/>
          </w:tcPr>
          <w:p>
            <w:pPr>
              <w:pStyle w:val="Compact"/>
              <w:spacing w:after="40"/>
              <w:jc w:val="left"/>
            </w:pPr>
            <w:r>
              <w:rPr>
                <w:sz w:val="18"/>
              </w:rPr>
              <w:t xml:space="preserve">S1 if collusion confirmed; else S2</w:t>
            </w:r>
          </w:p>
        </w:tc>
      </w:tr>
      <w:tr>
        <w:tc>
          <w:tcPr>
            <w:tcW w:w="2137" w:type="dxa"/>
          </w:tcPr>
          <w:p>
            <w:pPr>
              <w:pStyle w:val="Compact"/>
              <w:spacing w:after="40"/>
              <w:jc w:val="left"/>
            </w:pPr>
            <w:r>
              <w:rPr>
                <w:sz w:val="18"/>
              </w:rPr>
              <w:t xml:space="preserve">Sub-contractor or legal event</w:t>
            </w:r>
          </w:p>
        </w:tc>
        <w:tc>
          <w:tcPr>
            <w:tcW w:w="4779" w:type="dxa"/>
          </w:tcPr>
          <w:p>
            <w:pPr>
              <w:pStyle w:val="Compact"/>
              <w:spacing w:after="40"/>
              <w:jc w:val="left"/>
            </w:pPr>
            <w:r>
              <w:rPr>
                <w:sz w:val="18"/>
              </w:rPr>
              <w:t xml:space="preserve">Any of the above at a sub-processor; insolvency; search, seizure or data demand by an authority</w:t>
            </w:r>
          </w:p>
        </w:tc>
        <w:tc>
          <w:tcPr>
            <w:tcW w:w="2722" w:type="dxa"/>
          </w:tcPr>
          <w:p>
            <w:pPr>
              <w:pStyle w:val="Compact"/>
              <w:spacing w:after="40"/>
              <w:jc w:val="left"/>
            </w:pPr>
            <w:r>
              <w:rPr>
                <w:sz w:val="18"/>
              </w:rPr>
              <w:t xml:space="preserve">As the event; S1 if data seized</w:t>
            </w:r>
          </w:p>
        </w:tc>
      </w:tr>
    </w:tbl>
    <w:p>
      <w:pPr>
        <w:pStyle w:val="BodyText"/>
      </w:pPr>
      <w:r>
        <w:rPr>
          <w:bCs/>
          <w:b/>
        </w:rPr>
        <w:t xml:space="preserve">12.2 Timelines. [Mandatory — 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33"/>
        <w:gridCol w:w="1904"/>
        <w:gridCol w:w="2531"/>
        <w:gridCol w:w="2270"/>
      </w:tblGrid>
      <w:tr>
        <w:trPr>
          <w:tblHeader w:val="true"/>
          <w:tblHeader w:val="true"/>
        </w:trPr>
        <w:tc>
          <w:tcPr>
            <w:tcW w:w="2933" w:type="dxa"/>
            <w:shd w:val="clear" w:color="auto" w:fill="1F3A5F"/>
          </w:tcPr>
          <w:p>
            <w:pPr>
              <w:pStyle w:val="Compact"/>
              <w:spacing w:after="40"/>
              <w:jc w:val="left"/>
            </w:pPr>
            <w:r>
              <w:rPr>
                <w:b/>
                <w:color w:val="FFFFFF"/>
                <w:sz w:val="18"/>
              </w:rPr>
              <w:t xml:space="preserve">Step</w:t>
            </w:r>
          </w:p>
        </w:tc>
        <w:tc>
          <w:tcPr>
            <w:tcW w:w="1904" w:type="dxa"/>
            <w:shd w:val="clear" w:color="auto" w:fill="1F3A5F"/>
          </w:tcPr>
          <w:p>
            <w:pPr>
              <w:pStyle w:val="Compact"/>
              <w:spacing w:after="40"/>
              <w:jc w:val="left"/>
            </w:pPr>
            <w:r>
              <w:rPr>
                <w:b/>
                <w:color w:val="FFFFFF"/>
                <w:sz w:val="18"/>
              </w:rPr>
              <w:t xml:space="preserve">S1</w:t>
            </w:r>
          </w:p>
        </w:tc>
        <w:tc>
          <w:tcPr>
            <w:tcW w:w="2531" w:type="dxa"/>
            <w:shd w:val="clear" w:color="auto" w:fill="1F3A5F"/>
          </w:tcPr>
          <w:p>
            <w:pPr>
              <w:pStyle w:val="Compact"/>
              <w:spacing w:after="40"/>
              <w:jc w:val="left"/>
            </w:pPr>
            <w:r>
              <w:rPr>
                <w:b/>
                <w:color w:val="FFFFFF"/>
                <w:sz w:val="18"/>
              </w:rPr>
              <w:t xml:space="preserve">S2</w:t>
            </w:r>
          </w:p>
        </w:tc>
        <w:tc>
          <w:tcPr>
            <w:tcW w:w="2270" w:type="dxa"/>
            <w:shd w:val="clear" w:color="auto" w:fill="1F3A5F"/>
          </w:tcPr>
          <w:p>
            <w:pPr>
              <w:pStyle w:val="Compact"/>
              <w:spacing w:after="40"/>
              <w:jc w:val="left"/>
            </w:pPr>
            <w:r>
              <w:rPr>
                <w:b/>
                <w:color w:val="FFFFFF"/>
                <w:sz w:val="18"/>
              </w:rPr>
              <w:t xml:space="preserve">Source</w:t>
            </w:r>
          </w:p>
        </w:tc>
      </w:tr>
      <w:tr>
        <w:tc>
          <w:tcPr>
            <w:tcW w:w="2933" w:type="dxa"/>
          </w:tcPr>
          <w:p>
            <w:pPr>
              <w:pStyle w:val="Compact"/>
              <w:spacing w:after="40"/>
              <w:jc w:val="left"/>
            </w:pPr>
            <w:r>
              <w:rPr>
                <w:sz w:val="18"/>
              </w:rPr>
              <w:t xml:space="preserve">Notice to RE incident contacts (phone and</w:t>
            </w:r>
            <w:r>
              <w:rPr>
                <w:sz w:val="18"/>
              </w:rPr>
              <w:t xml:space="preserve"> </w:t>
            </w:r>
            <w:r>
              <w:rPr>
                <w:rStyle w:val="VerbatimChar"/>
                <w:sz w:val="18"/>
              </w:rPr>
              <w:t xml:space="preserve">SecurityIncidentNotified</w:t>
            </w:r>
            <w:r>
              <w:rPr>
                <w:sz w:val="18"/>
              </w:rPr>
              <w:t xml:space="preserve">)</w:t>
            </w:r>
          </w:p>
        </w:tc>
        <w:tc>
          <w:tcPr>
            <w:tcW w:w="1904" w:type="dxa"/>
          </w:tcPr>
          <w:p>
            <w:pPr>
              <w:pStyle w:val="Compact"/>
              <w:spacing w:after="40"/>
              <w:jc w:val="left"/>
            </w:pPr>
            <w:r>
              <w:rPr>
                <w:sz w:val="18"/>
              </w:rPr>
              <w:t xml:space="preserve">Without undue delay, ≤ 2 hours of detection</w:t>
            </w:r>
          </w:p>
        </w:tc>
        <w:tc>
          <w:tcPr>
            <w:tcW w:w="2531" w:type="dxa"/>
          </w:tcPr>
          <w:p>
            <w:pPr>
              <w:pStyle w:val="Compact"/>
              <w:spacing w:after="40"/>
              <w:jc w:val="left"/>
            </w:pPr>
            <w:r>
              <w:rPr>
                <w:sz w:val="18"/>
              </w:rPr>
              <w:t xml:space="preserve">≤ 2 hours of detection for any Cyber Incident; ≤ 6 hours for other S2 events</w:t>
            </w:r>
          </w:p>
        </w:tc>
        <w:tc>
          <w:tcPr>
            <w:tcW w:w="2270" w:type="dxa"/>
          </w:tcPr>
          <w:p>
            <w:pPr>
              <w:pStyle w:val="Compact"/>
              <w:spacing w:after="40"/>
              <w:jc w:val="left"/>
            </w:pPr>
            <w:r>
              <w:rPr>
                <w:sz w:val="18"/>
              </w:rPr>
              <w:t xml:space="preserve">OUT para 61; CYB paras 28, 141</w:t>
            </w:r>
          </w:p>
        </w:tc>
      </w:tr>
      <w:tr>
        <w:tc>
          <w:tcPr>
            <w:tcW w:w="2933" w:type="dxa"/>
          </w:tcPr>
          <w:p>
            <w:pPr>
              <w:pStyle w:val="Compact"/>
              <w:spacing w:after="40"/>
              <w:jc w:val="left"/>
            </w:pPr>
            <w:r>
              <w:rPr>
                <w:sz w:val="18"/>
              </w:rPr>
              <w:t xml:space="preserve">Data for RE’s DAKSH filing (nature, detection time, systems, data and customers affected, containment)</w:t>
            </w:r>
          </w:p>
        </w:tc>
        <w:tc>
          <w:tcPr>
            <w:tcW w:w="1904" w:type="dxa"/>
          </w:tcPr>
          <w:p>
            <w:pPr>
              <w:pStyle w:val="Compact"/>
              <w:spacing w:after="40"/>
              <w:jc w:val="left"/>
            </w:pPr>
            <w:r>
              <w:rPr>
                <w:sz w:val="18"/>
              </w:rPr>
              <w:t xml:space="preserve">≤ 4 hours of detection</w:t>
            </w:r>
          </w:p>
        </w:tc>
        <w:tc>
          <w:tcPr>
            <w:tcW w:w="2531" w:type="dxa"/>
          </w:tcPr>
          <w:p>
            <w:pPr>
              <w:pStyle w:val="Compact"/>
              <w:spacing w:after="40"/>
              <w:jc w:val="left"/>
            </w:pPr>
            <w:r>
              <w:rPr>
                <w:sz w:val="18"/>
              </w:rPr>
              <w:t xml:space="preserve">≤ 4 hours of detection for any Cyber Incident</w:t>
            </w:r>
          </w:p>
        </w:tc>
        <w:tc>
          <w:tcPr>
            <w:tcW w:w="2270" w:type="dxa"/>
          </w:tcPr>
          <w:p>
            <w:pPr>
              <w:pStyle w:val="Compact"/>
              <w:spacing w:after="40"/>
              <w:jc w:val="left"/>
            </w:pPr>
            <w:r>
              <w:rPr>
                <w:sz w:val="18"/>
              </w:rPr>
              <w:t xml:space="preserve">CYB paras 28, 141</w:t>
            </w:r>
          </w:p>
        </w:tc>
      </w:tr>
      <w:tr>
        <w:tc>
          <w:tcPr>
            <w:tcW w:w="2933" w:type="dxa"/>
          </w:tcPr>
          <w:p>
            <w:pPr>
              <w:pStyle w:val="Compact"/>
              <w:spacing w:after="40"/>
              <w:jc w:val="left"/>
            </w:pPr>
            <w:r>
              <w:rPr>
                <w:sz w:val="18"/>
              </w:rPr>
              <w:t xml:space="preserve">LSP report to CERT-In (where reportable)</w:t>
            </w:r>
          </w:p>
        </w:tc>
        <w:tc>
          <w:tcPr>
            <w:tcW w:w="1904" w:type="dxa"/>
          </w:tcPr>
          <w:p>
            <w:pPr>
              <w:pStyle w:val="Compact"/>
              <w:spacing w:after="40"/>
              <w:jc w:val="left"/>
            </w:pPr>
            <w:r>
              <w:rPr>
                <w:sz w:val="18"/>
              </w:rPr>
              <w:t xml:space="preserve">≤ 6 hours</w:t>
            </w:r>
          </w:p>
        </w:tc>
        <w:tc>
          <w:tcPr>
            <w:tcW w:w="2531" w:type="dxa"/>
          </w:tcPr>
          <w:p>
            <w:pPr>
              <w:pStyle w:val="Compact"/>
              <w:spacing w:after="40"/>
              <w:jc w:val="left"/>
            </w:pPr>
            <w:r>
              <w:rPr>
                <w:sz w:val="18"/>
              </w:rPr>
              <w:t xml:space="preserve">≤ 6 hours</w:t>
            </w:r>
          </w:p>
        </w:tc>
        <w:tc>
          <w:tcPr>
            <w:tcW w:w="2270" w:type="dxa"/>
          </w:tcPr>
          <w:p>
            <w:pPr>
              <w:pStyle w:val="Compact"/>
              <w:spacing w:after="40"/>
              <w:jc w:val="left"/>
            </w:pPr>
            <w:r>
              <w:rPr>
                <w:sz w:val="18"/>
              </w:rPr>
              <w:t xml:space="preserve">CERT-In Directions</w:t>
            </w:r>
          </w:p>
        </w:tc>
      </w:tr>
      <w:tr>
        <w:tc>
          <w:tcPr>
            <w:tcW w:w="2933" w:type="dxa"/>
          </w:tcPr>
          <w:p>
            <w:pPr>
              <w:pStyle w:val="Compact"/>
              <w:spacing w:after="40"/>
              <w:jc w:val="left"/>
            </w:pPr>
            <w:r>
              <w:rPr>
                <w:sz w:val="18"/>
              </w:rPr>
              <w:t xml:space="preserve">Data for breach intimation to the Data Protection Board and data principals</w:t>
            </w:r>
          </w:p>
        </w:tc>
        <w:tc>
          <w:tcPr>
            <w:tcW w:w="1904" w:type="dxa"/>
          </w:tcPr>
          <w:p>
            <w:pPr>
              <w:pStyle w:val="Compact"/>
              <w:spacing w:after="40"/>
              <w:jc w:val="left"/>
            </w:pPr>
            <w:r>
              <w:rPr>
                <w:sz w:val="18"/>
              </w:rPr>
              <w:t xml:space="preserve">≤ [24] hours</w:t>
            </w:r>
          </w:p>
        </w:tc>
        <w:tc>
          <w:tcPr>
            <w:tcW w:w="2531" w:type="dxa"/>
          </w:tcPr>
          <w:p>
            <w:pPr>
              <w:pStyle w:val="Compact"/>
              <w:spacing w:after="40"/>
              <w:jc w:val="left"/>
            </w:pPr>
            <w:r>
              <w:rPr>
                <w:sz w:val="18"/>
              </w:rPr>
              <w:t xml:space="preserve">—</w:t>
            </w:r>
          </w:p>
        </w:tc>
        <w:tc>
          <w:tcPr>
            <w:tcW w:w="2270" w:type="dxa"/>
          </w:tcPr>
          <w:p>
            <w:pPr>
              <w:pStyle w:val="Compact"/>
              <w:spacing w:after="40"/>
              <w:jc w:val="left"/>
            </w:pPr>
            <w:r>
              <w:rPr>
                <w:sz w:val="18"/>
              </w:rPr>
              <w:t xml:space="preserve">DPDP Act s.8(6); DPDP Rules, Rule 7 (72-hour report) [VERIFY]</w:t>
            </w:r>
          </w:p>
        </w:tc>
      </w:tr>
      <w:tr>
        <w:tc>
          <w:tcPr>
            <w:tcW w:w="2933" w:type="dxa"/>
          </w:tcPr>
          <w:p>
            <w:pPr>
              <w:pStyle w:val="Compact"/>
              <w:spacing w:after="40"/>
              <w:jc w:val="left"/>
            </w:pPr>
            <w:r>
              <w:rPr>
                <w:sz w:val="18"/>
              </w:rPr>
              <w:t xml:space="preserve">Updates</w:t>
            </w:r>
          </w:p>
        </w:tc>
        <w:tc>
          <w:tcPr>
            <w:tcW w:w="1904" w:type="dxa"/>
          </w:tcPr>
          <w:p>
            <w:pPr>
              <w:pStyle w:val="Compact"/>
              <w:spacing w:after="40"/>
              <w:jc w:val="left"/>
            </w:pPr>
            <w:r>
              <w:rPr>
                <w:sz w:val="18"/>
              </w:rPr>
              <w:t xml:space="preserve">Every [4] hours to containment</w:t>
            </w:r>
          </w:p>
        </w:tc>
        <w:tc>
          <w:tcPr>
            <w:tcW w:w="2531" w:type="dxa"/>
          </w:tcPr>
          <w:p>
            <w:pPr>
              <w:pStyle w:val="Compact"/>
              <w:spacing w:after="40"/>
              <w:jc w:val="left"/>
            </w:pPr>
            <w:r>
              <w:rPr>
                <w:sz w:val="18"/>
              </w:rPr>
              <w:t xml:space="preserve">Daily</w:t>
            </w:r>
          </w:p>
        </w:tc>
        <w:tc>
          <w:tcPr>
            <w:tcW w:w="2270" w:type="dxa"/>
          </w:tcPr>
          <w:p>
            <w:pPr>
              <w:pStyle w:val="Compact"/>
              <w:spacing w:after="40"/>
              <w:jc w:val="left"/>
            </w:pPr>
            <w:r>
              <w:rPr>
                <w:sz w:val="18"/>
              </w:rPr>
              <w:t xml:space="preserve">[Option]</w:t>
            </w:r>
          </w:p>
        </w:tc>
      </w:tr>
      <w:tr>
        <w:tc>
          <w:tcPr>
            <w:tcW w:w="2933" w:type="dxa"/>
          </w:tcPr>
          <w:p>
            <w:pPr>
              <w:pStyle w:val="Compact"/>
              <w:spacing w:after="40"/>
              <w:jc w:val="left"/>
            </w:pPr>
            <w:r>
              <w:rPr>
                <w:sz w:val="18"/>
              </w:rPr>
              <w:t xml:space="preserve">RCA and remediation plan; closure with lessons learned</w:t>
            </w:r>
          </w:p>
        </w:tc>
        <w:tc>
          <w:tcPr>
            <w:tcW w:w="1904" w:type="dxa"/>
          </w:tcPr>
          <w:p>
            <w:pPr>
              <w:pStyle w:val="Compact"/>
              <w:spacing w:after="40"/>
              <w:jc w:val="left"/>
            </w:pPr>
            <w:r>
              <w:rPr>
                <w:sz w:val="18"/>
              </w:rPr>
              <w:t xml:space="preserve">7 days; 30 days</w:t>
            </w:r>
          </w:p>
        </w:tc>
        <w:tc>
          <w:tcPr>
            <w:tcW w:w="2531" w:type="dxa"/>
          </w:tcPr>
          <w:p>
            <w:pPr>
              <w:pStyle w:val="Compact"/>
              <w:spacing w:after="40"/>
              <w:jc w:val="left"/>
            </w:pPr>
            <w:r>
              <w:rPr>
                <w:sz w:val="18"/>
              </w:rPr>
              <w:t xml:space="preserve">15 days; 30 days</w:t>
            </w:r>
          </w:p>
        </w:tc>
        <w:tc>
          <w:tcPr>
            <w:tcW w:w="2270" w:type="dxa"/>
          </w:tcPr>
          <w:p>
            <w:pPr>
              <w:pStyle w:val="Compact"/>
              <w:spacing w:after="40"/>
              <w:jc w:val="left"/>
            </w:pPr>
            <w:r>
              <w:rPr>
                <w:sz w:val="18"/>
              </w:rPr>
              <w:t xml:space="preserve">CYB paras 140, 145</w:t>
            </w:r>
          </w:p>
        </w:tc>
      </w:tr>
    </w:tbl>
    <w:p>
      <w:pPr>
        <w:pStyle w:val="BodyText"/>
      </w:pPr>
      <w:r>
        <w:rPr>
          <w:bCs/>
          <w:b/>
        </w:rPr>
        <w:t xml:space="preserve">12.3 Content and cooperation. [Mandatory — RBI]</w:t>
      </w:r>
      <w:r>
        <w:t xml:space="preserve"> </w:t>
      </w:r>
      <w:r>
        <w:t xml:space="preserve">Notices state detection and occurrence times, description, systems and DLAs affected, RE data categories and number of Borrowers affected, whether funds or credentials are affected, containment, indicators of compromise and whether any authority has been informed. The LSP preserves evidence and logs, gives the RE and its forensic auditors access (OUT para 74(ii); CYB para 62(2)), supports forensics (CYB para 140) and crisis communication (CYB para 146), and does not communicate with Borrowers or media about an incident affecting the RE’s customers without the RE’s approval, save as law requires. The RE is liable to customers for damage from security breaches (OUT para 28); as between the Parties, liability follows Articles 27 and 28 (OUT para 34(v)).</w:t>
      </w:r>
    </w:p>
    <w:p>
      <w:pPr>
        <w:pStyle w:val="BodyText"/>
      </w:pPr>
      <w:r>
        <w:rPr>
          <w:bCs/>
          <w:b/>
        </w:rPr>
        <w:t xml:space="preserve">12.4 Contacts. [Option]</w:t>
      </w:r>
      <w:r>
        <w:t xml:space="preserve"> </w:t>
      </w:r>
      <w:r>
        <w:t xml:space="preserve">RE: CISO [●], CCO/DPO [●]; LSP: CISO [●], data protection and grievance contact [●] (24x7 phone and email for each).</w:t>
      </w:r>
    </w:p>
    <w:p>
      <w:r>
        <w:pict>
          <v:rect style="width:0;height:1.5pt" o:hralign="center" o:hrstd="t" o:hr="t"/>
        </w:pict>
      </w:r>
    </w:p>
    <w:p>
      <w:r>
        <w:br w:type="page"/>
      </w:r>
    </w:p>
    <w:bookmarkEnd w:id="104"/>
    <w:bookmarkStart w:id="105" w:name="X7f17798846946c7ccce16ebe7a638f17c68e4bd"/>
    <w:p>
      <w:pPr>
        <w:pStyle w:val="Heading1"/>
      </w:pPr>
      <w:r>
        <w:t xml:space="preserve">SCHEDULE 13 — Audit and Inspection Protocol</w:t>
      </w:r>
    </w:p>
    <w:p>
      <w:pPr>
        <w:pStyle w:val="FirstParagraph"/>
      </w:pPr>
      <w:r>
        <w:rPr>
          <w:iCs/>
          <w:i/>
        </w:rPr>
        <w:t xml:space="preserve">Drafting note: This Schedule implements Article 19 (Audit, Inspection and Supervisory Access). It reproduces the rights that OUT paras 34 and 74 and CYB para 62(2) require in every agreement; they cannot be negotiated away.</w:t>
      </w:r>
    </w:p>
    <w:p>
      <w:pPr>
        <w:pStyle w:val="BodyText"/>
      </w:pPr>
      <w:r>
        <w:rPr>
          <w:bCs/>
          <w:b/>
        </w:rPr>
        <w:t xml:space="preserve">13.1 Access rights. [Mandatory — RBI]</w:t>
      </w:r>
      <w:r>
        <w:t xml:space="preserve"> </w:t>
      </w:r>
      <w:r>
        <w:t xml:space="preserve">The LSP grants to the RE, its internal and external auditors, agents appointed to act on its behalf, RBI, persons authorised by RBI and other competent authorities as authorised by law, unrestricted and effective access to: all books, records and information relevant to the outsourced activity; all data, logs, alerts and audit trails; IT infrastructure, applications, documents and other information given to, stored or processed by the LSP and its sub-contractors; and the relevant business premises of the LSP and its sub-contractors, subject to appropriate security protocols (OUT paras 34(ii), 34(vii)–(ix), 74(ii), 74(xii), 81; CYB para 62(2)(i)–(iii)).</w:t>
      </w:r>
    </w:p>
    <w:p>
      <w:pPr>
        <w:pStyle w:val="BodyText"/>
      </w:pPr>
      <w:r>
        <w:rPr>
          <w:bCs/>
          <w:b/>
        </w:rPr>
        <w:t xml:space="preserve">13.2 RBI inspection. [Mandatory — RBI]</w:t>
      </w:r>
      <w:r>
        <w:t xml:space="preserve"> </w:t>
      </w:r>
      <w:r>
        <w:t xml:space="preserve">RBI or persons authorised by it may cause an inspection of the LSP and its books and accounts, and of any sub-contractor, by one or more of its officers, employees or other authorised persons (OUT paras 34(ix), 74(xii)). The LSP shall provide RBI, within a reasonable time, access to the RE’s documents, records of transactions and other necessary information given to, stored or processed by the LSP, in paper and electronic form (OUT para 34(viii); CYB para 62(2)(iii)). Outsourcing shall not impede RBI’s supervisory functions (OUT para 18(ii)).</w:t>
      </w:r>
    </w:p>
    <w:p>
      <w:pPr>
        <w:pStyle w:val="BodyText"/>
      </w:pPr>
      <w:r>
        <w:rPr>
          <w:bCs/>
          <w:b/>
        </w:rPr>
        <w:t xml:space="preserve">13.3 Audit plan. [Option]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21"/>
        <w:gridCol w:w="1972"/>
        <w:gridCol w:w="2521"/>
        <w:gridCol w:w="2924"/>
      </w:tblGrid>
      <w:tr>
        <w:trPr>
          <w:tblHeader w:val="true"/>
          <w:tblHeader w:val="true"/>
        </w:trPr>
        <w:tc>
          <w:tcPr>
            <w:tcW w:w="2221" w:type="dxa"/>
            <w:shd w:val="clear" w:color="auto" w:fill="1F3A5F"/>
          </w:tcPr>
          <w:p>
            <w:pPr>
              <w:pStyle w:val="Compact"/>
              <w:spacing w:after="40"/>
              <w:jc w:val="left"/>
            </w:pPr>
            <w:r>
              <w:rPr>
                <w:b/>
                <w:color w:val="FFFFFF"/>
                <w:sz w:val="18"/>
              </w:rPr>
              <w:t xml:space="preserve">Audit type</w:t>
            </w:r>
          </w:p>
        </w:tc>
        <w:tc>
          <w:tcPr>
            <w:tcW w:w="1972" w:type="dxa"/>
            <w:shd w:val="clear" w:color="auto" w:fill="1F3A5F"/>
          </w:tcPr>
          <w:p>
            <w:pPr>
              <w:pStyle w:val="Compact"/>
              <w:spacing w:after="40"/>
              <w:jc w:val="left"/>
            </w:pPr>
            <w:r>
              <w:rPr>
                <w:b/>
                <w:color w:val="FFFFFF"/>
                <w:sz w:val="18"/>
              </w:rPr>
              <w:t xml:space="preserve">Frequency</w:t>
            </w:r>
          </w:p>
        </w:tc>
        <w:tc>
          <w:tcPr>
            <w:tcW w:w="2521" w:type="dxa"/>
            <w:shd w:val="clear" w:color="auto" w:fill="1F3A5F"/>
          </w:tcPr>
          <w:p>
            <w:pPr>
              <w:pStyle w:val="Compact"/>
              <w:spacing w:after="40"/>
              <w:jc w:val="left"/>
            </w:pPr>
            <w:r>
              <w:rPr>
                <w:b/>
                <w:color w:val="FFFFFF"/>
                <w:sz w:val="18"/>
              </w:rPr>
              <w:t xml:space="preserve">Scope</w:t>
            </w:r>
          </w:p>
        </w:tc>
        <w:tc>
          <w:tcPr>
            <w:tcW w:w="2924" w:type="dxa"/>
            <w:shd w:val="clear" w:color="auto" w:fill="1F3A5F"/>
          </w:tcPr>
          <w:p>
            <w:pPr>
              <w:pStyle w:val="Compact"/>
              <w:spacing w:after="40"/>
              <w:jc w:val="left"/>
            </w:pPr>
            <w:r>
              <w:rPr>
                <w:b/>
                <w:color w:val="FFFFFF"/>
                <w:sz w:val="18"/>
              </w:rPr>
              <w:t xml:space="preserve">Conducted by</w:t>
            </w:r>
          </w:p>
        </w:tc>
      </w:tr>
      <w:tr>
        <w:tc>
          <w:tcPr>
            <w:tcW w:w="2221" w:type="dxa"/>
          </w:tcPr>
          <w:p>
            <w:pPr>
              <w:pStyle w:val="Compact"/>
              <w:spacing w:after="40"/>
              <w:jc w:val="left"/>
            </w:pPr>
            <w:r>
              <w:rPr>
                <w:sz w:val="18"/>
              </w:rPr>
              <w:t xml:space="preserve">Periodic review of LSP conduct against the Agreement</w:t>
            </w:r>
          </w:p>
        </w:tc>
        <w:tc>
          <w:tcPr>
            <w:tcW w:w="1972" w:type="dxa"/>
          </w:tcPr>
          <w:p>
            <w:pPr>
              <w:pStyle w:val="Compact"/>
              <w:spacing w:after="40"/>
              <w:jc w:val="left"/>
            </w:pPr>
            <w:r>
              <w:rPr>
                <w:sz w:val="18"/>
              </w:rPr>
              <w:t xml:space="preserve">[Quarterly]</w:t>
            </w:r>
          </w:p>
        </w:tc>
        <w:tc>
          <w:tcPr>
            <w:tcW w:w="2521" w:type="dxa"/>
          </w:tcPr>
          <w:p>
            <w:pPr>
              <w:pStyle w:val="Compact"/>
              <w:spacing w:after="40"/>
              <w:jc w:val="left"/>
            </w:pPr>
            <w:r>
              <w:rPr>
                <w:sz w:val="18"/>
              </w:rPr>
              <w:t xml:space="preserve">Schedules 3, 5, 6, 7, 9, 10, 18</w:t>
            </w:r>
          </w:p>
        </w:tc>
        <w:tc>
          <w:tcPr>
            <w:tcW w:w="2924" w:type="dxa"/>
          </w:tcPr>
          <w:p>
            <w:pPr>
              <w:pStyle w:val="Compact"/>
              <w:spacing w:after="40"/>
              <w:jc w:val="left"/>
            </w:pPr>
            <w:r>
              <w:rPr>
                <w:sz w:val="18"/>
              </w:rPr>
              <w:t xml:space="preserve">RE (CF para 6(3))</w:t>
            </w:r>
          </w:p>
        </w:tc>
      </w:tr>
      <w:tr>
        <w:tc>
          <w:tcPr>
            <w:tcW w:w="2221" w:type="dxa"/>
          </w:tcPr>
          <w:p>
            <w:pPr>
              <w:pStyle w:val="Compact"/>
              <w:spacing w:after="40"/>
              <w:jc w:val="left"/>
            </w:pPr>
            <w:r>
              <w:rPr>
                <w:sz w:val="18"/>
              </w:rPr>
              <w:t xml:space="preserve">Outsourcing audit</w:t>
            </w:r>
          </w:p>
        </w:tc>
        <w:tc>
          <w:tcPr>
            <w:tcW w:w="1972" w:type="dxa"/>
          </w:tcPr>
          <w:p>
            <w:pPr>
              <w:pStyle w:val="Compact"/>
              <w:spacing w:after="40"/>
              <w:jc w:val="left"/>
            </w:pPr>
            <w:r>
              <w:rPr>
                <w:sz w:val="18"/>
              </w:rPr>
              <w:t xml:space="preserve">Annual (risk-based)</w:t>
            </w:r>
          </w:p>
        </w:tc>
        <w:tc>
          <w:tcPr>
            <w:tcW w:w="2521" w:type="dxa"/>
          </w:tcPr>
          <w:p>
            <w:pPr>
              <w:pStyle w:val="Compact"/>
              <w:spacing w:after="40"/>
              <w:jc w:val="left"/>
            </w:pPr>
            <w:r>
              <w:rPr>
                <w:sz w:val="18"/>
              </w:rPr>
              <w:t xml:space="preserve">Risk management, compliance with law and the Agreement, performance</w:t>
            </w:r>
          </w:p>
        </w:tc>
        <w:tc>
          <w:tcPr>
            <w:tcW w:w="2924" w:type="dxa"/>
          </w:tcPr>
          <w:p>
            <w:pPr>
              <w:pStyle w:val="Compact"/>
              <w:spacing w:after="40"/>
              <w:jc w:val="left"/>
            </w:pPr>
            <w:r>
              <w:rPr>
                <w:sz w:val="18"/>
              </w:rPr>
              <w:t xml:space="preserve">RE internal or external auditors (OUT paras 37, 76, 78)</w:t>
            </w:r>
          </w:p>
        </w:tc>
      </w:tr>
      <w:tr>
        <w:tc>
          <w:tcPr>
            <w:tcW w:w="2221" w:type="dxa"/>
          </w:tcPr>
          <w:p>
            <w:pPr>
              <w:pStyle w:val="Compact"/>
              <w:spacing w:after="40"/>
              <w:jc w:val="left"/>
            </w:pPr>
            <w:r>
              <w:rPr>
                <w:sz w:val="18"/>
              </w:rPr>
              <w:t xml:space="preserve">IS audit / cyber assessment</w:t>
            </w:r>
          </w:p>
        </w:tc>
        <w:tc>
          <w:tcPr>
            <w:tcW w:w="1972" w:type="dxa"/>
          </w:tcPr>
          <w:p>
            <w:pPr>
              <w:pStyle w:val="Compact"/>
              <w:spacing w:after="40"/>
              <w:jc w:val="left"/>
            </w:pPr>
            <w:r>
              <w:rPr>
                <w:sz w:val="18"/>
              </w:rPr>
              <w:t xml:space="preserve">Annual, and after material change</w:t>
            </w:r>
          </w:p>
        </w:tc>
        <w:tc>
          <w:tcPr>
            <w:tcW w:w="2521" w:type="dxa"/>
          </w:tcPr>
          <w:p>
            <w:pPr>
              <w:pStyle w:val="Compact"/>
              <w:spacing w:after="40"/>
              <w:jc w:val="left"/>
            </w:pPr>
            <w:r>
              <w:rPr>
                <w:sz w:val="18"/>
              </w:rPr>
              <w:t xml:space="preserve">Schedule 8 controls</w:t>
            </w:r>
          </w:p>
        </w:tc>
        <w:tc>
          <w:tcPr>
            <w:tcW w:w="2924" w:type="dxa"/>
          </w:tcPr>
          <w:p>
            <w:pPr>
              <w:pStyle w:val="Compact"/>
              <w:spacing w:after="40"/>
              <w:jc w:val="left"/>
            </w:pPr>
            <w:r>
              <w:rPr>
                <w:sz w:val="18"/>
              </w:rPr>
              <w:t xml:space="preserve">RE IS auditor or independent assessor (CYB paras 149–154 for ML+ REs)</w:t>
            </w:r>
          </w:p>
        </w:tc>
      </w:tr>
      <w:tr>
        <w:tc>
          <w:tcPr>
            <w:tcW w:w="2221" w:type="dxa"/>
          </w:tcPr>
          <w:p>
            <w:pPr>
              <w:pStyle w:val="Compact"/>
              <w:spacing w:after="40"/>
              <w:jc w:val="left"/>
            </w:pPr>
            <w:r>
              <w:rPr>
                <w:sz w:val="18"/>
              </w:rPr>
              <w:t xml:space="preserve">Pooled audit</w:t>
            </w:r>
          </w:p>
        </w:tc>
        <w:tc>
          <w:tcPr>
            <w:tcW w:w="1972" w:type="dxa"/>
          </w:tcPr>
          <w:p>
            <w:pPr>
              <w:pStyle w:val="Compact"/>
              <w:spacing w:after="40"/>
              <w:jc w:val="left"/>
            </w:pPr>
            <w:r>
              <w:rPr>
                <w:sz w:val="18"/>
              </w:rPr>
              <w:t xml:space="preserve">As agreed among REs</w:t>
            </w:r>
          </w:p>
        </w:tc>
        <w:tc>
          <w:tcPr>
            <w:tcW w:w="2521" w:type="dxa"/>
          </w:tcPr>
          <w:p>
            <w:pPr>
              <w:pStyle w:val="Compact"/>
              <w:spacing w:after="40"/>
              <w:jc w:val="left"/>
            </w:pPr>
            <w:r>
              <w:rPr>
                <w:sz w:val="18"/>
              </w:rPr>
              <w:t xml:space="preserve">Common controls</w:t>
            </w:r>
          </w:p>
        </w:tc>
        <w:tc>
          <w:tcPr>
            <w:tcW w:w="2924" w:type="dxa"/>
          </w:tcPr>
          <w:p>
            <w:pPr>
              <w:pStyle w:val="Compact"/>
              <w:spacing w:after="40"/>
              <w:jc w:val="left"/>
            </w:pPr>
            <w:r>
              <w:rPr>
                <w:sz w:val="18"/>
              </w:rPr>
              <w:t xml:space="preserve">Independent third-party auditor jointly appointed (OUT para 77)</w:t>
            </w:r>
          </w:p>
        </w:tc>
      </w:tr>
      <w:tr>
        <w:tc>
          <w:tcPr>
            <w:tcW w:w="2221" w:type="dxa"/>
          </w:tcPr>
          <w:p>
            <w:pPr>
              <w:pStyle w:val="Compact"/>
              <w:spacing w:after="40"/>
              <w:jc w:val="left"/>
            </w:pPr>
            <w:r>
              <w:rPr>
                <w:sz w:val="18"/>
              </w:rPr>
              <w:t xml:space="preserve">Thematic / for-cause</w:t>
            </w:r>
          </w:p>
        </w:tc>
        <w:tc>
          <w:tcPr>
            <w:tcW w:w="1972" w:type="dxa"/>
          </w:tcPr>
          <w:p>
            <w:pPr>
              <w:pStyle w:val="Compact"/>
              <w:spacing w:after="40"/>
              <w:jc w:val="left"/>
            </w:pPr>
            <w:r>
              <w:rPr>
                <w:sz w:val="18"/>
              </w:rPr>
              <w:t xml:space="preserve">On incident, complaint spike or RBI query</w:t>
            </w:r>
          </w:p>
        </w:tc>
        <w:tc>
          <w:tcPr>
            <w:tcW w:w="2521" w:type="dxa"/>
          </w:tcPr>
          <w:p>
            <w:pPr>
              <w:pStyle w:val="Compact"/>
              <w:spacing w:after="40"/>
              <w:jc w:val="left"/>
            </w:pPr>
            <w:r>
              <w:rPr>
                <w:sz w:val="18"/>
              </w:rPr>
              <w:t xml:space="preserve">As required</w:t>
            </w:r>
          </w:p>
        </w:tc>
        <w:tc>
          <w:tcPr>
            <w:tcW w:w="2924" w:type="dxa"/>
          </w:tcPr>
          <w:p>
            <w:pPr>
              <w:pStyle w:val="Compact"/>
              <w:spacing w:after="40"/>
              <w:jc w:val="left"/>
            </w:pPr>
            <w:r>
              <w:rPr>
                <w:sz w:val="18"/>
              </w:rPr>
              <w:t xml:space="preserve">RE</w:t>
            </w:r>
          </w:p>
        </w:tc>
      </w:tr>
      <w:tr>
        <w:tc>
          <w:tcPr>
            <w:tcW w:w="2221" w:type="dxa"/>
          </w:tcPr>
          <w:p>
            <w:pPr>
              <w:pStyle w:val="Compact"/>
              <w:spacing w:after="40"/>
              <w:jc w:val="left"/>
            </w:pPr>
            <w:r>
              <w:rPr>
                <w:sz w:val="18"/>
              </w:rPr>
              <w:t xml:space="preserve">Reliance on certifications</w:t>
            </w:r>
          </w:p>
        </w:tc>
        <w:tc>
          <w:tcPr>
            <w:tcW w:w="1972" w:type="dxa"/>
          </w:tcPr>
          <w:p>
            <w:pPr>
              <w:pStyle w:val="Compact"/>
              <w:spacing w:after="40"/>
              <w:jc w:val="left"/>
            </w:pPr>
            <w:r>
              <w:rPr>
                <w:sz w:val="18"/>
              </w:rPr>
              <w:t xml:space="preserve">Annual</w:t>
            </w:r>
          </w:p>
        </w:tc>
        <w:tc>
          <w:tcPr>
            <w:tcW w:w="2521" w:type="dxa"/>
          </w:tcPr>
          <w:p>
            <w:pPr>
              <w:pStyle w:val="Compact"/>
              <w:spacing w:after="40"/>
              <w:jc w:val="left"/>
            </w:pPr>
            <w:r>
              <w:rPr>
                <w:sz w:val="18"/>
              </w:rPr>
              <w:t xml:space="preserve">ISO 27001, SOC 2 Type II</w:t>
            </w:r>
          </w:p>
        </w:tc>
        <w:tc>
          <w:tcPr>
            <w:tcW w:w="2924" w:type="dxa"/>
          </w:tcPr>
          <w:p>
            <w:pPr>
              <w:pStyle w:val="Compact"/>
              <w:spacing w:after="40"/>
              <w:jc w:val="left"/>
            </w:pPr>
            <w:r>
              <w:rPr>
                <w:sz w:val="18"/>
              </w:rPr>
              <w:t xml:space="preserve">RE may rely subject to risk assessment, without absolving its responsibility (OUT para 79)</w:t>
            </w:r>
          </w:p>
        </w:tc>
      </w:tr>
    </w:tbl>
    <w:p>
      <w:pPr>
        <w:pStyle w:val="BodyText"/>
      </w:pPr>
      <w:r>
        <w:rPr>
          <w:bCs/>
          <w:b/>
        </w:rPr>
        <w:t xml:space="preserve">13.4 Notice and conduct. [Option]</w:t>
      </w:r>
      <w:r>
        <w:t xml:space="preserve"> </w:t>
      </w:r>
      <w:r>
        <w:t xml:space="preserve">Routine audits on [10] working days’ notice; for-cause audits and RBI inspections on such notice as the auditor or RBI gives (including none). Audits shall avoid disclosure of other lenders’ data; the LSP may require auditors (other than RBI) to sign a confidentiality undertaking that does not restrict reporting to the RE or RBI.</w:t>
      </w:r>
    </w:p>
    <w:p>
      <w:pPr>
        <w:pStyle w:val="BodyText"/>
      </w:pPr>
      <w:r>
        <w:rPr>
          <w:bCs/>
          <w:b/>
        </w:rPr>
        <w:t xml:space="preserve">13.5 Reports and remediation. [Mandatory — RBI]</w:t>
      </w:r>
      <w:r>
        <w:t xml:space="preserve"> </w:t>
      </w:r>
      <w:r>
        <w:t xml:space="preserve">The RE may obtain copies of any audit or review report and findings made on the LSP in conjunction with the services (OUT para 34(vii); CYB para 62(2)(ii)). The LSP shall provide a remediation plan within [15] working days of an audit report and close findings within the agreed timeline; overdue critical findings are a material breach.</w:t>
      </w:r>
    </w:p>
    <w:p>
      <w:pPr>
        <w:pStyle w:val="BodyText"/>
      </w:pPr>
      <w:r>
        <w:rPr>
          <w:bCs/>
          <w:b/>
        </w:rPr>
        <w:t xml:space="preserve">13.6 Costs. [Option]</w:t>
      </w:r>
      <w:r>
        <w:t xml:space="preserve"> </w:t>
      </w:r>
      <w:r>
        <w:t xml:space="preserve">Each Party bears its own costs of routine audits. The LSP bears the reasonable cost of a for-cause audit that reveals a material breach.</w:t>
      </w:r>
    </w:p>
    <w:p>
      <w:pPr>
        <w:pStyle w:val="BodyText"/>
      </w:pPr>
      <w:r>
        <w:rPr>
          <w:bCs/>
          <w:b/>
        </w:rPr>
        <w:t xml:space="preserve">13.7 Sub-contractors. [Mandatory — RBI]</w:t>
      </w:r>
      <w:r>
        <w:t xml:space="preserve"> </w:t>
      </w:r>
      <w:r>
        <w:t xml:space="preserve">The LSP shall flow down paras 13.1–13.5 to every sub-contractor (OUT para 74(i), (xii)).</w:t>
      </w:r>
    </w:p>
    <w:p>
      <w:pPr>
        <w:pStyle w:val="BodyText"/>
      </w:pPr>
      <w:r>
        <w:rPr>
          <w:bCs/>
          <w:b/>
        </w:rPr>
        <w:t xml:space="preserve">13.8 Records retention. [Mandatory — RBI]</w:t>
      </w:r>
      <w:r>
        <w:t xml:space="preserve"> </w:t>
      </w:r>
      <w:r>
        <w:t xml:space="preserve">The LSP shall preserve documents and data in accordance with the legal and regulatory obligations of the RE, including after termination (OUT para 34(xii)), and shall not erase, purge, revoke, alter or change any data during a transition period unless specifically advised by the regulator or the RE (OUT para 87).</w:t>
      </w:r>
    </w:p>
    <w:p>
      <w:r>
        <w:pict>
          <v:rect style="width:0;height:1.5pt" o:hralign="center" o:hrstd="t" o:hr="t"/>
        </w:pict>
      </w:r>
    </w:p>
    <w:p>
      <w:r>
        <w:br w:type="page"/>
      </w:r>
    </w:p>
    <w:bookmarkEnd w:id="105"/>
    <w:bookmarkStart w:id="108" w:name="X9d5b5ae706383d3f98cf31da26a599892d4629a"/>
    <w:p>
      <w:pPr>
        <w:pStyle w:val="Heading1"/>
      </w:pPr>
      <w:r>
        <w:t xml:space="preserve">SCHEDULE 14 — Business Continuity and Exit Plan</w:t>
      </w:r>
    </w:p>
    <w:p>
      <w:pPr>
        <w:pStyle w:val="FirstParagraph"/>
      </w:pPr>
      <w:r>
        <w:rPr>
          <w:iCs/>
          <w:i/>
        </w:rPr>
        <w:t xml:space="preserve">Drafting note: This Schedule implements Article 21 (Business Continuity) and Article 31 (Exit Management and Continuity of Borrower Services). The priority on any disruption or exit is that existing Borrowers can still see their loans, pay the RE, exit within cooling-off, complain and obtain documents.</w:t>
      </w:r>
    </w:p>
    <w:bookmarkStart w:id="106" w:name="part-a-business-continuity"/>
    <w:p>
      <w:pPr>
        <w:pStyle w:val="Heading2"/>
      </w:pPr>
      <w:r>
        <w:t xml:space="preserve">Part A — Business continuity</w:t>
      </w:r>
    </w:p>
    <w:p>
      <w:pPr>
        <w:pStyle w:val="FirstParagraph"/>
      </w:pPr>
      <w:r>
        <w:rPr>
          <w:bCs/>
          <w:b/>
        </w:rPr>
        <w:t xml:space="preserve">14.1 BCP framework. [Mandatory — RBI]</w:t>
      </w:r>
      <w:r>
        <w:t xml:space="preserve"> </w:t>
      </w:r>
      <w:r>
        <w:t xml:space="preserve">The LSP shall develop, document, maintain and periodically test a business continuity and recovery framework, and shall participate in joint tests with the RE when requested (OUT paras 40, 83). The RE’s business continuity preparedness shall not be adversely compromised by the outsourcing (CYB para 64).</w:t>
      </w:r>
    </w:p>
    <w:p>
      <w:pPr>
        <w:pStyle w:val="BodyText"/>
      </w:pPr>
      <w:r>
        <w:rPr>
          <w:bCs/>
          <w:b/>
        </w:rPr>
        <w:t xml:space="preserve">14.2 Recovery objectives. [Option]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687"/>
        <w:gridCol w:w="1344"/>
        <w:gridCol w:w="1369"/>
        <w:gridCol w:w="3238"/>
      </w:tblGrid>
      <w:tr>
        <w:trPr>
          <w:tblHeader w:val="true"/>
          <w:tblHeader w:val="true"/>
        </w:trPr>
        <w:tc>
          <w:tcPr>
            <w:tcW w:w="3687" w:type="dxa"/>
            <w:shd w:val="clear" w:color="auto" w:fill="1F3A5F"/>
          </w:tcPr>
          <w:p>
            <w:pPr>
              <w:pStyle w:val="Compact"/>
              <w:spacing w:after="40"/>
              <w:jc w:val="left"/>
            </w:pPr>
            <w:r>
              <w:rPr>
                <w:b/>
                <w:color w:val="FFFFFF"/>
                <w:sz w:val="18"/>
              </w:rPr>
              <w:t xml:space="preserve">Service</w:t>
            </w:r>
          </w:p>
        </w:tc>
        <w:tc>
          <w:tcPr>
            <w:tcW w:w="1344" w:type="dxa"/>
            <w:shd w:val="clear" w:color="auto" w:fill="1F3A5F"/>
          </w:tcPr>
          <w:p>
            <w:pPr>
              <w:pStyle w:val="Compact"/>
              <w:spacing w:after="40"/>
              <w:jc w:val="left"/>
            </w:pPr>
            <w:r>
              <w:rPr>
                <w:b/>
                <w:color w:val="FFFFFF"/>
                <w:sz w:val="18"/>
              </w:rPr>
              <w:t xml:space="preserve">RTO</w:t>
            </w:r>
          </w:p>
        </w:tc>
        <w:tc>
          <w:tcPr>
            <w:tcW w:w="1369" w:type="dxa"/>
            <w:shd w:val="clear" w:color="auto" w:fill="1F3A5F"/>
          </w:tcPr>
          <w:p>
            <w:pPr>
              <w:pStyle w:val="Compact"/>
              <w:spacing w:after="40"/>
              <w:jc w:val="left"/>
            </w:pPr>
            <w:r>
              <w:rPr>
                <w:b/>
                <w:color w:val="FFFFFF"/>
                <w:sz w:val="18"/>
              </w:rPr>
              <w:t xml:space="preserve">RPO</w:t>
            </w:r>
          </w:p>
        </w:tc>
        <w:tc>
          <w:tcPr>
            <w:tcW w:w="3238" w:type="dxa"/>
            <w:shd w:val="clear" w:color="auto" w:fill="1F3A5F"/>
          </w:tcPr>
          <w:p>
            <w:pPr>
              <w:pStyle w:val="Compact"/>
              <w:spacing w:after="40"/>
              <w:jc w:val="left"/>
            </w:pPr>
            <w:r>
              <w:rPr>
                <w:b/>
                <w:color w:val="FFFFFF"/>
                <w:sz w:val="18"/>
              </w:rPr>
              <w:t xml:space="preserve">Degraded mode</w:t>
            </w:r>
          </w:p>
        </w:tc>
      </w:tr>
      <w:tr>
        <w:tc>
          <w:tcPr>
            <w:tcW w:w="3687" w:type="dxa"/>
          </w:tcPr>
          <w:p>
            <w:pPr>
              <w:pStyle w:val="Compact"/>
              <w:spacing w:after="40"/>
              <w:jc w:val="left"/>
            </w:pPr>
            <w:r>
              <w:rPr>
                <w:sz w:val="18"/>
              </w:rPr>
              <w:t xml:space="preserve">Borrower DLA: servicing view, payment instructions, cooling-off exit, grievance lodging</w:t>
            </w:r>
          </w:p>
        </w:tc>
        <w:tc>
          <w:tcPr>
            <w:tcW w:w="1344" w:type="dxa"/>
          </w:tcPr>
          <w:p>
            <w:pPr>
              <w:pStyle w:val="Compact"/>
              <w:spacing w:after="40"/>
              <w:jc w:val="left"/>
            </w:pPr>
            <w:r>
              <w:rPr>
                <w:sz w:val="18"/>
              </w:rPr>
              <w:t xml:space="preserve">[2] hours</w:t>
            </w:r>
          </w:p>
        </w:tc>
        <w:tc>
          <w:tcPr>
            <w:tcW w:w="1369" w:type="dxa"/>
          </w:tcPr>
          <w:p>
            <w:pPr>
              <w:pStyle w:val="Compact"/>
              <w:spacing w:after="40"/>
              <w:jc w:val="left"/>
            </w:pPr>
            <w:r>
              <w:rPr>
                <w:sz w:val="18"/>
              </w:rPr>
              <w:t xml:space="preserve">[5] minutes</w:t>
            </w:r>
          </w:p>
        </w:tc>
        <w:tc>
          <w:tcPr>
            <w:tcW w:w="3238" w:type="dxa"/>
          </w:tcPr>
          <w:p>
            <w:pPr>
              <w:pStyle w:val="Compact"/>
              <w:spacing w:after="40"/>
              <w:jc w:val="left"/>
            </w:pPr>
            <w:r>
              <w:rPr>
                <w:sz w:val="18"/>
              </w:rPr>
              <w:t xml:space="preserve">Static fallback page with RE payment details and grievance contacts</w:t>
            </w:r>
          </w:p>
        </w:tc>
      </w:tr>
      <w:tr>
        <w:tc>
          <w:tcPr>
            <w:tcW w:w="3687" w:type="dxa"/>
          </w:tcPr>
          <w:p>
            <w:pPr>
              <w:pStyle w:val="Compact"/>
              <w:spacing w:after="40"/>
              <w:jc w:val="left"/>
            </w:pPr>
            <w:r>
              <w:rPr>
                <w:sz w:val="18"/>
              </w:rPr>
              <w:t xml:space="preserve">Application journey and offers</w:t>
            </w:r>
          </w:p>
        </w:tc>
        <w:tc>
          <w:tcPr>
            <w:tcW w:w="1344" w:type="dxa"/>
          </w:tcPr>
          <w:p>
            <w:pPr>
              <w:pStyle w:val="Compact"/>
              <w:spacing w:after="40"/>
              <w:jc w:val="left"/>
            </w:pPr>
            <w:r>
              <w:rPr>
                <w:sz w:val="18"/>
              </w:rPr>
              <w:t xml:space="preserve">[4] hours</w:t>
            </w:r>
          </w:p>
        </w:tc>
        <w:tc>
          <w:tcPr>
            <w:tcW w:w="1369" w:type="dxa"/>
          </w:tcPr>
          <w:p>
            <w:pPr>
              <w:pStyle w:val="Compact"/>
              <w:spacing w:after="40"/>
              <w:jc w:val="left"/>
            </w:pPr>
            <w:r>
              <w:rPr>
                <w:sz w:val="18"/>
              </w:rPr>
              <w:t xml:space="preserve">[5] minutes</w:t>
            </w:r>
          </w:p>
        </w:tc>
        <w:tc>
          <w:tcPr>
            <w:tcW w:w="3238" w:type="dxa"/>
          </w:tcPr>
          <w:p>
            <w:pPr>
              <w:pStyle w:val="Compact"/>
              <w:spacing w:after="40"/>
              <w:jc w:val="left"/>
            </w:pPr>
            <w:r>
              <w:rPr>
                <w:sz w:val="18"/>
              </w:rPr>
              <w:t xml:space="preserve">Journey paused; no data loss</w:t>
            </w:r>
          </w:p>
        </w:tc>
      </w:tr>
      <w:tr>
        <w:tc>
          <w:tcPr>
            <w:tcW w:w="3687" w:type="dxa"/>
          </w:tcPr>
          <w:p>
            <w:pPr>
              <w:pStyle w:val="Compact"/>
              <w:spacing w:after="40"/>
              <w:jc w:val="left"/>
            </w:pPr>
            <w:r>
              <w:rPr>
                <w:sz w:val="18"/>
              </w:rPr>
              <w:t xml:space="preserve">Lender portal and RE connectors</w:t>
            </w:r>
          </w:p>
        </w:tc>
        <w:tc>
          <w:tcPr>
            <w:tcW w:w="1344" w:type="dxa"/>
          </w:tcPr>
          <w:p>
            <w:pPr>
              <w:pStyle w:val="Compact"/>
              <w:spacing w:after="40"/>
              <w:jc w:val="left"/>
            </w:pPr>
            <w:r>
              <w:rPr>
                <w:sz w:val="18"/>
              </w:rPr>
              <w:t xml:space="preserve">[4] hours</w:t>
            </w:r>
          </w:p>
        </w:tc>
        <w:tc>
          <w:tcPr>
            <w:tcW w:w="1369" w:type="dxa"/>
          </w:tcPr>
          <w:p>
            <w:pPr>
              <w:pStyle w:val="Compact"/>
              <w:spacing w:after="40"/>
              <w:jc w:val="left"/>
            </w:pPr>
            <w:r>
              <w:rPr>
                <w:sz w:val="18"/>
              </w:rPr>
              <w:t xml:space="preserve">[15] minutes</w:t>
            </w:r>
          </w:p>
        </w:tc>
        <w:tc>
          <w:tcPr>
            <w:tcW w:w="3238" w:type="dxa"/>
          </w:tcPr>
          <w:p>
            <w:pPr>
              <w:pStyle w:val="Compact"/>
              <w:spacing w:after="40"/>
              <w:jc w:val="left"/>
            </w:pPr>
            <w:r>
              <w:rPr>
                <w:sz w:val="18"/>
              </w:rPr>
              <w:t xml:space="preserve">Queued events replayed in order</w:t>
            </w:r>
          </w:p>
        </w:tc>
      </w:tr>
      <w:tr>
        <w:tc>
          <w:tcPr>
            <w:tcW w:w="3687" w:type="dxa"/>
          </w:tcPr>
          <w:p>
            <w:pPr>
              <w:pStyle w:val="Compact"/>
              <w:spacing w:after="40"/>
              <w:jc w:val="left"/>
            </w:pPr>
            <w:r>
              <w:rPr>
                <w:sz w:val="18"/>
              </w:rPr>
              <w:t xml:space="preserve">Reports and MIS</w:t>
            </w:r>
          </w:p>
        </w:tc>
        <w:tc>
          <w:tcPr>
            <w:tcW w:w="1344" w:type="dxa"/>
          </w:tcPr>
          <w:p>
            <w:pPr>
              <w:pStyle w:val="Compact"/>
              <w:spacing w:after="40"/>
              <w:jc w:val="left"/>
            </w:pPr>
            <w:r>
              <w:rPr>
                <w:sz w:val="18"/>
              </w:rPr>
              <w:t xml:space="preserve">[24] hours</w:t>
            </w:r>
          </w:p>
        </w:tc>
        <w:tc>
          <w:tcPr>
            <w:tcW w:w="1369" w:type="dxa"/>
          </w:tcPr>
          <w:p>
            <w:pPr>
              <w:pStyle w:val="Compact"/>
              <w:spacing w:after="40"/>
              <w:jc w:val="left"/>
            </w:pPr>
            <w:r>
              <w:rPr>
                <w:sz w:val="18"/>
              </w:rPr>
              <w:t xml:space="preserve">[24] hours</w:t>
            </w:r>
          </w:p>
        </w:tc>
        <w:tc>
          <w:tcPr>
            <w:tcW w:w="3238" w:type="dxa"/>
          </w:tcPr>
          <w:p>
            <w:pPr>
              <w:pStyle w:val="Compact"/>
              <w:spacing w:after="40"/>
              <w:jc w:val="left"/>
            </w:pPr>
            <w:r>
              <w:rPr>
                <w:sz w:val="18"/>
              </w:rPr>
              <w:t xml:space="preserve">Delayed delivery</w:t>
            </w:r>
          </w:p>
        </w:tc>
      </w:tr>
    </w:tbl>
    <w:p>
      <w:pPr>
        <w:pStyle w:val="BodyText"/>
      </w:pPr>
      <w:r>
        <w:t xml:space="preserve">For ML/UL REs, the RTO and RPO shall be consistent with those approved by the RE for its critical systems and the RE’s requirement of near-zero RPO with a documented reconciliation method where RPO is not zero (CYB paras 134–136) [Option — align per RE].</w:t>
      </w:r>
    </w:p>
    <w:p>
      <w:pPr>
        <w:pStyle w:val="BodyText"/>
      </w:pPr>
      <w:r>
        <w:rPr>
          <w:bCs/>
          <w:b/>
        </w:rPr>
        <w:t xml:space="preserve">14.3 DR and drills. [Mandatory — RBI for ML+ REs; Option otherwise]</w:t>
      </w:r>
      <w:r>
        <w:t xml:space="preserve"> </w:t>
      </w:r>
      <w:r>
        <w:t xml:space="preserve">DR site in a geographically separate Indian region (CYB para 102); DR drills at least half-yearly for systems supporting the RE’s critical operations, with switch-over to the DR site (CYB paras 129–131); quarterly backup restore tests (CYB para 133); results shared with the RE.</w:t>
      </w:r>
    </w:p>
    <w:p>
      <w:pPr>
        <w:pStyle w:val="BodyText"/>
      </w:pPr>
      <w:r>
        <w:rPr>
          <w:bCs/>
          <w:b/>
        </w:rPr>
        <w:t xml:space="preserve">14.4 Essential personnel. [Mandatory — RBI]</w:t>
      </w:r>
      <w:r>
        <w:t xml:space="preserve"> </w:t>
      </w:r>
      <w:r>
        <w:t xml:space="preserve">Skilled resources of the LSP who provide core services are designated essential personnel so that a limited number of staff with back-up can operate critical functions on-site during exigencies including pandemic situations (OUT para 74(xvii)). List: [●].</w:t>
      </w:r>
    </w:p>
    <w:p>
      <w:pPr>
        <w:pStyle w:val="BodyText"/>
      </w:pPr>
      <w:r>
        <w:rPr>
          <w:bCs/>
          <w:b/>
        </w:rPr>
        <w:t xml:space="preserve">14.5 Alternative arrangements. [Mandatory — RBI]</w:t>
      </w:r>
      <w:r>
        <w:t xml:space="preserve"> </w:t>
      </w:r>
      <w:r>
        <w:t xml:space="preserve">The RE shall consider the availability of alternative service providers or of bringing the activity in-house (OUT paras 41, 86); the LSP shall cooperate with any contingency the RE invokes.</w:t>
      </w:r>
    </w:p>
    <w:bookmarkEnd w:id="106"/>
    <w:bookmarkStart w:id="107" w:name="part-b-exit"/>
    <w:p>
      <w:pPr>
        <w:pStyle w:val="Heading2"/>
      </w:pPr>
      <w:r>
        <w:t xml:space="preserve">Part B — Exit</w:t>
      </w:r>
    </w:p>
    <w:p>
      <w:pPr>
        <w:pStyle w:val="FirstParagraph"/>
      </w:pPr>
      <w:r>
        <w:rPr>
          <w:bCs/>
          <w:b/>
        </w:rPr>
        <w:t xml:space="preserve">14.6 Exit triggers.</w:t>
      </w:r>
      <w:r>
        <w:t xml:space="preserve"> </w:t>
      </w:r>
      <w:r>
        <w:t xml:space="preserve">Expiry; termination under Article 30 (including for regulatory direction, material breach, insolvency, change of control, DLA delisting); suspension directed by RBI.</w:t>
      </w:r>
    </w:p>
    <w:p>
      <w:pPr>
        <w:pStyle w:val="BodyText"/>
      </w:pPr>
      <w:r>
        <w:rPr>
          <w:bCs/>
          <w:b/>
        </w:rPr>
        <w:t xml:space="preserve">14.7 Exit plan. [Mandatory — RBI]</w:t>
      </w:r>
      <w:r>
        <w:t xml:space="preserve"> </w:t>
      </w:r>
      <w:r>
        <w:t xml:space="preserve">On any exit trigger the following plan applies (OUT paras 42–44, 84–89, 74(xv), 97(xvi)):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4"/>
        <w:gridCol w:w="1565"/>
        <w:gridCol w:w="3749"/>
        <w:gridCol w:w="3540"/>
      </w:tblGrid>
      <w:tr>
        <w:trPr>
          <w:tblHeader w:val="true"/>
          <w:tblHeader w:val="true"/>
        </w:trPr>
        <w:tc>
          <w:tcPr>
            <w:tcW w:w="784" w:type="dxa"/>
            <w:shd w:val="clear" w:color="auto" w:fill="1F3A5F"/>
          </w:tcPr>
          <w:p>
            <w:pPr>
              <w:pStyle w:val="Compact"/>
              <w:spacing w:after="40"/>
              <w:jc w:val="left"/>
            </w:pPr>
            <w:r>
              <w:rPr>
                <w:b/>
                <w:color w:val="FFFFFF"/>
                <w:sz w:val="18"/>
              </w:rPr>
              <w:t xml:space="preserve">#</w:t>
            </w:r>
          </w:p>
        </w:tc>
        <w:tc>
          <w:tcPr>
            <w:tcW w:w="1565" w:type="dxa"/>
            <w:shd w:val="clear" w:color="auto" w:fill="1F3A5F"/>
          </w:tcPr>
          <w:p>
            <w:pPr>
              <w:pStyle w:val="Compact"/>
              <w:spacing w:after="40"/>
              <w:jc w:val="left"/>
            </w:pPr>
            <w:r>
              <w:rPr>
                <w:b/>
                <w:color w:val="FFFFFF"/>
                <w:sz w:val="18"/>
              </w:rPr>
              <w:t xml:space="preserve">Workstream</w:t>
            </w:r>
          </w:p>
        </w:tc>
        <w:tc>
          <w:tcPr>
            <w:tcW w:w="3749" w:type="dxa"/>
            <w:shd w:val="clear" w:color="auto" w:fill="1F3A5F"/>
          </w:tcPr>
          <w:p>
            <w:pPr>
              <w:pStyle w:val="Compact"/>
              <w:spacing w:after="40"/>
              <w:jc w:val="left"/>
            </w:pPr>
            <w:r>
              <w:rPr>
                <w:b/>
                <w:color w:val="FFFFFF"/>
                <w:sz w:val="18"/>
              </w:rPr>
              <w:t xml:space="preserve">LSP obligation</w:t>
            </w:r>
          </w:p>
        </w:tc>
        <w:tc>
          <w:tcPr>
            <w:tcW w:w="3540" w:type="dxa"/>
            <w:shd w:val="clear" w:color="auto" w:fill="1F3A5F"/>
          </w:tcPr>
          <w:p>
            <w:pPr>
              <w:pStyle w:val="Compact"/>
              <w:spacing w:after="40"/>
              <w:jc w:val="left"/>
            </w:pPr>
            <w:r>
              <w:rPr>
                <w:b/>
                <w:color w:val="FFFFFF"/>
                <w:sz w:val="18"/>
              </w:rPr>
              <w:t xml:space="preserve">Timeline</w:t>
            </w:r>
          </w:p>
        </w:tc>
      </w:tr>
      <w:tr>
        <w:tc>
          <w:tcPr>
            <w:tcW w:w="784" w:type="dxa"/>
          </w:tcPr>
          <w:p>
            <w:pPr>
              <w:pStyle w:val="Compact"/>
              <w:spacing w:after="40"/>
              <w:jc w:val="left"/>
            </w:pPr>
            <w:r>
              <w:rPr>
                <w:sz w:val="18"/>
              </w:rPr>
              <w:t xml:space="preserve">E1</w:t>
            </w:r>
          </w:p>
        </w:tc>
        <w:tc>
          <w:tcPr>
            <w:tcW w:w="1565" w:type="dxa"/>
          </w:tcPr>
          <w:p>
            <w:pPr>
              <w:pStyle w:val="Compact"/>
              <w:spacing w:after="40"/>
              <w:jc w:val="left"/>
            </w:pPr>
            <w:r>
              <w:rPr>
                <w:sz w:val="18"/>
              </w:rPr>
              <w:t xml:space="preserve">New business</w:t>
            </w:r>
          </w:p>
        </w:tc>
        <w:tc>
          <w:tcPr>
            <w:tcW w:w="3749" w:type="dxa"/>
          </w:tcPr>
          <w:p>
            <w:pPr>
              <w:pStyle w:val="Compact"/>
              <w:spacing w:after="40"/>
              <w:jc w:val="left"/>
            </w:pPr>
            <w:r>
              <w:rPr>
                <w:sz w:val="18"/>
              </w:rPr>
              <w:t xml:space="preserve">Stop sourcing new applications for the RE; remove RE offers from matching</w:t>
            </w:r>
          </w:p>
        </w:tc>
        <w:tc>
          <w:tcPr>
            <w:tcW w:w="3540" w:type="dxa"/>
          </w:tcPr>
          <w:p>
            <w:pPr>
              <w:pStyle w:val="Compact"/>
              <w:spacing w:after="40"/>
              <w:jc w:val="left"/>
            </w:pPr>
            <w:r>
              <w:rPr>
                <w:sz w:val="18"/>
              </w:rPr>
              <w:t xml:space="preserve">Effective date of exit notice (or as RBI directs)</w:t>
            </w:r>
          </w:p>
        </w:tc>
      </w:tr>
      <w:tr>
        <w:tc>
          <w:tcPr>
            <w:tcW w:w="784" w:type="dxa"/>
          </w:tcPr>
          <w:p>
            <w:pPr>
              <w:pStyle w:val="Compact"/>
              <w:spacing w:after="40"/>
              <w:jc w:val="left"/>
            </w:pPr>
            <w:r>
              <w:rPr>
                <w:sz w:val="18"/>
              </w:rPr>
              <w:t xml:space="preserve">E2</w:t>
            </w:r>
          </w:p>
        </w:tc>
        <w:tc>
          <w:tcPr>
            <w:tcW w:w="1565" w:type="dxa"/>
          </w:tcPr>
          <w:p>
            <w:pPr>
              <w:pStyle w:val="Compact"/>
              <w:spacing w:after="40"/>
              <w:jc w:val="left"/>
            </w:pPr>
            <w:r>
              <w:rPr>
                <w:sz w:val="18"/>
              </w:rPr>
              <w:t xml:space="preserve">Continuity of servicing for existing Borrowers</w:t>
            </w:r>
          </w:p>
        </w:tc>
        <w:tc>
          <w:tcPr>
            <w:tcW w:w="3749" w:type="dxa"/>
          </w:tcPr>
          <w:p>
            <w:pPr>
              <w:pStyle w:val="Compact"/>
              <w:spacing w:after="40"/>
              <w:jc w:val="left"/>
            </w:pPr>
            <w:r>
              <w:rPr>
                <w:sz w:val="18"/>
              </w:rPr>
              <w:t xml:space="preserve">Continue servicing view, RE payment instructions, cooling-off exits, document access and grievance lodging for all existing Loans for the Run-off Period, unless the RE takes over earlier</w:t>
            </w:r>
          </w:p>
        </w:tc>
        <w:tc>
          <w:tcPr>
            <w:tcW w:w="3540" w:type="dxa"/>
          </w:tcPr>
          <w:p>
            <w:pPr>
              <w:pStyle w:val="Compact"/>
              <w:spacing w:after="40"/>
              <w:jc w:val="left"/>
            </w:pPr>
            <w:r>
              <w:rPr>
                <w:sz w:val="18"/>
              </w:rPr>
              <w:t xml:space="preserve">Run-off Period: the Exit Period under Clause 31.1 and in any case until servicing of every existing Loan has moved to the RE or a successor (Clause 31.3) [Mandatory — RBI; OUT paras 43, 74(xv)]</w:t>
            </w:r>
          </w:p>
        </w:tc>
      </w:tr>
      <w:tr>
        <w:tc>
          <w:tcPr>
            <w:tcW w:w="784" w:type="dxa"/>
          </w:tcPr>
          <w:p>
            <w:pPr>
              <w:pStyle w:val="Compact"/>
              <w:spacing w:after="40"/>
              <w:jc w:val="left"/>
            </w:pPr>
            <w:r>
              <w:rPr>
                <w:sz w:val="18"/>
              </w:rPr>
              <w:t xml:space="preserve">E3</w:t>
            </w:r>
          </w:p>
        </w:tc>
        <w:tc>
          <w:tcPr>
            <w:tcW w:w="1565" w:type="dxa"/>
          </w:tcPr>
          <w:p>
            <w:pPr>
              <w:pStyle w:val="Compact"/>
              <w:spacing w:after="40"/>
              <w:jc w:val="left"/>
            </w:pPr>
            <w:r>
              <w:rPr>
                <w:sz w:val="18"/>
              </w:rPr>
              <w:t xml:space="preserve">Borrower communication</w:t>
            </w:r>
          </w:p>
        </w:tc>
        <w:tc>
          <w:tcPr>
            <w:tcW w:w="3749" w:type="dxa"/>
          </w:tcPr>
          <w:p>
            <w:pPr>
              <w:pStyle w:val="Compact"/>
              <w:spacing w:after="40"/>
              <w:jc w:val="left"/>
            </w:pPr>
            <w:r>
              <w:rPr>
                <w:sz w:val="18"/>
              </w:rPr>
              <w:t xml:space="preserve">RE informs Borrowers and publicises termination on its website so that customers stop dealing with the LSP (OUT paras 44, 89); LSP displays the RE-approved notice in the DLA</w:t>
            </w:r>
          </w:p>
        </w:tc>
        <w:tc>
          <w:tcPr>
            <w:tcW w:w="3540" w:type="dxa"/>
          </w:tcPr>
          <w:p>
            <w:pPr>
              <w:pStyle w:val="Compact"/>
              <w:spacing w:after="40"/>
              <w:jc w:val="left"/>
            </w:pPr>
            <w:r>
              <w:rPr>
                <w:sz w:val="18"/>
              </w:rPr>
              <w:t xml:space="preserve">Within [7] days of termination</w:t>
            </w:r>
          </w:p>
        </w:tc>
      </w:tr>
      <w:tr>
        <w:tc>
          <w:tcPr>
            <w:tcW w:w="784" w:type="dxa"/>
          </w:tcPr>
          <w:p>
            <w:pPr>
              <w:pStyle w:val="Compact"/>
              <w:spacing w:after="40"/>
              <w:jc w:val="left"/>
            </w:pPr>
            <w:r>
              <w:rPr>
                <w:sz w:val="18"/>
              </w:rPr>
              <w:t xml:space="preserve">E4</w:t>
            </w:r>
          </w:p>
        </w:tc>
        <w:tc>
          <w:tcPr>
            <w:tcW w:w="1565" w:type="dxa"/>
          </w:tcPr>
          <w:p>
            <w:pPr>
              <w:pStyle w:val="Compact"/>
              <w:spacing w:after="40"/>
              <w:jc w:val="left"/>
            </w:pPr>
            <w:r>
              <w:rPr>
                <w:sz w:val="18"/>
              </w:rPr>
              <w:t xml:space="preserve">CIMS and website updates</w:t>
            </w:r>
          </w:p>
        </w:tc>
        <w:tc>
          <w:tcPr>
            <w:tcW w:w="3749" w:type="dxa"/>
          </w:tcPr>
          <w:p>
            <w:pPr>
              <w:pStyle w:val="Compact"/>
              <w:spacing w:after="40"/>
              <w:jc w:val="left"/>
            </w:pPr>
            <w:r>
              <w:rPr>
                <w:sz w:val="18"/>
              </w:rPr>
              <w:t xml:space="preserve">LSP gives cessation notice for every DLA line (Schedule 3, Part B); RE updates CIMS and its para 9(4) page</w:t>
            </w:r>
          </w:p>
        </w:tc>
        <w:tc>
          <w:tcPr>
            <w:tcW w:w="3540" w:type="dxa"/>
          </w:tcPr>
          <w:p>
            <w:pPr>
              <w:pStyle w:val="Compact"/>
              <w:spacing w:after="40"/>
              <w:jc w:val="left"/>
            </w:pPr>
            <w:r>
              <w:rPr>
                <w:sz w:val="18"/>
              </w:rPr>
              <w:t xml:space="preserve">LSP notice at least [10] working days before a planned cessation and within [24] hours of an unplanned one (Schedule 3, para 3.1); RE updates CIMS and its website within [5] Working Days of cessation (Clause 31.4; CF paras 9(4), 18(2))</w:t>
            </w:r>
          </w:p>
        </w:tc>
      </w:tr>
      <w:tr>
        <w:tc>
          <w:tcPr>
            <w:tcW w:w="784" w:type="dxa"/>
          </w:tcPr>
          <w:p>
            <w:pPr>
              <w:pStyle w:val="Compact"/>
              <w:spacing w:after="40"/>
              <w:jc w:val="left"/>
            </w:pPr>
            <w:r>
              <w:rPr>
                <w:sz w:val="18"/>
              </w:rPr>
              <w:t xml:space="preserve">E5</w:t>
            </w:r>
          </w:p>
        </w:tc>
        <w:tc>
          <w:tcPr>
            <w:tcW w:w="1565" w:type="dxa"/>
          </w:tcPr>
          <w:p>
            <w:pPr>
              <w:pStyle w:val="Compact"/>
              <w:spacing w:after="40"/>
              <w:jc w:val="left"/>
            </w:pPr>
            <w:r>
              <w:rPr>
                <w:sz w:val="18"/>
              </w:rPr>
              <w:t xml:space="preserve">Data handover</w:t>
            </w:r>
          </w:p>
        </w:tc>
        <w:tc>
          <w:tcPr>
            <w:tcW w:w="3749" w:type="dxa"/>
          </w:tcPr>
          <w:p>
            <w:pPr>
              <w:pStyle w:val="Compact"/>
              <w:spacing w:after="40"/>
              <w:jc w:val="left"/>
            </w:pPr>
            <w:r>
              <w:rPr>
                <w:sz w:val="18"/>
              </w:rPr>
              <w:t xml:space="preserve">Complete export of the RE’s data (applications, consents and evidence, KYC evidence references, documents and hashes, communications, grievances, recovery records, audit trails, configuration) in documented formats (JSON, CSV, PDF/A) with a signed SHA-256 manifest</w:t>
            </w:r>
          </w:p>
        </w:tc>
        <w:tc>
          <w:tcPr>
            <w:tcW w:w="3540" w:type="dxa"/>
          </w:tcPr>
          <w:p>
            <w:pPr>
              <w:pStyle w:val="Compact"/>
              <w:spacing w:after="40"/>
              <w:jc w:val="left"/>
            </w:pPr>
            <w:r>
              <w:rPr>
                <w:sz w:val="18"/>
              </w:rPr>
              <w:t xml:space="preserve">Within [30] days; incremental exports during run-off</w:t>
            </w:r>
          </w:p>
        </w:tc>
      </w:tr>
      <w:tr>
        <w:tc>
          <w:tcPr>
            <w:tcW w:w="784" w:type="dxa"/>
          </w:tcPr>
          <w:p>
            <w:pPr>
              <w:pStyle w:val="Compact"/>
              <w:spacing w:after="40"/>
              <w:jc w:val="left"/>
            </w:pPr>
            <w:r>
              <w:rPr>
                <w:sz w:val="18"/>
              </w:rPr>
              <w:t xml:space="preserve">E6</w:t>
            </w:r>
          </w:p>
        </w:tc>
        <w:tc>
          <w:tcPr>
            <w:tcW w:w="1565" w:type="dxa"/>
          </w:tcPr>
          <w:p>
            <w:pPr>
              <w:pStyle w:val="Compact"/>
              <w:spacing w:after="40"/>
              <w:jc w:val="left"/>
            </w:pPr>
            <w:r>
              <w:rPr>
                <w:sz w:val="18"/>
              </w:rPr>
              <w:t xml:space="preserve">No alteration during transition</w:t>
            </w:r>
          </w:p>
        </w:tc>
        <w:tc>
          <w:tcPr>
            <w:tcW w:w="3749" w:type="dxa"/>
          </w:tcPr>
          <w:p>
            <w:pPr>
              <w:pStyle w:val="Compact"/>
              <w:spacing w:after="40"/>
              <w:jc w:val="left"/>
            </w:pPr>
            <w:r>
              <w:rPr>
                <w:sz w:val="18"/>
              </w:rPr>
              <w:t xml:space="preserve">LSP shall not erase, purge, revoke, alter or change any data during the transition unless the regulator or the RE so advises</w:t>
            </w:r>
          </w:p>
        </w:tc>
        <w:tc>
          <w:tcPr>
            <w:tcW w:w="3540" w:type="dxa"/>
          </w:tcPr>
          <w:p>
            <w:pPr>
              <w:pStyle w:val="Compact"/>
              <w:spacing w:after="40"/>
              <w:jc w:val="left"/>
            </w:pPr>
            <w:r>
              <w:rPr>
                <w:sz w:val="18"/>
              </w:rPr>
              <w:t xml:space="preserve">Throughout (OUT para 87)</w:t>
            </w:r>
          </w:p>
        </w:tc>
      </w:tr>
      <w:tr>
        <w:tc>
          <w:tcPr>
            <w:tcW w:w="784" w:type="dxa"/>
          </w:tcPr>
          <w:p>
            <w:pPr>
              <w:pStyle w:val="Compact"/>
              <w:spacing w:after="40"/>
              <w:jc w:val="left"/>
            </w:pPr>
            <w:r>
              <w:rPr>
                <w:sz w:val="18"/>
              </w:rPr>
              <w:t xml:space="preserve">E7</w:t>
            </w:r>
          </w:p>
        </w:tc>
        <w:tc>
          <w:tcPr>
            <w:tcW w:w="1565" w:type="dxa"/>
          </w:tcPr>
          <w:p>
            <w:pPr>
              <w:pStyle w:val="Compact"/>
              <w:spacing w:after="40"/>
              <w:jc w:val="left"/>
            </w:pPr>
            <w:r>
              <w:rPr>
                <w:sz w:val="18"/>
              </w:rPr>
              <w:t xml:space="preserve">Cooperation with successor</w:t>
            </w:r>
          </w:p>
        </w:tc>
        <w:tc>
          <w:tcPr>
            <w:tcW w:w="3749" w:type="dxa"/>
          </w:tcPr>
          <w:p>
            <w:pPr>
              <w:pStyle w:val="Compact"/>
              <w:spacing w:after="40"/>
              <w:jc w:val="left"/>
            </w:pPr>
            <w:r>
              <w:rPr>
                <w:sz w:val="18"/>
              </w:rPr>
              <w:t xml:space="preserve">Full cooperation with the RE and its new service provider for smooth transition (OUT para 88); connector cut-over; mandate and payment-link migration on the RE’s instruction</w:t>
            </w:r>
          </w:p>
        </w:tc>
        <w:tc>
          <w:tcPr>
            <w:tcW w:w="3540" w:type="dxa"/>
          </w:tcPr>
          <w:p>
            <w:pPr>
              <w:pStyle w:val="Compact"/>
              <w:spacing w:after="40"/>
              <w:jc w:val="left"/>
            </w:pPr>
            <w:r>
              <w:rPr>
                <w:sz w:val="18"/>
              </w:rPr>
              <w:t xml:space="preserve">As per transition plan</w:t>
            </w:r>
          </w:p>
        </w:tc>
      </w:tr>
      <w:tr>
        <w:tc>
          <w:tcPr>
            <w:tcW w:w="784" w:type="dxa"/>
          </w:tcPr>
          <w:p>
            <w:pPr>
              <w:pStyle w:val="Compact"/>
              <w:spacing w:after="40"/>
              <w:jc w:val="left"/>
            </w:pPr>
            <w:r>
              <w:rPr>
                <w:sz w:val="18"/>
              </w:rPr>
              <w:t xml:space="preserve">E8</w:t>
            </w:r>
          </w:p>
        </w:tc>
        <w:tc>
          <w:tcPr>
            <w:tcW w:w="1565" w:type="dxa"/>
          </w:tcPr>
          <w:p>
            <w:pPr>
              <w:pStyle w:val="Compact"/>
              <w:spacing w:after="40"/>
              <w:jc w:val="left"/>
            </w:pPr>
            <w:r>
              <w:rPr>
                <w:sz w:val="18"/>
              </w:rPr>
              <w:t xml:space="preserve">Secure purge</w:t>
            </w:r>
          </w:p>
        </w:tc>
        <w:tc>
          <w:tcPr>
            <w:tcW w:w="3749" w:type="dxa"/>
          </w:tcPr>
          <w:p>
            <w:pPr>
              <w:pStyle w:val="Compact"/>
              <w:spacing w:after="40"/>
              <w:jc w:val="left"/>
            </w:pPr>
            <w:r>
              <w:rPr>
                <w:sz w:val="18"/>
              </w:rPr>
              <w:t xml:space="preserve">After RE confirms receipt and validity of data, purge RE data from all LSP and sub-processor environments, including backups as they expire; independent assurance certificate</w:t>
            </w:r>
          </w:p>
        </w:tc>
        <w:tc>
          <w:tcPr>
            <w:tcW w:w="3540" w:type="dxa"/>
          </w:tcPr>
          <w:p>
            <w:pPr>
              <w:pStyle w:val="Compact"/>
              <w:spacing w:after="40"/>
              <w:jc w:val="left"/>
            </w:pPr>
            <w:r>
              <w:rPr>
                <w:sz w:val="18"/>
              </w:rPr>
              <w:t xml:space="preserve">Within [60] days of confirmation (OUT paras 42, 87, 97(xvi)(d))</w:t>
            </w:r>
          </w:p>
        </w:tc>
      </w:tr>
      <w:tr>
        <w:tc>
          <w:tcPr>
            <w:tcW w:w="784" w:type="dxa"/>
          </w:tcPr>
          <w:p>
            <w:pPr>
              <w:pStyle w:val="Compact"/>
              <w:spacing w:after="40"/>
              <w:jc w:val="left"/>
            </w:pPr>
            <w:r>
              <w:rPr>
                <w:sz w:val="18"/>
              </w:rPr>
              <w:t xml:space="preserve">E9</w:t>
            </w:r>
          </w:p>
        </w:tc>
        <w:tc>
          <w:tcPr>
            <w:tcW w:w="1565" w:type="dxa"/>
          </w:tcPr>
          <w:p>
            <w:pPr>
              <w:pStyle w:val="Compact"/>
              <w:spacing w:after="40"/>
              <w:jc w:val="left"/>
            </w:pPr>
            <w:r>
              <w:rPr>
                <w:sz w:val="18"/>
              </w:rPr>
              <w:t xml:space="preserve">DLG run-off</w:t>
            </w:r>
          </w:p>
        </w:tc>
        <w:tc>
          <w:tcPr>
            <w:tcW w:w="3749" w:type="dxa"/>
          </w:tcPr>
          <w:p>
            <w:pPr>
              <w:pStyle w:val="Compact"/>
              <w:spacing w:after="40"/>
              <w:jc w:val="left"/>
            </w:pPr>
            <w:r>
              <w:rPr>
                <w:sz w:val="18"/>
              </w:rPr>
              <w:t xml:space="preserve">Existing DLG Sets remain covered until the end of their term (Schedule 11, para 11.10); monthly disclosures continue (CF para 28); cover instruments released only under para 11.20</w:t>
            </w:r>
          </w:p>
        </w:tc>
        <w:tc>
          <w:tcPr>
            <w:tcW w:w="3540" w:type="dxa"/>
          </w:tcPr>
          <w:p>
            <w:pPr>
              <w:pStyle w:val="Compact"/>
              <w:spacing w:after="40"/>
              <w:jc w:val="left"/>
            </w:pPr>
            <w:r>
              <w:rPr>
                <w:sz w:val="18"/>
              </w:rPr>
              <w:t xml:space="preserve">Until expiry of the last DLG Set</w:t>
            </w:r>
          </w:p>
        </w:tc>
      </w:tr>
      <w:tr>
        <w:tc>
          <w:tcPr>
            <w:tcW w:w="784" w:type="dxa"/>
          </w:tcPr>
          <w:p>
            <w:pPr>
              <w:pStyle w:val="Compact"/>
              <w:spacing w:after="40"/>
              <w:jc w:val="left"/>
            </w:pPr>
            <w:r>
              <w:rPr>
                <w:sz w:val="18"/>
              </w:rPr>
              <w:t xml:space="preserve">E10</w:t>
            </w:r>
          </w:p>
        </w:tc>
        <w:tc>
          <w:tcPr>
            <w:tcW w:w="1565" w:type="dxa"/>
          </w:tcPr>
          <w:p>
            <w:pPr>
              <w:pStyle w:val="Compact"/>
              <w:spacing w:after="40"/>
              <w:jc w:val="left"/>
            </w:pPr>
            <w:r>
              <w:rPr>
                <w:sz w:val="18"/>
              </w:rPr>
              <w:t xml:space="preserve">Recovery-agent hand-back</w:t>
            </w:r>
          </w:p>
        </w:tc>
        <w:tc>
          <w:tcPr>
            <w:tcW w:w="3749" w:type="dxa"/>
          </w:tcPr>
          <w:p>
            <w:pPr>
              <w:pStyle w:val="Compact"/>
              <w:spacing w:after="40"/>
              <w:jc w:val="left"/>
            </w:pPr>
            <w:r>
              <w:rPr>
                <w:sz w:val="18"/>
              </w:rPr>
              <w:t xml:space="preserve">Stop contact; return allocations with full history; RE notifies Borrowers of agent change (RBC para 95; RBC-3A paras 100M–100N)</w:t>
            </w:r>
          </w:p>
        </w:tc>
        <w:tc>
          <w:tcPr>
            <w:tcW w:w="3540" w:type="dxa"/>
          </w:tcPr>
          <w:p>
            <w:pPr>
              <w:pStyle w:val="Compact"/>
              <w:spacing w:after="40"/>
              <w:jc w:val="left"/>
            </w:pPr>
            <w:r>
              <w:rPr>
                <w:sz w:val="18"/>
              </w:rPr>
              <w:t xml:space="preserve">Immediately on exit notice</w:t>
            </w:r>
          </w:p>
        </w:tc>
      </w:tr>
      <w:tr>
        <w:tc>
          <w:tcPr>
            <w:tcW w:w="784" w:type="dxa"/>
          </w:tcPr>
          <w:p>
            <w:pPr>
              <w:pStyle w:val="Compact"/>
              <w:spacing w:after="40"/>
              <w:jc w:val="left"/>
            </w:pPr>
            <w:r>
              <w:rPr>
                <w:sz w:val="18"/>
              </w:rPr>
              <w:t xml:space="preserve">E11</w:t>
            </w:r>
          </w:p>
        </w:tc>
        <w:tc>
          <w:tcPr>
            <w:tcW w:w="1565" w:type="dxa"/>
          </w:tcPr>
          <w:p>
            <w:pPr>
              <w:pStyle w:val="Compact"/>
              <w:spacing w:after="40"/>
              <w:jc w:val="left"/>
            </w:pPr>
            <w:r>
              <w:rPr>
                <w:sz w:val="18"/>
              </w:rPr>
              <w:t xml:space="preserve">Records retained by LSP</w:t>
            </w:r>
          </w:p>
        </w:tc>
        <w:tc>
          <w:tcPr>
            <w:tcW w:w="3749" w:type="dxa"/>
          </w:tcPr>
          <w:p>
            <w:pPr>
              <w:pStyle w:val="Compact"/>
              <w:spacing w:after="40"/>
              <w:jc w:val="left"/>
            </w:pPr>
            <w:r>
              <w:rPr>
                <w:sz w:val="18"/>
              </w:rPr>
              <w:t xml:space="preserve">Only records the LSP must keep under its own legal obligations (e.g. books under Companies Act s.128, its grievance records), with confidentiality surviving (OUT para 34(xi))</w:t>
            </w:r>
          </w:p>
        </w:tc>
        <w:tc>
          <w:tcPr>
            <w:tcW w:w="3540" w:type="dxa"/>
          </w:tcPr>
          <w:p>
            <w:pPr>
              <w:pStyle w:val="Compact"/>
              <w:spacing w:after="40"/>
              <w:jc w:val="left"/>
            </w:pPr>
            <w:r>
              <w:rPr>
                <w:sz w:val="18"/>
              </w:rPr>
              <w:t xml:space="preserve">Statutory periods</w:t>
            </w:r>
          </w:p>
        </w:tc>
      </w:tr>
      <w:tr>
        <w:tc>
          <w:tcPr>
            <w:tcW w:w="784" w:type="dxa"/>
          </w:tcPr>
          <w:p>
            <w:pPr>
              <w:pStyle w:val="Compact"/>
              <w:spacing w:after="40"/>
              <w:jc w:val="left"/>
            </w:pPr>
            <w:r>
              <w:rPr>
                <w:sz w:val="18"/>
              </w:rPr>
              <w:t xml:space="preserve">E12</w:t>
            </w:r>
          </w:p>
        </w:tc>
        <w:tc>
          <w:tcPr>
            <w:tcW w:w="1565" w:type="dxa"/>
          </w:tcPr>
          <w:p>
            <w:pPr>
              <w:pStyle w:val="Compact"/>
              <w:spacing w:after="40"/>
              <w:jc w:val="left"/>
            </w:pPr>
            <w:r>
              <w:rPr>
                <w:sz w:val="18"/>
              </w:rPr>
              <w:t xml:space="preserve">RE insolvency or resolution</w:t>
            </w:r>
          </w:p>
        </w:tc>
        <w:tc>
          <w:tcPr>
            <w:tcW w:w="3749" w:type="dxa"/>
          </w:tcPr>
          <w:p>
            <w:pPr>
              <w:pStyle w:val="Compact"/>
              <w:spacing w:after="40"/>
              <w:jc w:val="left"/>
            </w:pPr>
            <w:r>
              <w:rPr>
                <w:sz w:val="18"/>
              </w:rPr>
              <w:t xml:space="preserve">LSP cooperates with relevant authorities and any administrator, resolution professional or transferee</w:t>
            </w:r>
          </w:p>
        </w:tc>
        <w:tc>
          <w:tcPr>
            <w:tcW w:w="3540" w:type="dxa"/>
          </w:tcPr>
          <w:p>
            <w:pPr>
              <w:pStyle w:val="Compact"/>
              <w:spacing w:after="40"/>
              <w:jc w:val="left"/>
            </w:pPr>
            <w:r>
              <w:rPr>
                <w:sz w:val="18"/>
              </w:rPr>
              <w:t xml:space="preserve">As required (OUT para 74(xvi))</w:t>
            </w:r>
          </w:p>
        </w:tc>
      </w:tr>
    </w:tbl>
    <w:p>
      <w:pPr>
        <w:pStyle w:val="BodyText"/>
      </w:pPr>
      <w:r>
        <w:rPr>
          <w:bCs/>
          <w:b/>
        </w:rPr>
        <w:t xml:space="preserve">14.8 Exit fees. [Option]</w:t>
      </w:r>
      <w:r>
        <w:t xml:space="preserve"> </w:t>
      </w:r>
      <w:r>
        <w:t xml:space="preserve">Exit assistance during the Run-off Period is charged at [the Platform Fee pro rata / Nil]. No exit fee shall be payable where exit is due to the LSP’s breach or an RBI direction. Exit costs shall not be prohibitive (OUT paras 22(vi), 43).</w:t>
      </w:r>
    </w:p>
    <w:p>
      <w:r>
        <w:pict>
          <v:rect style="width:0;height:1.5pt" o:hralign="center" o:hrstd="t" o:hr="t"/>
        </w:pict>
      </w:r>
    </w:p>
    <w:p>
      <w:r>
        <w:br w:type="page"/>
      </w:r>
    </w:p>
    <w:bookmarkEnd w:id="107"/>
    <w:bookmarkEnd w:id="108"/>
    <w:bookmarkStart w:id="109" w:name="Xb3acb61235354279435467e62358cb27899c175"/>
    <w:p>
      <w:pPr>
        <w:pStyle w:val="Heading1"/>
      </w:pPr>
      <w:r>
        <w:t xml:space="preserve">SCHEDULE 15 — Marketing, Branding and Communications Guidelines</w:t>
      </w:r>
    </w:p>
    <w:p>
      <w:pPr>
        <w:pStyle w:val="FirstParagraph"/>
      </w:pPr>
      <w:r>
        <w:rPr>
          <w:iCs/>
          <w:i/>
        </w:rPr>
        <w:t xml:space="preserve">Drafting note: This Schedule implements Article 6 (Customer Acquisition, Marketing and Disclosures) and Article 23 (Intellectual Property and Branding).</w:t>
      </w:r>
    </w:p>
    <w:p>
      <w:pPr>
        <w:pStyle w:val="BodyText"/>
      </w:pPr>
      <w:r>
        <w:rPr>
          <w:bCs/>
          <w:b/>
        </w:rPr>
        <w:t xml:space="preserve">15.1 Lender prominence. [Mandatory — RBI]</w:t>
      </w:r>
      <w:r>
        <w:t xml:space="preserve"> </w:t>
      </w:r>
      <w:r>
        <w:t xml:space="preserve">Every offer, KFS, sanction letter, agreement and loan-related communication shall identify the RE as the lender by its legal name. Generic copy shall read</w:t>
      </w:r>
      <w:r>
        <w:t xml:space="preserve"> </w:t>
      </w:r>
      <w:r>
        <w:t xml:space="preserve">“</w:t>
      </w:r>
      <w:r>
        <w:t xml:space="preserve">Loans from [RE name] and other lenders, facilitated by [LSP name], a lending service provider</w:t>
      </w:r>
      <w:r>
        <w:t xml:space="preserve">”</w:t>
      </w:r>
      <w:r>
        <w:t xml:space="preserve">. The LSP shall never describe a Loan as its own loan or a credit limit as its own (</w:t>
      </w:r>
      <w:r>
        <w:t xml:space="preserve">“</w:t>
      </w:r>
      <w:r>
        <w:t xml:space="preserve">Udofin loan</w:t>
      </w:r>
      <w:r>
        <w:t xml:space="preserve">”</w:t>
      </w:r>
      <w:r>
        <w:t xml:space="preserve">,</w:t>
      </w:r>
      <w:r>
        <w:t xml:space="preserve"> </w:t>
      </w:r>
      <w:r>
        <w:t xml:space="preserve">“</w:t>
      </w:r>
      <w:r>
        <w:t xml:space="preserve">approved by Udofin</w:t>
      </w:r>
      <w:r>
        <w:t xml:space="preserve">”</w:t>
      </w:r>
      <w:r>
        <w:t xml:space="preserve">) (CF paras 4(1)(xix), 9(3); OUT paras 46, 55).</w:t>
      </w:r>
    </w:p>
    <w:p>
      <w:pPr>
        <w:pStyle w:val="BodyText"/>
      </w:pPr>
      <w:r>
        <w:rPr>
          <w:bCs/>
          <w:b/>
        </w:rPr>
        <w:t xml:space="preserve">15.2 No regulatory endorsement. [Mandatory — RBI]</w:t>
      </w:r>
      <w:r>
        <w:t xml:space="preserve"> </w:t>
      </w:r>
      <w:r>
        <w:t xml:space="preserve">No material shall state or imply that the LSP or any DLA is registered, licensed, approved, authorised or endorsed by RBI, including by reason of the RE’s CIMS reporting or RBI’s DLA directory (CF para 18(6)). Phrases such as</w:t>
      </w:r>
      <w:r>
        <w:t xml:space="preserve"> </w:t>
      </w:r>
      <w:r>
        <w:t xml:space="preserve">“</w:t>
      </w:r>
      <w:r>
        <w:t xml:space="preserve">RBI approved</w:t>
      </w:r>
      <w:r>
        <w:t xml:space="preserve">”</w:t>
      </w:r>
      <w:r>
        <w:t xml:space="preserve">,</w:t>
      </w:r>
      <w:r>
        <w:t xml:space="preserve"> </w:t>
      </w:r>
      <w:r>
        <w:t xml:space="preserve">“</w:t>
      </w:r>
      <w:r>
        <w:t xml:space="preserve">RBI registered app</w:t>
      </w:r>
      <w:r>
        <w:t xml:space="preserve">”</w:t>
      </w:r>
      <w:r>
        <w:t xml:space="preserve"> </w:t>
      </w:r>
      <w:r>
        <w:t xml:space="preserve">and</w:t>
      </w:r>
      <w:r>
        <w:t xml:space="preserve"> </w:t>
      </w:r>
      <w:r>
        <w:t xml:space="preserve">“</w:t>
      </w:r>
      <w:r>
        <w:t xml:space="preserve">RBI authorised</w:t>
      </w:r>
      <w:r>
        <w:t xml:space="preserve">”</w:t>
      </w:r>
      <w:r>
        <w:t xml:space="preserve"> </w:t>
      </w:r>
      <w:r>
        <w:t xml:space="preserve">are prohibited; the permitted form is</w:t>
      </w:r>
      <w:r>
        <w:t xml:space="preserve"> </w:t>
      </w:r>
      <w:r>
        <w:t xml:space="preserve">“</w:t>
      </w:r>
      <w:r>
        <w:t xml:space="preserve">[RE name] is an NBFC registered with the Reserve Bank of India</w:t>
      </w:r>
      <w:r>
        <w:t xml:space="preserve">”</w:t>
      </w:r>
      <w:r>
        <w:t xml:space="preserve"> </w:t>
      </w:r>
      <w:r>
        <w:t xml:space="preserve">where accurate.</w:t>
      </w:r>
    </w:p>
    <w:p>
      <w:pPr>
        <w:pStyle w:val="BodyText"/>
      </w:pPr>
      <w:r>
        <w:rPr>
          <w:bCs/>
          <w:b/>
        </w:rPr>
        <w:t xml:space="preserve">15.3 No misleading claims. [Mandatory — RBI/Law]</w:t>
      </w:r>
      <w:r>
        <w:t xml:space="preserve"> </w:t>
      </w:r>
      <w:r>
        <w:t xml:space="preserve">No false or misleading statement about interest, APR, fees, approval speed or probability, eligibility or consequences of default; APR to be shown wherever a rate is advertised;</w:t>
      </w:r>
      <w:r>
        <w:t xml:space="preserve"> </w:t>
      </w:r>
      <w:r>
        <w:t xml:space="preserve">“</w:t>
      </w:r>
      <w:r>
        <w:t xml:space="preserve">instant approval</w:t>
      </w:r>
      <w:r>
        <w:t xml:space="preserve">”</w:t>
      </w:r>
      <w:r>
        <w:t xml:space="preserve">,</w:t>
      </w:r>
      <w:r>
        <w:t xml:space="preserve"> </w:t>
      </w:r>
      <w:r>
        <w:t xml:space="preserve">“</w:t>
      </w:r>
      <w:r>
        <w:t xml:space="preserve">guaranteed loan</w:t>
      </w:r>
      <w:r>
        <w:t xml:space="preserve">”</w:t>
      </w:r>
      <w:r>
        <w:t xml:space="preserve">,</w:t>
      </w:r>
      <w:r>
        <w:t xml:space="preserve"> </w:t>
      </w:r>
      <w:r>
        <w:t xml:space="preserve">“</w:t>
      </w:r>
      <w:r>
        <w:t xml:space="preserve">no documents</w:t>
      </w:r>
      <w:r>
        <w:t xml:space="preserve">”</w:t>
      </w:r>
      <w:r>
        <w:t xml:space="preserve">,</w:t>
      </w:r>
      <w:r>
        <w:t xml:space="preserve"> </w:t>
      </w:r>
      <w:r>
        <w:t xml:space="preserve">“</w:t>
      </w:r>
      <w:r>
        <w:t xml:space="preserve">0% interest</w:t>
      </w:r>
      <w:r>
        <w:t xml:space="preserve">”</w:t>
      </w:r>
      <w:r>
        <w:t xml:space="preserve"> </w:t>
      </w:r>
      <w:r>
        <w:t xml:space="preserve">(unless true including all charges) are prohibited; representative examples must use the RE’s figures (RBC paras 22–24, 29; Consumer Protection Act, 2019 s.2(28); CCPA Guidelines for Prevention of Misleading Advertisements, 2022 [VERIFY]). No dark patterns (Schedule 5, para 5.6).</w:t>
      </w:r>
    </w:p>
    <w:p>
      <w:pPr>
        <w:pStyle w:val="BodyText"/>
      </w:pPr>
      <w:r>
        <w:rPr>
          <w:bCs/>
          <w:b/>
        </w:rPr>
        <w:t xml:space="preserve">15.4 Approval of content. [Mandatory — RBI]</w:t>
      </w:r>
      <w:r>
        <w:t xml:space="preserve"> </w:t>
      </w:r>
      <w:r>
        <w:t xml:space="preserve">All marketing content naming the RE or its Products, all Borrower communication templates and all recovery templates shall be approved by the RE in writing before use, versioned, and retained for [8] years. The RE remains responsible for the conduct of its agents (OUT para 17).</w:t>
      </w:r>
    </w:p>
    <w:p>
      <w:pPr>
        <w:pStyle w:val="BodyText"/>
      </w:pPr>
      <w:r>
        <w:rPr>
          <w:bCs/>
          <w:b/>
        </w:rPr>
        <w:t xml:space="preserve">15.5 Language. [Mandatory — RBI]</w:t>
      </w:r>
      <w:r>
        <w:t xml:space="preserve"> </w:t>
      </w:r>
      <w:r>
        <w:t xml:space="preserve">Borrower communications in the vernacular language or a language understood by the Borrower (RBC para 10); the DLA shall offer at least English and Hindi and [●] at launch.</w:t>
      </w:r>
    </w:p>
    <w:p>
      <w:pPr>
        <w:pStyle w:val="BodyText"/>
      </w:pPr>
      <w:r>
        <w:rPr>
          <w:bCs/>
          <w:b/>
        </w:rPr>
        <w:t xml:space="preserve">15.6 Telemarketing and messaging. [Mandatory — Law/RBI]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35"/>
        <w:gridCol w:w="4924"/>
        <w:gridCol w:w="3179"/>
      </w:tblGrid>
      <w:tr>
        <w:trPr>
          <w:tblHeader w:val="true"/>
          <w:tblHeader w:val="true"/>
        </w:trPr>
        <w:tc>
          <w:tcPr>
            <w:tcW w:w="1535" w:type="dxa"/>
            <w:shd w:val="clear" w:color="auto" w:fill="1F3A5F"/>
          </w:tcPr>
          <w:p>
            <w:pPr>
              <w:pStyle w:val="Compact"/>
              <w:spacing w:after="40"/>
              <w:jc w:val="left"/>
            </w:pPr>
            <w:r>
              <w:rPr>
                <w:b/>
                <w:color w:val="FFFFFF"/>
                <w:sz w:val="18"/>
              </w:rPr>
              <w:t xml:space="preserve">Rule</w:t>
            </w:r>
          </w:p>
        </w:tc>
        <w:tc>
          <w:tcPr>
            <w:tcW w:w="4924" w:type="dxa"/>
            <w:shd w:val="clear" w:color="auto" w:fill="1F3A5F"/>
          </w:tcPr>
          <w:p>
            <w:pPr>
              <w:pStyle w:val="Compact"/>
              <w:spacing w:after="40"/>
              <w:jc w:val="left"/>
            </w:pPr>
            <w:r>
              <w:rPr>
                <w:b/>
                <w:color w:val="FFFFFF"/>
                <w:sz w:val="18"/>
              </w:rPr>
              <w:t xml:space="preserve">Requirement</w:t>
            </w:r>
          </w:p>
        </w:tc>
        <w:tc>
          <w:tcPr>
            <w:tcW w:w="3179" w:type="dxa"/>
            <w:shd w:val="clear" w:color="auto" w:fill="1F3A5F"/>
          </w:tcPr>
          <w:p>
            <w:pPr>
              <w:pStyle w:val="Compact"/>
              <w:spacing w:after="40"/>
              <w:jc w:val="left"/>
            </w:pPr>
            <w:r>
              <w:rPr>
                <w:b/>
                <w:color w:val="FFFFFF"/>
                <w:sz w:val="18"/>
              </w:rPr>
              <w:t xml:space="preserve">Source</w:t>
            </w:r>
          </w:p>
        </w:tc>
      </w:tr>
      <w:tr>
        <w:tc>
          <w:tcPr>
            <w:tcW w:w="1535" w:type="dxa"/>
          </w:tcPr>
          <w:p>
            <w:pPr>
              <w:pStyle w:val="Compact"/>
              <w:spacing w:after="40"/>
              <w:jc w:val="left"/>
            </w:pPr>
            <w:r>
              <w:rPr>
                <w:sz w:val="18"/>
              </w:rPr>
              <w:t xml:space="preserve">Telemarketer registration</w:t>
            </w:r>
          </w:p>
        </w:tc>
        <w:tc>
          <w:tcPr>
            <w:tcW w:w="4924" w:type="dxa"/>
          </w:tcPr>
          <w:p>
            <w:pPr>
              <w:pStyle w:val="Compact"/>
              <w:spacing w:after="40"/>
              <w:jc w:val="left"/>
            </w:pPr>
            <w:r>
              <w:rPr>
                <w:sz w:val="18"/>
              </w:rPr>
              <w:t xml:space="preserve">The LSP, if it makes promotional calls or messages for the RE, is registered as a telemarketer/registered entity under TRAI rules; the RE furnishes the list of telemarketers and their registered numbers as required</w:t>
            </w:r>
          </w:p>
        </w:tc>
        <w:tc>
          <w:tcPr>
            <w:tcW w:w="3179" w:type="dxa"/>
          </w:tcPr>
          <w:p>
            <w:pPr>
              <w:pStyle w:val="Compact"/>
              <w:spacing w:after="40"/>
              <w:jc w:val="left"/>
            </w:pPr>
            <w:r>
              <w:rPr>
                <w:sz w:val="18"/>
              </w:rPr>
              <w:t xml:space="preserve">RBC para 101</w:t>
            </w:r>
          </w:p>
        </w:tc>
      </w:tr>
      <w:tr>
        <w:tc>
          <w:tcPr>
            <w:tcW w:w="1535" w:type="dxa"/>
          </w:tcPr>
          <w:p>
            <w:pPr>
              <w:pStyle w:val="Compact"/>
              <w:spacing w:after="40"/>
              <w:jc w:val="left"/>
            </w:pPr>
            <w:r>
              <w:rPr>
                <w:sz w:val="18"/>
              </w:rPr>
              <w:t xml:space="preserve">DLT</w:t>
            </w:r>
          </w:p>
        </w:tc>
        <w:tc>
          <w:tcPr>
            <w:tcW w:w="4924" w:type="dxa"/>
          </w:tcPr>
          <w:p>
            <w:pPr>
              <w:pStyle w:val="Compact"/>
              <w:spacing w:after="40"/>
              <w:jc w:val="left"/>
            </w:pPr>
            <w:r>
              <w:rPr>
                <w:sz w:val="18"/>
              </w:rPr>
              <w:t xml:space="preserve">All SMS headers and content templates registered on DLT; consent templates for promotional messages; scrubbing against the customer preference register</w:t>
            </w:r>
          </w:p>
        </w:tc>
        <w:tc>
          <w:tcPr>
            <w:tcW w:w="3179" w:type="dxa"/>
          </w:tcPr>
          <w:p>
            <w:pPr>
              <w:pStyle w:val="Compact"/>
              <w:spacing w:after="40"/>
              <w:jc w:val="left"/>
            </w:pPr>
            <w:r>
              <w:rPr>
                <w:sz w:val="18"/>
              </w:rPr>
              <w:t xml:space="preserve">TCCCPR, 2018 (as amended)</w:t>
            </w:r>
          </w:p>
        </w:tc>
      </w:tr>
      <w:tr>
        <w:tc>
          <w:tcPr>
            <w:tcW w:w="1535" w:type="dxa"/>
          </w:tcPr>
          <w:p>
            <w:pPr>
              <w:pStyle w:val="Compact"/>
              <w:spacing w:after="40"/>
              <w:jc w:val="left"/>
            </w:pPr>
            <w:r>
              <w:rPr>
                <w:sz w:val="18"/>
              </w:rPr>
              <w:t xml:space="preserve">Number series</w:t>
            </w:r>
          </w:p>
        </w:tc>
        <w:tc>
          <w:tcPr>
            <w:tcW w:w="4924" w:type="dxa"/>
          </w:tcPr>
          <w:p>
            <w:pPr>
              <w:pStyle w:val="Compact"/>
              <w:spacing w:after="40"/>
              <w:jc w:val="left"/>
            </w:pPr>
            <w:r>
              <w:rPr>
                <w:sz w:val="18"/>
              </w:rPr>
              <w:t xml:space="preserve">Promotional voice calls only from the 140-series; service and transactional voice calls by RBI-regulated entities from the 1600-series under TRAI’s direction of 19 Nov 2025 (NBFC migration deadlines 1 Feb 2026 for large NBFCs and 1 Mar 2026 for other NBFCs)</w:t>
            </w:r>
          </w:p>
        </w:tc>
        <w:tc>
          <w:tcPr>
            <w:tcW w:w="3179" w:type="dxa"/>
          </w:tcPr>
          <w:p>
            <w:pPr>
              <w:pStyle w:val="Compact"/>
              <w:spacing w:after="40"/>
              <w:jc w:val="left"/>
            </w:pPr>
            <w:r>
              <w:rPr>
                <w:sz w:val="18"/>
              </w:rPr>
              <w:t xml:space="preserve">TRAI directions [VERIFY: series allocation and whether LSP calls for the RE must use the RE’s 1600 numbers]</w:t>
            </w:r>
          </w:p>
        </w:tc>
      </w:tr>
      <w:tr>
        <w:tc>
          <w:tcPr>
            <w:tcW w:w="1535" w:type="dxa"/>
          </w:tcPr>
          <w:p>
            <w:pPr>
              <w:pStyle w:val="Compact"/>
              <w:spacing w:after="40"/>
              <w:jc w:val="left"/>
            </w:pPr>
            <w:r>
              <w:rPr>
                <w:sz w:val="18"/>
              </w:rPr>
              <w:t xml:space="preserve">Timing</w:t>
            </w:r>
          </w:p>
        </w:tc>
        <w:tc>
          <w:tcPr>
            <w:tcW w:w="4924" w:type="dxa"/>
          </w:tcPr>
          <w:p>
            <w:pPr>
              <w:pStyle w:val="Compact"/>
              <w:spacing w:after="40"/>
              <w:jc w:val="left"/>
            </w:pPr>
            <w:r>
              <w:rPr>
                <w:sz w:val="18"/>
              </w:rPr>
              <w:t xml:space="preserve">Promotional calls only at the hours permitted by TCCCPR and Borrower preference; recovery calls per Schedule 10</w:t>
            </w:r>
          </w:p>
        </w:tc>
        <w:tc>
          <w:tcPr>
            <w:tcW w:w="3179" w:type="dxa"/>
          </w:tcPr>
          <w:p>
            <w:pPr>
              <w:pStyle w:val="Compact"/>
              <w:spacing w:after="40"/>
              <w:jc w:val="left"/>
            </w:pPr>
            <w:r>
              <w:rPr>
                <w:sz w:val="18"/>
              </w:rPr>
              <w:t xml:space="preserve">TCCCPR; RBC para 100</w:t>
            </w:r>
          </w:p>
        </w:tc>
      </w:tr>
      <w:tr>
        <w:tc>
          <w:tcPr>
            <w:tcW w:w="1535" w:type="dxa"/>
          </w:tcPr>
          <w:p>
            <w:pPr>
              <w:pStyle w:val="Compact"/>
              <w:spacing w:after="40"/>
              <w:jc w:val="left"/>
            </w:pPr>
            <w:r>
              <w:rPr>
                <w:sz w:val="18"/>
              </w:rPr>
              <w:t xml:space="preserve">Consent</w:t>
            </w:r>
          </w:p>
        </w:tc>
        <w:tc>
          <w:tcPr>
            <w:tcW w:w="4924" w:type="dxa"/>
          </w:tcPr>
          <w:p>
            <w:pPr>
              <w:pStyle w:val="Compact"/>
              <w:spacing w:after="40"/>
              <w:jc w:val="left"/>
            </w:pPr>
            <w:r>
              <w:rPr>
                <w:sz w:val="18"/>
              </w:rPr>
              <w:t xml:space="preserve">Marketing communications only with separate, withdrawable consent; service communications without marketing content</w:t>
            </w:r>
          </w:p>
        </w:tc>
        <w:tc>
          <w:tcPr>
            <w:tcW w:w="3179" w:type="dxa"/>
          </w:tcPr>
          <w:p>
            <w:pPr>
              <w:pStyle w:val="Compact"/>
              <w:spacing w:after="40"/>
              <w:jc w:val="left"/>
            </w:pPr>
            <w:r>
              <w:rPr>
                <w:sz w:val="18"/>
              </w:rPr>
              <w:t xml:space="preserve">DPDP Act s.6; CF para 13</w:t>
            </w:r>
          </w:p>
        </w:tc>
      </w:tr>
      <w:tr>
        <w:tc>
          <w:tcPr>
            <w:tcW w:w="1535" w:type="dxa"/>
          </w:tcPr>
          <w:p>
            <w:pPr>
              <w:pStyle w:val="Compact"/>
              <w:spacing w:after="40"/>
              <w:jc w:val="left"/>
            </w:pPr>
            <w:r>
              <w:rPr>
                <w:sz w:val="18"/>
              </w:rPr>
              <w:t xml:space="preserve">Unsolicited contact</w:t>
            </w:r>
          </w:p>
        </w:tc>
        <w:tc>
          <w:tcPr>
            <w:tcW w:w="4924" w:type="dxa"/>
          </w:tcPr>
          <w:p>
            <w:pPr>
              <w:pStyle w:val="Compact"/>
              <w:spacing w:after="40"/>
              <w:jc w:val="left"/>
            </w:pPr>
            <w:r>
              <w:rPr>
                <w:sz w:val="18"/>
              </w:rPr>
              <w:t xml:space="preserve">No contact using purchased or scraped lists; no contact with persons who are not applicants or Borrowers except with their consent</w:t>
            </w:r>
          </w:p>
        </w:tc>
        <w:tc>
          <w:tcPr>
            <w:tcW w:w="3179" w:type="dxa"/>
          </w:tcPr>
          <w:p>
            <w:pPr>
              <w:pStyle w:val="Compact"/>
              <w:spacing w:after="40"/>
              <w:jc w:val="left"/>
            </w:pPr>
            <w:r>
              <w:rPr>
                <w:sz w:val="18"/>
              </w:rPr>
              <w:t xml:space="preserve">DPDP Act ss.4, 6</w:t>
            </w:r>
          </w:p>
        </w:tc>
      </w:tr>
    </w:tbl>
    <w:p>
      <w:pPr>
        <w:pStyle w:val="BodyText"/>
      </w:pPr>
      <w:r>
        <w:rPr>
          <w:bCs/>
          <w:b/>
        </w:rPr>
        <w:t xml:space="preserve">15.7 WhatsApp and social media. [Mandatory — RBI / Platform policy]</w:t>
      </w:r>
      <w:r>
        <w:t xml:space="preserve"> </w:t>
      </w:r>
      <w:r>
        <w:t xml:space="preserve">WhatsApp may be used only for service notifications with Borrower opt-in through approved templates; it shall not be used for debt collection or recovery messaging (Schedule 10, para 10.8). No posting of Borrower information on any social media (RBC para 100).</w:t>
      </w:r>
    </w:p>
    <w:p>
      <w:pPr>
        <w:pStyle w:val="BodyText"/>
      </w:pPr>
      <w:r>
        <w:rPr>
          <w:bCs/>
          <w:b/>
        </w:rPr>
        <w:t xml:space="preserve">15.8 App-store disclosures. [Mandatory — Platform policy]</w:t>
      </w:r>
      <w:r>
        <w:t xml:space="preserve"> </w:t>
      </w:r>
      <w:r>
        <w:t xml:space="preserve">Store listings follow Schedule 3, para 3.4: names of all partner REs in the app description; minimum and maximum repayment period; maximum APR including fees; representative total cost example; Finance category; Play Console Financial features declaration with supporting documents; Apple App Store data-privacy labels consistent with Schedule 7 [VERIFY: current store requirements before each submission].</w:t>
      </w:r>
    </w:p>
    <w:p>
      <w:pPr>
        <w:pStyle w:val="BodyText"/>
      </w:pPr>
      <w:r>
        <w:rPr>
          <w:bCs/>
          <w:b/>
        </w:rPr>
        <w:t xml:space="preserve">15.9 Trademarks. [Option]</w:t>
      </w:r>
      <w:r>
        <w:t xml:space="preserve"> </w:t>
      </w:r>
      <w:r>
        <w:t xml:space="preserve">Each Party grants the other a non-exclusive, royalty-free licence to use its name and marks solely as approved under para 15.4 during the Term; all goodwill accrues to the owner (Article 23).</w:t>
      </w:r>
    </w:p>
    <w:p>
      <w:pPr>
        <w:pStyle w:val="BodyText"/>
      </w:pPr>
      <w:r>
        <w:rPr>
          <w:bCs/>
          <w:b/>
        </w:rPr>
        <w:t xml:space="preserve">15.10 Prohibited targeting. [Option — recommended]</w:t>
      </w:r>
      <w:r>
        <w:t xml:space="preserve"> </w:t>
      </w:r>
      <w:r>
        <w:t xml:space="preserve">No marketing that targets distress, minors, persons identified as over-indebted, or recently rejected applicants for repeat applications within [30] days; no cross-selling within recovery communications.</w:t>
      </w:r>
    </w:p>
    <w:p>
      <w:r>
        <w:pict>
          <v:rect style="width:0;height:1.5pt" o:hralign="center" o:hrstd="t" o:hr="t"/>
        </w:pict>
      </w:r>
    </w:p>
    <w:p>
      <w:r>
        <w:br w:type="page"/>
      </w:r>
    </w:p>
    <w:bookmarkEnd w:id="109"/>
    <w:bookmarkStart w:id="110" w:name="Xd5059cecba8b14772a3e7087f8b1670c6f47c0e"/>
    <w:p>
      <w:pPr>
        <w:pStyle w:val="Heading1"/>
      </w:pPr>
      <w:r>
        <w:t xml:space="preserve">SCHEDULE 16 — Integration and API Specifications</w:t>
      </w:r>
    </w:p>
    <w:p>
      <w:pPr>
        <w:pStyle w:val="FirstParagraph"/>
      </w:pPr>
      <w:r>
        <w:rPr>
          <w:iCs/>
          <w:i/>
        </w:rPr>
        <w:t xml:space="preserve">Drafting note: Implements Articles 5, 9 and 32. The canonical technical contract is the Infrabyx Ecosystem Integration Specification, version 1.0 of 19 October 2026 (the</w:t>
      </w:r>
      <w:r>
        <w:rPr>
          <w:iCs/>
          <w:i/>
        </w:rPr>
        <w:t xml:space="preserve"> </w:t>
      </w:r>
      <w:r>
        <w:rPr>
          <w:iCs/>
          <w:i/>
        </w:rPr>
        <w:t xml:space="preserve">“</w:t>
      </w:r>
      <w:r>
        <w:rPr>
          <w:bCs/>
          <w:b/>
          <w:iCs/>
          <w:i/>
        </w:rPr>
        <w:t xml:space="preserve">Integration Specification</w:t>
      </w:r>
      <w:r>
        <w:rPr>
          <w:iCs/>
          <w:i/>
        </w:rPr>
        <w:t xml:space="preserve">”</w:t>
      </w:r>
      <w:r>
        <w:rPr>
          <w:iCs/>
          <w:i/>
        </w:rPr>
        <w:t xml:space="preserve">), incorporated by reference as amended under its change-control rule. An RE not using Finbyx connects through a connector conforming to, or certified under, the Integration Specification. The Integration Specification governs technical matters only and never overrides a [Mandatory — RBI] term.</w:t>
      </w:r>
    </w:p>
    <w:p>
      <w:pPr>
        <w:pStyle w:val="BodyText"/>
      </w:pPr>
      <w:r>
        <w:rPr>
          <w:bCs/>
          <w:b/>
        </w:rPr>
        <w:t xml:space="preserve">16.1 Principles. [Mandatory — RBI]</w:t>
      </w:r>
      <w:r>
        <w:t xml:space="preserve"> </w:t>
      </w:r>
      <w:r>
        <w:t xml:space="preserve">(a) Regulated decisions (credit and KYC, sanction, pricing, KFS, disbursement, classification, CIC reporting, settlement, grievance closure) stay with the RE and reach the LSP only as RE events (OUT para 15; KYC para 13); (b) money never flows through the LSP (CF para 10); (c) personal data travels only with a consent reference naming the RE or a statutory legal-basis code (CF para 13(4)); (d) data, event logs and dead-letter queues are hosted in India (CF para 14(4)); (e) every message is signed, correlated, stored with its hash at both ends and producible to the RE, its auditors and RBI (OUT paras 34, 81).</w:t>
      </w:r>
    </w:p>
    <w:p>
      <w:pPr>
        <w:pStyle w:val="BodyText"/>
      </w:pPr>
      <w:r>
        <w:rPr>
          <w:bCs/>
          <w:b/>
        </w:rPr>
        <w:t xml:space="preserve">16.2 Security profile. [Option — technical standard]</w:t>
      </w:r>
      <w:r>
        <w:t xml:space="preserve"> </w:t>
      </w:r>
      <w:r>
        <w:t xml:space="preserve">TLS 1.3 with mutual TLS on ecosystem PKI certificates (≤ 397 days, automated rotation); OAuth client credentials, certificate-bound (RFC 8705) or private_key_jwt (RFC 7523), tokens ≤ 10 minutes, one client per product, counterparty, environment and purpose, secrets rotated ≤ 90 days; FAPI 2.0 for borrower-delegated calls; HTTP Message Signatures (RFC 9421, ed25519) with content-digest, plus detached JWS retained for regulated messages (e.g.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SanctionLetterIssued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LoanDisbursed</w:t>
      </w:r>
      <w:r>
        <w:t xml:space="preserve">); Standard Webhooks with HMAC-SHA256, 5-minute timestamp tolerance, at-least-once delivery with 72-hour retry then DLQ and alert;</w:t>
      </w:r>
      <w:r>
        <w:t xml:space="preserve"> </w:t>
      </w:r>
      <w:r>
        <w:rPr>
          <w:rStyle w:val="VerbatimChar"/>
        </w:rPr>
        <w:t xml:space="preserve">Idempotency-Key</w:t>
      </w:r>
      <w:r>
        <w:t xml:space="preserve"> </w:t>
      </w:r>
      <w:r>
        <w:t xml:space="preserve">(UUIDv7) on every state-changing request, retained ≥ 24 hours (7 days for money-related requests); CloudEvents 1.0 envelope with</w:t>
      </w:r>
      <w:r>
        <w:t xml:space="preserve"> </w:t>
      </w:r>
      <w:r>
        <w:rPr>
          <w:rStyle w:val="VerbatimChar"/>
        </w:rPr>
        <w:t xml:space="preserve">tenantid</w:t>
      </w:r>
      <w:r>
        <w:t xml:space="preserve">,</w:t>
      </w:r>
      <w:r>
        <w:t xml:space="preserve"> </w:t>
      </w:r>
      <w:r>
        <w:rPr>
          <w:rStyle w:val="VerbatimChar"/>
        </w:rPr>
        <w:t xml:space="preserve">reid</w:t>
      </w:r>
      <w:r>
        <w:t xml:space="preserve">,</w:t>
      </w:r>
      <w:r>
        <w:t xml:space="preserve"> </w:t>
      </w:r>
      <w:r>
        <w:rPr>
          <w:rStyle w:val="VerbatimChar"/>
        </w:rPr>
        <w:t xml:space="preserve">productfamily</w:t>
      </w:r>
      <w:r>
        <w:t xml:space="preserve">,</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w:t>
      </w:r>
      <w:r>
        <w:t xml:space="preserve"> </w:t>
      </w:r>
      <w:r>
        <w:rPr>
          <w:rStyle w:val="VerbatimChar"/>
        </w:rPr>
        <w:t xml:space="preserve">dataclass</w:t>
      </w:r>
      <w:r>
        <w:t xml:space="preserve"> </w:t>
      </w:r>
      <w:r>
        <w:t xml:space="preserve">and</w:t>
      </w:r>
      <w:r>
        <w:t xml:space="preserve"> </w:t>
      </w:r>
      <w:r>
        <w:rPr>
          <w:rStyle w:val="VerbatimChar"/>
        </w:rPr>
        <w:t xml:space="preserve">seq</w:t>
      </w:r>
      <w:r>
        <w:t xml:space="preserve">; RFC 9457 errors including</w:t>
      </w:r>
      <w:r>
        <w:t xml:space="preserve"> </w:t>
      </w:r>
      <w:r>
        <w:rPr>
          <w:rStyle w:val="VerbatimChar"/>
        </w:rPr>
        <w:t xml:space="preserve">regulatory-guard</w:t>
      </w:r>
      <w:r>
        <w:t xml:space="preserve">; documents by reference with SHA-256 and detached JWS; SFTP fallback from allow-listed Indian IPs with signed manifest; keys in India KMS/HSM with per-RE envelope keys and BYOK/HYOK for ML/UL REs.</w:t>
      </w:r>
    </w:p>
    <w:p>
      <w:pPr>
        <w:pStyle w:val="BodyText"/>
      </w:pPr>
      <w:r>
        <w:rPr>
          <w:bCs/>
          <w:b/>
        </w:rPr>
        <w:t xml:space="preserve">16.3 LSP scopes. [Mandatory — RBI]</w:t>
      </w:r>
      <w:r>
        <w:t xml:space="preserve"> </w:t>
      </w:r>
      <w:r>
        <w:t xml:space="preserve">Only</w:t>
      </w:r>
      <w:r>
        <w:t xml:space="preserve"> </w:t>
      </w:r>
      <w:r>
        <w:rPr>
          <w:rStyle w:val="VerbatimChar"/>
        </w:rPr>
        <w:t xml:space="preserve">origination.application:write</w:t>
      </w:r>
      <w:r>
        <w:t xml:space="preserve">,</w:t>
      </w:r>
      <w:r>
        <w:t xml:space="preserve"> </w:t>
      </w:r>
      <w:r>
        <w:rPr>
          <w:rStyle w:val="VerbatimChar"/>
        </w:rPr>
        <w:t xml:space="preserve">origination.decision:read</w:t>
      </w:r>
      <w:r>
        <w:t xml:space="preserve">,</w:t>
      </w:r>
      <w:r>
        <w:t xml:space="preserve"> </w:t>
      </w:r>
      <w:r>
        <w:rPr>
          <w:rStyle w:val="VerbatimChar"/>
        </w:rPr>
        <w:t xml:space="preserve">servicing.loan:read.lsp</w:t>
      </w:r>
      <w:r>
        <w:t xml:space="preserve">,</w:t>
      </w:r>
      <w:r>
        <w:t xml:space="preserve"> </w:t>
      </w:r>
      <w:r>
        <w:rPr>
          <w:rStyle w:val="VerbatimChar"/>
        </w:rPr>
        <w:t xml:space="preserve">payments.mandate:write</w:t>
      </w:r>
      <w:r>
        <w:t xml:space="preserve">,</w:t>
      </w:r>
      <w:r>
        <w:t xml:space="preserve"> </w:t>
      </w:r>
      <w:r>
        <w:rPr>
          <w:rStyle w:val="VerbatimChar"/>
        </w:rPr>
        <w:t xml:space="preserve">collateral.pledge:orchestrate</w:t>
      </w:r>
      <w:r>
        <w:t xml:space="preserve">,</w:t>
      </w:r>
      <w:r>
        <w:t xml:space="preserve"> </w:t>
      </w:r>
      <w:r>
        <w:rPr>
          <w:rStyle w:val="VerbatimChar"/>
        </w:rPr>
        <w:t xml:space="preserve">collateral.position:read.lsp</w:t>
      </w:r>
      <w:r>
        <w:t xml:space="preserve">,</w:t>
      </w:r>
      <w:r>
        <w:t xml:space="preserve"> </w:t>
      </w:r>
      <w:r>
        <w:rPr>
          <w:rStyle w:val="VerbatimChar"/>
        </w:rPr>
        <w:t xml:space="preserve">recovery.settlement:request</w:t>
      </w:r>
      <w:r>
        <w:t xml:space="preserve">,</w:t>
      </w:r>
      <w:r>
        <w:t xml:space="preserve"> </w:t>
      </w:r>
      <w:r>
        <w:rPr>
          <w:rStyle w:val="VerbatimChar"/>
        </w:rPr>
        <w:t xml:space="preserve">grc.evidence:write</w:t>
      </w:r>
      <w:r>
        <w:t xml:space="preserve"> </w:t>
      </w:r>
      <w:r>
        <w:t xml:space="preserve">and</w:t>
      </w:r>
      <w:r>
        <w:t xml:space="preserve"> </w:t>
      </w:r>
      <w:r>
        <w:rPr>
          <w:rStyle w:val="VerbatimChar"/>
        </w:rPr>
        <w:t xml:space="preserve">privacy.request:write</w:t>
      </w:r>
      <w:r>
        <w:t xml:space="preserve">;</w:t>
      </w:r>
      <w:r>
        <w:t xml:space="preserve"> </w:t>
      </w:r>
      <w:r>
        <w:rPr>
          <w:rStyle w:val="VerbatimChar"/>
        </w:rPr>
        <w:t xml:space="preserve">collections.allocation:read</w:t>
      </w:r>
      <w:r>
        <w:t xml:space="preserve"> </w:t>
      </w:r>
      <w:r>
        <w:t xml:space="preserve">and</w:t>
      </w:r>
      <w:r>
        <w:t xml:space="preserve"> </w:t>
      </w:r>
      <w:r>
        <w:rPr>
          <w:rStyle w:val="VerbatimChar"/>
        </w:rPr>
        <w:t xml:space="preserve">collections.activity:write</w:t>
      </w:r>
      <w:r>
        <w:t xml:space="preserve"> </w:t>
      </w:r>
      <w:r>
        <w:t xml:space="preserve">only while Schedule 10 is in force;</w:t>
      </w:r>
      <w:r>
        <w:t xml:space="preserve"> </w:t>
      </w:r>
      <w:r>
        <w:rPr>
          <w:rStyle w:val="VerbatimChar"/>
        </w:rPr>
        <w:t xml:space="preserve">recovery.case:read.lsp</w:t>
      </w:r>
      <w:r>
        <w:t xml:space="preserve"> </w:t>
      </w:r>
      <w:r>
        <w:t xml:space="preserve">and</w:t>
      </w:r>
      <w:r>
        <w:t xml:space="preserve"> </w:t>
      </w:r>
      <w:r>
        <w:rPr>
          <w:rStyle w:val="VerbatimChar"/>
        </w:rPr>
        <w:t xml:space="preserve">litigation.case:read.lsp</w:t>
      </w:r>
      <w:r>
        <w:t xml:space="preserve"> </w:t>
      </w:r>
      <w:r>
        <w:t xml:space="preserve">only if the RE permits.</w:t>
      </w:r>
      <w:r>
        <w:t xml:space="preserve"> </w:t>
      </w:r>
      <w:r>
        <w:rPr>
          <w:rStyle w:val="VerbatimChar"/>
        </w:rPr>
        <w:t xml:space="preserve">collateral.position:write</w:t>
      </w:r>
      <w:r>
        <w:t xml:space="preserve">,</w:t>
      </w:r>
      <w:r>
        <w:t xml:space="preserve"> </w:t>
      </w:r>
      <w:r>
        <w:rPr>
          <w:rStyle w:val="VerbatimChar"/>
        </w:rPr>
        <w:t xml:space="preserve">recovery.case:write</w:t>
      </w:r>
      <w:r>
        <w:t xml:space="preserve"> </w:t>
      </w:r>
      <w:r>
        <w:t xml:space="preserve">and</w:t>
      </w:r>
      <w:r>
        <w:t xml:space="preserve"> </w:t>
      </w:r>
      <w:r>
        <w:rPr>
          <w:rStyle w:val="VerbatimChar"/>
        </w:rPr>
        <w:t xml:space="preserve">adr.referral:create</w:t>
      </w:r>
      <w:r>
        <w:t xml:space="preserve"> </w:t>
      </w:r>
      <w:r>
        <w:t xml:space="preserve">are never issued to the LSP.</w:t>
      </w:r>
    </w:p>
    <w:p>
      <w:pPr>
        <w:pStyle w:val="BodyText"/>
      </w:pPr>
      <w:r>
        <w:rPr>
          <w:bCs/>
          <w:b/>
        </w:rPr>
        <w:t xml:space="preserve">16.4 Events. [Option — technical standard]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77"/>
        <w:gridCol w:w="3496"/>
        <w:gridCol w:w="3965"/>
      </w:tblGrid>
      <w:tr>
        <w:trPr>
          <w:tblHeader w:val="true"/>
          <w:tblHeader w:val="true"/>
        </w:trPr>
        <w:tc>
          <w:tcPr>
            <w:tcW w:w="2177" w:type="dxa"/>
            <w:shd w:val="clear" w:color="auto" w:fill="1F3A5F"/>
          </w:tcPr>
          <w:p>
            <w:pPr>
              <w:pStyle w:val="Compact"/>
              <w:spacing w:after="40"/>
              <w:jc w:val="left"/>
            </w:pPr>
            <w:r>
              <w:rPr>
                <w:b/>
                <w:color w:val="FFFFFF"/>
                <w:sz w:val="18"/>
              </w:rPr>
              <w:t xml:space="preserve">Domain</w:t>
            </w:r>
          </w:p>
        </w:tc>
        <w:tc>
          <w:tcPr>
            <w:tcW w:w="3496" w:type="dxa"/>
            <w:shd w:val="clear" w:color="auto" w:fill="1F3A5F"/>
          </w:tcPr>
          <w:p>
            <w:pPr>
              <w:pStyle w:val="Compact"/>
              <w:spacing w:after="40"/>
              <w:jc w:val="left"/>
            </w:pPr>
            <w:r>
              <w:rPr>
                <w:b/>
                <w:color w:val="FFFFFF"/>
                <w:sz w:val="18"/>
              </w:rPr>
              <w:t xml:space="preserve">LSP → RE</w:t>
            </w:r>
          </w:p>
        </w:tc>
        <w:tc>
          <w:tcPr>
            <w:tcW w:w="3965" w:type="dxa"/>
            <w:shd w:val="clear" w:color="auto" w:fill="1F3A5F"/>
          </w:tcPr>
          <w:p>
            <w:pPr>
              <w:pStyle w:val="Compact"/>
              <w:spacing w:after="40"/>
              <w:jc w:val="left"/>
            </w:pPr>
            <w:r>
              <w:rPr>
                <w:b/>
                <w:color w:val="FFFFFF"/>
                <w:sz w:val="18"/>
              </w:rPr>
              <w:t xml:space="preserve">RE → LSP</w:t>
            </w:r>
          </w:p>
        </w:tc>
      </w:tr>
      <w:tr>
        <w:tc>
          <w:tcPr>
            <w:tcW w:w="2177" w:type="dxa"/>
          </w:tcPr>
          <w:p>
            <w:pPr>
              <w:pStyle w:val="Compact"/>
              <w:spacing w:after="40"/>
              <w:jc w:val="left"/>
            </w:pPr>
            <w:r>
              <w:rPr>
                <w:sz w:val="18"/>
              </w:rPr>
              <w:t xml:space="preserve">Origination</w:t>
            </w:r>
          </w:p>
        </w:tc>
        <w:tc>
          <w:tcPr>
            <w:tcW w:w="3496" w:type="dxa"/>
          </w:tcPr>
          <w:p>
            <w:pPr>
              <w:pStyle w:val="Compact"/>
              <w:spacing w:after="40"/>
              <w:jc w:val="left"/>
            </w:pPr>
            <w:r>
              <w:rPr>
                <w:rStyle w:val="VerbatimChar"/>
                <w:sz w:val="18"/>
              </w:rPr>
              <w:t xml:space="preserve">EligibilityCheck</w:t>
            </w:r>
            <w:r>
              <w:rPr>
                <w:sz w:val="18"/>
              </w:rPr>
              <w:t xml:space="preserve"> </w:t>
            </w:r>
            <w:r>
              <w:rPr>
                <w:sz w:val="18"/>
              </w:rPr>
              <w:t xml:space="preserve">(API),</w:t>
            </w:r>
            <w:r>
              <w:rPr>
                <w:sz w:val="18"/>
              </w:rPr>
              <w:t xml:space="preserve"> </w:t>
            </w:r>
            <w:r>
              <w:rPr>
                <w:rStyle w:val="VerbatimChar"/>
                <w:sz w:val="18"/>
              </w:rPr>
              <w:t xml:space="preserve">ApplicationSubmitted</w:t>
            </w:r>
            <w:r>
              <w:rPr>
                <w:sz w:val="18"/>
              </w:rPr>
              <w:t xml:space="preserve">,</w:t>
            </w:r>
            <w:r>
              <w:rPr>
                <w:sz w:val="18"/>
              </w:rPr>
              <w:t xml:space="preserve"> </w:t>
            </w: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r>
              <w:rPr>
                <w:sz w:val="18"/>
              </w:rPr>
              <w:t xml:space="preserve">,</w:t>
            </w:r>
            <w:r>
              <w:rPr>
                <w:sz w:val="18"/>
              </w:rPr>
              <w:t xml:space="preserve"> </w:t>
            </w:r>
            <w:r>
              <w:rPr>
                <w:rStyle w:val="VerbatimChar"/>
                <w:sz w:val="18"/>
              </w:rPr>
              <w:t xml:space="preserve">RiskSignalRaised</w:t>
            </w:r>
          </w:p>
        </w:tc>
        <w:tc>
          <w:tcPr>
            <w:tcW w:w="3965" w:type="dxa"/>
          </w:tcPr>
          <w:p>
            <w:pPr>
              <w:pStyle w:val="Compact"/>
              <w:spacing w:after="40"/>
              <w:jc w:val="left"/>
            </w:pPr>
            <w:r>
              <w:rPr>
                <w:rStyle w:val="VerbatimChar"/>
                <w:sz w:val="18"/>
              </w:rPr>
              <w:t xml:space="preserve">ProductCatalogPublished</w:t>
            </w:r>
            <w:r>
              <w:rPr>
                <w:sz w:val="18"/>
              </w:rPr>
              <w:t xml:space="preserve">,</w:t>
            </w:r>
            <w:r>
              <w:rPr>
                <w:sz w:val="18"/>
              </w:rPr>
              <w:t xml:space="preserve"> </w:t>
            </w: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r>
              <w:rPr>
                <w:sz w:val="18"/>
              </w:rPr>
              <w:t xml:space="preserve">,</w:t>
            </w:r>
            <w:r>
              <w:rPr>
                <w:sz w:val="18"/>
              </w:rPr>
              <w:t xml:space="preserve"> </w:t>
            </w: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r>
      <w:tr>
        <w:tc>
          <w:tcPr>
            <w:tcW w:w="2177" w:type="dxa"/>
          </w:tcPr>
          <w:p>
            <w:pPr>
              <w:pStyle w:val="Compact"/>
              <w:spacing w:after="40"/>
              <w:jc w:val="left"/>
            </w:pPr>
            <w:r>
              <w:rPr>
                <w:sz w:val="18"/>
              </w:rPr>
              <w:t xml:space="preserve">Servicing</w:t>
            </w:r>
          </w:p>
        </w:tc>
        <w:tc>
          <w:tcPr>
            <w:tcW w:w="3496" w:type="dxa"/>
          </w:tcPr>
          <w:p>
            <w:pPr>
              <w:pStyle w:val="Compact"/>
              <w:spacing w:after="40"/>
              <w:jc w:val="left"/>
            </w:pPr>
            <w:r>
              <w:rPr>
                <w:rStyle w:val="VerbatimChar"/>
                <w:sz w:val="18"/>
              </w:rPr>
              <w:t xml:space="preserve">CoolingOffExitRequested</w:t>
            </w:r>
            <w:r>
              <w:rPr>
                <w:sz w:val="18"/>
              </w:rPr>
              <w:t xml:space="preserve">,</w:t>
            </w:r>
            <w:r>
              <w:rPr>
                <w:sz w:val="18"/>
              </w:rPr>
              <w:t xml:space="preserve"> </w:t>
            </w:r>
            <w:r>
              <w:rPr>
                <w:rStyle w:val="VerbatimChar"/>
                <w:sz w:val="18"/>
              </w:rPr>
              <w:t xml:space="preserve">DrawdownRequested</w:t>
            </w:r>
            <w:r>
              <w:rPr>
                <w:sz w:val="18"/>
              </w:rPr>
              <w:t xml:space="preserve"> </w:t>
            </w:r>
            <w:r>
              <w:rPr>
                <w:sz w:val="18"/>
              </w:rPr>
              <w:t xml:space="preserve">(if enabled)</w:t>
            </w:r>
          </w:p>
        </w:tc>
        <w:tc>
          <w:tcPr>
            <w:tcW w:w="3965"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r>
              <w:rPr>
                <w:sz w:val="18"/>
              </w:rPr>
              <w:t xml:space="preserve">,</w:t>
            </w:r>
            <w:r>
              <w:rPr>
                <w:sz w:val="18"/>
              </w:rPr>
              <w:t xml:space="preserve"> </w:t>
            </w: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r>
      <w:tr>
        <w:tc>
          <w:tcPr>
            <w:tcW w:w="2177" w:type="dxa"/>
          </w:tcPr>
          <w:p>
            <w:pPr>
              <w:pStyle w:val="Compact"/>
              <w:spacing w:after="40"/>
              <w:jc w:val="left"/>
            </w:pPr>
            <w:r>
              <w:rPr>
                <w:sz w:val="18"/>
              </w:rPr>
              <w:t xml:space="preserve">Payments</w:t>
            </w:r>
          </w:p>
        </w:tc>
        <w:tc>
          <w:tcPr>
            <w:tcW w:w="3496" w:type="dxa"/>
          </w:tcPr>
          <w:p>
            <w:pPr>
              <w:pStyle w:val="Compact"/>
              <w:spacing w:after="40"/>
              <w:jc w:val="left"/>
            </w:pPr>
            <w:r>
              <w:rPr>
                <w:rStyle w:val="VerbatimChar"/>
                <w:sz w:val="18"/>
              </w:rPr>
              <w:t xml:space="preserve">MandateRegistered</w:t>
            </w:r>
          </w:p>
        </w:tc>
        <w:tc>
          <w:tcPr>
            <w:tcW w:w="3965" w:type="dxa"/>
          </w:tcPr>
          <w:p>
            <w:pPr>
              <w:pStyle w:val="Compact"/>
              <w:spacing w:after="40"/>
              <w:jc w:val="left"/>
            </w:pP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DailyReconciliationFile</w:t>
            </w:r>
            <w:r>
              <w:rPr>
                <w:sz w:val="18"/>
              </w:rPr>
              <w:t xml:space="preserve"> </w:t>
            </w:r>
            <w:r>
              <w:rPr>
                <w:sz w:val="18"/>
              </w:rPr>
              <w:t xml:space="preserve">both ways</w:t>
            </w:r>
          </w:p>
        </w:tc>
      </w:tr>
      <w:tr>
        <w:tc>
          <w:tcPr>
            <w:tcW w:w="2177" w:type="dxa"/>
          </w:tcPr>
          <w:p>
            <w:pPr>
              <w:pStyle w:val="Compact"/>
              <w:spacing w:after="40"/>
              <w:jc w:val="left"/>
            </w:pPr>
            <w:r>
              <w:rPr>
                <w:sz w:val="18"/>
              </w:rPr>
              <w:t xml:space="preserve">Collections (Sch. 10 only) and recovery relay</w:t>
            </w:r>
          </w:p>
        </w:tc>
        <w:tc>
          <w:tcPr>
            <w:tcW w:w="3496" w:type="dxa"/>
          </w:tcPr>
          <w:p>
            <w:pPr>
              <w:pStyle w:val="Compact"/>
              <w:spacing w:after="40"/>
              <w:jc w:val="left"/>
            </w:pPr>
            <w:r>
              <w:rPr>
                <w:rStyle w:val="VerbatimChar"/>
                <w:sz w:val="18"/>
              </w:rPr>
              <w:t xml:space="preserve">PTPCaptured</w:t>
            </w:r>
            <w:r>
              <w:rPr>
                <w:sz w:val="18"/>
              </w:rPr>
              <w:t xml:space="preserve">,</w:t>
            </w:r>
            <w:r>
              <w:rPr>
                <w:sz w:val="18"/>
              </w:rPr>
              <w:t xml:space="preserve"> </w:t>
            </w:r>
            <w:r>
              <w:rPr>
                <w:rStyle w:val="VerbatimChar"/>
                <w:sz w:val="18"/>
              </w:rPr>
              <w:t xml:space="preserve">SettlementRequested</w:t>
            </w:r>
            <w:r>
              <w:rPr>
                <w:sz w:val="18"/>
              </w:rPr>
              <w:t xml:space="preserve">,</w:t>
            </w:r>
            <w:r>
              <w:rPr>
                <w:sz w:val="18"/>
              </w:rPr>
              <w:t xml:space="preserve"> </w:t>
            </w:r>
            <w:r>
              <w:rPr>
                <w:rStyle w:val="VerbatimChar"/>
                <w:sz w:val="18"/>
              </w:rPr>
              <w:t xml:space="preserve">SettlementOfferAccepted</w:t>
            </w:r>
            <w:r>
              <w:rPr>
                <w:sz w:val="18"/>
              </w:rPr>
              <w:t xml:space="preserve">,</w:t>
            </w:r>
            <w:r>
              <w:rPr>
                <w:sz w:val="18"/>
              </w:rPr>
              <w:t xml:space="preserve"> </w:t>
            </w:r>
            <w:r>
              <w:rPr>
                <w:rStyle w:val="VerbatimChar"/>
                <w:sz w:val="18"/>
              </w:rPr>
              <w:t xml:space="preserve">CollectionActivityLogged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3965"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r>
              <w:rPr>
                <w:sz w:val="18"/>
              </w:rPr>
              <w:t xml:space="preserve">,</w:t>
            </w:r>
            <w:r>
              <w:rPr>
                <w:sz w:val="18"/>
              </w:rPr>
              <w:t xml:space="preserve"> </w:t>
            </w:r>
            <w:r>
              <w:rPr>
                <w:rStyle w:val="VerbatimChar"/>
                <w:sz w:val="18"/>
              </w:rPr>
              <w:t xml:space="preserve">RecoveryAgentNoticeSent</w:t>
            </w:r>
            <w:r>
              <w:rPr>
                <w:sz w:val="18"/>
              </w:rPr>
              <w:t xml:space="preserve">,</w:t>
            </w:r>
            <w:r>
              <w:rPr>
                <w:sz w:val="18"/>
              </w:rPr>
              <w:t xml:space="preserve"> </w:t>
            </w:r>
            <w:r>
              <w:rPr>
                <w:rStyle w:val="VerbatimChar"/>
                <w:sz w:val="18"/>
              </w:rPr>
              <w:t xml:space="preserve">SettlementOfferIssued</w:t>
            </w:r>
            <w:r>
              <w:rPr>
                <w:sz w:val="18"/>
              </w:rPr>
              <w:t xml:space="preserve">,</w:t>
            </w:r>
            <w:r>
              <w:rPr>
                <w:sz w:val="18"/>
              </w:rPr>
              <w:t xml:space="preserve"> </w:t>
            </w:r>
            <w:r>
              <w:rPr>
                <w:rStyle w:val="VerbatimChar"/>
                <w:sz w:val="18"/>
              </w:rPr>
              <w:t xml:space="preserve">LegalNoticeIssued</w:t>
            </w:r>
            <w:r>
              <w:rPr>
                <w:sz w:val="18"/>
              </w:rPr>
              <w:t xml:space="preserve">,</w:t>
            </w:r>
            <w:r>
              <w:rPr>
                <w:sz w:val="18"/>
              </w:rPr>
              <w:t xml:space="preserve"> </w:t>
            </w:r>
            <w:r>
              <w:rPr>
                <w:rStyle w:val="VerbatimChar"/>
                <w:sz w:val="18"/>
              </w:rPr>
              <w:t xml:space="preserve">LegalHoldChanged</w:t>
            </w:r>
          </w:p>
        </w:tc>
      </w:tr>
      <w:tr>
        <w:tc>
          <w:tcPr>
            <w:tcW w:w="2177" w:type="dxa"/>
          </w:tcPr>
          <w:p>
            <w:pPr>
              <w:pStyle w:val="Compact"/>
              <w:spacing w:after="40"/>
              <w:jc w:val="left"/>
            </w:pPr>
            <w:r>
              <w:rPr>
                <w:sz w:val="18"/>
              </w:rPr>
              <w:t xml:space="preserve">DLG (Sch. 11 only)</w:t>
            </w:r>
          </w:p>
        </w:tc>
        <w:tc>
          <w:tcPr>
            <w:tcW w:w="3496" w:type="dxa"/>
          </w:tcPr>
          <w:p>
            <w:pPr>
              <w:pStyle w:val="Compact"/>
              <w:spacing w:after="40"/>
              <w:jc w:val="left"/>
            </w:pPr>
            <w:r>
              <w:rPr>
                <w:rStyle w:val="VerbatimChar"/>
                <w:sz w:val="18"/>
              </w:rPr>
              <w:t xml:space="preserve">DLGDisclosurePublished</w:t>
            </w:r>
          </w:p>
        </w:tc>
        <w:tc>
          <w:tcPr>
            <w:tcW w:w="3965"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r>
              <w:rPr>
                <w:sz w:val="18"/>
              </w:rPr>
              <w:t xml:space="preserve">,</w:t>
            </w:r>
            <w:r>
              <w:rPr>
                <w:sz w:val="18"/>
              </w:rPr>
              <w:t xml:space="preserve"> </w:t>
            </w:r>
            <w:r>
              <w:rPr>
                <w:rStyle w:val="VerbatimChar"/>
                <w:sz w:val="18"/>
              </w:rPr>
              <w:t xml:space="preserve">DLGRecoveryShared</w:t>
            </w:r>
          </w:p>
        </w:tc>
      </w:tr>
      <w:tr>
        <w:tc>
          <w:tcPr>
            <w:tcW w:w="2177" w:type="dxa"/>
          </w:tcPr>
          <w:p>
            <w:pPr>
              <w:pStyle w:val="Compact"/>
              <w:spacing w:after="40"/>
              <w:jc w:val="left"/>
            </w:pPr>
            <w:r>
              <w:rPr>
                <w:sz w:val="18"/>
              </w:rPr>
              <w:t xml:space="preserve">Grievance and privacy</w:t>
            </w:r>
          </w:p>
        </w:tc>
        <w:tc>
          <w:tcPr>
            <w:tcW w:w="3496"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ConsentRecorded</w:t>
            </w:r>
            <w:r>
              <w:rPr>
                <w:sz w:val="18"/>
              </w:rPr>
              <w:t xml:space="preserve">,</w:t>
            </w:r>
            <w:r>
              <w:rPr>
                <w:sz w:val="18"/>
              </w:rPr>
              <w:t xml:space="preserve"> </w:t>
            </w:r>
            <w:r>
              <w:rPr>
                <w:rStyle w:val="VerbatimChar"/>
                <w:sz w:val="18"/>
              </w:rPr>
              <w:t xml:space="preserve">ConsentWithdrawn</w:t>
            </w:r>
            <w:r>
              <w:rPr>
                <w:sz w:val="18"/>
              </w:rPr>
              <w:t xml:space="preserve">,</w:t>
            </w:r>
            <w:r>
              <w:rPr>
                <w:sz w:val="18"/>
              </w:rPr>
              <w:t xml:space="preserve"> </w:t>
            </w:r>
            <w:r>
              <w:rPr>
                <w:rStyle w:val="VerbatimChar"/>
                <w:sz w:val="18"/>
              </w:rPr>
              <w:t xml:space="preserve">DataPrincipalRequest</w:t>
            </w:r>
          </w:p>
        </w:tc>
        <w:tc>
          <w:tcPr>
            <w:tcW w:w="3965" w:type="dxa"/>
          </w:tcPr>
          <w:p>
            <w:pPr>
              <w:pStyle w:val="Compact"/>
              <w:spacing w:after="40"/>
              <w:jc w:val="left"/>
            </w:pP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r>
              <w:rPr>
                <w:sz w:val="18"/>
              </w:rPr>
              <w:t xml:space="preserve">,</w:t>
            </w:r>
            <w:r>
              <w:rPr>
                <w:sz w:val="18"/>
              </w:rPr>
              <w:t xml:space="preserve"> </w:t>
            </w:r>
            <w:r>
              <w:rPr>
                <w:rStyle w:val="VerbatimChar"/>
                <w:sz w:val="18"/>
              </w:rPr>
              <w:t xml:space="preserve">DataPrincipalRequest</w:t>
            </w:r>
          </w:p>
        </w:tc>
      </w:tr>
      <w:tr>
        <w:tc>
          <w:tcPr>
            <w:tcW w:w="2177" w:type="dxa"/>
          </w:tcPr>
          <w:p>
            <w:pPr>
              <w:pStyle w:val="Compact"/>
              <w:spacing w:after="40"/>
              <w:jc w:val="left"/>
            </w:pPr>
            <w:r>
              <w:rPr>
                <w:sz w:val="18"/>
              </w:rPr>
              <w:t xml:space="preserve">Platform</w:t>
            </w:r>
          </w:p>
        </w:tc>
        <w:tc>
          <w:tcPr>
            <w:tcW w:w="3496" w:type="dxa"/>
          </w:tcPr>
          <w:p>
            <w:pPr>
              <w:pStyle w:val="Compact"/>
              <w:spacing w:after="40"/>
              <w:jc w:val="left"/>
            </w:pPr>
            <w:r>
              <w:rPr>
                <w:rStyle w:val="VerbatimChar"/>
                <w:sz w:val="18"/>
              </w:rPr>
              <w:t xml:space="preserve">SecurityIncidentNotified</w:t>
            </w:r>
          </w:p>
        </w:tc>
        <w:tc>
          <w:tcPr>
            <w:tcW w:w="3965" w:type="dxa"/>
          </w:tcPr>
          <w:p>
            <w:pPr>
              <w:pStyle w:val="Compact"/>
              <w:spacing w:after="40"/>
              <w:jc w:val="left"/>
            </w:pPr>
            <w:r>
              <w:rPr>
                <w:rStyle w:val="VerbatimChar"/>
                <w:sz w:val="18"/>
              </w:rPr>
              <w:t xml:space="preserve">ConnectorCertified</w:t>
            </w:r>
          </w:p>
        </w:tc>
      </w:tr>
    </w:tbl>
    <w:p>
      <w:pPr>
        <w:pStyle w:val="BodyText"/>
      </w:pPr>
      <w:r>
        <w:rPr>
          <w:bCs/>
          <w:b/>
        </w:rPr>
        <w:t xml:space="preserve">16.5 Integration service levels. [Option]</w:t>
      </w:r>
      <w:r>
        <w:t xml:space="preserve"> </w:t>
      </w:r>
      <w:r>
        <w:t xml:space="preserve">Event delivery p95 ≤ 5 minutes; synchronous APIs p95 ≤ 800 ms excluding third parties;</w:t>
      </w:r>
      <w:r>
        <w:t xml:space="preserve"> </w:t>
      </w:r>
      <w:r>
        <w:rPr>
          <w:rStyle w:val="VerbatimChar"/>
        </w:rPr>
        <w:t xml:space="preserve">EligibilityCheck</w:t>
      </w:r>
      <w:r>
        <w:t xml:space="preserve"> </w:t>
      </w:r>
      <w:r>
        <w:t xml:space="preserve">≤ 3 seconds; daily reconciliation file by 06:00 IST; incident notice ≤ 2 hours (Integration Specification Part 3.8; Schedule 18).</w:t>
      </w:r>
    </w:p>
    <w:p>
      <w:pPr>
        <w:pStyle w:val="BodyText"/>
      </w:pPr>
      <w:r>
        <w:rPr>
          <w:bCs/>
          <w:b/>
        </w:rPr>
        <w:t xml:space="preserve">16.6 Certification and change. [Mandatory — RBI / Option]</w:t>
      </w:r>
      <w:r>
        <w:t xml:space="preserve"> </w:t>
      </w:r>
      <w:r>
        <w:t xml:space="preserve">No connector processes real Borrower data before passing the sandbox certification suite and issue of</w:t>
      </w:r>
      <w:r>
        <w:t xml:space="preserve"> </w:t>
      </w:r>
      <w:r>
        <w:rPr>
          <w:rStyle w:val="VerbatimChar"/>
        </w:rPr>
        <w:t xml:space="preserve">ConnectorCertified</w:t>
      </w:r>
      <w:r>
        <w:t xml:space="preserve">; recertification on schema, hosting, key or sub-processor change and annually [Mandatory — RBI; OUT para 32]. Breaking changes need a new major version with ≥ 90 days’ parallel run and ≥ [30] days’ notice to the RE; emergency security changes may be applied first and ratified within 5 working days [Option]. Identifiers:</w:t>
      </w:r>
      <w:r>
        <w:t xml:space="preserve"> </w:t>
      </w:r>
      <w:r>
        <w:rPr>
          <w:rStyle w:val="VerbatimChar"/>
        </w:rPr>
        <w:t xml:space="preserve">reid</w:t>
      </w:r>
      <w:r>
        <w:t xml:space="preserve"> </w:t>
      </w:r>
      <w:r>
        <w:t xml:space="preserve">[●];</w:t>
      </w:r>
      <w:r>
        <w:t xml:space="preserve"> </w:t>
      </w:r>
      <w:r>
        <w:rPr>
          <w:rStyle w:val="VerbatimChar"/>
        </w:rPr>
        <w:t xml:space="preserve">lsp_id</w:t>
      </w:r>
      <w:r>
        <w:t xml:space="preserve"> </w:t>
      </w:r>
      <w:r>
        <w:t xml:space="preserve">[●]; one</w:t>
      </w:r>
      <w:r>
        <w:t xml:space="preserve"> </w:t>
      </w:r>
      <w:r>
        <w:rPr>
          <w:rStyle w:val="VerbatimChar"/>
        </w:rPr>
        <w:t xml:space="preserve">dla_id</w:t>
      </w:r>
      <w:r>
        <w:t xml:space="preserve"> </w:t>
      </w:r>
      <w:r>
        <w:t xml:space="preserve">per DLA per platform (Schedule 3);</w:t>
      </w:r>
      <w:r>
        <w:t xml:space="preserve"> </w:t>
      </w:r>
      <w:r>
        <w:rPr>
          <w:rStyle w:val="VerbatimChar"/>
        </w:rPr>
        <w:t xml:space="preserve">re_lsp_link</w:t>
      </w:r>
      <w:r>
        <w:t xml:space="preserve"> </w:t>
      </w:r>
      <w:r>
        <w:t xml:space="preserve">[●] with recovery-agent and DLG flags.</w:t>
      </w:r>
    </w:p>
    <w:p>
      <w:r>
        <w:pict>
          <v:rect style="width:0;height:1.5pt" o:hralign="center" o:hrstd="t" o:hr="t"/>
        </w:pict>
      </w:r>
    </w:p>
    <w:p>
      <w:r>
        <w:br w:type="page"/>
      </w:r>
    </w:p>
    <w:bookmarkEnd w:id="110"/>
    <w:bookmarkStart w:id="114" w:name="X07f46beddfaaa8a4471ded58475835126913a55"/>
    <w:p>
      <w:pPr>
        <w:pStyle w:val="Heading1"/>
      </w:pPr>
      <w:r>
        <w:t xml:space="preserve">SCHEDULE 17 — LSP Due Diligence Checklist and Declarations</w:t>
      </w:r>
    </w:p>
    <w:p>
      <w:pPr>
        <w:pStyle w:val="FirstParagraph"/>
      </w:pPr>
      <w:r>
        <w:rPr>
          <w:iCs/>
          <w:i/>
        </w:rPr>
        <w:t xml:space="preserve">Drafting note: Implements Article 4. Enhanced due diligence before contract (CF para 6(2)); annual review (OUT para 38); DLG due diligence is additional (CF para 20(4)).</w:t>
      </w:r>
    </w:p>
    <w:bookmarkStart w:id="111" w:name="part-a-checklist"/>
    <w:p>
      <w:pPr>
        <w:pStyle w:val="Heading2"/>
      </w:pPr>
      <w:r>
        <w:t xml:space="preserve">Part A — Checklist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5"/>
        <w:gridCol w:w="2058"/>
        <w:gridCol w:w="4035"/>
        <w:gridCol w:w="2410"/>
      </w:tblGrid>
      <w:tr>
        <w:trPr>
          <w:tblHeader w:val="true"/>
          <w:tblHeader w:val="true"/>
        </w:trPr>
        <w:tc>
          <w:tcPr>
            <w:tcW w:w="1135" w:type="dxa"/>
            <w:shd w:val="clear" w:color="auto" w:fill="1F3A5F"/>
          </w:tcPr>
          <w:p>
            <w:pPr>
              <w:pStyle w:val="Compact"/>
              <w:spacing w:after="40"/>
              <w:jc w:val="left"/>
            </w:pPr>
            <w:r>
              <w:rPr>
                <w:b/>
                <w:color w:val="FFFFFF"/>
                <w:sz w:val="18"/>
              </w:rPr>
              <w:t xml:space="preserve">#</w:t>
            </w:r>
          </w:p>
        </w:tc>
        <w:tc>
          <w:tcPr>
            <w:tcW w:w="2058" w:type="dxa"/>
            <w:shd w:val="clear" w:color="auto" w:fill="1F3A5F"/>
          </w:tcPr>
          <w:p>
            <w:pPr>
              <w:pStyle w:val="Compact"/>
              <w:spacing w:after="40"/>
              <w:jc w:val="left"/>
            </w:pPr>
            <w:r>
              <w:rPr>
                <w:b/>
                <w:color w:val="FFFFFF"/>
                <w:sz w:val="18"/>
              </w:rPr>
              <w:t xml:space="preserve">Area</w:t>
            </w:r>
          </w:p>
        </w:tc>
        <w:tc>
          <w:tcPr>
            <w:tcW w:w="4035" w:type="dxa"/>
            <w:shd w:val="clear" w:color="auto" w:fill="1F3A5F"/>
          </w:tcPr>
          <w:p>
            <w:pPr>
              <w:pStyle w:val="Compact"/>
              <w:spacing w:after="40"/>
              <w:jc w:val="left"/>
            </w:pPr>
            <w:r>
              <w:rPr>
                <w:b/>
                <w:color w:val="FFFFFF"/>
                <w:sz w:val="18"/>
              </w:rPr>
              <w:t xml:space="preserve">Information / document</w:t>
            </w:r>
          </w:p>
        </w:tc>
        <w:tc>
          <w:tcPr>
            <w:tcW w:w="2410" w:type="dxa"/>
            <w:shd w:val="clear" w:color="auto" w:fill="1F3A5F"/>
          </w:tcPr>
          <w:p>
            <w:pPr>
              <w:pStyle w:val="Compact"/>
              <w:spacing w:after="40"/>
              <w:jc w:val="left"/>
            </w:pPr>
            <w:r>
              <w:rPr>
                <w:b/>
                <w:color w:val="FFFFFF"/>
                <w:sz w:val="18"/>
              </w:rPr>
              <w:t xml:space="preserve">Source</w:t>
            </w:r>
          </w:p>
        </w:tc>
      </w:tr>
      <w:tr>
        <w:tc>
          <w:tcPr>
            <w:tcW w:w="1135" w:type="dxa"/>
          </w:tcPr>
          <w:p>
            <w:pPr>
              <w:pStyle w:val="Compact"/>
              <w:spacing w:after="40"/>
              <w:jc w:val="left"/>
            </w:pPr>
            <w:r>
              <w:rPr>
                <w:sz w:val="18"/>
              </w:rPr>
              <w:t xml:space="preserve">D1</w:t>
            </w:r>
          </w:p>
        </w:tc>
        <w:tc>
          <w:tcPr>
            <w:tcW w:w="2058" w:type="dxa"/>
          </w:tcPr>
          <w:p>
            <w:pPr>
              <w:pStyle w:val="Compact"/>
              <w:spacing w:after="40"/>
              <w:jc w:val="left"/>
            </w:pPr>
            <w:r>
              <w:rPr>
                <w:sz w:val="18"/>
              </w:rPr>
              <w:t xml:space="preserve">Corporate and ownership</w:t>
            </w:r>
          </w:p>
        </w:tc>
        <w:tc>
          <w:tcPr>
            <w:tcW w:w="4035" w:type="dxa"/>
          </w:tcPr>
          <w:p>
            <w:pPr>
              <w:pStyle w:val="Compact"/>
              <w:spacing w:after="40"/>
              <w:jc w:val="left"/>
            </w:pPr>
            <w:r>
              <w:rPr>
                <w:sz w:val="18"/>
              </w:rPr>
              <w:t xml:space="preserve">Incorporation under Companies Act, 2013; CIN; constitution; board and KMP; shareholding to beneficial owners; group structure</w:t>
            </w:r>
          </w:p>
        </w:tc>
        <w:tc>
          <w:tcPr>
            <w:tcW w:w="2410" w:type="dxa"/>
          </w:tcPr>
          <w:p>
            <w:pPr>
              <w:pStyle w:val="Compact"/>
              <w:spacing w:after="40"/>
              <w:jc w:val="left"/>
            </w:pPr>
            <w:r>
              <w:rPr>
                <w:sz w:val="18"/>
              </w:rPr>
              <w:t xml:space="preserve">CF para 19; OUT paras 18(vi), 30(i), 59</w:t>
            </w:r>
          </w:p>
        </w:tc>
      </w:tr>
      <w:tr>
        <w:tc>
          <w:tcPr>
            <w:tcW w:w="1135" w:type="dxa"/>
          </w:tcPr>
          <w:p>
            <w:pPr>
              <w:pStyle w:val="Compact"/>
              <w:spacing w:after="40"/>
              <w:jc w:val="left"/>
            </w:pPr>
            <w:r>
              <w:rPr>
                <w:sz w:val="18"/>
              </w:rPr>
              <w:t xml:space="preserve">D2</w:t>
            </w:r>
          </w:p>
        </w:tc>
        <w:tc>
          <w:tcPr>
            <w:tcW w:w="2058" w:type="dxa"/>
          </w:tcPr>
          <w:p>
            <w:pPr>
              <w:pStyle w:val="Compact"/>
              <w:spacing w:after="40"/>
              <w:jc w:val="left"/>
            </w:pPr>
            <w:r>
              <w:rPr>
                <w:sz w:val="18"/>
              </w:rPr>
              <w:t xml:space="preserve">Financial standing</w:t>
            </w:r>
          </w:p>
        </w:tc>
        <w:tc>
          <w:tcPr>
            <w:tcW w:w="4035" w:type="dxa"/>
          </w:tcPr>
          <w:p>
            <w:pPr>
              <w:pStyle w:val="Compact"/>
              <w:spacing w:after="40"/>
              <w:jc w:val="left"/>
            </w:pPr>
            <w:r>
              <w:rPr>
                <w:sz w:val="18"/>
              </w:rPr>
              <w:t xml:space="preserve">Three years’ audited accounts; net worth; liquidity; contingent liabilities; outstanding DLG</w:t>
            </w:r>
          </w:p>
        </w:tc>
        <w:tc>
          <w:tcPr>
            <w:tcW w:w="2410" w:type="dxa"/>
          </w:tcPr>
          <w:p>
            <w:pPr>
              <w:pStyle w:val="Compact"/>
              <w:spacing w:after="40"/>
              <w:jc w:val="left"/>
            </w:pPr>
            <w:r>
              <w:rPr>
                <w:sz w:val="18"/>
              </w:rPr>
              <w:t xml:space="preserve">OUT paras 30(iv), 38; CF para 20(3)</w:t>
            </w:r>
          </w:p>
        </w:tc>
      </w:tr>
      <w:tr>
        <w:tc>
          <w:tcPr>
            <w:tcW w:w="1135" w:type="dxa"/>
          </w:tcPr>
          <w:p>
            <w:pPr>
              <w:pStyle w:val="Compact"/>
              <w:spacing w:after="40"/>
              <w:jc w:val="left"/>
            </w:pPr>
            <w:r>
              <w:rPr>
                <w:sz w:val="18"/>
              </w:rPr>
              <w:t xml:space="preserve">D3</w:t>
            </w:r>
          </w:p>
        </w:tc>
        <w:tc>
          <w:tcPr>
            <w:tcW w:w="2058" w:type="dxa"/>
          </w:tcPr>
          <w:p>
            <w:pPr>
              <w:pStyle w:val="Compact"/>
              <w:spacing w:after="40"/>
              <w:jc w:val="left"/>
            </w:pPr>
            <w:r>
              <w:rPr>
                <w:sz w:val="18"/>
              </w:rPr>
              <w:t xml:space="preserve">Technical capability</w:t>
            </w:r>
          </w:p>
        </w:tc>
        <w:tc>
          <w:tcPr>
            <w:tcW w:w="4035" w:type="dxa"/>
          </w:tcPr>
          <w:p>
            <w:pPr>
              <w:pStyle w:val="Compact"/>
              <w:spacing w:after="40"/>
              <w:jc w:val="left"/>
            </w:pPr>
            <w:r>
              <w:rPr>
                <w:sz w:val="18"/>
              </w:rPr>
              <w:t xml:space="preserve">Architecture; India hosting; scalability; uptime history</w:t>
            </w:r>
          </w:p>
        </w:tc>
        <w:tc>
          <w:tcPr>
            <w:tcW w:w="2410" w:type="dxa"/>
          </w:tcPr>
          <w:p>
            <w:pPr>
              <w:pStyle w:val="Compact"/>
              <w:spacing w:after="40"/>
              <w:jc w:val="left"/>
            </w:pPr>
            <w:r>
              <w:rPr>
                <w:sz w:val="18"/>
              </w:rPr>
              <w:t xml:space="preserve">CF para 6(2); OUT paras 30(iii), 32</w:t>
            </w:r>
          </w:p>
        </w:tc>
      </w:tr>
      <w:tr>
        <w:tc>
          <w:tcPr>
            <w:tcW w:w="1135" w:type="dxa"/>
          </w:tcPr>
          <w:p>
            <w:pPr>
              <w:pStyle w:val="Compact"/>
              <w:spacing w:after="40"/>
              <w:jc w:val="left"/>
            </w:pPr>
            <w:r>
              <w:rPr>
                <w:sz w:val="18"/>
              </w:rPr>
              <w:t xml:space="preserve">D4</w:t>
            </w:r>
          </w:p>
        </w:tc>
        <w:tc>
          <w:tcPr>
            <w:tcW w:w="2058" w:type="dxa"/>
          </w:tcPr>
          <w:p>
            <w:pPr>
              <w:pStyle w:val="Compact"/>
              <w:spacing w:after="40"/>
              <w:jc w:val="left"/>
            </w:pPr>
            <w:r>
              <w:rPr>
                <w:sz w:val="18"/>
              </w:rPr>
              <w:t xml:space="preserve">Data privacy and storage</w:t>
            </w:r>
          </w:p>
        </w:tc>
        <w:tc>
          <w:tcPr>
            <w:tcW w:w="4035" w:type="dxa"/>
          </w:tcPr>
          <w:p>
            <w:pPr>
              <w:pStyle w:val="Compact"/>
              <w:spacing w:after="40"/>
              <w:jc w:val="left"/>
            </w:pPr>
            <w:r>
              <w:rPr>
                <w:sz w:val="18"/>
              </w:rPr>
              <w:t xml:space="preserve">Privacy and storage policies; data inventory; DPDP role analysis; consent design; India-only attestation; permission scan of current builds</w:t>
            </w:r>
          </w:p>
        </w:tc>
        <w:tc>
          <w:tcPr>
            <w:tcW w:w="2410" w:type="dxa"/>
          </w:tcPr>
          <w:p>
            <w:pPr>
              <w:pStyle w:val="Compact"/>
              <w:spacing w:after="40"/>
              <w:jc w:val="left"/>
            </w:pPr>
            <w:r>
              <w:rPr>
                <w:sz w:val="18"/>
              </w:rPr>
              <w:t xml:space="preserve">CF paras 6(2), 13–15; OUT para 74(vi)</w:t>
            </w:r>
          </w:p>
        </w:tc>
      </w:tr>
      <w:tr>
        <w:tc>
          <w:tcPr>
            <w:tcW w:w="1135" w:type="dxa"/>
          </w:tcPr>
          <w:p>
            <w:pPr>
              <w:pStyle w:val="Compact"/>
              <w:spacing w:after="40"/>
              <w:jc w:val="left"/>
            </w:pPr>
            <w:r>
              <w:rPr>
                <w:sz w:val="18"/>
              </w:rPr>
              <w:t xml:space="preserve">D5</w:t>
            </w:r>
          </w:p>
        </w:tc>
        <w:tc>
          <w:tcPr>
            <w:tcW w:w="2058" w:type="dxa"/>
          </w:tcPr>
          <w:p>
            <w:pPr>
              <w:pStyle w:val="Compact"/>
              <w:spacing w:after="40"/>
              <w:jc w:val="left"/>
            </w:pPr>
            <w:r>
              <w:rPr>
                <w:sz w:val="18"/>
              </w:rPr>
              <w:t xml:space="preserve">Security</w:t>
            </w:r>
          </w:p>
        </w:tc>
        <w:tc>
          <w:tcPr>
            <w:tcW w:w="4035" w:type="dxa"/>
          </w:tcPr>
          <w:p>
            <w:pPr>
              <w:pStyle w:val="Compact"/>
              <w:spacing w:after="40"/>
              <w:jc w:val="left"/>
            </w:pPr>
            <w:r>
              <w:rPr>
                <w:sz w:val="18"/>
              </w:rPr>
              <w:t xml:space="preserve">ISO 27001; SOC 2 Type II; latest VA/PT and remediation; MASVS assessment</w:t>
            </w:r>
          </w:p>
        </w:tc>
        <w:tc>
          <w:tcPr>
            <w:tcW w:w="2410" w:type="dxa"/>
          </w:tcPr>
          <w:p>
            <w:pPr>
              <w:pStyle w:val="Compact"/>
              <w:spacing w:after="40"/>
              <w:jc w:val="left"/>
            </w:pPr>
            <w:r>
              <w:rPr>
                <w:sz w:val="18"/>
              </w:rPr>
              <w:t xml:space="preserve">CF para 16; OUT paras 30(vii), 79; CYB paras 121–126</w:t>
            </w:r>
          </w:p>
        </w:tc>
      </w:tr>
      <w:tr>
        <w:tc>
          <w:tcPr>
            <w:tcW w:w="1135" w:type="dxa"/>
          </w:tcPr>
          <w:p>
            <w:pPr>
              <w:pStyle w:val="Compact"/>
              <w:spacing w:after="40"/>
              <w:jc w:val="left"/>
            </w:pPr>
            <w:r>
              <w:rPr>
                <w:sz w:val="18"/>
              </w:rPr>
              <w:t xml:space="preserve">D6</w:t>
            </w:r>
          </w:p>
        </w:tc>
        <w:tc>
          <w:tcPr>
            <w:tcW w:w="2058" w:type="dxa"/>
          </w:tcPr>
          <w:p>
            <w:pPr>
              <w:pStyle w:val="Compact"/>
              <w:spacing w:after="40"/>
              <w:jc w:val="left"/>
            </w:pPr>
            <w:r>
              <w:rPr>
                <w:sz w:val="18"/>
              </w:rPr>
              <w:t xml:space="preserve">Fairness in conduct</w:t>
            </w:r>
          </w:p>
        </w:tc>
        <w:tc>
          <w:tcPr>
            <w:tcW w:w="4035" w:type="dxa"/>
          </w:tcPr>
          <w:p>
            <w:pPr>
              <w:pStyle w:val="Compact"/>
              <w:spacing w:after="40"/>
              <w:jc w:val="left"/>
            </w:pPr>
            <w:r>
              <w:rPr>
                <w:sz w:val="18"/>
              </w:rPr>
              <w:t xml:space="preserve">12 months’ grievance statistics across lenders; app-store reviews; offer-neutrality and dark-pattern review</w:t>
            </w:r>
          </w:p>
        </w:tc>
        <w:tc>
          <w:tcPr>
            <w:tcW w:w="2410" w:type="dxa"/>
          </w:tcPr>
          <w:p>
            <w:pPr>
              <w:pStyle w:val="Compact"/>
              <w:spacing w:after="40"/>
              <w:jc w:val="left"/>
            </w:pPr>
            <w:r>
              <w:rPr>
                <w:sz w:val="18"/>
              </w:rPr>
              <w:t xml:space="preserve">CF para 6(2)</w:t>
            </w:r>
          </w:p>
        </w:tc>
      </w:tr>
      <w:tr>
        <w:tc>
          <w:tcPr>
            <w:tcW w:w="1135" w:type="dxa"/>
          </w:tcPr>
          <w:p>
            <w:pPr>
              <w:pStyle w:val="Compact"/>
              <w:spacing w:after="40"/>
              <w:jc w:val="left"/>
            </w:pPr>
            <w:r>
              <w:rPr>
                <w:sz w:val="18"/>
              </w:rPr>
              <w:t xml:space="preserve">D7</w:t>
            </w:r>
          </w:p>
        </w:tc>
        <w:tc>
          <w:tcPr>
            <w:tcW w:w="2058" w:type="dxa"/>
          </w:tcPr>
          <w:p>
            <w:pPr>
              <w:pStyle w:val="Compact"/>
              <w:spacing w:after="40"/>
              <w:jc w:val="left"/>
            </w:pPr>
            <w:r>
              <w:rPr>
                <w:sz w:val="18"/>
              </w:rPr>
              <w:t xml:space="preserve">Past conduct and litigation</w:t>
            </w:r>
          </w:p>
        </w:tc>
        <w:tc>
          <w:tcPr>
            <w:tcW w:w="4035" w:type="dxa"/>
          </w:tcPr>
          <w:p>
            <w:pPr>
              <w:pStyle w:val="Compact"/>
              <w:spacing w:after="40"/>
              <w:jc w:val="left"/>
            </w:pPr>
            <w:r>
              <w:rPr>
                <w:sz w:val="18"/>
              </w:rPr>
              <w:t xml:space="preserve">Regulatory actions, show-cause notices, app-store removals, CERT-In incidents, litigation, insolvency, media, for the LSP, promoters and directors</w:t>
            </w:r>
          </w:p>
        </w:tc>
        <w:tc>
          <w:tcPr>
            <w:tcW w:w="2410" w:type="dxa"/>
          </w:tcPr>
          <w:p>
            <w:pPr>
              <w:pStyle w:val="Compact"/>
              <w:spacing w:after="40"/>
              <w:jc w:val="left"/>
            </w:pPr>
            <w:r>
              <w:rPr>
                <w:sz w:val="18"/>
              </w:rPr>
              <w:t xml:space="preserve">CF para 6(2); OUT para 30(v)</w:t>
            </w:r>
          </w:p>
        </w:tc>
      </w:tr>
      <w:tr>
        <w:tc>
          <w:tcPr>
            <w:tcW w:w="1135" w:type="dxa"/>
          </w:tcPr>
          <w:p>
            <w:pPr>
              <w:pStyle w:val="Compact"/>
              <w:spacing w:after="40"/>
              <w:jc w:val="left"/>
            </w:pPr>
            <w:r>
              <w:rPr>
                <w:sz w:val="18"/>
              </w:rPr>
              <w:t xml:space="preserve">D8</w:t>
            </w:r>
          </w:p>
        </w:tc>
        <w:tc>
          <w:tcPr>
            <w:tcW w:w="2058" w:type="dxa"/>
          </w:tcPr>
          <w:p>
            <w:pPr>
              <w:pStyle w:val="Compact"/>
              <w:spacing w:after="40"/>
              <w:jc w:val="left"/>
            </w:pPr>
            <w:r>
              <w:rPr>
                <w:sz w:val="18"/>
              </w:rPr>
              <w:t xml:space="preserve">Ability to comply</w:t>
            </w:r>
          </w:p>
        </w:tc>
        <w:tc>
          <w:tcPr>
            <w:tcW w:w="4035" w:type="dxa"/>
          </w:tcPr>
          <w:p>
            <w:pPr>
              <w:pStyle w:val="Compact"/>
              <w:spacing w:after="40"/>
              <w:jc w:val="left"/>
            </w:pPr>
            <w:r>
              <w:rPr>
                <w:sz w:val="18"/>
              </w:rPr>
              <w:t xml:space="preserve">Compliance function; Schedule 20 control-test results; training records</w:t>
            </w:r>
          </w:p>
        </w:tc>
        <w:tc>
          <w:tcPr>
            <w:tcW w:w="2410" w:type="dxa"/>
          </w:tcPr>
          <w:p>
            <w:pPr>
              <w:pStyle w:val="Compact"/>
              <w:spacing w:after="40"/>
              <w:jc w:val="left"/>
            </w:pPr>
            <w:r>
              <w:rPr>
                <w:sz w:val="18"/>
              </w:rPr>
              <w:t xml:space="preserve">CF para 6(2); OUT para 18(i)</w:t>
            </w:r>
          </w:p>
        </w:tc>
      </w:tr>
      <w:tr>
        <w:tc>
          <w:tcPr>
            <w:tcW w:w="1135" w:type="dxa"/>
          </w:tcPr>
          <w:p>
            <w:pPr>
              <w:pStyle w:val="Compact"/>
              <w:spacing w:after="40"/>
              <w:jc w:val="left"/>
            </w:pPr>
            <w:r>
              <w:rPr>
                <w:sz w:val="18"/>
              </w:rPr>
              <w:t xml:space="preserve">D9</w:t>
            </w:r>
          </w:p>
        </w:tc>
        <w:tc>
          <w:tcPr>
            <w:tcW w:w="2058" w:type="dxa"/>
          </w:tcPr>
          <w:p>
            <w:pPr>
              <w:pStyle w:val="Compact"/>
              <w:spacing w:after="40"/>
              <w:jc w:val="left"/>
            </w:pPr>
            <w:r>
              <w:rPr>
                <w:sz w:val="18"/>
              </w:rPr>
              <w:t xml:space="preserve">Personnel and sub-contractors</w:t>
            </w:r>
          </w:p>
        </w:tc>
        <w:tc>
          <w:tcPr>
            <w:tcW w:w="4035" w:type="dxa"/>
          </w:tcPr>
          <w:p>
            <w:pPr>
              <w:pStyle w:val="Compact"/>
              <w:spacing w:after="40"/>
              <w:jc w:val="left"/>
            </w:pPr>
            <w:r>
              <w:rPr>
                <w:sz w:val="18"/>
              </w:rPr>
              <w:t xml:space="preserve">Background verification; sub-contractor due diligence; sub-processor list with locations</w:t>
            </w:r>
          </w:p>
        </w:tc>
        <w:tc>
          <w:tcPr>
            <w:tcW w:w="2410" w:type="dxa"/>
          </w:tcPr>
          <w:p>
            <w:pPr>
              <w:pStyle w:val="Compact"/>
              <w:spacing w:after="40"/>
              <w:jc w:val="left"/>
            </w:pPr>
            <w:r>
              <w:rPr>
                <w:sz w:val="18"/>
              </w:rPr>
              <w:t xml:space="preserve">OUT paras 30(vi), 34(iv), 74(xi)</w:t>
            </w:r>
          </w:p>
        </w:tc>
      </w:tr>
      <w:tr>
        <w:tc>
          <w:tcPr>
            <w:tcW w:w="1135" w:type="dxa"/>
          </w:tcPr>
          <w:p>
            <w:pPr>
              <w:pStyle w:val="Compact"/>
              <w:spacing w:after="40"/>
              <w:jc w:val="left"/>
            </w:pPr>
            <w:r>
              <w:rPr>
                <w:sz w:val="18"/>
              </w:rPr>
              <w:t xml:space="preserve">D10</w:t>
            </w:r>
          </w:p>
        </w:tc>
        <w:tc>
          <w:tcPr>
            <w:tcW w:w="2058" w:type="dxa"/>
          </w:tcPr>
          <w:p>
            <w:pPr>
              <w:pStyle w:val="Compact"/>
              <w:spacing w:after="40"/>
              <w:jc w:val="left"/>
            </w:pPr>
            <w:r>
              <w:rPr>
                <w:sz w:val="18"/>
              </w:rPr>
              <w:t xml:space="preserve">Business continuity and concentration</w:t>
            </w:r>
          </w:p>
        </w:tc>
        <w:tc>
          <w:tcPr>
            <w:tcW w:w="4035" w:type="dxa"/>
          </w:tcPr>
          <w:p>
            <w:pPr>
              <w:pStyle w:val="Compact"/>
              <w:spacing w:after="40"/>
              <w:jc w:val="left"/>
            </w:pPr>
            <w:r>
              <w:rPr>
                <w:sz w:val="18"/>
              </w:rPr>
              <w:t xml:space="preserve">BCP/DR plan and drill; number of lenders; key-vendor dependence; exit feasibility</w:t>
            </w:r>
          </w:p>
        </w:tc>
        <w:tc>
          <w:tcPr>
            <w:tcW w:w="2410" w:type="dxa"/>
          </w:tcPr>
          <w:p>
            <w:pPr>
              <w:pStyle w:val="Compact"/>
              <w:spacing w:after="40"/>
              <w:jc w:val="left"/>
            </w:pPr>
            <w:r>
              <w:rPr>
                <w:sz w:val="18"/>
              </w:rPr>
              <w:t xml:space="preserve">OUT paras 22(x), 30(ii), 30(vii), 40</w:t>
            </w:r>
          </w:p>
        </w:tc>
      </w:tr>
      <w:tr>
        <w:tc>
          <w:tcPr>
            <w:tcW w:w="1135" w:type="dxa"/>
          </w:tcPr>
          <w:p>
            <w:pPr>
              <w:pStyle w:val="Compact"/>
              <w:spacing w:after="40"/>
              <w:jc w:val="left"/>
            </w:pPr>
            <w:r>
              <w:rPr>
                <w:sz w:val="18"/>
              </w:rPr>
              <w:t xml:space="preserve">D11</w:t>
            </w:r>
          </w:p>
        </w:tc>
        <w:tc>
          <w:tcPr>
            <w:tcW w:w="2058" w:type="dxa"/>
          </w:tcPr>
          <w:p>
            <w:pPr>
              <w:pStyle w:val="Compact"/>
              <w:spacing w:after="40"/>
              <w:jc w:val="left"/>
            </w:pPr>
            <w:r>
              <w:rPr>
                <w:sz w:val="18"/>
              </w:rPr>
              <w:t xml:space="preserve">Recovery capability (Sch. 10)</w:t>
            </w:r>
          </w:p>
        </w:tc>
        <w:tc>
          <w:tcPr>
            <w:tcW w:w="4035" w:type="dxa"/>
          </w:tcPr>
          <w:p>
            <w:pPr>
              <w:pStyle w:val="Compact"/>
              <w:spacing w:after="40"/>
              <w:jc w:val="left"/>
            </w:pPr>
            <w:r>
              <w:rPr>
                <w:sz w:val="18"/>
              </w:rPr>
              <w:t xml:space="preserve">Agent verification, training, certification; call recording; conduct metrics</w:t>
            </w:r>
          </w:p>
        </w:tc>
        <w:tc>
          <w:tcPr>
            <w:tcW w:w="2410" w:type="dxa"/>
          </w:tcPr>
          <w:p>
            <w:pPr>
              <w:pStyle w:val="Compact"/>
              <w:spacing w:after="40"/>
              <w:jc w:val="left"/>
            </w:pPr>
            <w:r>
              <w:rPr>
                <w:sz w:val="18"/>
              </w:rPr>
              <w:t xml:space="preserve">CF para 6(5); RBC paras 94–100</w:t>
            </w:r>
          </w:p>
        </w:tc>
      </w:tr>
      <w:tr>
        <w:tc>
          <w:tcPr>
            <w:tcW w:w="1135" w:type="dxa"/>
          </w:tcPr>
          <w:p>
            <w:pPr>
              <w:pStyle w:val="Compact"/>
              <w:spacing w:after="40"/>
              <w:jc w:val="left"/>
            </w:pPr>
            <w:r>
              <w:rPr>
                <w:sz w:val="18"/>
              </w:rPr>
              <w:t xml:space="preserve">D12</w:t>
            </w:r>
          </w:p>
        </w:tc>
        <w:tc>
          <w:tcPr>
            <w:tcW w:w="2058" w:type="dxa"/>
          </w:tcPr>
          <w:p>
            <w:pPr>
              <w:pStyle w:val="Compact"/>
              <w:spacing w:after="40"/>
              <w:jc w:val="left"/>
            </w:pPr>
            <w:r>
              <w:rPr>
                <w:sz w:val="18"/>
              </w:rPr>
              <w:t xml:space="preserve">DLG capacity (Sch. 11)</w:t>
            </w:r>
          </w:p>
        </w:tc>
        <w:tc>
          <w:tcPr>
            <w:tcW w:w="4035" w:type="dxa"/>
          </w:tcPr>
          <w:p>
            <w:pPr>
              <w:pStyle w:val="Compact"/>
              <w:spacing w:after="40"/>
              <w:jc w:val="left"/>
            </w:pPr>
            <w:r>
              <w:rPr>
                <w:sz w:val="18"/>
              </w:rPr>
              <w:t xml:space="preserve">Auditor-certified declaration (Annexure 11B)</w:t>
            </w:r>
          </w:p>
        </w:tc>
        <w:tc>
          <w:tcPr>
            <w:tcW w:w="2410" w:type="dxa"/>
          </w:tcPr>
          <w:p>
            <w:pPr>
              <w:pStyle w:val="Compact"/>
              <w:spacing w:after="40"/>
              <w:jc w:val="left"/>
            </w:pPr>
            <w:r>
              <w:rPr>
                <w:sz w:val="18"/>
              </w:rPr>
              <w:t xml:space="preserve">CF para 20(3)</w:t>
            </w:r>
          </w:p>
        </w:tc>
      </w:tr>
      <w:tr>
        <w:tc>
          <w:tcPr>
            <w:tcW w:w="1135" w:type="dxa"/>
          </w:tcPr>
          <w:p>
            <w:pPr>
              <w:pStyle w:val="Compact"/>
              <w:spacing w:after="40"/>
              <w:jc w:val="left"/>
            </w:pPr>
            <w:r>
              <w:rPr>
                <w:sz w:val="18"/>
              </w:rPr>
              <w:t xml:space="preserve">D13</w:t>
            </w:r>
          </w:p>
        </w:tc>
        <w:tc>
          <w:tcPr>
            <w:tcW w:w="2058" w:type="dxa"/>
          </w:tcPr>
          <w:p>
            <w:pPr>
              <w:pStyle w:val="Compact"/>
              <w:spacing w:after="40"/>
              <w:jc w:val="left"/>
            </w:pPr>
            <w:r>
              <w:rPr>
                <w:sz w:val="18"/>
              </w:rPr>
              <w:t xml:space="preserve">Fraud controls and independent reviews</w:t>
            </w:r>
          </w:p>
        </w:tc>
        <w:tc>
          <w:tcPr>
            <w:tcW w:w="4035" w:type="dxa"/>
          </w:tcPr>
          <w:p>
            <w:pPr>
              <w:pStyle w:val="Compact"/>
              <w:spacing w:after="40"/>
              <w:jc w:val="left"/>
            </w:pPr>
            <w:r>
              <w:rPr>
                <w:sz w:val="18"/>
              </w:rPr>
              <w:t xml:space="preserve">Fraud framework and history; references from other REs</w:t>
            </w:r>
          </w:p>
        </w:tc>
        <w:tc>
          <w:tcPr>
            <w:tcW w:w="2410" w:type="dxa"/>
          </w:tcPr>
          <w:p>
            <w:pPr>
              <w:pStyle w:val="Compact"/>
              <w:spacing w:after="40"/>
              <w:jc w:val="left"/>
            </w:pPr>
            <w:r>
              <w:rPr>
                <w:sz w:val="18"/>
              </w:rPr>
              <w:t xml:space="preserve">FRM para 31; OUT para 31</w:t>
            </w:r>
          </w:p>
        </w:tc>
      </w:tr>
    </w:tbl>
    <w:bookmarkEnd w:id="111"/>
    <w:bookmarkStart w:id="112" w:name="Xb480977a6b62f9ae044e76b03b8a90ce1b11994"/>
    <w:p>
      <w:pPr>
        <w:pStyle w:val="Heading2"/>
      </w:pPr>
      <w:r>
        <w:t xml:space="preserve">Part B — Declarations by the LSP [Mandatory — RBI]</w:t>
      </w:r>
    </w:p>
    <w:p>
      <w:pPr>
        <w:pStyle w:val="FirstParagraph"/>
      </w:pPr>
      <w:r>
        <w:t xml:space="preserve">On signing and at each annual review (changes notified within [7] days), the LSP declares that:</w:t>
      </w:r>
    </w:p>
    <w:p>
      <w:pPr>
        <w:numPr>
          <w:ilvl w:val="0"/>
          <w:numId w:val="1012"/>
        </w:numPr>
        <w:pStyle w:val="Compact"/>
      </w:pPr>
      <w:r>
        <w:t xml:space="preserve">It is a company incorporated under the Companies Act, 2013 (CF para 19, where DLG is provided).</w:t>
      </w:r>
    </w:p>
    <w:p>
      <w:pPr>
        <w:numPr>
          <w:ilvl w:val="0"/>
          <w:numId w:val="1012"/>
        </w:numPr>
        <w:pStyle w:val="Compact"/>
      </w:pPr>
      <w:r>
        <w:t xml:space="preserve">It is not owned or controlled by any director of the RE or their relatives (OUT para 18(vi), which admits no exception), nor by any key managerial personnel or approver of this arrangement at the RE or their relatives unless the RE’s Board or Board Committee has approved an exception with disclosure, oversight and monitoring (OUT para 59, proviso; Clause 4.3) (terms as defined under the Companies Act, 2013). [If a group company of the RE: selection is objective, at arm’s length and under the RE’s Board-approved group outsourcing policy (OUT paras 45–51, 90–92).]</w:t>
      </w:r>
    </w:p>
    <w:p>
      <w:pPr>
        <w:numPr>
          <w:ilvl w:val="0"/>
          <w:numId w:val="1012"/>
        </w:numPr>
        <w:pStyle w:val="Compact"/>
      </w:pPr>
      <w:r>
        <w:t xml:space="preserve">All data of the RE and its Borrowers is stored only in India (CF para 14(4)).</w:t>
      </w:r>
    </w:p>
    <w:p>
      <w:pPr>
        <w:numPr>
          <w:ilvl w:val="0"/>
          <w:numId w:val="1012"/>
        </w:numPr>
        <w:pStyle w:val="Compact"/>
      </w:pPr>
      <w:r>
        <w:t xml:space="preserve">Its DLAs do not access files and media, contacts, call logs or telephony functions (CF para 13(1)).</w:t>
      </w:r>
    </w:p>
    <w:p>
      <w:pPr>
        <w:numPr>
          <w:ilvl w:val="0"/>
          <w:numId w:val="1012"/>
        </w:numPr>
        <w:pStyle w:val="Compact"/>
      </w:pPr>
      <w:r>
        <w:t xml:space="preserve">It collects no fee or charge from Borrowers in connection with the RE’s Loans (CF para 10(4)).</w:t>
      </w:r>
    </w:p>
    <w:p>
      <w:pPr>
        <w:numPr>
          <w:ilvl w:val="0"/>
          <w:numId w:val="1012"/>
        </w:numPr>
        <w:pStyle w:val="Compact"/>
      </w:pPr>
      <w:r>
        <w:t xml:space="preserve">It has no implicit performance-linked guarantee with any lender other than DLG disclosed under CF para 28 (CF para 4(1)(viii)).</w:t>
      </w:r>
    </w:p>
    <w:p>
      <w:pPr>
        <w:numPr>
          <w:ilvl w:val="0"/>
          <w:numId w:val="1012"/>
        </w:numPr>
        <w:pStyle w:val="Compact"/>
      </w:pPr>
      <w:r>
        <w:t xml:space="preserve">No regulatory, criminal or insolvency proceedings are pending against it or its directors except as disclosed under D7.</w:t>
      </w:r>
    </w:p>
    <w:p>
      <w:pPr>
        <w:numPr>
          <w:ilvl w:val="0"/>
          <w:numId w:val="1012"/>
        </w:numPr>
        <w:pStyle w:val="Compact"/>
      </w:pPr>
      <w:r>
        <w:t xml:space="preserve">It has designated a nodal grievance redressal officer (CF para 12(1)).</w:t>
      </w:r>
    </w:p>
    <w:p>
      <w:pPr>
        <w:numPr>
          <w:ilvl w:val="0"/>
          <w:numId w:val="1012"/>
        </w:numPr>
        <w:pStyle w:val="Compact"/>
      </w:pPr>
      <w:r>
        <w:t xml:space="preserve">The information in Part A is true, complete and not misleading.</w:t>
      </w:r>
    </w:p>
    <w:p>
      <w:pPr>
        <w:pStyle w:val="FirstParagraph"/>
      </w:pPr>
      <w:r>
        <w:t xml:space="preserve">For [LSP name] — Authorised Signatory — Name — Designation — Date</w:t>
      </w:r>
    </w:p>
    <w:bookmarkEnd w:id="112"/>
    <w:bookmarkStart w:id="113" w:name="X2c46de228b21f01212a982bcf83ff382488c489"/>
    <w:p>
      <w:pPr>
        <w:pStyle w:val="Heading2"/>
      </w:pPr>
      <w:r>
        <w:t xml:space="preserve">Part C — Approved sub-contractors and sub-processors [Mandatory — RBI]</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45"/>
        <w:gridCol w:w="1764"/>
        <w:gridCol w:w="1288"/>
        <w:gridCol w:w="1095"/>
        <w:gridCol w:w="1247"/>
        <w:gridCol w:w="2699"/>
      </w:tblGrid>
      <w:tr>
        <w:trPr>
          <w:tblHeader w:val="true"/>
          <w:tblHeader w:val="true"/>
        </w:trPr>
        <w:tc>
          <w:tcPr>
            <w:tcW w:w="1545" w:type="dxa"/>
            <w:shd w:val="clear" w:color="auto" w:fill="1F3A5F"/>
          </w:tcPr>
          <w:p>
            <w:pPr>
              <w:pStyle w:val="Compact"/>
              <w:spacing w:after="40"/>
              <w:jc w:val="left"/>
            </w:pPr>
            <w:r>
              <w:rPr>
                <w:b/>
                <w:color w:val="FFFFFF"/>
                <w:sz w:val="18"/>
              </w:rPr>
              <w:t xml:space="preserve">Sub-contractor</w:t>
            </w:r>
          </w:p>
        </w:tc>
        <w:tc>
          <w:tcPr>
            <w:tcW w:w="1764" w:type="dxa"/>
            <w:shd w:val="clear" w:color="auto" w:fill="1F3A5F"/>
          </w:tcPr>
          <w:p>
            <w:pPr>
              <w:pStyle w:val="Compact"/>
              <w:spacing w:after="40"/>
              <w:jc w:val="left"/>
            </w:pPr>
            <w:r>
              <w:rPr>
                <w:b/>
                <w:color w:val="FFFFFF"/>
                <w:sz w:val="18"/>
              </w:rPr>
              <w:t xml:space="preserve">Service</w:t>
            </w:r>
          </w:p>
        </w:tc>
        <w:tc>
          <w:tcPr>
            <w:tcW w:w="1288" w:type="dxa"/>
            <w:shd w:val="clear" w:color="auto" w:fill="1F3A5F"/>
          </w:tcPr>
          <w:p>
            <w:pPr>
              <w:pStyle w:val="Compact"/>
              <w:spacing w:after="40"/>
              <w:jc w:val="left"/>
            </w:pPr>
            <w:r>
              <w:rPr>
                <w:b/>
                <w:color w:val="FFFFFF"/>
                <w:sz w:val="18"/>
              </w:rPr>
              <w:t xml:space="preserve">Data</w:t>
            </w:r>
          </w:p>
        </w:tc>
        <w:tc>
          <w:tcPr>
            <w:tcW w:w="1095" w:type="dxa"/>
            <w:shd w:val="clear" w:color="auto" w:fill="1F3A5F"/>
          </w:tcPr>
          <w:p>
            <w:pPr>
              <w:pStyle w:val="Compact"/>
              <w:spacing w:after="40"/>
              <w:jc w:val="left"/>
            </w:pPr>
            <w:r>
              <w:rPr>
                <w:b/>
                <w:color w:val="FFFFFF"/>
                <w:sz w:val="18"/>
              </w:rPr>
              <w:t xml:space="preserve">Location</w:t>
            </w:r>
          </w:p>
        </w:tc>
        <w:tc>
          <w:tcPr>
            <w:tcW w:w="1247" w:type="dxa"/>
            <w:shd w:val="clear" w:color="auto" w:fill="1F3A5F"/>
          </w:tcPr>
          <w:p>
            <w:pPr>
              <w:pStyle w:val="Compact"/>
              <w:spacing w:after="40"/>
              <w:jc w:val="left"/>
            </w:pPr>
            <w:r>
              <w:rPr>
                <w:b/>
                <w:color w:val="FFFFFF"/>
                <w:sz w:val="18"/>
              </w:rPr>
              <w:t xml:space="preserve">RE consent date</w:t>
            </w:r>
          </w:p>
        </w:tc>
        <w:tc>
          <w:tcPr>
            <w:tcW w:w="2699" w:type="dxa"/>
            <w:shd w:val="clear" w:color="auto" w:fill="1F3A5F"/>
          </w:tcPr>
          <w:p>
            <w:pPr>
              <w:pStyle w:val="Compact"/>
              <w:spacing w:after="40"/>
              <w:jc w:val="left"/>
            </w:pPr>
            <w:r>
              <w:rPr>
                <w:b/>
                <w:color w:val="FFFFFF"/>
                <w:sz w:val="18"/>
              </w:rPr>
              <w:t xml:space="preserve">Back-to-back terms (audit, RBI access, confidentiality, India storage)</w:t>
            </w:r>
          </w:p>
        </w:tc>
      </w:tr>
      <w:tr>
        <w:tc>
          <w:tcPr>
            <w:tcW w:w="1545" w:type="dxa"/>
          </w:tcPr>
          <w:p>
            <w:pPr>
              <w:pStyle w:val="Compact"/>
              <w:spacing w:after="40"/>
              <w:jc w:val="left"/>
            </w:pPr>
            <w:r>
              <w:rPr>
                <w:sz w:val="18"/>
              </w:rPr>
              <w:t xml:space="preserve">[Cloud provider]</w:t>
            </w:r>
          </w:p>
        </w:tc>
        <w:tc>
          <w:tcPr>
            <w:tcW w:w="1764" w:type="dxa"/>
          </w:tcPr>
          <w:p>
            <w:pPr>
              <w:pStyle w:val="Compact"/>
              <w:spacing w:after="40"/>
              <w:jc w:val="left"/>
            </w:pPr>
            <w:r>
              <w:rPr>
                <w:sz w:val="18"/>
              </w:rPr>
              <w:t xml:space="preserve">Hosting (India regions)</w:t>
            </w:r>
          </w:p>
        </w:tc>
        <w:tc>
          <w:tcPr>
            <w:tcW w:w="1288" w:type="dxa"/>
          </w:tcPr>
          <w:p>
            <w:pPr>
              <w:pStyle w:val="Compact"/>
              <w:spacing w:after="40"/>
              <w:jc w:val="left"/>
            </w:pPr>
            <w:r>
              <w:rPr>
                <w:sz w:val="18"/>
              </w:rPr>
              <w:t xml:space="preserve">All</w:t>
            </w:r>
          </w:p>
        </w:tc>
        <w:tc>
          <w:tcPr>
            <w:tcW w:w="1095" w:type="dxa"/>
          </w:tcPr>
          <w:p>
            <w:pPr>
              <w:pStyle w:val="Compact"/>
              <w:spacing w:after="40"/>
              <w:jc w:val="left"/>
            </w:pPr>
            <w:r>
              <w:rPr>
                <w:sz w:val="18"/>
              </w:rPr>
              <w:t xml:space="preserve">India</w:t>
            </w:r>
          </w:p>
        </w:tc>
        <w:tc>
          <w:tcPr>
            <w:tcW w:w="1247" w:type="dxa"/>
          </w:tcPr>
          <w:p>
            <w:pPr>
              <w:pStyle w:val="Compact"/>
              <w:spacing w:after="40"/>
              <w:jc w:val="left"/>
            </w:pPr>
            <w:r>
              <w:rPr>
                <w:sz w:val="18"/>
              </w:rPr>
              <w:t xml:space="preserve">[●]</w:t>
            </w:r>
          </w:p>
        </w:tc>
        <w:tc>
          <w:tcPr>
            <w:tcW w:w="2699" w:type="dxa"/>
          </w:tcPr>
          <w:p>
            <w:pPr>
              <w:pStyle w:val="Compact"/>
              <w:spacing w:after="40"/>
              <w:jc w:val="left"/>
            </w:pPr>
            <w:r>
              <w:rPr>
                <w:sz w:val="18"/>
              </w:rPr>
              <w:t xml:space="preserve">[Y]</w:t>
            </w:r>
          </w:p>
        </w:tc>
      </w:tr>
      <w:tr>
        <w:tc>
          <w:tcPr>
            <w:tcW w:w="1545" w:type="dxa"/>
          </w:tcPr>
          <w:p>
            <w:pPr>
              <w:pStyle w:val="Compact"/>
              <w:spacing w:after="40"/>
              <w:jc w:val="left"/>
            </w:pPr>
            <w:r>
              <w:rPr>
                <w:sz w:val="18"/>
              </w:rPr>
              <w:t xml:space="preserve">[KYC provider]</w:t>
            </w:r>
          </w:p>
        </w:tc>
        <w:tc>
          <w:tcPr>
            <w:tcW w:w="1764" w:type="dxa"/>
          </w:tcPr>
          <w:p>
            <w:pPr>
              <w:pStyle w:val="Compact"/>
              <w:spacing w:after="40"/>
              <w:jc w:val="left"/>
            </w:pPr>
            <w:r>
              <w:rPr>
                <w:sz w:val="18"/>
              </w:rPr>
              <w:t xml:space="preserve">OKYC/DigiLocker, PAN, liveness</w:t>
            </w:r>
          </w:p>
        </w:tc>
        <w:tc>
          <w:tcPr>
            <w:tcW w:w="1288" w:type="dxa"/>
          </w:tcPr>
          <w:p>
            <w:pPr>
              <w:pStyle w:val="Compact"/>
              <w:spacing w:after="40"/>
              <w:jc w:val="left"/>
            </w:pPr>
            <w:r>
              <w:rPr>
                <w:sz w:val="18"/>
              </w:rPr>
              <w:t xml:space="preserve">KYC evidence</w:t>
            </w:r>
          </w:p>
        </w:tc>
        <w:tc>
          <w:tcPr>
            <w:tcW w:w="1095" w:type="dxa"/>
          </w:tcPr>
          <w:p>
            <w:pPr>
              <w:pStyle w:val="Compact"/>
              <w:spacing w:after="40"/>
              <w:jc w:val="left"/>
            </w:pPr>
            <w:r>
              <w:rPr>
                <w:sz w:val="18"/>
              </w:rPr>
              <w:t xml:space="preserve">India</w:t>
            </w:r>
          </w:p>
        </w:tc>
        <w:tc>
          <w:tcPr>
            <w:tcW w:w="1247" w:type="dxa"/>
          </w:tcPr>
          <w:p>
            <w:pPr>
              <w:pStyle w:val="Compact"/>
              <w:spacing w:after="40"/>
              <w:jc w:val="left"/>
            </w:pPr>
            <w:r>
              <w:rPr>
                <w:sz w:val="18"/>
              </w:rPr>
              <w:t xml:space="preserve">[●]</w:t>
            </w:r>
          </w:p>
        </w:tc>
        <w:tc>
          <w:tcPr>
            <w:tcW w:w="2699" w:type="dxa"/>
          </w:tcPr>
          <w:p>
            <w:pPr>
              <w:pStyle w:val="Compact"/>
              <w:spacing w:after="40"/>
              <w:jc w:val="left"/>
            </w:pPr>
            <w:r>
              <w:rPr>
                <w:sz w:val="18"/>
              </w:rPr>
              <w:t xml:space="preserve">[Y]</w:t>
            </w:r>
          </w:p>
        </w:tc>
      </w:tr>
      <w:tr>
        <w:tc>
          <w:tcPr>
            <w:tcW w:w="1545" w:type="dxa"/>
          </w:tcPr>
          <w:p>
            <w:pPr>
              <w:pStyle w:val="Compact"/>
              <w:spacing w:after="40"/>
              <w:jc w:val="left"/>
            </w:pPr>
            <w:r>
              <w:rPr>
                <w:sz w:val="18"/>
              </w:rPr>
              <w:t xml:space="preserve">[eSign/eStamp provider]</w:t>
            </w:r>
          </w:p>
        </w:tc>
        <w:tc>
          <w:tcPr>
            <w:tcW w:w="1764" w:type="dxa"/>
          </w:tcPr>
          <w:p>
            <w:pPr>
              <w:pStyle w:val="Compact"/>
              <w:spacing w:after="40"/>
              <w:jc w:val="left"/>
            </w:pPr>
            <w:r>
              <w:rPr>
                <w:sz w:val="18"/>
              </w:rPr>
              <w:t xml:space="preserve">eSign, eStamp</w:t>
            </w:r>
          </w:p>
        </w:tc>
        <w:tc>
          <w:tcPr>
            <w:tcW w:w="1288" w:type="dxa"/>
          </w:tcPr>
          <w:p>
            <w:pPr>
              <w:pStyle w:val="Compact"/>
              <w:spacing w:after="40"/>
              <w:jc w:val="left"/>
            </w:pPr>
            <w:r>
              <w:rPr>
                <w:sz w:val="18"/>
              </w:rPr>
              <w:t xml:space="preserve">Documents</w:t>
            </w:r>
          </w:p>
        </w:tc>
        <w:tc>
          <w:tcPr>
            <w:tcW w:w="1095" w:type="dxa"/>
          </w:tcPr>
          <w:p>
            <w:pPr>
              <w:pStyle w:val="Compact"/>
              <w:spacing w:after="40"/>
              <w:jc w:val="left"/>
            </w:pPr>
            <w:r>
              <w:rPr>
                <w:sz w:val="18"/>
              </w:rPr>
              <w:t xml:space="preserve">India</w:t>
            </w:r>
          </w:p>
        </w:tc>
        <w:tc>
          <w:tcPr>
            <w:tcW w:w="1247" w:type="dxa"/>
          </w:tcPr>
          <w:p>
            <w:pPr>
              <w:pStyle w:val="Compact"/>
              <w:spacing w:after="40"/>
              <w:jc w:val="left"/>
            </w:pPr>
            <w:r>
              <w:rPr>
                <w:sz w:val="18"/>
              </w:rPr>
              <w:t xml:space="preserve">[●]</w:t>
            </w:r>
          </w:p>
        </w:tc>
        <w:tc>
          <w:tcPr>
            <w:tcW w:w="2699" w:type="dxa"/>
          </w:tcPr>
          <w:p>
            <w:pPr>
              <w:pStyle w:val="Compact"/>
              <w:spacing w:after="40"/>
              <w:jc w:val="left"/>
            </w:pPr>
            <w:r>
              <w:rPr>
                <w:sz w:val="18"/>
              </w:rPr>
              <w:t xml:space="preserve">[Y]</w:t>
            </w:r>
          </w:p>
        </w:tc>
      </w:tr>
      <w:tr>
        <w:tc>
          <w:tcPr>
            <w:tcW w:w="1545" w:type="dxa"/>
          </w:tcPr>
          <w:p>
            <w:pPr>
              <w:pStyle w:val="Compact"/>
              <w:spacing w:after="40"/>
              <w:jc w:val="left"/>
            </w:pPr>
            <w:r>
              <w:rPr>
                <w:sz w:val="18"/>
              </w:rPr>
              <w:t xml:space="preserve">[Messaging provider]</w:t>
            </w:r>
          </w:p>
        </w:tc>
        <w:tc>
          <w:tcPr>
            <w:tcW w:w="1764" w:type="dxa"/>
          </w:tcPr>
          <w:p>
            <w:pPr>
              <w:pStyle w:val="Compact"/>
              <w:spacing w:after="40"/>
              <w:jc w:val="left"/>
            </w:pPr>
            <w:r>
              <w:rPr>
                <w:sz w:val="18"/>
              </w:rPr>
              <w:t xml:space="preserve">SMS, email, DLT</w:t>
            </w:r>
          </w:p>
        </w:tc>
        <w:tc>
          <w:tcPr>
            <w:tcW w:w="1288" w:type="dxa"/>
          </w:tcPr>
          <w:p>
            <w:pPr>
              <w:pStyle w:val="Compact"/>
              <w:spacing w:after="40"/>
              <w:jc w:val="left"/>
            </w:pPr>
            <w:r>
              <w:rPr>
                <w:sz w:val="18"/>
              </w:rPr>
              <w:t xml:space="preserve">Contact, content</w:t>
            </w:r>
          </w:p>
        </w:tc>
        <w:tc>
          <w:tcPr>
            <w:tcW w:w="1095" w:type="dxa"/>
          </w:tcPr>
          <w:p>
            <w:pPr>
              <w:pStyle w:val="Compact"/>
              <w:spacing w:after="40"/>
              <w:jc w:val="left"/>
            </w:pPr>
            <w:r>
              <w:rPr>
                <w:sz w:val="18"/>
              </w:rPr>
              <w:t xml:space="preserve">India</w:t>
            </w:r>
          </w:p>
        </w:tc>
        <w:tc>
          <w:tcPr>
            <w:tcW w:w="1247" w:type="dxa"/>
          </w:tcPr>
          <w:p>
            <w:pPr>
              <w:pStyle w:val="Compact"/>
              <w:spacing w:after="40"/>
              <w:jc w:val="left"/>
            </w:pPr>
            <w:r>
              <w:rPr>
                <w:sz w:val="18"/>
              </w:rPr>
              <w:t xml:space="preserve">[●]</w:t>
            </w:r>
          </w:p>
        </w:tc>
        <w:tc>
          <w:tcPr>
            <w:tcW w:w="2699" w:type="dxa"/>
          </w:tcPr>
          <w:p>
            <w:pPr>
              <w:pStyle w:val="Compact"/>
              <w:spacing w:after="40"/>
              <w:jc w:val="left"/>
            </w:pPr>
            <w:r>
              <w:rPr>
                <w:sz w:val="18"/>
              </w:rPr>
              <w:t xml:space="preserve">[Y]</w:t>
            </w:r>
          </w:p>
        </w:tc>
      </w:tr>
    </w:tbl>
    <w:p>
      <w:pPr>
        <w:pStyle w:val="BodyText"/>
      </w:pPr>
      <w:r>
        <w:t xml:space="preserve">(OUT paras 34(iv), 74(i), 74(xi), 74(xiii), 74(xviii); CF para 14(4).)</w:t>
      </w:r>
    </w:p>
    <w:p>
      <w:r>
        <w:pict>
          <v:rect style="width:0;height:1.5pt" o:hralign="center" o:hrstd="t" o:hr="t"/>
        </w:pict>
      </w:r>
    </w:p>
    <w:p>
      <w:r>
        <w:br w:type="page"/>
      </w:r>
    </w:p>
    <w:bookmarkEnd w:id="113"/>
    <w:bookmarkEnd w:id="114"/>
    <w:bookmarkStart w:id="116" w:name="schedule-18-service-levels"/>
    <w:p>
      <w:pPr>
        <w:pStyle w:val="Heading1"/>
      </w:pPr>
      <w:r>
        <w:t xml:space="preserve">SCHEDULE 18 — Service Levels</w:t>
      </w:r>
    </w:p>
    <w:p>
      <w:pPr>
        <w:pStyle w:val="FirstParagraph"/>
      </w:pPr>
      <w:r>
        <w:rPr>
          <w:iCs/>
          <w:i/>
        </w:rPr>
        <w:t xml:space="preserve">Drafting note: This Schedule implements Article 22 (Fees and Payments, for service credits) and Article 32 (Governance and Reporting). Service levels formalise performance criteria as required in every IT-outsourcing agreement (OUT paras 34(i), 74(v), 75). Service credits are the RE’s [Option]; regulatory timelines are [Mandatory — RBI] whether or not a credit applies, and a credit never cures a regulatory breach.</w:t>
      </w:r>
    </w:p>
    <w:bookmarkStart w:id="115" w:name="part-a-service-levels"/>
    <w:p>
      <w:pPr>
        <w:pStyle w:val="Heading2"/>
      </w:pPr>
      <w:r>
        <w:t xml:space="preserve">Part A — Service levels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82"/>
        <w:gridCol w:w="1581"/>
        <w:gridCol w:w="1926"/>
        <w:gridCol w:w="1062"/>
        <w:gridCol w:w="1542"/>
        <w:gridCol w:w="1420"/>
        <w:gridCol w:w="1425"/>
      </w:tblGrid>
      <w:tr>
        <w:trPr>
          <w:tblHeader w:val="true"/>
          <w:tblHeader w:val="true"/>
        </w:trPr>
        <w:tc>
          <w:tcPr>
            <w:tcW w:w="682" w:type="dxa"/>
            <w:shd w:val="clear" w:color="auto" w:fill="1F3A5F"/>
          </w:tcPr>
          <w:p>
            <w:pPr>
              <w:pStyle w:val="Compact"/>
              <w:spacing w:after="40"/>
              <w:jc w:val="left"/>
            </w:pPr>
            <w:r>
              <w:rPr>
                <w:b/>
                <w:color w:val="FFFFFF"/>
                <w:sz w:val="18"/>
              </w:rPr>
              <w:t xml:space="preserve">#</w:t>
            </w:r>
          </w:p>
        </w:tc>
        <w:tc>
          <w:tcPr>
            <w:tcW w:w="1581" w:type="dxa"/>
            <w:shd w:val="clear" w:color="auto" w:fill="1F3A5F"/>
          </w:tcPr>
          <w:p>
            <w:pPr>
              <w:pStyle w:val="Compact"/>
              <w:spacing w:after="40"/>
              <w:jc w:val="left"/>
            </w:pPr>
            <w:r>
              <w:rPr>
                <w:b/>
                <w:color w:val="FFFFFF"/>
                <w:sz w:val="18"/>
              </w:rPr>
              <w:t xml:space="preserve">Service</w:t>
            </w:r>
          </w:p>
        </w:tc>
        <w:tc>
          <w:tcPr>
            <w:tcW w:w="1926" w:type="dxa"/>
            <w:shd w:val="clear" w:color="auto" w:fill="1F3A5F"/>
          </w:tcPr>
          <w:p>
            <w:pPr>
              <w:pStyle w:val="Compact"/>
              <w:spacing w:after="40"/>
              <w:jc w:val="left"/>
            </w:pPr>
            <w:r>
              <w:rPr>
                <w:b/>
                <w:color w:val="FFFFFF"/>
                <w:sz w:val="18"/>
              </w:rPr>
              <w:t xml:space="preserve">Measure</w:t>
            </w:r>
          </w:p>
        </w:tc>
        <w:tc>
          <w:tcPr>
            <w:tcW w:w="1062" w:type="dxa"/>
            <w:shd w:val="clear" w:color="auto" w:fill="1F3A5F"/>
          </w:tcPr>
          <w:p>
            <w:pPr>
              <w:pStyle w:val="Compact"/>
              <w:spacing w:after="40"/>
              <w:jc w:val="left"/>
            </w:pPr>
            <w:r>
              <w:rPr>
                <w:b/>
                <w:color w:val="FFFFFF"/>
                <w:sz w:val="18"/>
              </w:rPr>
              <w:t xml:space="preserve">Target</w:t>
            </w:r>
          </w:p>
        </w:tc>
        <w:tc>
          <w:tcPr>
            <w:tcW w:w="1542" w:type="dxa"/>
            <w:shd w:val="clear" w:color="auto" w:fill="1F3A5F"/>
          </w:tcPr>
          <w:p>
            <w:pPr>
              <w:pStyle w:val="Compact"/>
              <w:spacing w:after="40"/>
              <w:jc w:val="left"/>
            </w:pPr>
            <w:r>
              <w:rPr>
                <w:b/>
                <w:color w:val="FFFFFF"/>
                <w:sz w:val="18"/>
              </w:rPr>
              <w:t xml:space="preserve">Measurement</w:t>
            </w:r>
          </w:p>
        </w:tc>
        <w:tc>
          <w:tcPr>
            <w:tcW w:w="1420" w:type="dxa"/>
            <w:shd w:val="clear" w:color="auto" w:fill="1F3A5F"/>
          </w:tcPr>
          <w:p>
            <w:pPr>
              <w:pStyle w:val="Compact"/>
              <w:spacing w:after="40"/>
              <w:jc w:val="left"/>
            </w:pPr>
            <w:r>
              <w:rPr>
                <w:b/>
                <w:color w:val="FFFFFF"/>
                <w:sz w:val="18"/>
              </w:rPr>
              <w:t xml:space="preserve">Credit (% of monthly fees)</w:t>
            </w:r>
          </w:p>
        </w:tc>
        <w:tc>
          <w:tcPr>
            <w:tcW w:w="1425" w:type="dxa"/>
            <w:shd w:val="clear" w:color="auto" w:fill="1F3A5F"/>
          </w:tcPr>
          <w:p>
            <w:pPr>
              <w:pStyle w:val="Compact"/>
              <w:spacing w:after="40"/>
              <w:jc w:val="left"/>
            </w:pPr>
            <w:r>
              <w:rPr>
                <w:b/>
                <w:color w:val="FFFFFF"/>
                <w:sz w:val="18"/>
              </w:rPr>
              <w:t xml:space="preserve">Status</w:t>
            </w:r>
          </w:p>
        </w:tc>
      </w:tr>
      <w:tr>
        <w:tc>
          <w:tcPr>
            <w:tcW w:w="682" w:type="dxa"/>
          </w:tcPr>
          <w:p>
            <w:pPr>
              <w:pStyle w:val="Compact"/>
              <w:spacing w:after="40"/>
              <w:jc w:val="left"/>
            </w:pPr>
            <w:r>
              <w:rPr>
                <w:sz w:val="18"/>
              </w:rPr>
              <w:t xml:space="preserve">SL1</w:t>
            </w:r>
          </w:p>
        </w:tc>
        <w:tc>
          <w:tcPr>
            <w:tcW w:w="1581" w:type="dxa"/>
          </w:tcPr>
          <w:p>
            <w:pPr>
              <w:pStyle w:val="Compact"/>
              <w:spacing w:after="40"/>
              <w:jc w:val="left"/>
            </w:pPr>
            <w:r>
              <w:rPr>
                <w:sz w:val="18"/>
              </w:rPr>
              <w:t xml:space="preserve">DLA and borrower APIs availability</w:t>
            </w:r>
          </w:p>
        </w:tc>
        <w:tc>
          <w:tcPr>
            <w:tcW w:w="1926" w:type="dxa"/>
          </w:tcPr>
          <w:p>
            <w:pPr>
              <w:pStyle w:val="Compact"/>
              <w:spacing w:after="40"/>
              <w:jc w:val="left"/>
            </w:pPr>
            <w:r>
              <w:rPr>
                <w:sz w:val="18"/>
              </w:rPr>
              <w:t xml:space="preserve">Monthly uptime excluding agreed maintenance</w:t>
            </w:r>
          </w:p>
        </w:tc>
        <w:tc>
          <w:tcPr>
            <w:tcW w:w="1062" w:type="dxa"/>
          </w:tcPr>
          <w:p>
            <w:pPr>
              <w:pStyle w:val="Compact"/>
              <w:spacing w:after="40"/>
              <w:jc w:val="left"/>
            </w:pPr>
            <w:r>
              <w:rPr>
                <w:sz w:val="18"/>
              </w:rPr>
              <w:t xml:space="preserve">≥ 99.9%</w:t>
            </w:r>
          </w:p>
        </w:tc>
        <w:tc>
          <w:tcPr>
            <w:tcW w:w="1542" w:type="dxa"/>
          </w:tcPr>
          <w:p>
            <w:pPr>
              <w:pStyle w:val="Compact"/>
              <w:spacing w:after="40"/>
              <w:jc w:val="left"/>
            </w:pPr>
            <w:r>
              <w:rPr>
                <w:sz w:val="18"/>
              </w:rPr>
              <w:t xml:space="preserve">Synthetic monitoring every minute from two Indian locations</w:t>
            </w:r>
          </w:p>
        </w:tc>
        <w:tc>
          <w:tcPr>
            <w:tcW w:w="1420" w:type="dxa"/>
          </w:tcPr>
          <w:p>
            <w:pPr>
              <w:pStyle w:val="Compact"/>
              <w:spacing w:after="40"/>
              <w:jc w:val="left"/>
            </w:pPr>
            <w:r>
              <w:rPr>
                <w:sz w:val="18"/>
              </w:rPr>
              <w:t xml:space="preserve">99.5–99.9%: [2]%; 99.0–99.5%: [5]%; &lt; 99.0%: [10]%</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SL2</w:t>
            </w:r>
          </w:p>
        </w:tc>
        <w:tc>
          <w:tcPr>
            <w:tcW w:w="1581" w:type="dxa"/>
          </w:tcPr>
          <w:p>
            <w:pPr>
              <w:pStyle w:val="Compact"/>
              <w:spacing w:after="40"/>
              <w:jc w:val="left"/>
            </w:pPr>
            <w:r>
              <w:rPr>
                <w:sz w:val="18"/>
              </w:rPr>
              <w:t xml:space="preserve">Lender portal availability</w:t>
            </w:r>
          </w:p>
        </w:tc>
        <w:tc>
          <w:tcPr>
            <w:tcW w:w="1926" w:type="dxa"/>
          </w:tcPr>
          <w:p>
            <w:pPr>
              <w:pStyle w:val="Compact"/>
              <w:spacing w:after="40"/>
              <w:jc w:val="left"/>
            </w:pPr>
            <w:r>
              <w:rPr>
                <w:sz w:val="18"/>
              </w:rPr>
              <w:t xml:space="preserve">Monthly uptime</w:t>
            </w:r>
          </w:p>
        </w:tc>
        <w:tc>
          <w:tcPr>
            <w:tcW w:w="1062" w:type="dxa"/>
          </w:tcPr>
          <w:p>
            <w:pPr>
              <w:pStyle w:val="Compact"/>
              <w:spacing w:after="40"/>
              <w:jc w:val="left"/>
            </w:pPr>
            <w:r>
              <w:rPr>
                <w:sz w:val="18"/>
              </w:rPr>
              <w:t xml:space="preserve">≥ 99.5%</w:t>
            </w:r>
          </w:p>
        </w:tc>
        <w:tc>
          <w:tcPr>
            <w:tcW w:w="1542" w:type="dxa"/>
          </w:tcPr>
          <w:p>
            <w:pPr>
              <w:pStyle w:val="Compact"/>
              <w:spacing w:after="40"/>
              <w:jc w:val="left"/>
            </w:pPr>
            <w:r>
              <w:rPr>
                <w:sz w:val="18"/>
              </w:rPr>
              <w:t xml:space="preserve">As SL1</w:t>
            </w:r>
          </w:p>
        </w:tc>
        <w:tc>
          <w:tcPr>
            <w:tcW w:w="1420" w:type="dxa"/>
          </w:tcPr>
          <w:p>
            <w:pPr>
              <w:pStyle w:val="Compact"/>
              <w:spacing w:after="40"/>
              <w:jc w:val="left"/>
            </w:pPr>
            <w:r>
              <w:rPr>
                <w:sz w:val="18"/>
              </w:rPr>
              <w:t xml:space="preserve">[2]% per 0.5% shortfall</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SL3</w:t>
            </w:r>
          </w:p>
        </w:tc>
        <w:tc>
          <w:tcPr>
            <w:tcW w:w="1581" w:type="dxa"/>
          </w:tcPr>
          <w:p>
            <w:pPr>
              <w:pStyle w:val="Compact"/>
              <w:spacing w:after="40"/>
              <w:jc w:val="left"/>
            </w:pPr>
            <w:r>
              <w:rPr>
                <w:sz w:val="18"/>
              </w:rPr>
              <w:t xml:space="preserve">API latency</w:t>
            </w:r>
          </w:p>
        </w:tc>
        <w:tc>
          <w:tcPr>
            <w:tcW w:w="1926" w:type="dxa"/>
          </w:tcPr>
          <w:p>
            <w:pPr>
              <w:pStyle w:val="Compact"/>
              <w:spacing w:after="40"/>
              <w:jc w:val="left"/>
            </w:pPr>
            <w:r>
              <w:rPr>
                <w:sz w:val="18"/>
              </w:rPr>
              <w:t xml:space="preserve">p95 reads &lt; 300 ms; p95 writes &lt; 800 ms excluding third-party calls</w:t>
            </w:r>
          </w:p>
        </w:tc>
        <w:tc>
          <w:tcPr>
            <w:tcW w:w="1062" w:type="dxa"/>
          </w:tcPr>
          <w:p>
            <w:pPr>
              <w:pStyle w:val="Compact"/>
              <w:spacing w:after="40"/>
              <w:jc w:val="left"/>
            </w:pPr>
            <w:r>
              <w:rPr>
                <w:sz w:val="18"/>
              </w:rPr>
              <w:t xml:space="preserve">Monthly</w:t>
            </w:r>
          </w:p>
        </w:tc>
        <w:tc>
          <w:tcPr>
            <w:tcW w:w="1542" w:type="dxa"/>
          </w:tcPr>
          <w:p>
            <w:pPr>
              <w:pStyle w:val="Compact"/>
              <w:spacing w:after="40"/>
              <w:jc w:val="left"/>
            </w:pPr>
            <w:r>
              <w:rPr>
                <w:sz w:val="18"/>
              </w:rPr>
              <w:t xml:space="preserve">APM</w:t>
            </w:r>
          </w:p>
        </w:tc>
        <w:tc>
          <w:tcPr>
            <w:tcW w:w="1420" w:type="dxa"/>
          </w:tcPr>
          <w:p>
            <w:pPr>
              <w:pStyle w:val="Compact"/>
              <w:spacing w:after="40"/>
              <w:jc w:val="left"/>
            </w:pPr>
            <w:r>
              <w:rPr>
                <w:sz w:val="18"/>
              </w:rPr>
              <w:t xml:space="preserve">[1]%</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SL4</w:t>
            </w:r>
          </w:p>
        </w:tc>
        <w:tc>
          <w:tcPr>
            <w:tcW w:w="1581" w:type="dxa"/>
          </w:tcPr>
          <w:p>
            <w:pPr>
              <w:pStyle w:val="Compact"/>
              <w:spacing w:after="40"/>
              <w:jc w:val="left"/>
            </w:pPr>
            <w:r>
              <w:rPr>
                <w:rStyle w:val="VerbatimChar"/>
                <w:sz w:val="18"/>
              </w:rPr>
              <w:t xml:space="preserve">EligibilityCheck</w:t>
            </w:r>
            <w:r>
              <w:rPr>
                <w:sz w:val="18"/>
              </w:rPr>
              <w:t xml:space="preserve"> </w:t>
            </w:r>
            <w:r>
              <w:rPr>
                <w:sz w:val="18"/>
              </w:rPr>
              <w:t xml:space="preserve">round trip (LSP side)</w:t>
            </w:r>
          </w:p>
        </w:tc>
        <w:tc>
          <w:tcPr>
            <w:tcW w:w="1926" w:type="dxa"/>
          </w:tcPr>
          <w:p>
            <w:pPr>
              <w:pStyle w:val="Compact"/>
              <w:spacing w:after="40"/>
              <w:jc w:val="left"/>
            </w:pPr>
            <w:r>
              <w:rPr>
                <w:sz w:val="18"/>
              </w:rPr>
              <w:t xml:space="preserve">p95 ≤ 3 s</w:t>
            </w:r>
          </w:p>
        </w:tc>
        <w:tc>
          <w:tcPr>
            <w:tcW w:w="1062" w:type="dxa"/>
          </w:tcPr>
          <w:p>
            <w:pPr>
              <w:pStyle w:val="Compact"/>
              <w:spacing w:after="40"/>
              <w:jc w:val="left"/>
            </w:pPr>
            <w:r>
              <w:rPr>
                <w:sz w:val="18"/>
              </w:rPr>
              <w:t xml:space="preserve">Monthly</w:t>
            </w:r>
          </w:p>
        </w:tc>
        <w:tc>
          <w:tcPr>
            <w:tcW w:w="1542" w:type="dxa"/>
          </w:tcPr>
          <w:p>
            <w:pPr>
              <w:pStyle w:val="Compact"/>
              <w:spacing w:after="40"/>
              <w:jc w:val="left"/>
            </w:pPr>
            <w:r>
              <w:rPr>
                <w:sz w:val="18"/>
              </w:rPr>
              <w:t xml:space="preserve">Event logs</w:t>
            </w:r>
          </w:p>
        </w:tc>
        <w:tc>
          <w:tcPr>
            <w:tcW w:w="1420" w:type="dxa"/>
          </w:tcPr>
          <w:p>
            <w:pPr>
              <w:pStyle w:val="Compact"/>
              <w:spacing w:after="40"/>
              <w:jc w:val="left"/>
            </w:pPr>
            <w:r>
              <w:rPr>
                <w:sz w:val="18"/>
              </w:rPr>
              <w:t xml:space="preserve">[1]%</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SL5</w:t>
            </w:r>
          </w:p>
        </w:tc>
        <w:tc>
          <w:tcPr>
            <w:tcW w:w="1581" w:type="dxa"/>
          </w:tcPr>
          <w:p>
            <w:pPr>
              <w:pStyle w:val="Compact"/>
              <w:spacing w:after="40"/>
              <w:jc w:val="left"/>
            </w:pPr>
            <w:r>
              <w:rPr>
                <w:sz w:val="18"/>
              </w:rPr>
              <w:t xml:space="preserve">Event delivery to RE</w:t>
            </w:r>
          </w:p>
        </w:tc>
        <w:tc>
          <w:tcPr>
            <w:tcW w:w="1926" w:type="dxa"/>
          </w:tcPr>
          <w:p>
            <w:pPr>
              <w:pStyle w:val="Compact"/>
              <w:spacing w:after="40"/>
              <w:jc w:val="left"/>
            </w:pPr>
            <w:r>
              <w:rPr>
                <w:sz w:val="18"/>
              </w:rPr>
              <w:t xml:space="preserve">p95 ≤ 5 min; no event older than 72 h undelivered without alert</w:t>
            </w:r>
          </w:p>
        </w:tc>
        <w:tc>
          <w:tcPr>
            <w:tcW w:w="1062" w:type="dxa"/>
          </w:tcPr>
          <w:p>
            <w:pPr>
              <w:pStyle w:val="Compact"/>
              <w:spacing w:after="40"/>
              <w:jc w:val="left"/>
            </w:pPr>
            <w:r>
              <w:rPr>
                <w:sz w:val="18"/>
              </w:rPr>
              <w:t xml:space="preserve">Monthly</w:t>
            </w:r>
          </w:p>
        </w:tc>
        <w:tc>
          <w:tcPr>
            <w:tcW w:w="1542" w:type="dxa"/>
          </w:tcPr>
          <w:p>
            <w:pPr>
              <w:pStyle w:val="Compact"/>
              <w:spacing w:after="40"/>
              <w:jc w:val="left"/>
            </w:pPr>
            <w:r>
              <w:rPr>
                <w:sz w:val="18"/>
              </w:rPr>
              <w:t xml:space="preserve">Outbox logs</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SL6</w:t>
            </w:r>
          </w:p>
        </w:tc>
        <w:tc>
          <w:tcPr>
            <w:tcW w:w="1581" w:type="dxa"/>
          </w:tcPr>
          <w:p>
            <w:pPr>
              <w:pStyle w:val="Compact"/>
              <w:spacing w:after="40"/>
              <w:jc w:val="left"/>
            </w:pPr>
            <w:r>
              <w:rPr>
                <w:sz w:val="18"/>
              </w:rPr>
              <w:t xml:space="preserve">Daily reconciliation file</w:t>
            </w:r>
          </w:p>
        </w:tc>
        <w:tc>
          <w:tcPr>
            <w:tcW w:w="1926" w:type="dxa"/>
          </w:tcPr>
          <w:p>
            <w:pPr>
              <w:pStyle w:val="Compact"/>
              <w:spacing w:after="40"/>
              <w:jc w:val="left"/>
            </w:pPr>
            <w:r>
              <w:rPr>
                <w:sz w:val="18"/>
              </w:rPr>
              <w:t xml:space="preserve">Delivered by 06:00 IST</w:t>
            </w:r>
          </w:p>
        </w:tc>
        <w:tc>
          <w:tcPr>
            <w:tcW w:w="1062" w:type="dxa"/>
          </w:tcPr>
          <w:p>
            <w:pPr>
              <w:pStyle w:val="Compact"/>
              <w:spacing w:after="40"/>
              <w:jc w:val="left"/>
            </w:pPr>
            <w:r>
              <w:rPr>
                <w:sz w:val="18"/>
              </w:rPr>
              <w:t xml:space="preserve">100% of days</w:t>
            </w:r>
          </w:p>
        </w:tc>
        <w:tc>
          <w:tcPr>
            <w:tcW w:w="1542" w:type="dxa"/>
          </w:tcPr>
          <w:p>
            <w:pPr>
              <w:pStyle w:val="Compact"/>
              <w:spacing w:after="40"/>
              <w:jc w:val="left"/>
            </w:pPr>
            <w:r>
              <w:rPr>
                <w:sz w:val="18"/>
              </w:rPr>
              <w:t xml:space="preserve">File log</w:t>
            </w:r>
          </w:p>
        </w:tc>
        <w:tc>
          <w:tcPr>
            <w:tcW w:w="1420" w:type="dxa"/>
          </w:tcPr>
          <w:p>
            <w:pPr>
              <w:pStyle w:val="Compact"/>
              <w:spacing w:after="40"/>
              <w:jc w:val="left"/>
            </w:pPr>
            <w:r>
              <w:rPr>
                <w:sz w:val="18"/>
              </w:rPr>
              <w:t xml:space="preserve">[1]% per miss</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SL7</w:t>
            </w:r>
          </w:p>
        </w:tc>
        <w:tc>
          <w:tcPr>
            <w:tcW w:w="1581" w:type="dxa"/>
          </w:tcPr>
          <w:p>
            <w:pPr>
              <w:pStyle w:val="Compact"/>
              <w:spacing w:after="40"/>
              <w:jc w:val="left"/>
            </w:pPr>
            <w:r>
              <w:rPr>
                <w:sz w:val="18"/>
              </w:rPr>
              <w:t xml:space="preserve">Grievance acknowledgement</w:t>
            </w:r>
          </w:p>
        </w:tc>
        <w:tc>
          <w:tcPr>
            <w:tcW w:w="1926" w:type="dxa"/>
          </w:tcPr>
          <w:p>
            <w:pPr>
              <w:pStyle w:val="Compact"/>
              <w:spacing w:after="40"/>
              <w:jc w:val="left"/>
            </w:pPr>
            <w:r>
              <w:rPr>
                <w:sz w:val="18"/>
              </w:rPr>
              <w:t xml:space="preserve">Same working day</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Register</w:t>
            </w:r>
          </w:p>
        </w:tc>
        <w:tc>
          <w:tcPr>
            <w:tcW w:w="1420" w:type="dxa"/>
          </w:tcPr>
          <w:p>
            <w:pPr>
              <w:pStyle w:val="Compact"/>
              <w:spacing w:after="40"/>
              <w:jc w:val="left"/>
            </w:pPr>
            <w:r>
              <w:rPr>
                <w:sz w:val="18"/>
              </w:rPr>
              <w:t xml:space="preserve">[1]% per 1% shortfall</w:t>
            </w:r>
          </w:p>
        </w:tc>
        <w:tc>
          <w:tcPr>
            <w:tcW w:w="1425" w:type="dxa"/>
          </w:tcPr>
          <w:p>
            <w:pPr>
              <w:pStyle w:val="Compact"/>
              <w:spacing w:after="40"/>
              <w:jc w:val="left"/>
            </w:pPr>
            <w:r>
              <w:rPr>
                <w:sz w:val="18"/>
              </w:rPr>
              <w:t xml:space="preserve">[Option] (Schedule 9, Part C, step 1)</w:t>
            </w:r>
          </w:p>
        </w:tc>
      </w:tr>
      <w:tr>
        <w:tc>
          <w:tcPr>
            <w:tcW w:w="682" w:type="dxa"/>
          </w:tcPr>
          <w:p>
            <w:pPr>
              <w:pStyle w:val="Compact"/>
              <w:spacing w:after="40"/>
              <w:jc w:val="left"/>
            </w:pPr>
            <w:r>
              <w:rPr>
                <w:sz w:val="18"/>
              </w:rPr>
              <w:t xml:space="preserve">SL8</w:t>
            </w:r>
          </w:p>
        </w:tc>
        <w:tc>
          <w:tcPr>
            <w:tcW w:w="1581" w:type="dxa"/>
          </w:tcPr>
          <w:p>
            <w:pPr>
              <w:pStyle w:val="Compact"/>
              <w:spacing w:after="40"/>
              <w:jc w:val="left"/>
            </w:pPr>
            <w:r>
              <w:rPr>
                <w:sz w:val="18"/>
              </w:rPr>
              <w:t xml:space="preserve">Grievance forwarding to RE GRO</w:t>
            </w:r>
          </w:p>
        </w:tc>
        <w:tc>
          <w:tcPr>
            <w:tcW w:w="1926" w:type="dxa"/>
          </w:tcPr>
          <w:p>
            <w:pPr>
              <w:pStyle w:val="Compact"/>
              <w:spacing w:after="40"/>
              <w:jc w:val="left"/>
            </w:pPr>
            <w:r>
              <w:rPr>
                <w:sz w:val="18"/>
              </w:rPr>
              <w:t xml:space="preserve">≤ 1 hour from receipt, with delivery acknowledgement</w:t>
            </w:r>
          </w:p>
        </w:tc>
        <w:tc>
          <w:tcPr>
            <w:tcW w:w="1062" w:type="dxa"/>
          </w:tcPr>
          <w:p>
            <w:pPr>
              <w:pStyle w:val="Compact"/>
              <w:spacing w:after="40"/>
              <w:jc w:val="left"/>
            </w:pPr>
            <w:r>
              <w:rPr>
                <w:sz w:val="18"/>
              </w:rPr>
              <w:t xml:space="preserve">≥ 99%; never &gt; 1 working day</w:t>
            </w:r>
          </w:p>
        </w:tc>
        <w:tc>
          <w:tcPr>
            <w:tcW w:w="1542" w:type="dxa"/>
          </w:tcPr>
          <w:p>
            <w:pPr>
              <w:pStyle w:val="Compact"/>
              <w:spacing w:after="40"/>
              <w:jc w:val="left"/>
            </w:pPr>
            <w:r>
              <w:rPr>
                <w:sz w:val="18"/>
              </w:rPr>
              <w:t xml:space="preserve">Register</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[Mandatory — RBI] (CF para 12(3)–(4))</w:t>
            </w:r>
          </w:p>
        </w:tc>
      </w:tr>
      <w:tr>
        <w:tc>
          <w:tcPr>
            <w:tcW w:w="682" w:type="dxa"/>
          </w:tcPr>
          <w:p>
            <w:pPr>
              <w:pStyle w:val="Compact"/>
              <w:spacing w:after="40"/>
              <w:jc w:val="left"/>
            </w:pPr>
            <w:r>
              <w:rPr>
                <w:sz w:val="18"/>
              </w:rPr>
              <w:t xml:space="preserve">SL9</w:t>
            </w:r>
          </w:p>
        </w:tc>
        <w:tc>
          <w:tcPr>
            <w:tcW w:w="1581" w:type="dxa"/>
          </w:tcPr>
          <w:p>
            <w:pPr>
              <w:pStyle w:val="Compact"/>
              <w:spacing w:after="40"/>
              <w:jc w:val="left"/>
            </w:pPr>
            <w:r>
              <w:rPr>
                <w:sz w:val="18"/>
              </w:rPr>
              <w:t xml:space="preserve">LSP-only complaints resolution</w:t>
            </w:r>
          </w:p>
        </w:tc>
        <w:tc>
          <w:tcPr>
            <w:tcW w:w="1926" w:type="dxa"/>
          </w:tcPr>
          <w:p>
            <w:pPr>
              <w:pStyle w:val="Compact"/>
              <w:spacing w:after="40"/>
              <w:jc w:val="left"/>
            </w:pPr>
            <w:r>
              <w:rPr>
                <w:sz w:val="18"/>
              </w:rPr>
              <w:t xml:space="preserve">≤ 15 days</w:t>
            </w:r>
          </w:p>
        </w:tc>
        <w:tc>
          <w:tcPr>
            <w:tcW w:w="1062" w:type="dxa"/>
          </w:tcPr>
          <w:p>
            <w:pPr>
              <w:pStyle w:val="Compact"/>
              <w:spacing w:after="40"/>
              <w:jc w:val="left"/>
            </w:pPr>
            <w:r>
              <w:rPr>
                <w:sz w:val="18"/>
              </w:rPr>
              <w:t xml:space="preserve">≥ 95%</w:t>
            </w:r>
          </w:p>
        </w:tc>
        <w:tc>
          <w:tcPr>
            <w:tcW w:w="1542" w:type="dxa"/>
          </w:tcPr>
          <w:p>
            <w:pPr>
              <w:pStyle w:val="Compact"/>
              <w:spacing w:after="40"/>
              <w:jc w:val="left"/>
            </w:pPr>
            <w:r>
              <w:rPr>
                <w:sz w:val="18"/>
              </w:rPr>
              <w:t xml:space="preserve">Register</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SL10</w:t>
            </w:r>
          </w:p>
        </w:tc>
        <w:tc>
          <w:tcPr>
            <w:tcW w:w="1581" w:type="dxa"/>
          </w:tcPr>
          <w:p>
            <w:pPr>
              <w:pStyle w:val="Compact"/>
              <w:spacing w:after="40"/>
              <w:jc w:val="left"/>
            </w:pPr>
            <w:r>
              <w:rPr>
                <w:sz w:val="18"/>
              </w:rPr>
              <w:t xml:space="preserve">Data-principal request forwarding</w:t>
            </w:r>
          </w:p>
        </w:tc>
        <w:tc>
          <w:tcPr>
            <w:tcW w:w="1926" w:type="dxa"/>
          </w:tcPr>
          <w:p>
            <w:pPr>
              <w:pStyle w:val="Compact"/>
              <w:spacing w:after="40"/>
              <w:jc w:val="left"/>
            </w:pPr>
            <w:r>
              <w:rPr>
                <w:sz w:val="18"/>
              </w:rPr>
              <w:t xml:space="preserve">≤ 1 working day</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Request log</w:t>
            </w:r>
          </w:p>
        </w:tc>
        <w:tc>
          <w:tcPr>
            <w:tcW w:w="1420" w:type="dxa"/>
          </w:tcPr>
          <w:p>
            <w:pPr>
              <w:pStyle w:val="Compact"/>
              <w:spacing w:after="40"/>
              <w:jc w:val="left"/>
            </w:pPr>
            <w:r>
              <w:rPr>
                <w:sz w:val="18"/>
              </w:rPr>
              <w:t xml:space="preserve">[1]%</w:t>
            </w:r>
          </w:p>
        </w:tc>
        <w:tc>
          <w:tcPr>
            <w:tcW w:w="1425" w:type="dxa"/>
          </w:tcPr>
          <w:p>
            <w:pPr>
              <w:pStyle w:val="Compact"/>
              <w:spacing w:after="40"/>
              <w:jc w:val="left"/>
            </w:pPr>
            <w:r>
              <w:rPr>
                <w:sz w:val="18"/>
              </w:rPr>
              <w:t xml:space="preserve">[Mandatory — Law]</w:t>
            </w:r>
          </w:p>
        </w:tc>
      </w:tr>
      <w:tr>
        <w:tc>
          <w:tcPr>
            <w:tcW w:w="682" w:type="dxa"/>
          </w:tcPr>
          <w:p>
            <w:pPr>
              <w:pStyle w:val="Compact"/>
              <w:spacing w:after="40"/>
              <w:jc w:val="left"/>
            </w:pPr>
            <w:r>
              <w:rPr>
                <w:sz w:val="18"/>
              </w:rPr>
              <w:t xml:space="preserve">SL11</w:t>
            </w:r>
          </w:p>
        </w:tc>
        <w:tc>
          <w:tcPr>
            <w:tcW w:w="1581" w:type="dxa"/>
          </w:tcPr>
          <w:p>
            <w:pPr>
              <w:pStyle w:val="Compact"/>
              <w:spacing w:after="40"/>
              <w:jc w:val="left"/>
            </w:pPr>
            <w:r>
              <w:rPr>
                <w:sz w:val="18"/>
              </w:rPr>
              <w:t xml:space="preserve">Consent withdrawal propagation</w:t>
            </w:r>
          </w:p>
        </w:tc>
        <w:tc>
          <w:tcPr>
            <w:tcW w:w="1926" w:type="dxa"/>
          </w:tcPr>
          <w:p>
            <w:pPr>
              <w:pStyle w:val="Compact"/>
              <w:spacing w:after="40"/>
              <w:jc w:val="left"/>
            </w:pPr>
            <w:r>
              <w:rPr>
                <w:sz w:val="18"/>
              </w:rPr>
              <w:t xml:space="preserve">≤ 1 hour to all recipients</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Event log</w:t>
            </w:r>
          </w:p>
        </w:tc>
        <w:tc>
          <w:tcPr>
            <w:tcW w:w="1420" w:type="dxa"/>
          </w:tcPr>
          <w:p>
            <w:pPr>
              <w:pStyle w:val="Compact"/>
              <w:spacing w:after="40"/>
              <w:jc w:val="left"/>
            </w:pPr>
            <w:r>
              <w:rPr>
                <w:sz w:val="18"/>
              </w:rPr>
              <w:t xml:space="preserve">[1]%</w:t>
            </w:r>
          </w:p>
        </w:tc>
        <w:tc>
          <w:tcPr>
            <w:tcW w:w="1425" w:type="dxa"/>
          </w:tcPr>
          <w:p>
            <w:pPr>
              <w:pStyle w:val="Compact"/>
              <w:spacing w:after="40"/>
              <w:jc w:val="left"/>
            </w:pPr>
            <w:r>
              <w:rPr>
                <w:sz w:val="18"/>
              </w:rPr>
              <w:t xml:space="preserve">[Mandatory — RBI] (CF para 13(2))</w:t>
            </w:r>
          </w:p>
        </w:tc>
      </w:tr>
      <w:tr>
        <w:tc>
          <w:tcPr>
            <w:tcW w:w="682" w:type="dxa"/>
          </w:tcPr>
          <w:p>
            <w:pPr>
              <w:pStyle w:val="Compact"/>
              <w:spacing w:after="40"/>
              <w:jc w:val="left"/>
            </w:pPr>
            <w:r>
              <w:rPr>
                <w:sz w:val="18"/>
              </w:rPr>
              <w:t xml:space="preserve">SL12</w:t>
            </w:r>
          </w:p>
        </w:tc>
        <w:tc>
          <w:tcPr>
            <w:tcW w:w="1581" w:type="dxa"/>
          </w:tcPr>
          <w:p>
            <w:pPr>
              <w:pStyle w:val="Compact"/>
              <w:spacing w:after="40"/>
              <w:jc w:val="left"/>
            </w:pPr>
            <w:r>
              <w:rPr>
                <w:sz w:val="18"/>
              </w:rPr>
              <w:t xml:space="preserve">Data deletion on RE instruction or valid erasure</w:t>
            </w:r>
          </w:p>
        </w:tc>
        <w:tc>
          <w:tcPr>
            <w:tcW w:w="1926" w:type="dxa"/>
          </w:tcPr>
          <w:p>
            <w:pPr>
              <w:pStyle w:val="Compact"/>
              <w:spacing w:after="40"/>
              <w:jc w:val="left"/>
            </w:pPr>
            <w:r>
              <w:rPr>
                <w:sz w:val="18"/>
              </w:rPr>
              <w:t xml:space="preserve">≤ [3] working days; destruction certificate</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Deletion log</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[Mandatory — RBI/Law]</w:t>
            </w:r>
          </w:p>
        </w:tc>
      </w:tr>
      <w:tr>
        <w:tc>
          <w:tcPr>
            <w:tcW w:w="682" w:type="dxa"/>
          </w:tcPr>
          <w:p>
            <w:pPr>
              <w:pStyle w:val="Compact"/>
              <w:spacing w:after="40"/>
              <w:jc w:val="left"/>
            </w:pPr>
            <w:r>
              <w:rPr>
                <w:sz w:val="18"/>
              </w:rPr>
              <w:t xml:space="preserve">SL13</w:t>
            </w:r>
          </w:p>
        </w:tc>
        <w:tc>
          <w:tcPr>
            <w:tcW w:w="1581" w:type="dxa"/>
          </w:tcPr>
          <w:p>
            <w:pPr>
              <w:pStyle w:val="Compact"/>
              <w:spacing w:after="40"/>
              <w:jc w:val="left"/>
            </w:pPr>
            <w:r>
              <w:rPr>
                <w:sz w:val="18"/>
              </w:rPr>
              <w:t xml:space="preserve">Purge of transient KYC/bureau/AA data after RE acknowledgement</w:t>
            </w:r>
          </w:p>
        </w:tc>
        <w:tc>
          <w:tcPr>
            <w:tcW w:w="1926" w:type="dxa"/>
          </w:tcPr>
          <w:p>
            <w:pPr>
              <w:pStyle w:val="Compact"/>
              <w:spacing w:after="40"/>
              <w:jc w:val="left"/>
            </w:pPr>
            <w:r>
              <w:rPr>
                <w:sz w:val="18"/>
              </w:rPr>
              <w:t xml:space="preserve">On acknowledgement; in any event ≤ [7] days from capture</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Purge log</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[Mandatory — RBI] (CF para 14(1))</w:t>
            </w:r>
          </w:p>
        </w:tc>
      </w:tr>
      <w:tr>
        <w:tc>
          <w:tcPr>
            <w:tcW w:w="682" w:type="dxa"/>
          </w:tcPr>
          <w:p>
            <w:pPr>
              <w:pStyle w:val="Compact"/>
              <w:spacing w:after="40"/>
              <w:jc w:val="left"/>
            </w:pPr>
            <w:r>
              <w:rPr>
                <w:sz w:val="18"/>
              </w:rPr>
              <w:t xml:space="preserve">SL14</w:t>
            </w:r>
          </w:p>
        </w:tc>
        <w:tc>
          <w:tcPr>
            <w:tcW w:w="1581" w:type="dxa"/>
          </w:tcPr>
          <w:p>
            <w:pPr>
              <w:pStyle w:val="Compact"/>
              <w:spacing w:after="40"/>
              <w:jc w:val="left"/>
            </w:pPr>
            <w:r>
              <w:rPr>
                <w:sz w:val="18"/>
              </w:rPr>
              <w:t xml:space="preserve">Offshore processing repatriation</w:t>
            </w:r>
          </w:p>
        </w:tc>
        <w:tc>
          <w:tcPr>
            <w:tcW w:w="1926" w:type="dxa"/>
          </w:tcPr>
          <w:p>
            <w:pPr>
              <w:pStyle w:val="Compact"/>
              <w:spacing w:after="40"/>
              <w:jc w:val="left"/>
            </w:pPr>
            <w:r>
              <w:rPr>
                <w:sz w:val="18"/>
              </w:rPr>
              <w:t xml:space="preserve">≤ 24 hours</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Sub-processor attestations</w:t>
            </w:r>
          </w:p>
        </w:tc>
        <w:tc>
          <w:tcPr>
            <w:tcW w:w="1420" w:type="dxa"/>
          </w:tcPr>
          <w:p>
            <w:pPr>
              <w:pStyle w:val="Compact"/>
              <w:spacing w:after="40"/>
              <w:jc w:val="left"/>
            </w:pPr>
            <w:r>
              <w:rPr>
                <w:sz w:val="18"/>
              </w:rPr>
              <w:t xml:space="preserve">Material breach</w:t>
            </w:r>
          </w:p>
        </w:tc>
        <w:tc>
          <w:tcPr>
            <w:tcW w:w="1425" w:type="dxa"/>
          </w:tcPr>
          <w:p>
            <w:pPr>
              <w:pStyle w:val="Compact"/>
              <w:spacing w:after="40"/>
              <w:jc w:val="left"/>
            </w:pPr>
            <w:r>
              <w:rPr>
                <w:sz w:val="18"/>
              </w:rPr>
              <w:t xml:space="preserve">[Mandatory — RBI] (CF para 14(4))</w:t>
            </w:r>
          </w:p>
        </w:tc>
      </w:tr>
      <w:tr>
        <w:tc>
          <w:tcPr>
            <w:tcW w:w="682" w:type="dxa"/>
          </w:tcPr>
          <w:p>
            <w:pPr>
              <w:pStyle w:val="Compact"/>
              <w:spacing w:after="40"/>
              <w:jc w:val="left"/>
            </w:pPr>
            <w:r>
              <w:rPr>
                <w:sz w:val="18"/>
              </w:rPr>
              <w:t xml:space="preserve">SL15</w:t>
            </w:r>
          </w:p>
        </w:tc>
        <w:tc>
          <w:tcPr>
            <w:tcW w:w="1581" w:type="dxa"/>
          </w:tcPr>
          <w:p>
            <w:pPr>
              <w:pStyle w:val="Compact"/>
              <w:spacing w:after="40"/>
              <w:jc w:val="left"/>
            </w:pPr>
            <w:r>
              <w:rPr>
                <w:sz w:val="18"/>
              </w:rPr>
              <w:t xml:space="preserve">Incident notification (S1)</w:t>
            </w:r>
          </w:p>
        </w:tc>
        <w:tc>
          <w:tcPr>
            <w:tcW w:w="1926" w:type="dxa"/>
          </w:tcPr>
          <w:p>
            <w:pPr>
              <w:pStyle w:val="Compact"/>
              <w:spacing w:after="40"/>
              <w:jc w:val="left"/>
            </w:pPr>
            <w:r>
              <w:rPr>
                <w:sz w:val="18"/>
              </w:rPr>
              <w:t xml:space="preserve">≤ 2 hours from detection</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Incident log</w:t>
            </w:r>
          </w:p>
        </w:tc>
        <w:tc>
          <w:tcPr>
            <w:tcW w:w="1420" w:type="dxa"/>
          </w:tcPr>
          <w:p>
            <w:pPr>
              <w:pStyle w:val="Compact"/>
              <w:spacing w:after="40"/>
              <w:jc w:val="left"/>
            </w:pPr>
            <w:r>
              <w:rPr>
                <w:sz w:val="18"/>
              </w:rPr>
              <w:t xml:space="preserve">Material breach if &gt; 6 hours</w:t>
            </w:r>
          </w:p>
        </w:tc>
        <w:tc>
          <w:tcPr>
            <w:tcW w:w="1425" w:type="dxa"/>
          </w:tcPr>
          <w:p>
            <w:pPr>
              <w:pStyle w:val="Compact"/>
              <w:spacing w:after="40"/>
              <w:jc w:val="left"/>
            </w:pPr>
            <w:r>
              <w:rPr>
                <w:sz w:val="18"/>
              </w:rPr>
              <w:t xml:space="preserve">[Mandatory — RBI] (OUT para 61)</w:t>
            </w:r>
          </w:p>
        </w:tc>
      </w:tr>
      <w:tr>
        <w:tc>
          <w:tcPr>
            <w:tcW w:w="682" w:type="dxa"/>
          </w:tcPr>
          <w:p>
            <w:pPr>
              <w:pStyle w:val="Compact"/>
              <w:spacing w:after="40"/>
              <w:jc w:val="left"/>
            </w:pPr>
            <w:r>
              <w:rPr>
                <w:sz w:val="18"/>
              </w:rPr>
              <w:t xml:space="preserve">SL16</w:t>
            </w:r>
          </w:p>
        </w:tc>
        <w:tc>
          <w:tcPr>
            <w:tcW w:w="1581" w:type="dxa"/>
          </w:tcPr>
          <w:p>
            <w:pPr>
              <w:pStyle w:val="Compact"/>
              <w:spacing w:after="40"/>
              <w:jc w:val="left"/>
            </w:pPr>
            <w:r>
              <w:rPr>
                <w:sz w:val="18"/>
              </w:rPr>
              <w:t xml:space="preserve">DLA change notice to RE</w:t>
            </w:r>
          </w:p>
        </w:tc>
        <w:tc>
          <w:tcPr>
            <w:tcW w:w="1926" w:type="dxa"/>
          </w:tcPr>
          <w:p>
            <w:pPr>
              <w:pStyle w:val="Compact"/>
              <w:spacing w:after="40"/>
              <w:jc w:val="left"/>
            </w:pPr>
            <w:r>
              <w:rPr>
                <w:sz w:val="18"/>
              </w:rPr>
              <w:t xml:space="preserve">≥ [10] working days before planned change; ≤ [24] hours after an unplanned change or removal</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Change log</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[Mandatory — RBI] (CF para 18(2), (5))</w:t>
            </w:r>
          </w:p>
        </w:tc>
      </w:tr>
      <w:tr>
        <w:tc>
          <w:tcPr>
            <w:tcW w:w="682" w:type="dxa"/>
          </w:tcPr>
          <w:p>
            <w:pPr>
              <w:pStyle w:val="Compact"/>
              <w:spacing w:after="40"/>
              <w:jc w:val="left"/>
            </w:pPr>
            <w:r>
              <w:rPr>
                <w:sz w:val="18"/>
              </w:rPr>
              <w:t xml:space="preserve">SL17</w:t>
            </w:r>
          </w:p>
        </w:tc>
        <w:tc>
          <w:tcPr>
            <w:tcW w:w="1581" w:type="dxa"/>
          </w:tcPr>
          <w:p>
            <w:pPr>
              <w:pStyle w:val="Compact"/>
              <w:spacing w:after="40"/>
              <w:jc w:val="left"/>
            </w:pPr>
            <w:r>
              <w:rPr>
                <w:sz w:val="18"/>
              </w:rPr>
              <w:t xml:space="preserve">DLG monthly disclosure (if Schedule 11)</w:t>
            </w:r>
          </w:p>
        </w:tc>
        <w:tc>
          <w:tcPr>
            <w:tcW w:w="1926" w:type="dxa"/>
          </w:tcPr>
          <w:p>
            <w:pPr>
              <w:pStyle w:val="Compact"/>
              <w:spacing w:after="40"/>
              <w:jc w:val="left"/>
            </w:pPr>
            <w:r>
              <w:rPr>
                <w:sz w:val="18"/>
              </w:rPr>
              <w:t xml:space="preserve">Published ≤ 7 working days after month end</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Website archive</w:t>
            </w:r>
          </w:p>
        </w:tc>
        <w:tc>
          <w:tcPr>
            <w:tcW w:w="1420" w:type="dxa"/>
          </w:tcPr>
          <w:p>
            <w:pPr>
              <w:pStyle w:val="Compact"/>
              <w:spacing w:after="40"/>
              <w:jc w:val="left"/>
            </w:pPr>
            <w:r>
              <w:rPr>
                <w:sz w:val="18"/>
              </w:rPr>
              <w:t xml:space="preserve">Material breach</w:t>
            </w:r>
          </w:p>
        </w:tc>
        <w:tc>
          <w:tcPr>
            <w:tcW w:w="1425" w:type="dxa"/>
          </w:tcPr>
          <w:p>
            <w:pPr>
              <w:pStyle w:val="Compact"/>
              <w:spacing w:after="40"/>
              <w:jc w:val="left"/>
            </w:pPr>
            <w:r>
              <w:rPr>
                <w:sz w:val="18"/>
              </w:rPr>
              <w:t xml:space="preserve">[Mandatory — RBI] (CF para 28(2))</w:t>
            </w:r>
          </w:p>
        </w:tc>
      </w:tr>
      <w:tr>
        <w:tc>
          <w:tcPr>
            <w:tcW w:w="682" w:type="dxa"/>
          </w:tcPr>
          <w:p>
            <w:pPr>
              <w:pStyle w:val="Compact"/>
              <w:spacing w:after="40"/>
              <w:jc w:val="left"/>
            </w:pPr>
            <w:r>
              <w:rPr>
                <w:sz w:val="18"/>
              </w:rPr>
              <w:t xml:space="preserve">SL18</w:t>
            </w:r>
          </w:p>
        </w:tc>
        <w:tc>
          <w:tcPr>
            <w:tcW w:w="1581" w:type="dxa"/>
          </w:tcPr>
          <w:p>
            <w:pPr>
              <w:pStyle w:val="Compact"/>
              <w:spacing w:after="40"/>
              <w:jc w:val="left"/>
            </w:pPr>
            <w:r>
              <w:rPr>
                <w:sz w:val="18"/>
              </w:rPr>
              <w:t xml:space="preserve">Agent particulars before contact (if Schedule 10)</w:t>
            </w:r>
          </w:p>
        </w:tc>
        <w:tc>
          <w:tcPr>
            <w:tcW w:w="1926" w:type="dxa"/>
          </w:tcPr>
          <w:p>
            <w:pPr>
              <w:pStyle w:val="Compact"/>
              <w:spacing w:after="40"/>
              <w:jc w:val="left"/>
            </w:pPr>
            <w:r>
              <w:rPr>
                <w:sz w:val="18"/>
              </w:rPr>
              <w:t xml:space="preserve">100% of allocations</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Notice log</w:t>
            </w:r>
          </w:p>
        </w:tc>
        <w:tc>
          <w:tcPr>
            <w:tcW w:w="1420" w:type="dxa"/>
          </w:tcPr>
          <w:p>
            <w:pPr>
              <w:pStyle w:val="Compact"/>
              <w:spacing w:after="40"/>
              <w:jc w:val="left"/>
            </w:pPr>
            <w:r>
              <w:rPr>
                <w:sz w:val="18"/>
              </w:rPr>
              <w:t xml:space="preserve">Material breach</w:t>
            </w:r>
          </w:p>
        </w:tc>
        <w:tc>
          <w:tcPr>
            <w:tcW w:w="1425" w:type="dxa"/>
          </w:tcPr>
          <w:p>
            <w:pPr>
              <w:pStyle w:val="Compact"/>
              <w:spacing w:after="40"/>
              <w:jc w:val="left"/>
            </w:pPr>
            <w:r>
              <w:rPr>
                <w:sz w:val="18"/>
              </w:rPr>
              <w:t xml:space="preserve">[Mandatory — RBI] (CF para 9(6))</w:t>
            </w:r>
          </w:p>
        </w:tc>
      </w:tr>
      <w:tr>
        <w:tc>
          <w:tcPr>
            <w:tcW w:w="682" w:type="dxa"/>
          </w:tcPr>
          <w:p>
            <w:pPr>
              <w:pStyle w:val="Compact"/>
              <w:spacing w:after="40"/>
              <w:jc w:val="left"/>
            </w:pPr>
            <w:r>
              <w:rPr>
                <w:sz w:val="18"/>
              </w:rPr>
              <w:t xml:space="preserve">SL19</w:t>
            </w:r>
          </w:p>
        </w:tc>
        <w:tc>
          <w:tcPr>
            <w:tcW w:w="1581" w:type="dxa"/>
          </w:tcPr>
          <w:p>
            <w:pPr>
              <w:pStyle w:val="Compact"/>
              <w:spacing w:after="40"/>
              <w:jc w:val="left"/>
            </w:pPr>
            <w:r>
              <w:rPr>
                <w:sz w:val="18"/>
              </w:rPr>
              <w:t xml:space="preserve">Same-day cash posting (if Schedule 10)</w:t>
            </w:r>
          </w:p>
        </w:tc>
        <w:tc>
          <w:tcPr>
            <w:tcW w:w="1926" w:type="dxa"/>
          </w:tcPr>
          <w:p>
            <w:pPr>
              <w:pStyle w:val="Compact"/>
              <w:spacing w:after="40"/>
              <w:jc w:val="left"/>
            </w:pPr>
            <w:r>
              <w:rPr>
                <w:sz w:val="18"/>
              </w:rPr>
              <w:t xml:space="preserve">100%</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Cash ledger vs RE postings</w:t>
            </w:r>
          </w:p>
        </w:tc>
        <w:tc>
          <w:tcPr>
            <w:tcW w:w="1420" w:type="dxa"/>
          </w:tcPr>
          <w:p>
            <w:pPr>
              <w:pStyle w:val="Compact"/>
              <w:spacing w:after="40"/>
              <w:jc w:val="left"/>
            </w:pPr>
            <w:r>
              <w:rPr>
                <w:sz w:val="18"/>
              </w:rPr>
              <w:t xml:space="preserve">Material breach</w:t>
            </w:r>
          </w:p>
        </w:tc>
        <w:tc>
          <w:tcPr>
            <w:tcW w:w="1425" w:type="dxa"/>
          </w:tcPr>
          <w:p>
            <w:pPr>
              <w:pStyle w:val="Compact"/>
              <w:spacing w:after="40"/>
              <w:jc w:val="left"/>
            </w:pPr>
            <w:r>
              <w:rPr>
                <w:sz w:val="18"/>
              </w:rPr>
              <w:t xml:space="preserve">[Mandatory — RBI] (CF para 10(5))</w:t>
            </w:r>
          </w:p>
        </w:tc>
      </w:tr>
      <w:tr>
        <w:tc>
          <w:tcPr>
            <w:tcW w:w="682" w:type="dxa"/>
          </w:tcPr>
          <w:p>
            <w:pPr>
              <w:pStyle w:val="Compact"/>
              <w:spacing w:after="40"/>
              <w:jc w:val="left"/>
            </w:pPr>
            <w:r>
              <w:rPr>
                <w:sz w:val="18"/>
              </w:rPr>
              <w:t xml:space="preserve">SL20</w:t>
            </w:r>
          </w:p>
        </w:tc>
        <w:tc>
          <w:tcPr>
            <w:tcW w:w="1581" w:type="dxa"/>
          </w:tcPr>
          <w:p>
            <w:pPr>
              <w:pStyle w:val="Compact"/>
              <w:spacing w:after="40"/>
              <w:jc w:val="left"/>
            </w:pPr>
            <w:r>
              <w:rPr>
                <w:sz w:val="18"/>
              </w:rPr>
              <w:t xml:space="preserve">Out-of-window recovery contact (if Schedule 10)</w:t>
            </w:r>
          </w:p>
        </w:tc>
        <w:tc>
          <w:tcPr>
            <w:tcW w:w="1926" w:type="dxa"/>
          </w:tcPr>
          <w:p>
            <w:pPr>
              <w:pStyle w:val="Compact"/>
              <w:spacing w:after="40"/>
              <w:jc w:val="left"/>
            </w:pPr>
            <w:r>
              <w:rPr>
                <w:sz w:val="18"/>
              </w:rPr>
              <w:t xml:space="preserve">Zero</w:t>
            </w:r>
          </w:p>
        </w:tc>
        <w:tc>
          <w:tcPr>
            <w:tcW w:w="1062" w:type="dxa"/>
          </w:tcPr>
          <w:p>
            <w:pPr>
              <w:pStyle w:val="Compact"/>
              <w:spacing w:after="40"/>
              <w:jc w:val="left"/>
            </w:pPr>
            <w:r>
              <w:rPr>
                <w:sz w:val="18"/>
              </w:rPr>
              <w:t xml:space="preserve">Zero</w:t>
            </w:r>
          </w:p>
        </w:tc>
        <w:tc>
          <w:tcPr>
            <w:tcW w:w="1542" w:type="dxa"/>
          </w:tcPr>
          <w:p>
            <w:pPr>
              <w:pStyle w:val="Compact"/>
              <w:spacing w:after="40"/>
              <w:jc w:val="left"/>
            </w:pPr>
            <w:r>
              <w:rPr>
                <w:sz w:val="18"/>
              </w:rPr>
              <w:t xml:space="preserve">Contact evaluation log</w:t>
            </w:r>
          </w:p>
        </w:tc>
        <w:tc>
          <w:tcPr>
            <w:tcW w:w="1420" w:type="dxa"/>
          </w:tcPr>
          <w:p>
            <w:pPr>
              <w:pStyle w:val="Compact"/>
              <w:spacing w:after="40"/>
              <w:jc w:val="left"/>
            </w:pPr>
            <w:r>
              <w:rPr>
                <w:sz w:val="18"/>
              </w:rPr>
              <w:t xml:space="preserve">Material breach</w:t>
            </w:r>
          </w:p>
        </w:tc>
        <w:tc>
          <w:tcPr>
            <w:tcW w:w="1425" w:type="dxa"/>
          </w:tcPr>
          <w:p>
            <w:pPr>
              <w:pStyle w:val="Compact"/>
              <w:spacing w:after="40"/>
              <w:jc w:val="left"/>
            </w:pPr>
            <w:r>
              <w:rPr>
                <w:sz w:val="18"/>
              </w:rPr>
              <w:t xml:space="preserve">[Mandatory — RBI] (RBC para 100; RBC-3A para 100Y)</w:t>
            </w:r>
          </w:p>
        </w:tc>
      </w:tr>
      <w:tr>
        <w:tc>
          <w:tcPr>
            <w:tcW w:w="682" w:type="dxa"/>
          </w:tcPr>
          <w:p>
            <w:pPr>
              <w:pStyle w:val="Compact"/>
              <w:spacing w:after="40"/>
              <w:jc w:val="left"/>
            </w:pPr>
            <w:r>
              <w:rPr>
                <w:sz w:val="18"/>
              </w:rPr>
              <w:t xml:space="preserve">SL21</w:t>
            </w:r>
          </w:p>
        </w:tc>
        <w:tc>
          <w:tcPr>
            <w:tcW w:w="1581" w:type="dxa"/>
          </w:tcPr>
          <w:p>
            <w:pPr>
              <w:pStyle w:val="Compact"/>
              <w:spacing w:after="40"/>
              <w:jc w:val="left"/>
            </w:pPr>
            <w:r>
              <w:rPr>
                <w:sz w:val="18"/>
              </w:rPr>
              <w:t xml:space="preserve">Critical vulnerability remediation</w:t>
            </w:r>
          </w:p>
        </w:tc>
        <w:tc>
          <w:tcPr>
            <w:tcW w:w="1926" w:type="dxa"/>
          </w:tcPr>
          <w:p>
            <w:pPr>
              <w:pStyle w:val="Compact"/>
              <w:spacing w:after="40"/>
              <w:jc w:val="left"/>
            </w:pPr>
            <w:r>
              <w:rPr>
                <w:sz w:val="18"/>
              </w:rPr>
              <w:t xml:space="preserve">≤ [7] days</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Tracker</w:t>
            </w:r>
          </w:p>
        </w:tc>
        <w:tc>
          <w:tcPr>
            <w:tcW w:w="1420" w:type="dxa"/>
          </w:tcPr>
          <w:p>
            <w:pPr>
              <w:pStyle w:val="Compact"/>
              <w:spacing w:after="40"/>
              <w:jc w:val="left"/>
            </w:pPr>
            <w:r>
              <w:rPr>
                <w:sz w:val="18"/>
              </w:rPr>
              <w:t xml:space="preserve">[2]%</w:t>
            </w:r>
          </w:p>
        </w:tc>
        <w:tc>
          <w:tcPr>
            <w:tcW w:w="1425" w:type="dxa"/>
          </w:tcPr>
          <w:p>
            <w:pPr>
              <w:pStyle w:val="Compact"/>
              <w:spacing w:after="40"/>
              <w:jc w:val="left"/>
            </w:pPr>
            <w:r>
              <w:rPr>
                <w:sz w:val="18"/>
              </w:rPr>
              <w:t xml:space="preserve">[Option] (CYB para 125)</w:t>
            </w:r>
          </w:p>
        </w:tc>
      </w:tr>
      <w:tr>
        <w:tc>
          <w:tcPr>
            <w:tcW w:w="682" w:type="dxa"/>
          </w:tcPr>
          <w:p>
            <w:pPr>
              <w:pStyle w:val="Compact"/>
              <w:spacing w:after="40"/>
              <w:jc w:val="left"/>
            </w:pPr>
            <w:r>
              <w:rPr>
                <w:sz w:val="18"/>
              </w:rPr>
              <w:t xml:space="preserve">SL22</w:t>
            </w:r>
          </w:p>
        </w:tc>
        <w:tc>
          <w:tcPr>
            <w:tcW w:w="1581" w:type="dxa"/>
          </w:tcPr>
          <w:p>
            <w:pPr>
              <w:pStyle w:val="Compact"/>
              <w:spacing w:after="40"/>
              <w:jc w:val="left"/>
            </w:pPr>
            <w:r>
              <w:rPr>
                <w:sz w:val="18"/>
              </w:rPr>
              <w:t xml:space="preserve">Monthly MIS and reports</w:t>
            </w:r>
          </w:p>
        </w:tc>
        <w:tc>
          <w:tcPr>
            <w:tcW w:w="1926" w:type="dxa"/>
          </w:tcPr>
          <w:p>
            <w:pPr>
              <w:pStyle w:val="Compact"/>
              <w:spacing w:after="40"/>
              <w:jc w:val="left"/>
            </w:pPr>
            <w:r>
              <w:rPr>
                <w:sz w:val="18"/>
              </w:rPr>
              <w:t xml:space="preserve">Per Schedule 19</w:t>
            </w:r>
          </w:p>
        </w:tc>
        <w:tc>
          <w:tcPr>
            <w:tcW w:w="1062" w:type="dxa"/>
          </w:tcPr>
          <w:p>
            <w:pPr>
              <w:pStyle w:val="Compact"/>
              <w:spacing w:after="40"/>
              <w:jc w:val="left"/>
            </w:pPr>
            <w:r>
              <w:rPr>
                <w:sz w:val="18"/>
              </w:rPr>
              <w:t xml:space="preserve">100%</w:t>
            </w:r>
          </w:p>
        </w:tc>
        <w:tc>
          <w:tcPr>
            <w:tcW w:w="1542" w:type="dxa"/>
          </w:tcPr>
          <w:p>
            <w:pPr>
              <w:pStyle w:val="Compact"/>
              <w:spacing w:after="40"/>
              <w:jc w:val="left"/>
            </w:pPr>
            <w:r>
              <w:rPr>
                <w:sz w:val="18"/>
              </w:rPr>
              <w:t xml:space="preserve">Delivery log</w:t>
            </w:r>
          </w:p>
        </w:tc>
        <w:tc>
          <w:tcPr>
            <w:tcW w:w="1420" w:type="dxa"/>
          </w:tcPr>
          <w:p>
            <w:pPr>
              <w:pStyle w:val="Compact"/>
              <w:spacing w:after="40"/>
              <w:jc w:val="left"/>
            </w:pPr>
            <w:r>
              <w:rPr>
                <w:sz w:val="18"/>
              </w:rPr>
              <w:t xml:space="preserve">[1]% per late report</w:t>
            </w:r>
          </w:p>
        </w:tc>
        <w:tc>
          <w:tcPr>
            <w:tcW w:w="1425" w:type="dxa"/>
          </w:tcPr>
          <w:p>
            <w:pPr>
              <w:pStyle w:val="Compact"/>
              <w:spacing w:after="40"/>
              <w:jc w:val="left"/>
            </w:pPr>
            <w:r>
              <w:rPr>
                <w:sz w:val="18"/>
              </w:rPr>
              <w:t xml:space="preserve">[Option]</w:t>
            </w:r>
          </w:p>
        </w:tc>
      </w:tr>
      <w:tr>
        <w:tc>
          <w:tcPr>
            <w:tcW w:w="682" w:type="dxa"/>
          </w:tcPr>
          <w:p>
            <w:pPr>
              <w:pStyle w:val="Compact"/>
              <w:spacing w:after="40"/>
              <w:jc w:val="left"/>
            </w:pPr>
            <w:r>
              <w:rPr>
                <w:sz w:val="18"/>
              </w:rPr>
              <w:t xml:space="preserve">SL23</w:t>
            </w:r>
          </w:p>
        </w:tc>
        <w:tc>
          <w:tcPr>
            <w:tcW w:w="1581" w:type="dxa"/>
          </w:tcPr>
          <w:p>
            <w:pPr>
              <w:pStyle w:val="Compact"/>
              <w:spacing w:after="40"/>
              <w:jc w:val="left"/>
            </w:pPr>
            <w:r>
              <w:rPr>
                <w:sz w:val="18"/>
              </w:rPr>
              <w:t xml:space="preserve">Support response (RE-reported issues)</w:t>
            </w:r>
          </w:p>
        </w:tc>
        <w:tc>
          <w:tcPr>
            <w:tcW w:w="1926" w:type="dxa"/>
          </w:tcPr>
          <w:p>
            <w:pPr>
              <w:pStyle w:val="Compact"/>
              <w:spacing w:after="40"/>
              <w:jc w:val="left"/>
            </w:pPr>
            <w:r>
              <w:rPr>
                <w:sz w:val="18"/>
              </w:rPr>
              <w:t xml:space="preserve">P1: 15 min response / 4 h restore; P2: 1 h / 1 working day; P3: 4 h / 5 working days</w:t>
            </w:r>
          </w:p>
        </w:tc>
        <w:tc>
          <w:tcPr>
            <w:tcW w:w="1062" w:type="dxa"/>
          </w:tcPr>
          <w:p>
            <w:pPr>
              <w:pStyle w:val="Compact"/>
              <w:spacing w:after="40"/>
              <w:jc w:val="left"/>
            </w:pPr>
            <w:r>
              <w:rPr>
                <w:sz w:val="18"/>
              </w:rPr>
              <w:t xml:space="preserve">≥ 95%</w:t>
            </w:r>
          </w:p>
        </w:tc>
        <w:tc>
          <w:tcPr>
            <w:tcW w:w="1542" w:type="dxa"/>
          </w:tcPr>
          <w:p>
            <w:pPr>
              <w:pStyle w:val="Compact"/>
              <w:spacing w:after="40"/>
              <w:jc w:val="left"/>
            </w:pPr>
            <w:r>
              <w:rPr>
                <w:sz w:val="18"/>
              </w:rPr>
              <w:t xml:space="preserve">Ticketing</w:t>
            </w:r>
          </w:p>
        </w:tc>
        <w:tc>
          <w:tcPr>
            <w:tcW w:w="1420" w:type="dxa"/>
          </w:tcPr>
          <w:p>
            <w:pPr>
              <w:pStyle w:val="Compact"/>
              <w:spacing w:after="40"/>
              <w:jc w:val="left"/>
            </w:pPr>
            <w:r>
              <w:rPr>
                <w:sz w:val="18"/>
              </w:rPr>
              <w:t xml:space="preserve">[1]%</w:t>
            </w:r>
          </w:p>
        </w:tc>
        <w:tc>
          <w:tcPr>
            <w:tcW w:w="1425" w:type="dxa"/>
          </w:tcPr>
          <w:p>
            <w:pPr>
              <w:pStyle w:val="Compact"/>
              <w:spacing w:after="40"/>
              <w:jc w:val="left"/>
            </w:pPr>
            <w:r>
              <w:rPr>
                <w:sz w:val="18"/>
              </w:rPr>
              <w:t xml:space="preserve">[Option] (CYB para 104)</w:t>
            </w:r>
          </w:p>
        </w:tc>
      </w:tr>
    </w:tbl>
    <w:p>
      <w:pPr>
        <w:pStyle w:val="BodyText"/>
      </w:pPr>
      <w:r>
        <w:rPr>
          <w:bCs/>
          <w:b/>
        </w:rPr>
        <w:t xml:space="preserve">18.1 Cap on credits. [Option]</w:t>
      </w:r>
      <w:r>
        <w:t xml:space="preserve"> </w:t>
      </w:r>
      <w:r>
        <w:t xml:space="preserve">Service credits in any month are capped at [15]% of the fees for that month and are the RE’s [sole financial remedy for the SL breach concerned / without prejudice to other remedies], save that for any SL marked [Mandatory] credits are never a sole or exclusive remedy (Clauses 1.5, 32.3); repeated failure (any SL missed in [3] consecutive months, or any</w:t>
      </w:r>
      <w:r>
        <w:t xml:space="preserve"> </w:t>
      </w:r>
      <w:r>
        <w:t xml:space="preserve">“</w:t>
      </w:r>
      <w:r>
        <w:t xml:space="preserve">material breach</w:t>
      </w:r>
      <w:r>
        <w:t xml:space="preserve">”</w:t>
      </w:r>
      <w:r>
        <w:t xml:space="preserve"> </w:t>
      </w:r>
      <w:r>
        <w:t xml:space="preserve">item) entitles the RE to terminate under Article 30.</w:t>
      </w:r>
    </w:p>
    <w:p>
      <w:pPr>
        <w:pStyle w:val="BodyText"/>
      </w:pPr>
      <w:r>
        <w:rPr>
          <w:bCs/>
          <w:b/>
        </w:rPr>
        <w:t xml:space="preserve">18.2 Exclusions. [Option]</w:t>
      </w:r>
      <w:r>
        <w:t xml:space="preserve"> </w:t>
      </w:r>
      <w:r>
        <w:t xml:space="preserve">Scheduled maintenance notified [5] working days ahead and performed between 01:00 and 05:00 IST; failures caused by the RE’s systems or by force majeure under Article 36; never excluded: SL8, SL11, SL14, SL15, SL17–SL20.</w:t>
      </w:r>
    </w:p>
    <w:p>
      <w:pPr>
        <w:pStyle w:val="BodyText"/>
      </w:pPr>
      <w:r>
        <w:rPr>
          <w:bCs/>
          <w:b/>
        </w:rPr>
        <w:t xml:space="preserve">18.3 Reporting. [Mandatory — RBI]</w:t>
      </w:r>
      <w:r>
        <w:t xml:space="preserve"> </w:t>
      </w:r>
      <w:r>
        <w:t xml:space="preserve">The LSP shall provide a monthly service-level report with dashboards of performance, uptime, availability, SLA adherence and incident response (OUT para 75; Schedule 19, item R2).</w:t>
      </w:r>
    </w:p>
    <w:p>
      <w:r>
        <w:pict>
          <v:rect style="width:0;height:1.5pt" o:hralign="center" o:hrstd="t" o:hr="t"/>
        </w:pict>
      </w:r>
    </w:p>
    <w:p>
      <w:r>
        <w:br w:type="page"/>
      </w:r>
    </w:p>
    <w:bookmarkEnd w:id="115"/>
    <w:bookmarkEnd w:id="116"/>
    <w:bookmarkStart w:id="117" w:name="schedule-19-reporting-calendar"/>
    <w:p>
      <w:pPr>
        <w:pStyle w:val="Heading1"/>
      </w:pPr>
      <w:r>
        <w:t xml:space="preserve">SCHEDULE 19 — Reporting Calendar</w:t>
      </w:r>
    </w:p>
    <w:p>
      <w:pPr>
        <w:pStyle w:val="FirstParagraph"/>
      </w:pPr>
      <w:r>
        <w:rPr>
          <w:iCs/>
          <w:i/>
        </w:rPr>
        <w:t xml:space="preserve">Drafting note: This Schedule implements Article 18 (Regulatory Reporting and CIMS) and Article 32 (Governance and Reporting).</w:t>
      </w:r>
      <w:r>
        <w:rPr>
          <w:iCs/>
          <w:i/>
        </w:rPr>
        <w:t xml:space="preserve"> </w:t>
      </w:r>
      <w:r>
        <w:rPr>
          <w:iCs/>
          <w:i/>
        </w:rPr>
        <w:t xml:space="preserve">“</w:t>
      </w:r>
      <w:r>
        <w:rPr>
          <w:iCs/>
          <w:i/>
        </w:rPr>
        <w:t xml:space="preserve">WD</w:t>
      </w:r>
      <w:r>
        <w:rPr>
          <w:iCs/>
          <w:i/>
        </w:rPr>
        <w:t xml:space="preserve">”</w:t>
      </w:r>
      <w:r>
        <w:rPr>
          <w:iCs/>
          <w:i/>
        </w:rPr>
        <w:t xml:space="preserve"> </w:t>
      </w:r>
      <w:r>
        <w:rPr>
          <w:iCs/>
          <w:i/>
        </w:rPr>
        <w:t xml:space="preserve">= working day of the RE.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23"/>
        <w:gridCol w:w="1419"/>
        <w:gridCol w:w="1036"/>
        <w:gridCol w:w="1359"/>
        <w:gridCol w:w="1878"/>
        <w:gridCol w:w="2176"/>
        <w:gridCol w:w="1147"/>
      </w:tblGrid>
      <w:tr>
        <w:trPr>
          <w:tblHeader w:val="true"/>
          <w:tblHeader w:val="true"/>
        </w:trPr>
        <w:tc>
          <w:tcPr>
            <w:tcW w:w="623" w:type="dxa"/>
            <w:shd w:val="clear" w:color="auto" w:fill="1F3A5F"/>
          </w:tcPr>
          <w:p>
            <w:pPr>
              <w:pStyle w:val="Compact"/>
              <w:spacing w:after="40"/>
              <w:jc w:val="left"/>
            </w:pPr>
            <w:r>
              <w:rPr>
                <w:b/>
                <w:color w:val="FFFFFF"/>
                <w:sz w:val="18"/>
              </w:rPr>
              <w:t xml:space="preserve">Ref</w:t>
            </w:r>
          </w:p>
        </w:tc>
        <w:tc>
          <w:tcPr>
            <w:tcW w:w="1419" w:type="dxa"/>
            <w:shd w:val="clear" w:color="auto" w:fill="1F3A5F"/>
          </w:tcPr>
          <w:p>
            <w:pPr>
              <w:pStyle w:val="Compact"/>
              <w:spacing w:after="40"/>
              <w:jc w:val="left"/>
            </w:pPr>
            <w:r>
              <w:rPr>
                <w:b/>
                <w:color w:val="FFFFFF"/>
                <w:sz w:val="18"/>
              </w:rPr>
              <w:t xml:space="preserve">Report or filing</w:t>
            </w:r>
          </w:p>
        </w:tc>
        <w:tc>
          <w:tcPr>
            <w:tcW w:w="1036" w:type="dxa"/>
            <w:shd w:val="clear" w:color="auto" w:fill="1F3A5F"/>
          </w:tcPr>
          <w:p>
            <w:pPr>
              <w:pStyle w:val="Compact"/>
              <w:spacing w:after="40"/>
              <w:jc w:val="left"/>
            </w:pPr>
            <w:r>
              <w:rPr>
                <w:b/>
                <w:color w:val="FFFFFF"/>
                <w:sz w:val="18"/>
              </w:rPr>
              <w:t xml:space="preserve">From → To</w:t>
            </w:r>
          </w:p>
        </w:tc>
        <w:tc>
          <w:tcPr>
            <w:tcW w:w="1359" w:type="dxa"/>
            <w:shd w:val="clear" w:color="auto" w:fill="1F3A5F"/>
          </w:tcPr>
          <w:p>
            <w:pPr>
              <w:pStyle w:val="Compact"/>
              <w:spacing w:after="40"/>
              <w:jc w:val="left"/>
            </w:pPr>
            <w:r>
              <w:rPr>
                <w:b/>
                <w:color w:val="FFFFFF"/>
                <w:sz w:val="18"/>
              </w:rPr>
              <w:t xml:space="preserve">Frequency</w:t>
            </w:r>
          </w:p>
        </w:tc>
        <w:tc>
          <w:tcPr>
            <w:tcW w:w="1878" w:type="dxa"/>
            <w:shd w:val="clear" w:color="auto" w:fill="1F3A5F"/>
          </w:tcPr>
          <w:p>
            <w:pPr>
              <w:pStyle w:val="Compact"/>
              <w:spacing w:after="40"/>
              <w:jc w:val="left"/>
            </w:pPr>
            <w:r>
              <w:rPr>
                <w:b/>
                <w:color w:val="FFFFFF"/>
                <w:sz w:val="18"/>
              </w:rPr>
              <w:t xml:space="preserve">Due</w:t>
            </w:r>
          </w:p>
        </w:tc>
        <w:tc>
          <w:tcPr>
            <w:tcW w:w="2176" w:type="dxa"/>
            <w:shd w:val="clear" w:color="auto" w:fill="1F3A5F"/>
          </w:tcPr>
          <w:p>
            <w:pPr>
              <w:pStyle w:val="Compact"/>
              <w:spacing w:after="40"/>
              <w:jc w:val="left"/>
            </w:pPr>
            <w:r>
              <w:rPr>
                <w:b/>
                <w:color w:val="FFFFFF"/>
                <w:sz w:val="18"/>
              </w:rPr>
              <w:t xml:space="preserve">Content</w:t>
            </w:r>
          </w:p>
        </w:tc>
        <w:tc>
          <w:tcPr>
            <w:tcW w:w="1147" w:type="dxa"/>
            <w:shd w:val="clear" w:color="auto" w:fill="1F3A5F"/>
          </w:tcPr>
          <w:p>
            <w:pPr>
              <w:pStyle w:val="Compact"/>
              <w:spacing w:after="40"/>
              <w:jc w:val="left"/>
            </w:pPr>
            <w:r>
              <w:rPr>
                <w:b/>
                <w:color w:val="FFFFFF"/>
                <w:sz w:val="18"/>
              </w:rPr>
              <w:t xml:space="preserve">Source</w:t>
            </w:r>
          </w:p>
        </w:tc>
      </w:tr>
      <w:tr>
        <w:tc>
          <w:tcPr>
            <w:tcW w:w="623" w:type="dxa"/>
          </w:tcPr>
          <w:p>
            <w:pPr>
              <w:pStyle w:val="Compact"/>
              <w:spacing w:after="40"/>
              <w:jc w:val="left"/>
            </w:pPr>
            <w:r>
              <w:rPr>
                <w:sz w:val="18"/>
              </w:rPr>
              <w:t xml:space="preserve">R1</w:t>
            </w:r>
          </w:p>
        </w:tc>
        <w:tc>
          <w:tcPr>
            <w:tcW w:w="1419" w:type="dxa"/>
          </w:tcPr>
          <w:p>
            <w:pPr>
              <w:pStyle w:val="Compact"/>
              <w:spacing w:after="40"/>
              <w:jc w:val="left"/>
            </w:pPr>
            <w:r>
              <w:rPr>
                <w:sz w:val="18"/>
              </w:rPr>
              <w:t xml:space="preserve">DLG portfolio disclosure on LSP website (if Schedule 11)</w:t>
            </w:r>
          </w:p>
        </w:tc>
        <w:tc>
          <w:tcPr>
            <w:tcW w:w="1036" w:type="dxa"/>
          </w:tcPr>
          <w:p>
            <w:pPr>
              <w:pStyle w:val="Compact"/>
              <w:spacing w:after="40"/>
              <w:jc w:val="left"/>
            </w:pPr>
            <w:r>
              <w:rPr>
                <w:sz w:val="18"/>
              </w:rPr>
              <w:t xml:space="preserve">LSP → public; URL and hash to RE</w:t>
            </w:r>
          </w:p>
        </w:tc>
        <w:tc>
          <w:tcPr>
            <w:tcW w:w="1359" w:type="dxa"/>
          </w:tcPr>
          <w:p>
            <w:pPr>
              <w:pStyle w:val="Compact"/>
              <w:spacing w:after="40"/>
              <w:jc w:val="left"/>
            </w:pPr>
            <w:r>
              <w:rPr>
                <w:sz w:val="18"/>
              </w:rPr>
              <w:t xml:space="preserve">Monthly</w:t>
            </w:r>
          </w:p>
        </w:tc>
        <w:tc>
          <w:tcPr>
            <w:tcW w:w="1878" w:type="dxa"/>
          </w:tcPr>
          <w:p>
            <w:pPr>
              <w:pStyle w:val="Compact"/>
              <w:spacing w:after="40"/>
              <w:jc w:val="left"/>
            </w:pPr>
            <w:r>
              <w:rPr>
                <w:sz w:val="18"/>
              </w:rPr>
              <w:t xml:space="preserve">≤ 7 WD after month end</w:t>
            </w:r>
          </w:p>
        </w:tc>
        <w:tc>
          <w:tcPr>
            <w:tcW w:w="2176" w:type="dxa"/>
          </w:tcPr>
          <w:p>
            <w:pPr>
              <w:pStyle w:val="Compact"/>
              <w:spacing w:after="40"/>
              <w:jc w:val="left"/>
            </w:pPr>
            <w:r>
              <w:rPr>
                <w:sz w:val="18"/>
              </w:rPr>
              <w:t xml:space="preserve">Annexure 11C</w:t>
            </w:r>
          </w:p>
        </w:tc>
        <w:tc>
          <w:tcPr>
            <w:tcW w:w="1147" w:type="dxa"/>
          </w:tcPr>
          <w:p>
            <w:pPr>
              <w:pStyle w:val="Compact"/>
              <w:spacing w:after="40"/>
              <w:jc w:val="left"/>
            </w:pPr>
            <w:r>
              <w:rPr>
                <w:sz w:val="18"/>
              </w:rPr>
              <w:t xml:space="preserve">CF para 28</w:t>
            </w:r>
          </w:p>
        </w:tc>
      </w:tr>
      <w:tr>
        <w:tc>
          <w:tcPr>
            <w:tcW w:w="623" w:type="dxa"/>
          </w:tcPr>
          <w:p>
            <w:pPr>
              <w:pStyle w:val="Compact"/>
              <w:spacing w:after="40"/>
              <w:jc w:val="left"/>
            </w:pPr>
            <w:r>
              <w:rPr>
                <w:sz w:val="18"/>
              </w:rPr>
              <w:t xml:space="preserve">R1A</w:t>
            </w:r>
          </w:p>
        </w:tc>
        <w:tc>
          <w:tcPr>
            <w:tcW w:w="1419" w:type="dxa"/>
          </w:tcPr>
          <w:p>
            <w:pPr>
              <w:pStyle w:val="Compact"/>
              <w:spacing w:after="40"/>
              <w:jc w:val="left"/>
            </w:pPr>
            <w:r>
              <w:rPr>
                <w:sz w:val="18"/>
              </w:rPr>
              <w:t xml:space="preserve">DLG coverage statement</w:t>
            </w:r>
          </w:p>
        </w:tc>
        <w:tc>
          <w:tcPr>
            <w:tcW w:w="1036" w:type="dxa"/>
          </w:tcPr>
          <w:p>
            <w:pPr>
              <w:pStyle w:val="Compact"/>
              <w:spacing w:after="40"/>
              <w:jc w:val="left"/>
            </w:pPr>
            <w:r>
              <w:rPr>
                <w:sz w:val="18"/>
              </w:rPr>
              <w:t xml:space="preserve">RE → LSP</w:t>
            </w:r>
          </w:p>
        </w:tc>
        <w:tc>
          <w:tcPr>
            <w:tcW w:w="1359" w:type="dxa"/>
          </w:tcPr>
          <w:p>
            <w:pPr>
              <w:pStyle w:val="Compact"/>
              <w:spacing w:after="40"/>
              <w:jc w:val="left"/>
            </w:pPr>
            <w:r>
              <w:rPr>
                <w:sz w:val="18"/>
              </w:rPr>
              <w:t xml:space="preserve">Monthly</w:t>
            </w:r>
          </w:p>
        </w:tc>
        <w:tc>
          <w:tcPr>
            <w:tcW w:w="1878" w:type="dxa"/>
          </w:tcPr>
          <w:p>
            <w:pPr>
              <w:pStyle w:val="Compact"/>
              <w:spacing w:after="40"/>
              <w:jc w:val="left"/>
            </w:pPr>
            <w:r>
              <w:rPr>
                <w:sz w:val="18"/>
              </w:rPr>
              <w:t xml:space="preserve">≤ 3 WD after month end</w:t>
            </w:r>
          </w:p>
        </w:tc>
        <w:tc>
          <w:tcPr>
            <w:tcW w:w="2176" w:type="dxa"/>
          </w:tcPr>
          <w:p>
            <w:pPr>
              <w:pStyle w:val="Compact"/>
              <w:spacing w:after="40"/>
              <w:jc w:val="left"/>
            </w:pPr>
            <w:r>
              <w:rPr>
                <w:sz w:val="18"/>
              </w:rPr>
              <w:t xml:space="preserve">Disbursed, cap, cover, invoked, remaining per DLG Set</w:t>
            </w:r>
          </w:p>
        </w:tc>
        <w:tc>
          <w:tcPr>
            <w:tcW w:w="1147" w:type="dxa"/>
          </w:tcPr>
          <w:p>
            <w:pPr>
              <w:pStyle w:val="Compact"/>
              <w:spacing w:after="40"/>
              <w:jc w:val="left"/>
            </w:pPr>
            <w:r>
              <w:rPr>
                <w:sz w:val="18"/>
              </w:rPr>
              <w:t xml:space="preserve">Schedule 11, para 11.11</w:t>
            </w:r>
          </w:p>
        </w:tc>
      </w:tr>
      <w:tr>
        <w:tc>
          <w:tcPr>
            <w:tcW w:w="623" w:type="dxa"/>
          </w:tcPr>
          <w:p>
            <w:pPr>
              <w:pStyle w:val="Compact"/>
              <w:spacing w:after="40"/>
              <w:jc w:val="left"/>
            </w:pPr>
            <w:r>
              <w:rPr>
                <w:sz w:val="18"/>
              </w:rPr>
              <w:t xml:space="preserve">R1B</w:t>
            </w:r>
          </w:p>
        </w:tc>
        <w:tc>
          <w:tcPr>
            <w:tcW w:w="1419" w:type="dxa"/>
          </w:tcPr>
          <w:p>
            <w:pPr>
              <w:pStyle w:val="Compact"/>
              <w:spacing w:after="40"/>
              <w:jc w:val="left"/>
            </w:pPr>
            <w:r>
              <w:rPr>
                <w:sz w:val="18"/>
              </w:rPr>
              <w:t xml:space="preserve">Statutory auditor-certified DLG declaration</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On entry, each renewal and each new DLG Set; [annually]</w:t>
            </w:r>
          </w:p>
        </w:tc>
        <w:tc>
          <w:tcPr>
            <w:tcW w:w="1878" w:type="dxa"/>
          </w:tcPr>
          <w:p>
            <w:pPr>
              <w:pStyle w:val="Compact"/>
              <w:spacing w:after="40"/>
              <w:jc w:val="left"/>
            </w:pPr>
            <w:r>
              <w:rPr>
                <w:sz w:val="18"/>
              </w:rPr>
              <w:t xml:space="preserve">Before reliance</w:t>
            </w:r>
          </w:p>
        </w:tc>
        <w:tc>
          <w:tcPr>
            <w:tcW w:w="2176" w:type="dxa"/>
          </w:tcPr>
          <w:p>
            <w:pPr>
              <w:pStyle w:val="Compact"/>
              <w:spacing w:after="40"/>
              <w:jc w:val="left"/>
            </w:pPr>
            <w:r>
              <w:rPr>
                <w:sz w:val="18"/>
              </w:rPr>
              <w:t xml:space="preserve">Annexure 11B</w:t>
            </w:r>
          </w:p>
        </w:tc>
        <w:tc>
          <w:tcPr>
            <w:tcW w:w="1147" w:type="dxa"/>
          </w:tcPr>
          <w:p>
            <w:pPr>
              <w:pStyle w:val="Compact"/>
              <w:spacing w:after="40"/>
              <w:jc w:val="left"/>
            </w:pPr>
            <w:r>
              <w:rPr>
                <w:sz w:val="18"/>
              </w:rPr>
              <w:t xml:space="preserve">CF para 20(3)</w:t>
            </w:r>
          </w:p>
        </w:tc>
      </w:tr>
      <w:tr>
        <w:tc>
          <w:tcPr>
            <w:tcW w:w="623" w:type="dxa"/>
          </w:tcPr>
          <w:p>
            <w:pPr>
              <w:pStyle w:val="Compact"/>
              <w:spacing w:after="40"/>
              <w:jc w:val="left"/>
            </w:pPr>
            <w:r>
              <w:rPr>
                <w:sz w:val="18"/>
              </w:rPr>
              <w:t xml:space="preserve">R2</w:t>
            </w:r>
          </w:p>
        </w:tc>
        <w:tc>
          <w:tcPr>
            <w:tcW w:w="1419" w:type="dxa"/>
          </w:tcPr>
          <w:p>
            <w:pPr>
              <w:pStyle w:val="Compact"/>
              <w:spacing w:after="40"/>
              <w:jc w:val="left"/>
            </w:pPr>
            <w:r>
              <w:rPr>
                <w:sz w:val="18"/>
              </w:rPr>
              <w:t xml:space="preserve">Operations and SLA MIS</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Monthly</w:t>
            </w:r>
          </w:p>
        </w:tc>
        <w:tc>
          <w:tcPr>
            <w:tcW w:w="1878" w:type="dxa"/>
          </w:tcPr>
          <w:p>
            <w:pPr>
              <w:pStyle w:val="Compact"/>
              <w:spacing w:after="40"/>
              <w:jc w:val="left"/>
            </w:pPr>
            <w:r>
              <w:rPr>
                <w:sz w:val="18"/>
              </w:rPr>
              <w:t xml:space="preserve">≤ 5 WD</w:t>
            </w:r>
          </w:p>
        </w:tc>
        <w:tc>
          <w:tcPr>
            <w:tcW w:w="2176" w:type="dxa"/>
          </w:tcPr>
          <w:p>
            <w:pPr>
              <w:pStyle w:val="Compact"/>
              <w:spacing w:after="40"/>
              <w:jc w:val="left"/>
            </w:pPr>
            <w:r>
              <w:rPr>
                <w:sz w:val="18"/>
              </w:rPr>
              <w:t xml:space="preserve">Funnel by Product and channel, approval and rejection rates, disbursals by event, SLA results (Schedule 18), reconciliation breaks and ageing</w:t>
            </w:r>
          </w:p>
        </w:tc>
        <w:tc>
          <w:tcPr>
            <w:tcW w:w="1147" w:type="dxa"/>
          </w:tcPr>
          <w:p>
            <w:pPr>
              <w:pStyle w:val="Compact"/>
              <w:spacing w:after="40"/>
              <w:jc w:val="left"/>
            </w:pPr>
            <w:r>
              <w:rPr>
                <w:sz w:val="18"/>
              </w:rPr>
              <w:t xml:space="preserve">OUT paras 34(iii), 75; CF para 6(3)–(4)</w:t>
            </w:r>
          </w:p>
        </w:tc>
      </w:tr>
      <w:tr>
        <w:tc>
          <w:tcPr>
            <w:tcW w:w="623" w:type="dxa"/>
          </w:tcPr>
          <w:p>
            <w:pPr>
              <w:pStyle w:val="Compact"/>
              <w:spacing w:after="40"/>
              <w:jc w:val="left"/>
            </w:pPr>
            <w:r>
              <w:rPr>
                <w:sz w:val="18"/>
              </w:rPr>
              <w:t xml:space="preserve">R3</w:t>
            </w:r>
          </w:p>
        </w:tc>
        <w:tc>
          <w:tcPr>
            <w:tcW w:w="1419" w:type="dxa"/>
          </w:tcPr>
          <w:p>
            <w:pPr>
              <w:pStyle w:val="Compact"/>
              <w:spacing w:after="40"/>
              <w:jc w:val="left"/>
            </w:pPr>
            <w:r>
              <w:rPr>
                <w:sz w:val="18"/>
              </w:rPr>
              <w:t xml:space="preserve">Grievance MIS</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Monthly; RCA half-yearly</w:t>
            </w:r>
          </w:p>
        </w:tc>
        <w:tc>
          <w:tcPr>
            <w:tcW w:w="1878" w:type="dxa"/>
          </w:tcPr>
          <w:p>
            <w:pPr>
              <w:pStyle w:val="Compact"/>
              <w:spacing w:after="40"/>
              <w:jc w:val="left"/>
            </w:pPr>
            <w:r>
              <w:rPr>
                <w:sz w:val="18"/>
              </w:rPr>
              <w:t xml:space="preserve">≤ 5 WD</w:t>
            </w:r>
          </w:p>
        </w:tc>
        <w:tc>
          <w:tcPr>
            <w:tcW w:w="2176" w:type="dxa"/>
          </w:tcPr>
          <w:p>
            <w:pPr>
              <w:pStyle w:val="Compact"/>
              <w:spacing w:after="40"/>
              <w:jc w:val="left"/>
            </w:pPr>
            <w:r>
              <w:rPr>
                <w:sz w:val="18"/>
              </w:rPr>
              <w:t xml:space="preserve">Schedule 9, para 9.8</w:t>
            </w:r>
          </w:p>
        </w:tc>
        <w:tc>
          <w:tcPr>
            <w:tcW w:w="1147" w:type="dxa"/>
          </w:tcPr>
          <w:p>
            <w:pPr>
              <w:pStyle w:val="Compact"/>
              <w:spacing w:after="40"/>
              <w:jc w:val="left"/>
            </w:pPr>
            <w:r>
              <w:rPr>
                <w:sz w:val="18"/>
              </w:rPr>
              <w:t xml:space="preserve">CF para 12; RBC para 8</w:t>
            </w:r>
          </w:p>
        </w:tc>
      </w:tr>
      <w:tr>
        <w:tc>
          <w:tcPr>
            <w:tcW w:w="623" w:type="dxa"/>
          </w:tcPr>
          <w:p>
            <w:pPr>
              <w:pStyle w:val="Compact"/>
              <w:spacing w:after="40"/>
              <w:jc w:val="left"/>
            </w:pPr>
            <w:r>
              <w:rPr>
                <w:sz w:val="18"/>
              </w:rPr>
              <w:t xml:space="preserve">R4</w:t>
            </w:r>
          </w:p>
        </w:tc>
        <w:tc>
          <w:tcPr>
            <w:tcW w:w="1419" w:type="dxa"/>
          </w:tcPr>
          <w:p>
            <w:pPr>
              <w:pStyle w:val="Compact"/>
              <w:spacing w:after="40"/>
              <w:jc w:val="left"/>
            </w:pPr>
            <w:r>
              <w:rPr>
                <w:sz w:val="18"/>
              </w:rPr>
              <w:t xml:space="preserve">Offer-display attestation and matching-mechanism log</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Quarterly; change notices ≥ 15 WD before change</w:t>
            </w:r>
          </w:p>
        </w:tc>
        <w:tc>
          <w:tcPr>
            <w:tcW w:w="1878" w:type="dxa"/>
          </w:tcPr>
          <w:p>
            <w:pPr>
              <w:pStyle w:val="Compact"/>
              <w:spacing w:after="40"/>
              <w:jc w:val="left"/>
            </w:pPr>
            <w:r>
              <w:rPr>
                <w:sz w:val="18"/>
              </w:rPr>
              <w:t xml:space="preserve">≤ 10 WD after quarter end</w:t>
            </w:r>
          </w:p>
        </w:tc>
        <w:tc>
          <w:tcPr>
            <w:tcW w:w="2176" w:type="dxa"/>
          </w:tcPr>
          <w:p>
            <w:pPr>
              <w:pStyle w:val="Compact"/>
              <w:spacing w:after="40"/>
              <w:jc w:val="left"/>
            </w:pPr>
            <w:r>
              <w:rPr>
                <w:sz w:val="18"/>
              </w:rPr>
              <w:t xml:space="preserve">Schedule 5, paras 5.7–5.9</w:t>
            </w:r>
          </w:p>
        </w:tc>
        <w:tc>
          <w:tcPr>
            <w:tcW w:w="1147" w:type="dxa"/>
          </w:tcPr>
          <w:p>
            <w:pPr>
              <w:pStyle w:val="Compact"/>
              <w:spacing w:after="40"/>
              <w:jc w:val="left"/>
            </w:pPr>
            <w:r>
              <w:rPr>
                <w:sz w:val="18"/>
              </w:rPr>
              <w:t xml:space="preserve">CF para 7</w:t>
            </w:r>
          </w:p>
        </w:tc>
      </w:tr>
      <w:tr>
        <w:tc>
          <w:tcPr>
            <w:tcW w:w="623" w:type="dxa"/>
          </w:tcPr>
          <w:p>
            <w:pPr>
              <w:pStyle w:val="Compact"/>
              <w:spacing w:after="40"/>
              <w:jc w:val="left"/>
            </w:pPr>
            <w:r>
              <w:rPr>
                <w:sz w:val="18"/>
              </w:rPr>
              <w:t xml:space="preserve">R5</w:t>
            </w:r>
          </w:p>
        </w:tc>
        <w:tc>
          <w:tcPr>
            <w:tcW w:w="1419" w:type="dxa"/>
          </w:tcPr>
          <w:p>
            <w:pPr>
              <w:pStyle w:val="Compact"/>
              <w:spacing w:after="40"/>
              <w:jc w:val="left"/>
            </w:pPr>
            <w:r>
              <w:rPr>
                <w:sz w:val="18"/>
              </w:rPr>
              <w:t xml:space="preserve">Security report</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Monthly summary; VA every 6 months; PT every 12 months</w:t>
            </w:r>
          </w:p>
        </w:tc>
        <w:tc>
          <w:tcPr>
            <w:tcW w:w="1878" w:type="dxa"/>
          </w:tcPr>
          <w:p>
            <w:pPr>
              <w:pStyle w:val="Compact"/>
              <w:spacing w:after="40"/>
              <w:jc w:val="left"/>
            </w:pPr>
            <w:r>
              <w:rPr>
                <w:sz w:val="18"/>
              </w:rPr>
              <w:t xml:space="preserve">≤ 10 WD; test reports ≤ 15 days of receipt</w:t>
            </w:r>
          </w:p>
        </w:tc>
        <w:tc>
          <w:tcPr>
            <w:tcW w:w="2176" w:type="dxa"/>
          </w:tcPr>
          <w:p>
            <w:pPr>
              <w:pStyle w:val="Compact"/>
              <w:spacing w:after="40"/>
              <w:jc w:val="left"/>
            </w:pPr>
            <w:r>
              <w:rPr>
                <w:sz w:val="18"/>
              </w:rPr>
              <w:t xml:space="preserve">Incidents, vulnerabilities, remediation, access reviews</w:t>
            </w:r>
          </w:p>
        </w:tc>
        <w:tc>
          <w:tcPr>
            <w:tcW w:w="1147" w:type="dxa"/>
          </w:tcPr>
          <w:p>
            <w:pPr>
              <w:pStyle w:val="Compact"/>
              <w:spacing w:after="40"/>
              <w:jc w:val="left"/>
            </w:pPr>
            <w:r>
              <w:rPr>
                <w:sz w:val="18"/>
              </w:rPr>
              <w:t xml:space="preserve">OUT para 25; CYB paras 121–126</w:t>
            </w:r>
          </w:p>
        </w:tc>
      </w:tr>
      <w:tr>
        <w:tc>
          <w:tcPr>
            <w:tcW w:w="623" w:type="dxa"/>
          </w:tcPr>
          <w:p>
            <w:pPr>
              <w:pStyle w:val="Compact"/>
              <w:spacing w:after="40"/>
              <w:jc w:val="left"/>
            </w:pPr>
            <w:r>
              <w:rPr>
                <w:sz w:val="18"/>
              </w:rPr>
              <w:t xml:space="preserve">R6</w:t>
            </w:r>
          </w:p>
        </w:tc>
        <w:tc>
          <w:tcPr>
            <w:tcW w:w="1419" w:type="dxa"/>
          </w:tcPr>
          <w:p>
            <w:pPr>
              <w:pStyle w:val="Compact"/>
              <w:spacing w:after="40"/>
              <w:jc w:val="left"/>
            </w:pPr>
            <w:r>
              <w:rPr>
                <w:sz w:val="18"/>
              </w:rPr>
              <w:t xml:space="preserve">Recovery conduct report and agent register (if Schedule 10)</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Daily feed; monthly report</w:t>
            </w:r>
          </w:p>
        </w:tc>
        <w:tc>
          <w:tcPr>
            <w:tcW w:w="1878" w:type="dxa"/>
          </w:tcPr>
          <w:p>
            <w:pPr>
              <w:pStyle w:val="Compact"/>
              <w:spacing w:after="40"/>
              <w:jc w:val="left"/>
            </w:pPr>
            <w:r>
              <w:rPr>
                <w:sz w:val="18"/>
              </w:rPr>
              <w:t xml:space="preserve">Daily by 06:00 IST; monthly ≤ 5 WD</w:t>
            </w:r>
          </w:p>
        </w:tc>
        <w:tc>
          <w:tcPr>
            <w:tcW w:w="2176" w:type="dxa"/>
          </w:tcPr>
          <w:p>
            <w:pPr>
              <w:pStyle w:val="Compact"/>
              <w:spacing w:after="40"/>
              <w:jc w:val="left"/>
            </w:pPr>
            <w:r>
              <w:rPr>
                <w:sz w:val="18"/>
              </w:rPr>
              <w:t xml:space="preserve">Schedule 10, paras 10.3, 10.13</w:t>
            </w:r>
          </w:p>
        </w:tc>
        <w:tc>
          <w:tcPr>
            <w:tcW w:w="1147" w:type="dxa"/>
          </w:tcPr>
          <w:p>
            <w:pPr>
              <w:pStyle w:val="Compact"/>
              <w:spacing w:after="40"/>
              <w:jc w:val="left"/>
            </w:pPr>
            <w:r>
              <w:rPr>
                <w:sz w:val="18"/>
              </w:rPr>
              <w:t xml:space="preserve">RBC paras 94–100; RBC-3A</w:t>
            </w:r>
          </w:p>
        </w:tc>
      </w:tr>
      <w:tr>
        <w:tc>
          <w:tcPr>
            <w:tcW w:w="623" w:type="dxa"/>
          </w:tcPr>
          <w:p>
            <w:pPr>
              <w:pStyle w:val="Compact"/>
              <w:spacing w:after="40"/>
              <w:jc w:val="left"/>
            </w:pPr>
            <w:r>
              <w:rPr>
                <w:sz w:val="18"/>
              </w:rPr>
              <w:t xml:space="preserve">R7</w:t>
            </w:r>
          </w:p>
        </w:tc>
        <w:tc>
          <w:tcPr>
            <w:tcW w:w="1419" w:type="dxa"/>
          </w:tcPr>
          <w:p>
            <w:pPr>
              <w:pStyle w:val="Compact"/>
              <w:spacing w:after="40"/>
              <w:jc w:val="left"/>
            </w:pPr>
            <w:r>
              <w:rPr>
                <w:sz w:val="18"/>
              </w:rPr>
              <w:t xml:space="preserve">DLA and officer change notices</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Event-driven</w:t>
            </w:r>
          </w:p>
        </w:tc>
        <w:tc>
          <w:tcPr>
            <w:tcW w:w="1878" w:type="dxa"/>
          </w:tcPr>
          <w:p>
            <w:pPr>
              <w:pStyle w:val="Compact"/>
              <w:spacing w:after="40"/>
              <w:jc w:val="left"/>
            </w:pPr>
            <w:r>
              <w:rPr>
                <w:sz w:val="18"/>
              </w:rPr>
              <w:t xml:space="preserve">Planned: ≥ 10 WD before; unplanned: ≤ 24 hours; GRO change: planned ≥ 10 WD before, unplanned immediately</w:t>
            </w:r>
          </w:p>
        </w:tc>
        <w:tc>
          <w:tcPr>
            <w:tcW w:w="2176" w:type="dxa"/>
          </w:tcPr>
          <w:p>
            <w:pPr>
              <w:pStyle w:val="Compact"/>
              <w:spacing w:after="40"/>
              <w:jc w:val="left"/>
            </w:pPr>
            <w:r>
              <w:rPr>
                <w:sz w:val="18"/>
              </w:rPr>
              <w:t xml:space="preserve">Schedule 3, Part B; Schedule 9, para 9.1</w:t>
            </w:r>
          </w:p>
        </w:tc>
        <w:tc>
          <w:tcPr>
            <w:tcW w:w="1147" w:type="dxa"/>
          </w:tcPr>
          <w:p>
            <w:pPr>
              <w:pStyle w:val="Compact"/>
              <w:spacing w:after="40"/>
              <w:jc w:val="left"/>
            </w:pPr>
            <w:r>
              <w:rPr>
                <w:sz w:val="18"/>
              </w:rPr>
              <w:t xml:space="preserve">CF paras 12(2), 18(2)</w:t>
            </w:r>
          </w:p>
        </w:tc>
      </w:tr>
      <w:tr>
        <w:tc>
          <w:tcPr>
            <w:tcW w:w="623" w:type="dxa"/>
          </w:tcPr>
          <w:p>
            <w:pPr>
              <w:pStyle w:val="Compact"/>
              <w:spacing w:after="40"/>
              <w:jc w:val="left"/>
            </w:pPr>
            <w:r>
              <w:rPr>
                <w:sz w:val="18"/>
              </w:rPr>
              <w:t xml:space="preserve">R8</w:t>
            </w:r>
          </w:p>
        </w:tc>
        <w:tc>
          <w:tcPr>
            <w:tcW w:w="1419" w:type="dxa"/>
          </w:tcPr>
          <w:p>
            <w:pPr>
              <w:pStyle w:val="Compact"/>
              <w:spacing w:after="40"/>
              <w:jc w:val="left"/>
            </w:pPr>
            <w:r>
              <w:rPr>
                <w:sz w:val="18"/>
              </w:rPr>
              <w:t xml:space="preserve">CIMS update of DLAs</w:t>
            </w:r>
          </w:p>
        </w:tc>
        <w:tc>
          <w:tcPr>
            <w:tcW w:w="1036" w:type="dxa"/>
          </w:tcPr>
          <w:p>
            <w:pPr>
              <w:pStyle w:val="Compact"/>
              <w:spacing w:after="40"/>
              <w:jc w:val="left"/>
            </w:pPr>
            <w:r>
              <w:rPr>
                <w:sz w:val="18"/>
              </w:rPr>
              <w:t xml:space="preserve">RE → RBI (CIMS)</w:t>
            </w:r>
          </w:p>
        </w:tc>
        <w:tc>
          <w:tcPr>
            <w:tcW w:w="1359" w:type="dxa"/>
          </w:tcPr>
          <w:p>
            <w:pPr>
              <w:pStyle w:val="Compact"/>
              <w:spacing w:after="40"/>
              <w:jc w:val="left"/>
            </w:pPr>
            <w:r>
              <w:rPr>
                <w:sz w:val="18"/>
              </w:rPr>
              <w:t xml:space="preserve">Event-driven</w:t>
            </w:r>
          </w:p>
        </w:tc>
        <w:tc>
          <w:tcPr>
            <w:tcW w:w="1878" w:type="dxa"/>
          </w:tcPr>
          <w:p>
            <w:pPr>
              <w:pStyle w:val="Compact"/>
              <w:spacing w:after="40"/>
              <w:jc w:val="left"/>
            </w:pPr>
            <w:r>
              <w:rPr>
                <w:sz w:val="18"/>
              </w:rPr>
              <w:t xml:space="preserve">As and when a DLA is added or ceases</w:t>
            </w:r>
          </w:p>
        </w:tc>
        <w:tc>
          <w:tcPr>
            <w:tcW w:w="2176" w:type="dxa"/>
          </w:tcPr>
          <w:p>
            <w:pPr>
              <w:pStyle w:val="Compact"/>
              <w:spacing w:after="40"/>
              <w:jc w:val="left"/>
            </w:pPr>
            <w:r>
              <w:rPr>
                <w:sz w:val="18"/>
              </w:rPr>
              <w:t xml:space="preserve">Annex-I data</w:t>
            </w:r>
          </w:p>
        </w:tc>
        <w:tc>
          <w:tcPr>
            <w:tcW w:w="1147" w:type="dxa"/>
          </w:tcPr>
          <w:p>
            <w:pPr>
              <w:pStyle w:val="Compact"/>
              <w:spacing w:after="40"/>
              <w:jc w:val="left"/>
            </w:pPr>
            <w:r>
              <w:rPr>
                <w:sz w:val="18"/>
              </w:rPr>
              <w:t xml:space="preserve">CF para 18(1)–(2)</w:t>
            </w:r>
          </w:p>
        </w:tc>
      </w:tr>
      <w:tr>
        <w:tc>
          <w:tcPr>
            <w:tcW w:w="623" w:type="dxa"/>
          </w:tcPr>
          <w:p>
            <w:pPr>
              <w:pStyle w:val="Compact"/>
              <w:spacing w:after="40"/>
              <w:jc w:val="left"/>
            </w:pPr>
            <w:r>
              <w:rPr>
                <w:sz w:val="18"/>
              </w:rPr>
              <w:t xml:space="preserve">R9</w:t>
            </w:r>
          </w:p>
        </w:tc>
        <w:tc>
          <w:tcPr>
            <w:tcW w:w="1419" w:type="dxa"/>
          </w:tcPr>
          <w:p>
            <w:pPr>
              <w:pStyle w:val="Compact"/>
              <w:spacing w:after="40"/>
              <w:jc w:val="left"/>
            </w:pPr>
            <w:r>
              <w:rPr>
                <w:sz w:val="18"/>
              </w:rPr>
              <w:t xml:space="preserve">CCO certification evidence pack</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On each DLA launch or material change; half-yearly</w:t>
            </w:r>
          </w:p>
        </w:tc>
        <w:tc>
          <w:tcPr>
            <w:tcW w:w="1878" w:type="dxa"/>
          </w:tcPr>
          <w:p>
            <w:pPr>
              <w:pStyle w:val="Compact"/>
              <w:spacing w:after="40"/>
              <w:jc w:val="left"/>
            </w:pPr>
            <w:r>
              <w:rPr>
                <w:sz w:val="18"/>
              </w:rPr>
              <w:t xml:space="preserve">≤ 10 WD</w:t>
            </w:r>
          </w:p>
        </w:tc>
        <w:tc>
          <w:tcPr>
            <w:tcW w:w="2176" w:type="dxa"/>
          </w:tcPr>
          <w:p>
            <w:pPr>
              <w:pStyle w:val="Compact"/>
              <w:spacing w:after="40"/>
              <w:jc w:val="left"/>
            </w:pPr>
            <w:r>
              <w:rPr>
                <w:sz w:val="18"/>
              </w:rPr>
              <w:t xml:space="preserve">Schedule 3, Part C</w:t>
            </w:r>
          </w:p>
        </w:tc>
        <w:tc>
          <w:tcPr>
            <w:tcW w:w="1147" w:type="dxa"/>
          </w:tcPr>
          <w:p>
            <w:pPr>
              <w:pStyle w:val="Compact"/>
              <w:spacing w:after="40"/>
              <w:jc w:val="left"/>
            </w:pPr>
            <w:r>
              <w:rPr>
                <w:sz w:val="18"/>
              </w:rPr>
              <w:t xml:space="preserve">CF para 18(3)–(4)</w:t>
            </w:r>
          </w:p>
        </w:tc>
      </w:tr>
      <w:tr>
        <w:tc>
          <w:tcPr>
            <w:tcW w:w="623" w:type="dxa"/>
          </w:tcPr>
          <w:p>
            <w:pPr>
              <w:pStyle w:val="Compact"/>
              <w:spacing w:after="40"/>
              <w:jc w:val="left"/>
            </w:pPr>
            <w:r>
              <w:rPr>
                <w:sz w:val="18"/>
              </w:rPr>
              <w:t xml:space="preserve">R10</w:t>
            </w:r>
          </w:p>
        </w:tc>
        <w:tc>
          <w:tcPr>
            <w:tcW w:w="1419" w:type="dxa"/>
          </w:tcPr>
          <w:p>
            <w:pPr>
              <w:pStyle w:val="Compact"/>
              <w:spacing w:after="40"/>
              <w:jc w:val="left"/>
            </w:pPr>
            <w:r>
              <w:rPr>
                <w:sz w:val="18"/>
              </w:rPr>
              <w:t xml:space="preserve">Incident notifications and RCA</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Event-driven</w:t>
            </w:r>
          </w:p>
        </w:tc>
        <w:tc>
          <w:tcPr>
            <w:tcW w:w="1878" w:type="dxa"/>
          </w:tcPr>
          <w:p>
            <w:pPr>
              <w:pStyle w:val="Compact"/>
              <w:spacing w:after="40"/>
              <w:jc w:val="left"/>
            </w:pPr>
            <w:r>
              <w:rPr>
                <w:sz w:val="18"/>
              </w:rPr>
              <w:t xml:space="preserve">Schedule 12</w:t>
            </w:r>
          </w:p>
        </w:tc>
        <w:tc>
          <w:tcPr>
            <w:tcW w:w="2176" w:type="dxa"/>
          </w:tcPr>
          <w:p>
            <w:pPr>
              <w:pStyle w:val="Compact"/>
              <w:spacing w:after="40"/>
              <w:jc w:val="left"/>
            </w:pPr>
            <w:r>
              <w:rPr>
                <w:sz w:val="18"/>
              </w:rPr>
              <w:t xml:space="preserve">Schedule 12</w:t>
            </w:r>
          </w:p>
        </w:tc>
        <w:tc>
          <w:tcPr>
            <w:tcW w:w="1147" w:type="dxa"/>
          </w:tcPr>
          <w:p>
            <w:pPr>
              <w:pStyle w:val="Compact"/>
              <w:spacing w:after="40"/>
              <w:jc w:val="left"/>
            </w:pPr>
            <w:r>
              <w:rPr>
                <w:sz w:val="18"/>
              </w:rPr>
              <w:t xml:space="preserve">OUT para 61; CYB paras 28, 141</w:t>
            </w:r>
          </w:p>
        </w:tc>
      </w:tr>
      <w:tr>
        <w:tc>
          <w:tcPr>
            <w:tcW w:w="623" w:type="dxa"/>
          </w:tcPr>
          <w:p>
            <w:pPr>
              <w:pStyle w:val="Compact"/>
              <w:spacing w:after="40"/>
              <w:jc w:val="left"/>
            </w:pPr>
            <w:r>
              <w:rPr>
                <w:sz w:val="18"/>
              </w:rPr>
              <w:t xml:space="preserve">R11</w:t>
            </w:r>
          </w:p>
        </w:tc>
        <w:tc>
          <w:tcPr>
            <w:tcW w:w="1419" w:type="dxa"/>
          </w:tcPr>
          <w:p>
            <w:pPr>
              <w:pStyle w:val="Compact"/>
              <w:spacing w:after="40"/>
              <w:jc w:val="left"/>
            </w:pPr>
            <w:r>
              <w:rPr>
                <w:sz w:val="18"/>
              </w:rPr>
              <w:t xml:space="preserve">RE cyber-incident report to RBI (DAKSH) / NHB for HFCs</w:t>
            </w:r>
          </w:p>
        </w:tc>
        <w:tc>
          <w:tcPr>
            <w:tcW w:w="1036" w:type="dxa"/>
          </w:tcPr>
          <w:p>
            <w:pPr>
              <w:pStyle w:val="Compact"/>
              <w:spacing w:after="40"/>
              <w:jc w:val="left"/>
            </w:pPr>
            <w:r>
              <w:rPr>
                <w:sz w:val="18"/>
              </w:rPr>
              <w:t xml:space="preserve">RE → RBI</w:t>
            </w:r>
          </w:p>
        </w:tc>
        <w:tc>
          <w:tcPr>
            <w:tcW w:w="1359" w:type="dxa"/>
          </w:tcPr>
          <w:p>
            <w:pPr>
              <w:pStyle w:val="Compact"/>
              <w:spacing w:after="40"/>
              <w:jc w:val="left"/>
            </w:pPr>
            <w:r>
              <w:rPr>
                <w:sz w:val="18"/>
              </w:rPr>
              <w:t xml:space="preserve">Event-driven</w:t>
            </w:r>
          </w:p>
        </w:tc>
        <w:tc>
          <w:tcPr>
            <w:tcW w:w="1878" w:type="dxa"/>
          </w:tcPr>
          <w:p>
            <w:pPr>
              <w:pStyle w:val="Compact"/>
              <w:spacing w:after="40"/>
              <w:jc w:val="left"/>
            </w:pPr>
            <w:r>
              <w:rPr>
                <w:sz w:val="18"/>
              </w:rPr>
              <w:t xml:space="preserve">≤ 6 hours of LSP detection</w:t>
            </w:r>
          </w:p>
        </w:tc>
        <w:tc>
          <w:tcPr>
            <w:tcW w:w="2176" w:type="dxa"/>
          </w:tcPr>
          <w:p>
            <w:pPr>
              <w:pStyle w:val="Compact"/>
              <w:spacing w:after="40"/>
              <w:jc w:val="left"/>
            </w:pPr>
            <w:r>
              <w:rPr>
                <w:sz w:val="18"/>
              </w:rPr>
              <w:t xml:space="preserve">—</w:t>
            </w:r>
          </w:p>
        </w:tc>
        <w:tc>
          <w:tcPr>
            <w:tcW w:w="1147" w:type="dxa"/>
          </w:tcPr>
          <w:p>
            <w:pPr>
              <w:pStyle w:val="Compact"/>
              <w:spacing w:after="40"/>
              <w:jc w:val="left"/>
            </w:pPr>
            <w:r>
              <w:rPr>
                <w:sz w:val="18"/>
              </w:rPr>
              <w:t xml:space="preserve">CYB paras 28, 141</w:t>
            </w:r>
          </w:p>
        </w:tc>
      </w:tr>
      <w:tr>
        <w:tc>
          <w:tcPr>
            <w:tcW w:w="623" w:type="dxa"/>
          </w:tcPr>
          <w:p>
            <w:pPr>
              <w:pStyle w:val="Compact"/>
              <w:spacing w:after="40"/>
              <w:jc w:val="left"/>
            </w:pPr>
            <w:r>
              <w:rPr>
                <w:sz w:val="18"/>
              </w:rPr>
              <w:t xml:space="preserve">R12</w:t>
            </w:r>
          </w:p>
        </w:tc>
        <w:tc>
          <w:tcPr>
            <w:tcW w:w="1419" w:type="dxa"/>
          </w:tcPr>
          <w:p>
            <w:pPr>
              <w:pStyle w:val="Compact"/>
              <w:spacing w:after="40"/>
              <w:jc w:val="left"/>
            </w:pPr>
            <w:r>
              <w:rPr>
                <w:sz w:val="18"/>
              </w:rPr>
              <w:t xml:space="preserve">Data inventory and sub-processor list</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Half-yearly and on change</w:t>
            </w:r>
          </w:p>
        </w:tc>
        <w:tc>
          <w:tcPr>
            <w:tcW w:w="1878" w:type="dxa"/>
          </w:tcPr>
          <w:p>
            <w:pPr>
              <w:pStyle w:val="Compact"/>
              <w:spacing w:after="40"/>
              <w:jc w:val="left"/>
            </w:pPr>
            <w:r>
              <w:rPr>
                <w:sz w:val="18"/>
              </w:rPr>
              <w:t xml:space="preserve">≤ 10 WD</w:t>
            </w:r>
          </w:p>
        </w:tc>
        <w:tc>
          <w:tcPr>
            <w:tcW w:w="2176" w:type="dxa"/>
          </w:tcPr>
          <w:p>
            <w:pPr>
              <w:pStyle w:val="Compact"/>
              <w:spacing w:after="40"/>
              <w:jc w:val="left"/>
            </w:pPr>
            <w:r>
              <w:rPr>
                <w:sz w:val="18"/>
              </w:rPr>
              <w:t xml:space="preserve">Schedule 7, Part B; Schedule 17, Part C</w:t>
            </w:r>
          </w:p>
        </w:tc>
        <w:tc>
          <w:tcPr>
            <w:tcW w:w="1147" w:type="dxa"/>
          </w:tcPr>
          <w:p>
            <w:pPr>
              <w:pStyle w:val="Compact"/>
              <w:spacing w:after="40"/>
              <w:jc w:val="left"/>
            </w:pPr>
            <w:r>
              <w:rPr>
                <w:sz w:val="18"/>
              </w:rPr>
              <w:t xml:space="preserve">OUT para 74(vii), (xi)</w:t>
            </w:r>
          </w:p>
        </w:tc>
      </w:tr>
      <w:tr>
        <w:tc>
          <w:tcPr>
            <w:tcW w:w="623" w:type="dxa"/>
          </w:tcPr>
          <w:p>
            <w:pPr>
              <w:pStyle w:val="Compact"/>
              <w:spacing w:after="40"/>
              <w:jc w:val="left"/>
            </w:pPr>
            <w:r>
              <w:rPr>
                <w:sz w:val="18"/>
              </w:rPr>
              <w:t xml:space="preserve">R13</w:t>
            </w:r>
          </w:p>
        </w:tc>
        <w:tc>
          <w:tcPr>
            <w:tcW w:w="1419" w:type="dxa"/>
          </w:tcPr>
          <w:p>
            <w:pPr>
              <w:pStyle w:val="Compact"/>
              <w:spacing w:after="40"/>
              <w:jc w:val="left"/>
            </w:pPr>
            <w:r>
              <w:rPr>
                <w:sz w:val="18"/>
              </w:rPr>
              <w:t xml:space="preserve">Annual due-diligence refresh</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Annual</w:t>
            </w:r>
          </w:p>
        </w:tc>
        <w:tc>
          <w:tcPr>
            <w:tcW w:w="1878" w:type="dxa"/>
          </w:tcPr>
          <w:p>
            <w:pPr>
              <w:pStyle w:val="Compact"/>
              <w:spacing w:after="40"/>
              <w:jc w:val="left"/>
            </w:pPr>
            <w:r>
              <w:rPr>
                <w:sz w:val="18"/>
              </w:rPr>
              <w:t xml:space="preserve">[Anniversary of the Execution Date]</w:t>
            </w:r>
          </w:p>
        </w:tc>
        <w:tc>
          <w:tcPr>
            <w:tcW w:w="2176" w:type="dxa"/>
          </w:tcPr>
          <w:p>
            <w:pPr>
              <w:pStyle w:val="Compact"/>
              <w:spacing w:after="40"/>
              <w:jc w:val="left"/>
            </w:pPr>
            <w:r>
              <w:rPr>
                <w:sz w:val="18"/>
              </w:rPr>
              <w:t xml:space="preserve">Schedule 17</w:t>
            </w:r>
          </w:p>
        </w:tc>
        <w:tc>
          <w:tcPr>
            <w:tcW w:w="1147" w:type="dxa"/>
          </w:tcPr>
          <w:p>
            <w:pPr>
              <w:pStyle w:val="Compact"/>
              <w:spacing w:after="40"/>
              <w:jc w:val="left"/>
            </w:pPr>
            <w:r>
              <w:rPr>
                <w:sz w:val="18"/>
              </w:rPr>
              <w:t xml:space="preserve">OUT para 38; CF para 6(3)</w:t>
            </w:r>
          </w:p>
        </w:tc>
      </w:tr>
      <w:tr>
        <w:tc>
          <w:tcPr>
            <w:tcW w:w="623" w:type="dxa"/>
          </w:tcPr>
          <w:p>
            <w:pPr>
              <w:pStyle w:val="Compact"/>
              <w:spacing w:after="40"/>
              <w:jc w:val="left"/>
            </w:pPr>
            <w:r>
              <w:rPr>
                <w:sz w:val="18"/>
              </w:rPr>
              <w:t xml:space="preserve">R14</w:t>
            </w:r>
          </w:p>
        </w:tc>
        <w:tc>
          <w:tcPr>
            <w:tcW w:w="1419" w:type="dxa"/>
          </w:tcPr>
          <w:p>
            <w:pPr>
              <w:pStyle w:val="Compact"/>
              <w:spacing w:after="40"/>
              <w:jc w:val="left"/>
            </w:pPr>
            <w:r>
              <w:rPr>
                <w:sz w:val="18"/>
              </w:rPr>
              <w:t xml:space="preserve">Certifications</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Annual</w:t>
            </w:r>
          </w:p>
        </w:tc>
        <w:tc>
          <w:tcPr>
            <w:tcW w:w="1878" w:type="dxa"/>
          </w:tcPr>
          <w:p>
            <w:pPr>
              <w:pStyle w:val="Compact"/>
              <w:spacing w:after="40"/>
              <w:jc w:val="left"/>
            </w:pPr>
            <w:r>
              <w:rPr>
                <w:sz w:val="18"/>
              </w:rPr>
              <w:t xml:space="preserve">≤ 30 days of issue</w:t>
            </w:r>
          </w:p>
        </w:tc>
        <w:tc>
          <w:tcPr>
            <w:tcW w:w="2176" w:type="dxa"/>
          </w:tcPr>
          <w:p>
            <w:pPr>
              <w:pStyle w:val="Compact"/>
              <w:spacing w:after="40"/>
              <w:jc w:val="left"/>
            </w:pPr>
            <w:r>
              <w:rPr>
                <w:sz w:val="18"/>
              </w:rPr>
              <w:t xml:space="preserve">ISO 27001, SOC 2 Type II, vendor certificate (CYB para 106)</w:t>
            </w:r>
          </w:p>
        </w:tc>
        <w:tc>
          <w:tcPr>
            <w:tcW w:w="1147" w:type="dxa"/>
          </w:tcPr>
          <w:p>
            <w:pPr>
              <w:pStyle w:val="Compact"/>
              <w:spacing w:after="40"/>
              <w:jc w:val="left"/>
            </w:pPr>
            <w:r>
              <w:rPr>
                <w:sz w:val="18"/>
              </w:rPr>
              <w:t xml:space="preserve">OUT para 79; CYB para 106</w:t>
            </w:r>
          </w:p>
        </w:tc>
      </w:tr>
      <w:tr>
        <w:tc>
          <w:tcPr>
            <w:tcW w:w="623" w:type="dxa"/>
          </w:tcPr>
          <w:p>
            <w:pPr>
              <w:pStyle w:val="Compact"/>
              <w:spacing w:after="40"/>
              <w:jc w:val="left"/>
            </w:pPr>
            <w:r>
              <w:rPr>
                <w:sz w:val="18"/>
              </w:rPr>
              <w:t xml:space="preserve">R15</w:t>
            </w:r>
          </w:p>
        </w:tc>
        <w:tc>
          <w:tcPr>
            <w:tcW w:w="1419" w:type="dxa"/>
          </w:tcPr>
          <w:p>
            <w:pPr>
              <w:pStyle w:val="Compact"/>
              <w:spacing w:after="40"/>
              <w:jc w:val="left"/>
            </w:pPr>
            <w:r>
              <w:rPr>
                <w:sz w:val="18"/>
              </w:rPr>
              <w:t xml:space="preserve">BCP/DR drill report</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Half-yearly</w:t>
            </w:r>
          </w:p>
        </w:tc>
        <w:tc>
          <w:tcPr>
            <w:tcW w:w="1878" w:type="dxa"/>
          </w:tcPr>
          <w:p>
            <w:pPr>
              <w:pStyle w:val="Compact"/>
              <w:spacing w:after="40"/>
              <w:jc w:val="left"/>
            </w:pPr>
            <w:r>
              <w:rPr>
                <w:sz w:val="18"/>
              </w:rPr>
              <w:t xml:space="preserve">≤ 15 days after drill</w:t>
            </w:r>
          </w:p>
        </w:tc>
        <w:tc>
          <w:tcPr>
            <w:tcW w:w="2176" w:type="dxa"/>
          </w:tcPr>
          <w:p>
            <w:pPr>
              <w:pStyle w:val="Compact"/>
              <w:spacing w:after="40"/>
              <w:jc w:val="left"/>
            </w:pPr>
            <w:r>
              <w:rPr>
                <w:sz w:val="18"/>
              </w:rPr>
              <w:t xml:space="preserve">Schedule 14</w:t>
            </w:r>
          </w:p>
        </w:tc>
        <w:tc>
          <w:tcPr>
            <w:tcW w:w="1147" w:type="dxa"/>
          </w:tcPr>
          <w:p>
            <w:pPr>
              <w:pStyle w:val="Compact"/>
              <w:spacing w:after="40"/>
              <w:jc w:val="left"/>
            </w:pPr>
            <w:r>
              <w:rPr>
                <w:sz w:val="18"/>
              </w:rPr>
              <w:t xml:space="preserve">CYB para 129; OUT para 40</w:t>
            </w:r>
          </w:p>
        </w:tc>
      </w:tr>
      <w:tr>
        <w:tc>
          <w:tcPr>
            <w:tcW w:w="623" w:type="dxa"/>
          </w:tcPr>
          <w:p>
            <w:pPr>
              <w:pStyle w:val="Compact"/>
              <w:spacing w:after="40"/>
              <w:jc w:val="left"/>
            </w:pPr>
            <w:r>
              <w:rPr>
                <w:sz w:val="18"/>
              </w:rPr>
              <w:t xml:space="preserve">R16</w:t>
            </w:r>
          </w:p>
        </w:tc>
        <w:tc>
          <w:tcPr>
            <w:tcW w:w="1419" w:type="dxa"/>
          </w:tcPr>
          <w:p>
            <w:pPr>
              <w:pStyle w:val="Compact"/>
              <w:spacing w:after="40"/>
              <w:jc w:val="left"/>
            </w:pPr>
            <w:r>
              <w:rPr>
                <w:sz w:val="18"/>
              </w:rPr>
              <w:t xml:space="preserve">Fee invoice and reconciliation</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Monthly</w:t>
            </w:r>
          </w:p>
        </w:tc>
        <w:tc>
          <w:tcPr>
            <w:tcW w:w="1878" w:type="dxa"/>
          </w:tcPr>
          <w:p>
            <w:pPr>
              <w:pStyle w:val="Compact"/>
              <w:spacing w:after="40"/>
              <w:jc w:val="left"/>
            </w:pPr>
            <w:r>
              <w:rPr>
                <w:sz w:val="18"/>
              </w:rPr>
              <w:t xml:space="preserve">≤ 7 WD</w:t>
            </w:r>
          </w:p>
        </w:tc>
        <w:tc>
          <w:tcPr>
            <w:tcW w:w="2176" w:type="dxa"/>
          </w:tcPr>
          <w:p>
            <w:pPr>
              <w:pStyle w:val="Compact"/>
              <w:spacing w:after="40"/>
              <w:jc w:val="left"/>
            </w:pPr>
            <w:r>
              <w:rPr>
                <w:sz w:val="18"/>
              </w:rPr>
              <w:t xml:space="preserve">Schedule 1</w:t>
            </w:r>
          </w:p>
        </w:tc>
        <w:tc>
          <w:tcPr>
            <w:tcW w:w="1147" w:type="dxa"/>
          </w:tcPr>
          <w:p>
            <w:pPr>
              <w:pStyle w:val="Compact"/>
              <w:spacing w:after="40"/>
              <w:jc w:val="left"/>
            </w:pPr>
            <w:r>
              <w:rPr>
                <w:sz w:val="18"/>
              </w:rPr>
              <w:t xml:space="preserve">—</w:t>
            </w:r>
          </w:p>
        </w:tc>
      </w:tr>
      <w:tr>
        <w:tc>
          <w:tcPr>
            <w:tcW w:w="623" w:type="dxa"/>
          </w:tcPr>
          <w:p>
            <w:pPr>
              <w:pStyle w:val="Compact"/>
              <w:spacing w:after="40"/>
              <w:jc w:val="left"/>
            </w:pPr>
            <w:r>
              <w:rPr>
                <w:sz w:val="18"/>
              </w:rPr>
              <w:t xml:space="preserve">R17</w:t>
            </w:r>
          </w:p>
        </w:tc>
        <w:tc>
          <w:tcPr>
            <w:tcW w:w="1419" w:type="dxa"/>
          </w:tcPr>
          <w:p>
            <w:pPr>
              <w:pStyle w:val="Compact"/>
              <w:spacing w:after="40"/>
              <w:jc w:val="left"/>
            </w:pPr>
            <w:r>
              <w:rPr>
                <w:sz w:val="18"/>
              </w:rPr>
              <w:t xml:space="preserve">Privacy and storage policy versions</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On change</w:t>
            </w:r>
          </w:p>
        </w:tc>
        <w:tc>
          <w:tcPr>
            <w:tcW w:w="1878" w:type="dxa"/>
          </w:tcPr>
          <w:p>
            <w:pPr>
              <w:pStyle w:val="Compact"/>
              <w:spacing w:after="40"/>
              <w:jc w:val="left"/>
            </w:pPr>
            <w:r>
              <w:rPr>
                <w:sz w:val="18"/>
              </w:rPr>
              <w:t xml:space="preserve">Before publication</w:t>
            </w:r>
          </w:p>
        </w:tc>
        <w:tc>
          <w:tcPr>
            <w:tcW w:w="2176" w:type="dxa"/>
          </w:tcPr>
          <w:p>
            <w:pPr>
              <w:pStyle w:val="Compact"/>
              <w:spacing w:after="40"/>
              <w:jc w:val="left"/>
            </w:pPr>
            <w:r>
              <w:rPr>
                <w:sz w:val="18"/>
              </w:rPr>
              <w:t xml:space="preserve">Schedule 7, paras 7.9–7.10</w:t>
            </w:r>
          </w:p>
        </w:tc>
        <w:tc>
          <w:tcPr>
            <w:tcW w:w="1147" w:type="dxa"/>
          </w:tcPr>
          <w:p>
            <w:pPr>
              <w:pStyle w:val="Compact"/>
              <w:spacing w:after="40"/>
              <w:jc w:val="left"/>
            </w:pPr>
            <w:r>
              <w:rPr>
                <w:sz w:val="18"/>
              </w:rPr>
              <w:t xml:space="preserve">CF paras 14(2), 15</w:t>
            </w:r>
          </w:p>
        </w:tc>
      </w:tr>
      <w:tr>
        <w:tc>
          <w:tcPr>
            <w:tcW w:w="623" w:type="dxa"/>
          </w:tcPr>
          <w:p>
            <w:pPr>
              <w:pStyle w:val="Compact"/>
              <w:spacing w:after="40"/>
              <w:jc w:val="left"/>
            </w:pPr>
            <w:r>
              <w:rPr>
                <w:sz w:val="18"/>
              </w:rPr>
              <w:t xml:space="preserve">R18</w:t>
            </w:r>
          </w:p>
        </w:tc>
        <w:tc>
          <w:tcPr>
            <w:tcW w:w="1419" w:type="dxa"/>
          </w:tcPr>
          <w:p>
            <w:pPr>
              <w:pStyle w:val="Compact"/>
              <w:spacing w:after="40"/>
              <w:jc w:val="left"/>
            </w:pPr>
            <w:r>
              <w:rPr>
                <w:sz w:val="18"/>
              </w:rPr>
              <w:t xml:space="preserve">Regulatory Compliance Matrix with control-test results</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Quarterly</w:t>
            </w:r>
          </w:p>
        </w:tc>
        <w:tc>
          <w:tcPr>
            <w:tcW w:w="1878" w:type="dxa"/>
          </w:tcPr>
          <w:p>
            <w:pPr>
              <w:pStyle w:val="Compact"/>
              <w:spacing w:after="40"/>
              <w:jc w:val="left"/>
            </w:pPr>
            <w:r>
              <w:rPr>
                <w:sz w:val="18"/>
              </w:rPr>
              <w:t xml:space="preserve">≤ 15 WD after quarter end</w:t>
            </w:r>
          </w:p>
        </w:tc>
        <w:tc>
          <w:tcPr>
            <w:tcW w:w="2176" w:type="dxa"/>
          </w:tcPr>
          <w:p>
            <w:pPr>
              <w:pStyle w:val="Compact"/>
              <w:spacing w:after="40"/>
              <w:jc w:val="left"/>
            </w:pPr>
            <w:r>
              <w:rPr>
                <w:sz w:val="18"/>
              </w:rPr>
              <w:t xml:space="preserve">Schedule 20</w:t>
            </w:r>
          </w:p>
        </w:tc>
        <w:tc>
          <w:tcPr>
            <w:tcW w:w="1147" w:type="dxa"/>
          </w:tcPr>
          <w:p>
            <w:pPr>
              <w:pStyle w:val="Compact"/>
              <w:spacing w:after="40"/>
              <w:jc w:val="left"/>
            </w:pPr>
            <w:r>
              <w:rPr>
                <w:sz w:val="18"/>
              </w:rPr>
              <w:t xml:space="preserve">CF para 6(3), (6)</w:t>
            </w:r>
          </w:p>
        </w:tc>
      </w:tr>
      <w:tr>
        <w:tc>
          <w:tcPr>
            <w:tcW w:w="623" w:type="dxa"/>
          </w:tcPr>
          <w:p>
            <w:pPr>
              <w:pStyle w:val="Compact"/>
              <w:spacing w:after="40"/>
              <w:jc w:val="left"/>
            </w:pPr>
            <w:r>
              <w:rPr>
                <w:sz w:val="18"/>
              </w:rPr>
              <w:t xml:space="preserve">R19</w:t>
            </w:r>
          </w:p>
        </w:tc>
        <w:tc>
          <w:tcPr>
            <w:tcW w:w="1419" w:type="dxa"/>
          </w:tcPr>
          <w:p>
            <w:pPr>
              <w:pStyle w:val="Compact"/>
              <w:spacing w:after="40"/>
              <w:jc w:val="left"/>
            </w:pPr>
            <w:r>
              <w:rPr>
                <w:sz w:val="18"/>
              </w:rPr>
              <w:t xml:space="preserve">Household-income and economic-profile data for CIC reporting</w:t>
            </w:r>
          </w:p>
        </w:tc>
        <w:tc>
          <w:tcPr>
            <w:tcW w:w="1036" w:type="dxa"/>
          </w:tcPr>
          <w:p>
            <w:pPr>
              <w:pStyle w:val="Compact"/>
              <w:spacing w:after="40"/>
              <w:jc w:val="left"/>
            </w:pPr>
            <w:r>
              <w:rPr>
                <w:sz w:val="18"/>
              </w:rPr>
              <w:t xml:space="preserve">LSP → RE</w:t>
            </w:r>
          </w:p>
        </w:tc>
        <w:tc>
          <w:tcPr>
            <w:tcW w:w="1359" w:type="dxa"/>
          </w:tcPr>
          <w:p>
            <w:pPr>
              <w:pStyle w:val="Compact"/>
              <w:spacing w:after="40"/>
              <w:jc w:val="left"/>
            </w:pPr>
            <w:r>
              <w:rPr>
                <w:sz w:val="18"/>
              </w:rPr>
              <w:t xml:space="preserve">With each application</w:t>
            </w:r>
          </w:p>
        </w:tc>
        <w:tc>
          <w:tcPr>
            <w:tcW w:w="1878" w:type="dxa"/>
          </w:tcPr>
          <w:p>
            <w:pPr>
              <w:pStyle w:val="Compact"/>
              <w:spacing w:after="40"/>
              <w:jc w:val="left"/>
            </w:pPr>
            <w:r>
              <w:rPr>
                <w:sz w:val="18"/>
              </w:rPr>
              <w:t xml:space="preserve">Real time</w:t>
            </w:r>
          </w:p>
        </w:tc>
        <w:tc>
          <w:tcPr>
            <w:tcW w:w="2176" w:type="dxa"/>
          </w:tcPr>
          <w:p>
            <w:pPr>
              <w:pStyle w:val="Compact"/>
              <w:spacing w:after="40"/>
              <w:jc w:val="left"/>
            </w:pPr>
            <w:r>
              <w:rPr>
                <w:sz w:val="18"/>
              </w:rPr>
              <w:t xml:space="preserve">Schedule 4, para 4.5</w:t>
            </w:r>
          </w:p>
        </w:tc>
        <w:tc>
          <w:tcPr>
            <w:tcW w:w="1147" w:type="dxa"/>
          </w:tcPr>
          <w:p>
            <w:pPr>
              <w:pStyle w:val="Compact"/>
              <w:spacing w:after="40"/>
              <w:jc w:val="left"/>
            </w:pPr>
            <w:r>
              <w:rPr>
                <w:sz w:val="18"/>
              </w:rPr>
              <w:t xml:space="preserve">CF paras 8(1), 54</w:t>
            </w:r>
          </w:p>
        </w:tc>
      </w:tr>
      <w:tr>
        <w:tc>
          <w:tcPr>
            <w:tcW w:w="623" w:type="dxa"/>
          </w:tcPr>
          <w:p>
            <w:pPr>
              <w:pStyle w:val="Compact"/>
              <w:spacing w:after="40"/>
              <w:jc w:val="left"/>
            </w:pPr>
            <w:r>
              <w:rPr>
                <w:sz w:val="18"/>
              </w:rPr>
              <w:t xml:space="preserve">R20</w:t>
            </w:r>
          </w:p>
        </w:tc>
        <w:tc>
          <w:tcPr>
            <w:tcW w:w="1419" w:type="dxa"/>
          </w:tcPr>
          <w:p>
            <w:pPr>
              <w:pStyle w:val="Compact"/>
              <w:spacing w:after="40"/>
              <w:jc w:val="left"/>
            </w:pPr>
            <w:r>
              <w:rPr>
                <w:sz w:val="18"/>
              </w:rPr>
              <w:t xml:space="preserve">RE’s review of LSP conduct</w:t>
            </w:r>
          </w:p>
        </w:tc>
        <w:tc>
          <w:tcPr>
            <w:tcW w:w="1036" w:type="dxa"/>
          </w:tcPr>
          <w:p>
            <w:pPr>
              <w:pStyle w:val="Compact"/>
              <w:spacing w:after="40"/>
              <w:jc w:val="left"/>
            </w:pPr>
            <w:r>
              <w:rPr>
                <w:sz w:val="18"/>
              </w:rPr>
              <w:t xml:space="preserve">RE internal</w:t>
            </w:r>
          </w:p>
        </w:tc>
        <w:tc>
          <w:tcPr>
            <w:tcW w:w="1359" w:type="dxa"/>
          </w:tcPr>
          <w:p>
            <w:pPr>
              <w:pStyle w:val="Compact"/>
              <w:spacing w:after="40"/>
              <w:jc w:val="left"/>
            </w:pPr>
            <w:r>
              <w:rPr>
                <w:sz w:val="18"/>
              </w:rPr>
              <w:t xml:space="preserve">[Quarterly]</w:t>
            </w:r>
          </w:p>
        </w:tc>
        <w:tc>
          <w:tcPr>
            <w:tcW w:w="1878" w:type="dxa"/>
          </w:tcPr>
          <w:p>
            <w:pPr>
              <w:pStyle w:val="Compact"/>
              <w:spacing w:after="40"/>
              <w:jc w:val="left"/>
            </w:pPr>
            <w:r>
              <w:rPr>
                <w:sz w:val="18"/>
              </w:rPr>
              <w:t xml:space="preserve">—</w:t>
            </w:r>
          </w:p>
        </w:tc>
        <w:tc>
          <w:tcPr>
            <w:tcW w:w="2176" w:type="dxa"/>
          </w:tcPr>
          <w:p>
            <w:pPr>
              <w:pStyle w:val="Compact"/>
              <w:spacing w:after="40"/>
              <w:jc w:val="left"/>
            </w:pPr>
            <w:r>
              <w:rPr>
                <w:sz w:val="18"/>
              </w:rPr>
              <w:t xml:space="preserve">Review note to the RE’s Board/Committee</w:t>
            </w:r>
          </w:p>
        </w:tc>
        <w:tc>
          <w:tcPr>
            <w:tcW w:w="1147" w:type="dxa"/>
          </w:tcPr>
          <w:p>
            <w:pPr>
              <w:pStyle w:val="Compact"/>
              <w:spacing w:after="40"/>
              <w:jc w:val="left"/>
            </w:pPr>
            <w:r>
              <w:rPr>
                <w:sz w:val="18"/>
              </w:rPr>
              <w:t xml:space="preserve">CF para 6(3); OUT para 36</w:t>
            </w:r>
          </w:p>
        </w:tc>
      </w:tr>
    </w:tbl>
    <w:p>
      <w:r>
        <w:pict>
          <v:rect style="width:0;height:1.5pt" o:hralign="center" o:hrstd="t" o:hr="t"/>
        </w:pict>
      </w:r>
    </w:p>
    <w:p>
      <w:r>
        <w:br w:type="page"/>
      </w:r>
    </w:p>
    <w:bookmarkEnd w:id="117"/>
    <w:bookmarkStart w:id="122" w:name="schedule-20-regulatory-compliance-matrix"/>
    <w:p>
      <w:pPr>
        <w:pStyle w:val="Heading1"/>
      </w:pPr>
      <w:r>
        <w:t xml:space="preserve">SCHEDULE 20 — Regulatory Compliance Matrix</w:t>
      </w:r>
    </w:p>
    <w:p>
      <w:pPr>
        <w:pStyle w:val="FirstParagraph"/>
      </w:pPr>
      <w:r>
        <w:rPr>
          <w:iCs/>
          <w:i/>
        </w:rPr>
        <w:t xml:space="preserve">Drafting note: This Schedule implements Articles 3 and 32. Each mandatory requirement is mapped to the implementing Article or Schedule and to the evidence the LSP maintains (Schedule 19, item R18). Clause numbers within Articles to be inserted on finalisation [●].</w:t>
      </w:r>
    </w:p>
    <w:bookmarkStart w:id="118" w:name="part-a-cf-chapter-iii-and-chapter-v"/>
    <w:p>
      <w:pPr>
        <w:pStyle w:val="Heading2"/>
      </w:pPr>
      <w:r>
        <w:t xml:space="preserve">Part A — CF Chapter III and Chapter V</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51"/>
        <w:gridCol w:w="1836"/>
        <w:gridCol w:w="2509"/>
        <w:gridCol w:w="2042"/>
      </w:tblGrid>
      <w:tr>
        <w:trPr>
          <w:tblHeader w:val="true"/>
          <w:tblHeader w:val="true"/>
        </w:trPr>
        <w:tc>
          <w:tcPr>
            <w:tcW w:w="3251" w:type="dxa"/>
            <w:shd w:val="clear" w:color="auto" w:fill="1F3A5F"/>
          </w:tcPr>
          <w:p>
            <w:pPr>
              <w:pStyle w:val="Compact"/>
              <w:spacing w:after="40"/>
              <w:jc w:val="left"/>
            </w:pPr>
            <w:r>
              <w:rPr>
                <w:b/>
                <w:color w:val="FFFFFF"/>
                <w:sz w:val="18"/>
              </w:rPr>
              <w:t xml:space="preserve">Requirement</w:t>
            </w:r>
          </w:p>
        </w:tc>
        <w:tc>
          <w:tcPr>
            <w:tcW w:w="1836" w:type="dxa"/>
            <w:shd w:val="clear" w:color="auto" w:fill="1F3A5F"/>
          </w:tcPr>
          <w:p>
            <w:pPr>
              <w:pStyle w:val="Compact"/>
              <w:spacing w:after="40"/>
              <w:jc w:val="left"/>
            </w:pPr>
            <w:r>
              <w:rPr>
                <w:b/>
                <w:color w:val="FFFFFF"/>
                <w:sz w:val="18"/>
              </w:rPr>
              <w:t xml:space="preserve">Source</w:t>
            </w:r>
          </w:p>
        </w:tc>
        <w:tc>
          <w:tcPr>
            <w:tcW w:w="2509" w:type="dxa"/>
            <w:shd w:val="clear" w:color="auto" w:fill="1F3A5F"/>
          </w:tcPr>
          <w:p>
            <w:pPr>
              <w:pStyle w:val="Compact"/>
              <w:spacing w:after="40"/>
              <w:jc w:val="left"/>
            </w:pPr>
            <w:r>
              <w:rPr>
                <w:b/>
                <w:color w:val="FFFFFF"/>
                <w:sz w:val="18"/>
              </w:rPr>
              <w:t xml:space="preserve">Implemented in</w:t>
            </w:r>
          </w:p>
        </w:tc>
        <w:tc>
          <w:tcPr>
            <w:tcW w:w="2042" w:type="dxa"/>
            <w:shd w:val="clear" w:color="auto" w:fill="1F3A5F"/>
          </w:tcPr>
          <w:p>
            <w:pPr>
              <w:pStyle w:val="Compact"/>
              <w:spacing w:after="40"/>
              <w:jc w:val="left"/>
            </w:pPr>
            <w:r>
              <w:rPr>
                <w:b/>
                <w:color w:val="FFFFFF"/>
                <w:sz w:val="18"/>
              </w:rPr>
              <w:t xml:space="preserve">Evidence</w:t>
            </w:r>
          </w:p>
        </w:tc>
      </w:tr>
      <w:tr>
        <w:tc>
          <w:tcPr>
            <w:tcW w:w="3251" w:type="dxa"/>
          </w:tcPr>
          <w:p>
            <w:pPr>
              <w:pStyle w:val="Compact"/>
              <w:spacing w:after="40"/>
              <w:jc w:val="left"/>
            </w:pPr>
            <w:r>
              <w:rPr>
                <w:sz w:val="18"/>
              </w:rPr>
              <w:t xml:space="preserve">LSP is the RE’s agent; LSP apps are DLAs; implicit guarantees are DLG</w:t>
            </w:r>
          </w:p>
        </w:tc>
        <w:tc>
          <w:tcPr>
            <w:tcW w:w="1836" w:type="dxa"/>
          </w:tcPr>
          <w:p>
            <w:pPr>
              <w:pStyle w:val="Compact"/>
              <w:spacing w:after="40"/>
              <w:jc w:val="left"/>
            </w:pPr>
            <w:r>
              <w:rPr>
                <w:sz w:val="18"/>
              </w:rPr>
              <w:t xml:space="preserve">CF para 4(1)(viii), (x), (xix)</w:t>
            </w:r>
          </w:p>
        </w:tc>
        <w:tc>
          <w:tcPr>
            <w:tcW w:w="2509" w:type="dxa"/>
          </w:tcPr>
          <w:p>
            <w:pPr>
              <w:pStyle w:val="Compact"/>
              <w:spacing w:after="40"/>
              <w:jc w:val="left"/>
            </w:pPr>
            <w:r>
              <w:rPr>
                <w:sz w:val="18"/>
              </w:rPr>
              <w:t xml:space="preserve">Art. 1, 3; Sch. 1 para 1.3; Sch. 2 para 2.1</w:t>
            </w:r>
          </w:p>
        </w:tc>
        <w:tc>
          <w:tcPr>
            <w:tcW w:w="2042" w:type="dxa"/>
          </w:tcPr>
          <w:p>
            <w:pPr>
              <w:pStyle w:val="Compact"/>
              <w:spacing w:after="40"/>
              <w:jc w:val="left"/>
            </w:pPr>
            <w:r>
              <w:rPr>
                <w:sz w:val="18"/>
              </w:rPr>
              <w:t xml:space="preserve">Agreement</w:t>
            </w:r>
          </w:p>
        </w:tc>
      </w:tr>
      <w:tr>
        <w:tc>
          <w:tcPr>
            <w:tcW w:w="3251" w:type="dxa"/>
          </w:tcPr>
          <w:p>
            <w:pPr>
              <w:pStyle w:val="Compact"/>
              <w:spacing w:after="40"/>
              <w:jc w:val="left"/>
            </w:pPr>
            <w:r>
              <w:rPr>
                <w:sz w:val="18"/>
              </w:rPr>
              <w:t xml:space="preserve">Board policy on digital lending including DLG</w:t>
            </w:r>
          </w:p>
        </w:tc>
        <w:tc>
          <w:tcPr>
            <w:tcW w:w="1836" w:type="dxa"/>
          </w:tcPr>
          <w:p>
            <w:pPr>
              <w:pStyle w:val="Compact"/>
              <w:spacing w:after="40"/>
              <w:jc w:val="left"/>
            </w:pPr>
            <w:r>
              <w:rPr>
                <w:sz w:val="18"/>
              </w:rPr>
              <w:t xml:space="preserve">CF para 5(1)</w:t>
            </w:r>
          </w:p>
        </w:tc>
        <w:tc>
          <w:tcPr>
            <w:tcW w:w="2509" w:type="dxa"/>
          </w:tcPr>
          <w:p>
            <w:pPr>
              <w:pStyle w:val="Compact"/>
              <w:spacing w:after="40"/>
              <w:jc w:val="left"/>
            </w:pPr>
            <w:r>
              <w:rPr>
                <w:sz w:val="18"/>
              </w:rPr>
              <w:t xml:space="preserve">Art. 3, 13; Sch. 11 para 11.3</w:t>
            </w:r>
          </w:p>
        </w:tc>
        <w:tc>
          <w:tcPr>
            <w:tcW w:w="2042" w:type="dxa"/>
          </w:tcPr>
          <w:p>
            <w:pPr>
              <w:pStyle w:val="Compact"/>
              <w:spacing w:after="40"/>
              <w:jc w:val="left"/>
            </w:pPr>
            <w:r>
              <w:rPr>
                <w:sz w:val="18"/>
              </w:rPr>
              <w:t xml:space="preserve">RE policy reference</w:t>
            </w:r>
          </w:p>
        </w:tc>
      </w:tr>
      <w:tr>
        <w:tc>
          <w:tcPr>
            <w:tcW w:w="3251" w:type="dxa"/>
          </w:tcPr>
          <w:p>
            <w:pPr>
              <w:pStyle w:val="Compact"/>
              <w:spacing w:after="40"/>
              <w:jc w:val="left"/>
            </w:pPr>
            <w:r>
              <w:rPr>
                <w:sz w:val="18"/>
              </w:rPr>
              <w:t xml:space="preserve">Contract defining roles; enhanced due diligence; periodic conduct review; portfolio monitoring</w:t>
            </w:r>
          </w:p>
        </w:tc>
        <w:tc>
          <w:tcPr>
            <w:tcW w:w="1836" w:type="dxa"/>
          </w:tcPr>
          <w:p>
            <w:pPr>
              <w:pStyle w:val="Compact"/>
              <w:spacing w:after="40"/>
              <w:jc w:val="left"/>
            </w:pPr>
            <w:r>
              <w:rPr>
                <w:sz w:val="18"/>
              </w:rPr>
              <w:t xml:space="preserve">CF para 6(1)–(4)</w:t>
            </w:r>
          </w:p>
        </w:tc>
        <w:tc>
          <w:tcPr>
            <w:tcW w:w="2509" w:type="dxa"/>
          </w:tcPr>
          <w:p>
            <w:pPr>
              <w:pStyle w:val="Compact"/>
              <w:spacing w:after="40"/>
              <w:jc w:val="left"/>
            </w:pPr>
            <w:r>
              <w:rPr>
                <w:sz w:val="18"/>
              </w:rPr>
              <w:t xml:space="preserve">Agreement; Art. 4, 32; Sch. 2, 13, 17, 19 (R2, R13, R20)</w:t>
            </w:r>
          </w:p>
        </w:tc>
        <w:tc>
          <w:tcPr>
            <w:tcW w:w="2042" w:type="dxa"/>
          </w:tcPr>
          <w:p>
            <w:pPr>
              <w:pStyle w:val="Compact"/>
              <w:spacing w:after="40"/>
              <w:jc w:val="left"/>
            </w:pPr>
            <w:r>
              <w:rPr>
                <w:sz w:val="18"/>
              </w:rPr>
              <w:t xml:space="preserve">Due-diligence file; review notes; MIS</w:t>
            </w:r>
          </w:p>
        </w:tc>
      </w:tr>
      <w:tr>
        <w:tc>
          <w:tcPr>
            <w:tcW w:w="3251" w:type="dxa"/>
          </w:tcPr>
          <w:p>
            <w:pPr>
              <w:pStyle w:val="Compact"/>
              <w:spacing w:after="40"/>
              <w:jc w:val="left"/>
            </w:pPr>
            <w:r>
              <w:rPr>
                <w:sz w:val="18"/>
              </w:rPr>
              <w:t xml:space="preserve">Guidance to LSP acting as recovery agent</w:t>
            </w:r>
          </w:p>
        </w:tc>
        <w:tc>
          <w:tcPr>
            <w:tcW w:w="1836" w:type="dxa"/>
          </w:tcPr>
          <w:p>
            <w:pPr>
              <w:pStyle w:val="Compact"/>
              <w:spacing w:after="40"/>
              <w:jc w:val="left"/>
            </w:pPr>
            <w:r>
              <w:rPr>
                <w:sz w:val="18"/>
              </w:rPr>
              <w:t xml:space="preserve">CF para 6(5)</w:t>
            </w:r>
          </w:p>
        </w:tc>
        <w:tc>
          <w:tcPr>
            <w:tcW w:w="2509" w:type="dxa"/>
          </w:tcPr>
          <w:p>
            <w:pPr>
              <w:pStyle w:val="Compact"/>
              <w:spacing w:after="40"/>
              <w:jc w:val="left"/>
            </w:pPr>
            <w:r>
              <w:rPr>
                <w:sz w:val="18"/>
              </w:rPr>
              <w:t xml:space="preserve">Art. 12; Sch. 10</w:t>
            </w:r>
          </w:p>
        </w:tc>
        <w:tc>
          <w:tcPr>
            <w:tcW w:w="2042" w:type="dxa"/>
          </w:tcPr>
          <w:p>
            <w:pPr>
              <w:pStyle w:val="Compact"/>
              <w:spacing w:after="40"/>
              <w:jc w:val="left"/>
            </w:pPr>
            <w:r>
              <w:rPr>
                <w:sz w:val="18"/>
              </w:rPr>
              <w:t xml:space="preserve">RE guidance; training records</w:t>
            </w:r>
          </w:p>
        </w:tc>
      </w:tr>
      <w:tr>
        <w:tc>
          <w:tcPr>
            <w:tcW w:w="3251" w:type="dxa"/>
          </w:tcPr>
          <w:p>
            <w:pPr>
              <w:pStyle w:val="Compact"/>
              <w:spacing w:after="40"/>
              <w:jc w:val="left"/>
            </w:pPr>
            <w:r>
              <w:rPr>
                <w:sz w:val="18"/>
              </w:rPr>
              <w:t xml:space="preserve">LSP and DLAs comply with CF and OUT; RE fully liable</w:t>
            </w:r>
          </w:p>
        </w:tc>
        <w:tc>
          <w:tcPr>
            <w:tcW w:w="1836" w:type="dxa"/>
          </w:tcPr>
          <w:p>
            <w:pPr>
              <w:pStyle w:val="Compact"/>
              <w:spacing w:after="40"/>
              <w:jc w:val="left"/>
            </w:pPr>
            <w:r>
              <w:rPr>
                <w:sz w:val="18"/>
              </w:rPr>
              <w:t xml:space="preserve">CF para 6(6)–(7)</w:t>
            </w:r>
          </w:p>
        </w:tc>
        <w:tc>
          <w:tcPr>
            <w:tcW w:w="2509" w:type="dxa"/>
          </w:tcPr>
          <w:p>
            <w:pPr>
              <w:pStyle w:val="Compact"/>
              <w:spacing w:after="40"/>
              <w:jc w:val="left"/>
            </w:pPr>
            <w:r>
              <w:rPr>
                <w:sz w:val="18"/>
              </w:rPr>
              <w:t xml:space="preserve">Art. 3, 27; this Schedule</w:t>
            </w:r>
          </w:p>
        </w:tc>
        <w:tc>
          <w:tcPr>
            <w:tcW w:w="2042" w:type="dxa"/>
          </w:tcPr>
          <w:p>
            <w:pPr>
              <w:pStyle w:val="Compact"/>
              <w:spacing w:after="40"/>
              <w:jc w:val="left"/>
            </w:pPr>
            <w:r>
              <w:rPr>
                <w:sz w:val="18"/>
              </w:rPr>
              <w:t xml:space="preserve">Control tests</w:t>
            </w:r>
          </w:p>
        </w:tc>
      </w:tr>
      <w:tr>
        <w:tc>
          <w:tcPr>
            <w:tcW w:w="3251" w:type="dxa"/>
          </w:tcPr>
          <w:p>
            <w:pPr>
              <w:pStyle w:val="Compact"/>
              <w:spacing w:after="40"/>
              <w:jc w:val="left"/>
            </w:pPr>
            <w:r>
              <w:rPr>
                <w:sz w:val="18"/>
              </w:rPr>
              <w:t xml:space="preserve">All matching offers and unmatched lenders in one view</w:t>
            </w:r>
          </w:p>
        </w:tc>
        <w:tc>
          <w:tcPr>
            <w:tcW w:w="1836" w:type="dxa"/>
          </w:tcPr>
          <w:p>
            <w:pPr>
              <w:pStyle w:val="Compact"/>
              <w:spacing w:after="40"/>
              <w:jc w:val="left"/>
            </w:pPr>
            <w:r>
              <w:rPr>
                <w:sz w:val="18"/>
              </w:rPr>
              <w:t xml:space="preserve">CF para 7(1)</w:t>
            </w:r>
          </w:p>
        </w:tc>
        <w:tc>
          <w:tcPr>
            <w:tcW w:w="2509" w:type="dxa"/>
          </w:tcPr>
          <w:p>
            <w:pPr>
              <w:pStyle w:val="Compact"/>
              <w:spacing w:after="40"/>
              <w:jc w:val="left"/>
            </w:pPr>
            <w:r>
              <w:rPr>
                <w:sz w:val="18"/>
              </w:rPr>
              <w:t xml:space="preserve">Art. 6; Sch. 5 paras 5.1, 5.3</w:t>
            </w:r>
          </w:p>
        </w:tc>
        <w:tc>
          <w:tcPr>
            <w:tcW w:w="2042" w:type="dxa"/>
          </w:tcPr>
          <w:p>
            <w:pPr>
              <w:pStyle w:val="Compact"/>
              <w:spacing w:after="40"/>
              <w:jc w:val="left"/>
            </w:pPr>
            <w:r>
              <w:rPr>
                <w:sz w:val="18"/>
              </w:rPr>
              <w:t xml:space="preserve">UI tests</w:t>
            </w:r>
          </w:p>
        </w:tc>
      </w:tr>
      <w:tr>
        <w:tc>
          <w:tcPr>
            <w:tcW w:w="3251" w:type="dxa"/>
          </w:tcPr>
          <w:p>
            <w:pPr>
              <w:pStyle w:val="Compact"/>
              <w:spacing w:after="40"/>
              <w:jc w:val="left"/>
            </w:pPr>
            <w:r>
              <w:rPr>
                <w:sz w:val="18"/>
              </w:rPr>
              <w:t xml:space="preserve">Consistent, documented matching mechanism</w:t>
            </w:r>
          </w:p>
        </w:tc>
        <w:tc>
          <w:tcPr>
            <w:tcW w:w="1836" w:type="dxa"/>
          </w:tcPr>
          <w:p>
            <w:pPr>
              <w:pStyle w:val="Compact"/>
              <w:spacing w:after="40"/>
              <w:jc w:val="left"/>
            </w:pPr>
            <w:r>
              <w:rPr>
                <w:sz w:val="18"/>
              </w:rPr>
              <w:t xml:space="preserve">CF para 7(2)</w:t>
            </w:r>
          </w:p>
        </w:tc>
        <w:tc>
          <w:tcPr>
            <w:tcW w:w="2509" w:type="dxa"/>
          </w:tcPr>
          <w:p>
            <w:pPr>
              <w:pStyle w:val="Compact"/>
              <w:spacing w:after="40"/>
              <w:jc w:val="left"/>
            </w:pPr>
            <w:r>
              <w:rPr>
                <w:sz w:val="18"/>
              </w:rPr>
              <w:t xml:space="preserve">Sch. 5 paras 5.4, 5.7, 5.8</w:t>
            </w:r>
          </w:p>
        </w:tc>
        <w:tc>
          <w:tcPr>
            <w:tcW w:w="2042" w:type="dxa"/>
          </w:tcPr>
          <w:p>
            <w:pPr>
              <w:pStyle w:val="Compact"/>
              <w:spacing w:after="40"/>
              <w:jc w:val="left"/>
            </w:pPr>
            <w:r>
              <w:rPr>
                <w:sz w:val="18"/>
              </w:rPr>
              <w:t xml:space="preserve">Version log; consistency tests</w:t>
            </w:r>
          </w:p>
        </w:tc>
      </w:tr>
      <w:tr>
        <w:tc>
          <w:tcPr>
            <w:tcW w:w="3251" w:type="dxa"/>
          </w:tcPr>
          <w:p>
            <w:pPr>
              <w:pStyle w:val="Compact"/>
              <w:spacing w:after="40"/>
              <w:jc w:val="left"/>
            </w:pPr>
            <w:r>
              <w:rPr>
                <w:sz w:val="18"/>
              </w:rPr>
              <w:t xml:space="preserve">Offer fields and KFS link</w:t>
            </w:r>
          </w:p>
        </w:tc>
        <w:tc>
          <w:tcPr>
            <w:tcW w:w="1836" w:type="dxa"/>
          </w:tcPr>
          <w:p>
            <w:pPr>
              <w:pStyle w:val="Compact"/>
              <w:spacing w:after="40"/>
              <w:jc w:val="left"/>
            </w:pPr>
            <w:r>
              <w:rPr>
                <w:sz w:val="18"/>
              </w:rPr>
              <w:t xml:space="preserve">CF para 7(3)</w:t>
            </w:r>
          </w:p>
        </w:tc>
        <w:tc>
          <w:tcPr>
            <w:tcW w:w="2509" w:type="dxa"/>
          </w:tcPr>
          <w:p>
            <w:pPr>
              <w:pStyle w:val="Compact"/>
              <w:spacing w:after="40"/>
              <w:jc w:val="left"/>
            </w:pPr>
            <w:r>
              <w:rPr>
                <w:sz w:val="18"/>
              </w:rPr>
              <w:t xml:space="preserve">Sch. 5 para 5.2</w:t>
            </w:r>
          </w:p>
        </w:tc>
        <w:tc>
          <w:tcPr>
            <w:tcW w:w="2042" w:type="dxa"/>
          </w:tcPr>
          <w:p>
            <w:pPr>
              <w:pStyle w:val="Compact"/>
              <w:spacing w:after="40"/>
              <w:jc w:val="left"/>
            </w:pPr>
            <w:r>
              <w:rPr>
                <w:sz w:val="18"/>
              </w:rPr>
              <w:t xml:space="preserve">Offer-card schema</w:t>
            </w:r>
          </w:p>
        </w:tc>
      </w:tr>
      <w:tr>
        <w:tc>
          <w:tcPr>
            <w:tcW w:w="3251" w:type="dxa"/>
          </w:tcPr>
          <w:p>
            <w:pPr>
              <w:pStyle w:val="Compact"/>
              <w:spacing w:after="40"/>
              <w:jc w:val="left"/>
            </w:pPr>
            <w:r>
              <w:rPr>
                <w:sz w:val="18"/>
              </w:rPr>
              <w:t xml:space="preserve">Neutral content; no dark patterns; pre-disclosed ranking</w:t>
            </w:r>
          </w:p>
        </w:tc>
        <w:tc>
          <w:tcPr>
            <w:tcW w:w="1836" w:type="dxa"/>
          </w:tcPr>
          <w:p>
            <w:pPr>
              <w:pStyle w:val="Compact"/>
              <w:spacing w:after="40"/>
              <w:jc w:val="left"/>
            </w:pPr>
            <w:r>
              <w:rPr>
                <w:sz w:val="18"/>
              </w:rPr>
              <w:t xml:space="preserve">CF para 7(4) and Note</w:t>
            </w:r>
          </w:p>
        </w:tc>
        <w:tc>
          <w:tcPr>
            <w:tcW w:w="2509" w:type="dxa"/>
          </w:tcPr>
          <w:p>
            <w:pPr>
              <w:pStyle w:val="Compact"/>
              <w:spacing w:after="40"/>
              <w:jc w:val="left"/>
            </w:pPr>
            <w:r>
              <w:rPr>
                <w:sz w:val="18"/>
              </w:rPr>
              <w:t xml:space="preserve">Sch. 5 paras 5.5–5.6; Sch. 15</w:t>
            </w:r>
          </w:p>
        </w:tc>
        <w:tc>
          <w:tcPr>
            <w:tcW w:w="2042" w:type="dxa"/>
          </w:tcPr>
          <w:p>
            <w:pPr>
              <w:pStyle w:val="Compact"/>
              <w:spacing w:after="40"/>
              <w:jc w:val="left"/>
            </w:pPr>
            <w:r>
              <w:rPr>
                <w:sz w:val="18"/>
              </w:rPr>
              <w:t xml:space="preserve">Dark-pattern checklist</w:t>
            </w:r>
          </w:p>
        </w:tc>
      </w:tr>
      <w:tr>
        <w:tc>
          <w:tcPr>
            <w:tcW w:w="3251" w:type="dxa"/>
          </w:tcPr>
          <w:p>
            <w:pPr>
              <w:pStyle w:val="Compact"/>
              <w:spacing w:after="40"/>
              <w:jc w:val="left"/>
            </w:pPr>
            <w:r>
              <w:rPr>
                <w:sz w:val="18"/>
              </w:rPr>
              <w:t xml:space="preserve">Economic profile; no automatic limit increase</w:t>
            </w:r>
          </w:p>
        </w:tc>
        <w:tc>
          <w:tcPr>
            <w:tcW w:w="1836" w:type="dxa"/>
          </w:tcPr>
          <w:p>
            <w:pPr>
              <w:pStyle w:val="Compact"/>
              <w:spacing w:after="40"/>
              <w:jc w:val="left"/>
            </w:pPr>
            <w:r>
              <w:rPr>
                <w:sz w:val="18"/>
              </w:rPr>
              <w:t xml:space="preserve">CF para 8(1)–(2)</w:t>
            </w:r>
          </w:p>
        </w:tc>
        <w:tc>
          <w:tcPr>
            <w:tcW w:w="2509" w:type="dxa"/>
          </w:tcPr>
          <w:p>
            <w:pPr>
              <w:pStyle w:val="Compact"/>
              <w:spacing w:after="40"/>
              <w:jc w:val="left"/>
            </w:pPr>
            <w:r>
              <w:rPr>
                <w:sz w:val="18"/>
              </w:rPr>
              <w:t xml:space="preserve">Art. 7, 8; Sch. 2 row 9; Sch. 4 para 4.4</w:t>
            </w:r>
          </w:p>
        </w:tc>
        <w:tc>
          <w:tcPr>
            <w:tcW w:w="2042" w:type="dxa"/>
          </w:tcPr>
          <w:p>
            <w:pPr>
              <w:pStyle w:val="Compact"/>
              <w:spacing w:after="40"/>
              <w:jc w:val="left"/>
            </w:pPr>
            <w:r>
              <w:rPr>
                <w:sz w:val="18"/>
              </w:rPr>
              <w:t xml:space="preserve">Field and request logs</w:t>
            </w:r>
          </w:p>
        </w:tc>
      </w:tr>
      <w:tr>
        <w:tc>
          <w:tcPr>
            <w:tcW w:w="3251" w:type="dxa"/>
          </w:tcPr>
          <w:p>
            <w:pPr>
              <w:pStyle w:val="Compact"/>
              <w:spacing w:after="40"/>
              <w:jc w:val="left"/>
            </w:pPr>
            <w:r>
              <w:rPr>
                <w:sz w:val="18"/>
              </w:rPr>
              <w:t xml:space="preserve">KFS and penal charges per RBC; signed documents to Borrower</w:t>
            </w:r>
          </w:p>
        </w:tc>
        <w:tc>
          <w:tcPr>
            <w:tcW w:w="1836" w:type="dxa"/>
          </w:tcPr>
          <w:p>
            <w:pPr>
              <w:pStyle w:val="Compact"/>
              <w:spacing w:after="40"/>
              <w:jc w:val="left"/>
            </w:pPr>
            <w:r>
              <w:rPr>
                <w:sz w:val="18"/>
              </w:rPr>
              <w:t xml:space="preserve">CF para 9(1)–(3)</w:t>
            </w:r>
          </w:p>
        </w:tc>
        <w:tc>
          <w:tcPr>
            <w:tcW w:w="2509" w:type="dxa"/>
          </w:tcPr>
          <w:p>
            <w:pPr>
              <w:pStyle w:val="Compact"/>
              <w:spacing w:after="40"/>
              <w:jc w:val="left"/>
            </w:pPr>
            <w:r>
              <w:rPr>
                <w:sz w:val="18"/>
              </w:rPr>
              <w:t xml:space="preserve">Art. 8; Sch. 2 rows 13–17; Sch. 4 para 4.2</w:t>
            </w:r>
          </w:p>
        </w:tc>
        <w:tc>
          <w:tcPr>
            <w:tcW w:w="2042" w:type="dxa"/>
          </w:tcPr>
          <w:p>
            <w:pPr>
              <w:pStyle w:val="Compact"/>
              <w:spacing w:after="40"/>
              <w:jc w:val="left"/>
            </w:pPr>
            <w:r>
              <w:rPr>
                <w:sz w:val="18"/>
              </w:rPr>
              <w:t xml:space="preserve">KFS and delivery logs</w:t>
            </w:r>
          </w:p>
        </w:tc>
      </w:tr>
      <w:tr>
        <w:tc>
          <w:tcPr>
            <w:tcW w:w="3251" w:type="dxa"/>
          </w:tcPr>
          <w:p>
            <w:pPr>
              <w:pStyle w:val="Compact"/>
              <w:spacing w:after="40"/>
              <w:jc w:val="left"/>
            </w:pPr>
            <w:r>
              <w:rPr>
                <w:sz w:val="18"/>
              </w:rPr>
              <w:t xml:space="preserve">RE website disclosures; DLA links to them</w:t>
            </w:r>
          </w:p>
        </w:tc>
        <w:tc>
          <w:tcPr>
            <w:tcW w:w="1836" w:type="dxa"/>
          </w:tcPr>
          <w:p>
            <w:pPr>
              <w:pStyle w:val="Compact"/>
              <w:spacing w:after="40"/>
              <w:jc w:val="left"/>
            </w:pPr>
            <w:r>
              <w:rPr>
                <w:sz w:val="18"/>
              </w:rPr>
              <w:t xml:space="preserve">CF para 9(4)–(5)</w:t>
            </w:r>
          </w:p>
        </w:tc>
        <w:tc>
          <w:tcPr>
            <w:tcW w:w="2509" w:type="dxa"/>
          </w:tcPr>
          <w:p>
            <w:pPr>
              <w:pStyle w:val="Compact"/>
              <w:spacing w:after="40"/>
              <w:jc w:val="left"/>
            </w:pPr>
            <w:r>
              <w:rPr>
                <w:sz w:val="18"/>
              </w:rPr>
              <w:t xml:space="preserve">Art. 5; Sch. 3 para 3.2</w:t>
            </w:r>
          </w:p>
        </w:tc>
        <w:tc>
          <w:tcPr>
            <w:tcW w:w="2042" w:type="dxa"/>
          </w:tcPr>
          <w:p>
            <w:pPr>
              <w:pStyle w:val="Compact"/>
              <w:spacing w:after="40"/>
              <w:jc w:val="left"/>
            </w:pPr>
            <w:r>
              <w:rPr>
                <w:sz w:val="18"/>
              </w:rPr>
              <w:t xml:space="preserve">Screenshots</w:t>
            </w:r>
          </w:p>
        </w:tc>
      </w:tr>
      <w:tr>
        <w:tc>
          <w:tcPr>
            <w:tcW w:w="3251" w:type="dxa"/>
          </w:tcPr>
          <w:p>
            <w:pPr>
              <w:pStyle w:val="Compact"/>
              <w:spacing w:after="40"/>
              <w:jc w:val="left"/>
            </w:pPr>
            <w:r>
              <w:rPr>
                <w:sz w:val="18"/>
              </w:rPr>
              <w:t xml:space="preserve">Recovery agent particulars before contact</w:t>
            </w:r>
          </w:p>
        </w:tc>
        <w:tc>
          <w:tcPr>
            <w:tcW w:w="1836" w:type="dxa"/>
          </w:tcPr>
          <w:p>
            <w:pPr>
              <w:pStyle w:val="Compact"/>
              <w:spacing w:after="40"/>
              <w:jc w:val="left"/>
            </w:pPr>
            <w:r>
              <w:rPr>
                <w:sz w:val="18"/>
              </w:rPr>
              <w:t xml:space="preserve">CF para 9(6)</w:t>
            </w:r>
          </w:p>
        </w:tc>
        <w:tc>
          <w:tcPr>
            <w:tcW w:w="2509" w:type="dxa"/>
          </w:tcPr>
          <w:p>
            <w:pPr>
              <w:pStyle w:val="Compact"/>
              <w:spacing w:after="40"/>
              <w:jc w:val="left"/>
            </w:pPr>
            <w:r>
              <w:rPr>
                <w:sz w:val="18"/>
              </w:rPr>
              <w:t xml:space="preserve">Sch. 10 para 10.4</w:t>
            </w:r>
          </w:p>
        </w:tc>
        <w:tc>
          <w:tcPr>
            <w:tcW w:w="2042" w:type="dxa"/>
          </w:tcPr>
          <w:p>
            <w:pPr>
              <w:pStyle w:val="Compact"/>
              <w:spacing w:after="40"/>
              <w:jc w:val="left"/>
            </w:pPr>
            <w:r>
              <w:rPr>
                <w:sz w:val="18"/>
              </w:rPr>
              <w:t xml:space="preserve">Notice log</w:t>
            </w:r>
          </w:p>
        </w:tc>
      </w:tr>
      <w:tr>
        <w:tc>
          <w:tcPr>
            <w:tcW w:w="3251" w:type="dxa"/>
          </w:tcPr>
          <w:p>
            <w:pPr>
              <w:pStyle w:val="Compact"/>
              <w:spacing w:after="40"/>
              <w:jc w:val="left"/>
            </w:pPr>
            <w:r>
              <w:rPr>
                <w:sz w:val="18"/>
              </w:rPr>
              <w:t xml:space="preserve">Disbursal only to Borrower or permitted beneficiary</w:t>
            </w:r>
          </w:p>
        </w:tc>
        <w:tc>
          <w:tcPr>
            <w:tcW w:w="1836" w:type="dxa"/>
          </w:tcPr>
          <w:p>
            <w:pPr>
              <w:pStyle w:val="Compact"/>
              <w:spacing w:after="40"/>
              <w:jc w:val="left"/>
            </w:pPr>
            <w:r>
              <w:rPr>
                <w:sz w:val="18"/>
              </w:rPr>
              <w:t xml:space="preserve">CF para 10(1)</w:t>
            </w:r>
          </w:p>
        </w:tc>
        <w:tc>
          <w:tcPr>
            <w:tcW w:w="2509" w:type="dxa"/>
          </w:tcPr>
          <w:p>
            <w:pPr>
              <w:pStyle w:val="Compact"/>
              <w:spacing w:after="40"/>
              <w:jc w:val="left"/>
            </w:pPr>
            <w:r>
              <w:rPr>
                <w:sz w:val="18"/>
              </w:rPr>
              <w:t xml:space="preserve">Art. 9; Sch. 6</w:t>
            </w:r>
          </w:p>
        </w:tc>
        <w:tc>
          <w:tcPr>
            <w:tcW w:w="2042" w:type="dxa"/>
          </w:tcPr>
          <w:p>
            <w:pPr>
              <w:pStyle w:val="Compact"/>
              <w:spacing w:after="40"/>
              <w:jc w:val="left"/>
            </w:pPr>
            <w:r>
              <w:rPr>
                <w:sz w:val="18"/>
              </w:rPr>
              <w:t xml:space="preserve">Account validator</w:t>
            </w:r>
          </w:p>
        </w:tc>
      </w:tr>
      <w:tr>
        <w:tc>
          <w:tcPr>
            <w:tcW w:w="3251" w:type="dxa"/>
          </w:tcPr>
          <w:p>
            <w:pPr>
              <w:pStyle w:val="Compact"/>
              <w:spacing w:after="40"/>
              <w:jc w:val="left"/>
            </w:pPr>
            <w:r>
              <w:rPr>
                <w:sz w:val="18"/>
              </w:rPr>
              <w:t xml:space="preserve">Repayment direct to RE; no pool account; no LSP control</w:t>
            </w:r>
          </w:p>
        </w:tc>
        <w:tc>
          <w:tcPr>
            <w:tcW w:w="1836" w:type="dxa"/>
          </w:tcPr>
          <w:p>
            <w:pPr>
              <w:pStyle w:val="Compact"/>
              <w:spacing w:after="40"/>
              <w:jc w:val="left"/>
            </w:pPr>
            <w:r>
              <w:rPr>
                <w:sz w:val="18"/>
              </w:rPr>
              <w:t xml:space="preserve">CF para 10(2)–(3)</w:t>
            </w:r>
          </w:p>
        </w:tc>
        <w:tc>
          <w:tcPr>
            <w:tcW w:w="2509" w:type="dxa"/>
          </w:tcPr>
          <w:p>
            <w:pPr>
              <w:pStyle w:val="Compact"/>
              <w:spacing w:after="40"/>
              <w:jc w:val="left"/>
            </w:pPr>
            <w:r>
              <w:rPr>
                <w:sz w:val="18"/>
              </w:rPr>
              <w:t xml:space="preserve">Art. 9; Sch. 6</w:t>
            </w:r>
          </w:p>
        </w:tc>
        <w:tc>
          <w:tcPr>
            <w:tcW w:w="2042" w:type="dxa"/>
          </w:tcPr>
          <w:p>
            <w:pPr>
              <w:pStyle w:val="Compact"/>
              <w:spacing w:after="40"/>
              <w:jc w:val="left"/>
            </w:pPr>
            <w:r>
              <w:rPr>
                <w:sz w:val="18"/>
              </w:rPr>
              <w:t xml:space="preserve">Reconciliation control total</w:t>
            </w:r>
          </w:p>
        </w:tc>
      </w:tr>
      <w:tr>
        <w:tc>
          <w:tcPr>
            <w:tcW w:w="3251" w:type="dxa"/>
          </w:tcPr>
          <w:p>
            <w:pPr>
              <w:pStyle w:val="Compact"/>
              <w:spacing w:after="40"/>
              <w:jc w:val="left"/>
            </w:pPr>
            <w:r>
              <w:rPr>
                <w:sz w:val="18"/>
              </w:rPr>
              <w:t xml:space="preserve">LSP fees paid by RE only</w:t>
            </w:r>
          </w:p>
        </w:tc>
        <w:tc>
          <w:tcPr>
            <w:tcW w:w="1836" w:type="dxa"/>
          </w:tcPr>
          <w:p>
            <w:pPr>
              <w:pStyle w:val="Compact"/>
              <w:spacing w:after="40"/>
              <w:jc w:val="left"/>
            </w:pPr>
            <w:r>
              <w:rPr>
                <w:sz w:val="18"/>
              </w:rPr>
              <w:t xml:space="preserve">CF para 10(4)</w:t>
            </w:r>
          </w:p>
        </w:tc>
        <w:tc>
          <w:tcPr>
            <w:tcW w:w="2509" w:type="dxa"/>
          </w:tcPr>
          <w:p>
            <w:pPr>
              <w:pStyle w:val="Compact"/>
              <w:spacing w:after="40"/>
              <w:jc w:val="left"/>
            </w:pPr>
            <w:r>
              <w:rPr>
                <w:sz w:val="18"/>
              </w:rPr>
              <w:t xml:space="preserve">Art. 22; Sch. 1</w:t>
            </w:r>
          </w:p>
        </w:tc>
        <w:tc>
          <w:tcPr>
            <w:tcW w:w="2042" w:type="dxa"/>
          </w:tcPr>
          <w:p>
            <w:pPr>
              <w:pStyle w:val="Compact"/>
              <w:spacing w:after="40"/>
              <w:jc w:val="left"/>
            </w:pPr>
            <w:r>
              <w:rPr>
                <w:sz w:val="18"/>
              </w:rPr>
              <w:t xml:space="preserve">Invoices; product configuration</w:t>
            </w:r>
          </w:p>
        </w:tc>
      </w:tr>
      <w:tr>
        <w:tc>
          <w:tcPr>
            <w:tcW w:w="3251" w:type="dxa"/>
          </w:tcPr>
          <w:p>
            <w:pPr>
              <w:pStyle w:val="Compact"/>
              <w:spacing w:after="40"/>
              <w:jc w:val="left"/>
            </w:pPr>
            <w:r>
              <w:rPr>
                <w:sz w:val="18"/>
              </w:rPr>
              <w:t xml:space="preserve">Cash recovery credited same day, no deduction</w:t>
            </w:r>
          </w:p>
        </w:tc>
        <w:tc>
          <w:tcPr>
            <w:tcW w:w="1836" w:type="dxa"/>
          </w:tcPr>
          <w:p>
            <w:pPr>
              <w:pStyle w:val="Compact"/>
              <w:spacing w:after="40"/>
              <w:jc w:val="left"/>
            </w:pPr>
            <w:r>
              <w:rPr>
                <w:sz w:val="18"/>
              </w:rPr>
              <w:t xml:space="preserve">CF para 10(5)</w:t>
            </w:r>
          </w:p>
        </w:tc>
        <w:tc>
          <w:tcPr>
            <w:tcW w:w="2509" w:type="dxa"/>
          </w:tcPr>
          <w:p>
            <w:pPr>
              <w:pStyle w:val="Compact"/>
              <w:spacing w:after="40"/>
              <w:jc w:val="left"/>
            </w:pPr>
            <w:r>
              <w:rPr>
                <w:sz w:val="18"/>
              </w:rPr>
              <w:t xml:space="preserve">Sch. 6 A8; Sch. 10 para 10.10</w:t>
            </w:r>
          </w:p>
        </w:tc>
        <w:tc>
          <w:tcPr>
            <w:tcW w:w="2042" w:type="dxa"/>
          </w:tcPr>
          <w:p>
            <w:pPr>
              <w:pStyle w:val="Compact"/>
              <w:spacing w:after="40"/>
              <w:jc w:val="left"/>
            </w:pPr>
            <w:r>
              <w:rPr>
                <w:sz w:val="18"/>
              </w:rPr>
              <w:t xml:space="preserve">Cash ledger</w:t>
            </w:r>
          </w:p>
        </w:tc>
      </w:tr>
      <w:tr>
        <w:tc>
          <w:tcPr>
            <w:tcW w:w="3251" w:type="dxa"/>
          </w:tcPr>
          <w:p>
            <w:pPr>
              <w:pStyle w:val="Compact"/>
              <w:spacing w:after="40"/>
              <w:jc w:val="left"/>
            </w:pPr>
            <w:r>
              <w:rPr>
                <w:sz w:val="18"/>
              </w:rPr>
              <w:t xml:space="preserve">Cooling-off ≥ 1 day; exit without penalty</w:t>
            </w:r>
          </w:p>
        </w:tc>
        <w:tc>
          <w:tcPr>
            <w:tcW w:w="1836" w:type="dxa"/>
          </w:tcPr>
          <w:p>
            <w:pPr>
              <w:pStyle w:val="Compact"/>
              <w:spacing w:after="40"/>
              <w:jc w:val="left"/>
            </w:pPr>
            <w:r>
              <w:rPr>
                <w:sz w:val="18"/>
              </w:rPr>
              <w:t xml:space="preserve">CF para 11</w:t>
            </w:r>
          </w:p>
        </w:tc>
        <w:tc>
          <w:tcPr>
            <w:tcW w:w="2509" w:type="dxa"/>
          </w:tcPr>
          <w:p>
            <w:pPr>
              <w:pStyle w:val="Compact"/>
              <w:spacing w:after="40"/>
              <w:jc w:val="left"/>
            </w:pPr>
            <w:r>
              <w:rPr>
                <w:sz w:val="18"/>
              </w:rPr>
              <w:t xml:space="preserve">Art. 10; Sch. 4 para 4.3</w:t>
            </w:r>
          </w:p>
        </w:tc>
        <w:tc>
          <w:tcPr>
            <w:tcW w:w="2042" w:type="dxa"/>
          </w:tcPr>
          <w:p>
            <w:pPr>
              <w:pStyle w:val="Compact"/>
              <w:spacing w:after="40"/>
              <w:jc w:val="left"/>
            </w:pPr>
            <w:r>
              <w:rPr>
                <w:sz w:val="18"/>
              </w:rPr>
              <w:t xml:space="preserve">Exit logs</w:t>
            </w:r>
          </w:p>
        </w:tc>
      </w:tr>
      <w:tr>
        <w:tc>
          <w:tcPr>
            <w:tcW w:w="3251" w:type="dxa"/>
          </w:tcPr>
          <w:p>
            <w:pPr>
              <w:pStyle w:val="Compact"/>
              <w:spacing w:after="40"/>
              <w:jc w:val="left"/>
            </w:pPr>
            <w:r>
              <w:rPr>
                <w:sz w:val="18"/>
              </w:rPr>
              <w:t xml:space="preserve">LSP nodal officer; display; lodging on DLA; CMS route</w:t>
            </w:r>
          </w:p>
        </w:tc>
        <w:tc>
          <w:tcPr>
            <w:tcW w:w="1836" w:type="dxa"/>
          </w:tcPr>
          <w:p>
            <w:pPr>
              <w:pStyle w:val="Compact"/>
              <w:spacing w:after="40"/>
              <w:jc w:val="left"/>
            </w:pPr>
            <w:r>
              <w:rPr>
                <w:sz w:val="18"/>
              </w:rPr>
              <w:t xml:space="preserve">CF para 12(1)–(4)</w:t>
            </w:r>
          </w:p>
        </w:tc>
        <w:tc>
          <w:tcPr>
            <w:tcW w:w="2509" w:type="dxa"/>
          </w:tcPr>
          <w:p>
            <w:pPr>
              <w:pStyle w:val="Compact"/>
              <w:spacing w:after="40"/>
              <w:jc w:val="left"/>
            </w:pPr>
            <w:r>
              <w:rPr>
                <w:sz w:val="18"/>
              </w:rPr>
              <w:t xml:space="preserve">Art. 14; Sch. 9</w:t>
            </w:r>
          </w:p>
        </w:tc>
        <w:tc>
          <w:tcPr>
            <w:tcW w:w="2042" w:type="dxa"/>
          </w:tcPr>
          <w:p>
            <w:pPr>
              <w:pStyle w:val="Compact"/>
              <w:spacing w:after="40"/>
              <w:jc w:val="left"/>
            </w:pPr>
            <w:r>
              <w:rPr>
                <w:sz w:val="18"/>
              </w:rPr>
              <w:t xml:space="preserve">Register; screenshots</w:t>
            </w:r>
          </w:p>
        </w:tc>
      </w:tr>
      <w:tr>
        <w:tc>
          <w:tcPr>
            <w:tcW w:w="3251" w:type="dxa"/>
          </w:tcPr>
          <w:p>
            <w:pPr>
              <w:pStyle w:val="Compact"/>
              <w:spacing w:after="40"/>
              <w:jc w:val="left"/>
            </w:pPr>
            <w:r>
              <w:rPr>
                <w:sz w:val="18"/>
              </w:rPr>
              <w:t xml:space="preserve">Consent, device-resource bar, Borrower options, purpose, third-party sharing</w:t>
            </w:r>
          </w:p>
        </w:tc>
        <w:tc>
          <w:tcPr>
            <w:tcW w:w="1836" w:type="dxa"/>
          </w:tcPr>
          <w:p>
            <w:pPr>
              <w:pStyle w:val="Compact"/>
              <w:spacing w:after="40"/>
              <w:jc w:val="left"/>
            </w:pPr>
            <w:r>
              <w:rPr>
                <w:sz w:val="18"/>
              </w:rPr>
              <w:t xml:space="preserve">CF para 13(1)–(4)</w:t>
            </w:r>
          </w:p>
        </w:tc>
        <w:tc>
          <w:tcPr>
            <w:tcW w:w="2509" w:type="dxa"/>
          </w:tcPr>
          <w:p>
            <w:pPr>
              <w:pStyle w:val="Compact"/>
              <w:spacing w:after="40"/>
              <w:jc w:val="left"/>
            </w:pPr>
            <w:r>
              <w:rPr>
                <w:sz w:val="18"/>
              </w:rPr>
              <w:t xml:space="preserve">Art. 15; Sch. 7 Parts C–D</w:t>
            </w:r>
          </w:p>
        </w:tc>
        <w:tc>
          <w:tcPr>
            <w:tcW w:w="2042" w:type="dxa"/>
          </w:tcPr>
          <w:p>
            <w:pPr>
              <w:pStyle w:val="Compact"/>
              <w:spacing w:after="40"/>
              <w:jc w:val="left"/>
            </w:pPr>
            <w:r>
              <w:rPr>
                <w:sz w:val="18"/>
              </w:rPr>
              <w:t xml:space="preserve">Manifest scans; consent logs</w:t>
            </w:r>
          </w:p>
        </w:tc>
      </w:tr>
      <w:tr>
        <w:tc>
          <w:tcPr>
            <w:tcW w:w="3251" w:type="dxa"/>
          </w:tcPr>
          <w:p>
            <w:pPr>
              <w:pStyle w:val="Compact"/>
              <w:spacing w:after="40"/>
              <w:jc w:val="left"/>
            </w:pPr>
            <w:r>
              <w:rPr>
                <w:sz w:val="18"/>
              </w:rPr>
              <w:t xml:space="preserve">Minimal data; storage policy; no biometrics; India-only storage</w:t>
            </w:r>
          </w:p>
        </w:tc>
        <w:tc>
          <w:tcPr>
            <w:tcW w:w="1836" w:type="dxa"/>
          </w:tcPr>
          <w:p>
            <w:pPr>
              <w:pStyle w:val="Compact"/>
              <w:spacing w:after="40"/>
              <w:jc w:val="left"/>
            </w:pPr>
            <w:r>
              <w:rPr>
                <w:sz w:val="18"/>
              </w:rPr>
              <w:t xml:space="preserve">CF para 14(1)–(4)</w:t>
            </w:r>
          </w:p>
        </w:tc>
        <w:tc>
          <w:tcPr>
            <w:tcW w:w="2509" w:type="dxa"/>
          </w:tcPr>
          <w:p>
            <w:pPr>
              <w:pStyle w:val="Compact"/>
              <w:spacing w:after="40"/>
              <w:jc w:val="left"/>
            </w:pPr>
            <w:r>
              <w:rPr>
                <w:sz w:val="18"/>
              </w:rPr>
              <w:t xml:space="preserve">Sch. 7 Parts B, E</w:t>
            </w:r>
          </w:p>
        </w:tc>
        <w:tc>
          <w:tcPr>
            <w:tcW w:w="2042" w:type="dxa"/>
          </w:tcPr>
          <w:p>
            <w:pPr>
              <w:pStyle w:val="Compact"/>
              <w:spacing w:after="40"/>
              <w:jc w:val="left"/>
            </w:pPr>
            <w:r>
              <w:rPr>
                <w:sz w:val="18"/>
              </w:rPr>
              <w:t xml:space="preserve">Data inventory; hosting attestation</w:t>
            </w:r>
          </w:p>
        </w:tc>
      </w:tr>
      <w:tr>
        <w:tc>
          <w:tcPr>
            <w:tcW w:w="3251" w:type="dxa"/>
          </w:tcPr>
          <w:p>
            <w:pPr>
              <w:pStyle w:val="Compact"/>
              <w:spacing w:after="40"/>
              <w:jc w:val="left"/>
            </w:pPr>
            <w:r>
              <w:rPr>
                <w:sz w:val="18"/>
              </w:rPr>
              <w:t xml:space="preserve">Privacy policy listing third parties</w:t>
            </w:r>
          </w:p>
        </w:tc>
        <w:tc>
          <w:tcPr>
            <w:tcW w:w="1836" w:type="dxa"/>
          </w:tcPr>
          <w:p>
            <w:pPr>
              <w:pStyle w:val="Compact"/>
              <w:spacing w:after="40"/>
              <w:jc w:val="left"/>
            </w:pPr>
            <w:r>
              <w:rPr>
                <w:sz w:val="18"/>
              </w:rPr>
              <w:t xml:space="preserve">CF para 15</w:t>
            </w:r>
          </w:p>
        </w:tc>
        <w:tc>
          <w:tcPr>
            <w:tcW w:w="2509" w:type="dxa"/>
          </w:tcPr>
          <w:p>
            <w:pPr>
              <w:pStyle w:val="Compact"/>
              <w:spacing w:after="40"/>
              <w:jc w:val="left"/>
            </w:pPr>
            <w:r>
              <w:rPr>
                <w:sz w:val="18"/>
              </w:rPr>
              <w:t xml:space="preserve">Sch. 7 para 7.9</w:t>
            </w:r>
          </w:p>
        </w:tc>
        <w:tc>
          <w:tcPr>
            <w:tcW w:w="2042" w:type="dxa"/>
          </w:tcPr>
          <w:p>
            <w:pPr>
              <w:pStyle w:val="Compact"/>
              <w:spacing w:after="40"/>
              <w:jc w:val="left"/>
            </w:pPr>
            <w:r>
              <w:rPr>
                <w:sz w:val="18"/>
              </w:rPr>
              <w:t xml:space="preserve">Published policy</w:t>
            </w:r>
          </w:p>
        </w:tc>
      </w:tr>
      <w:tr>
        <w:tc>
          <w:tcPr>
            <w:tcW w:w="3251" w:type="dxa"/>
          </w:tcPr>
          <w:p>
            <w:pPr>
              <w:pStyle w:val="Compact"/>
              <w:spacing w:after="40"/>
              <w:jc w:val="left"/>
            </w:pPr>
            <w:r>
              <w:rPr>
                <w:sz w:val="18"/>
              </w:rPr>
              <w:t xml:space="preserve">Cybersecurity standards</w:t>
            </w:r>
          </w:p>
        </w:tc>
        <w:tc>
          <w:tcPr>
            <w:tcW w:w="1836" w:type="dxa"/>
          </w:tcPr>
          <w:p>
            <w:pPr>
              <w:pStyle w:val="Compact"/>
              <w:spacing w:after="40"/>
              <w:jc w:val="left"/>
            </w:pPr>
            <w:r>
              <w:rPr>
                <w:sz w:val="18"/>
              </w:rPr>
              <w:t xml:space="preserve">CF para 16</w:t>
            </w:r>
          </w:p>
        </w:tc>
        <w:tc>
          <w:tcPr>
            <w:tcW w:w="2509" w:type="dxa"/>
          </w:tcPr>
          <w:p>
            <w:pPr>
              <w:pStyle w:val="Compact"/>
              <w:spacing w:after="40"/>
              <w:jc w:val="left"/>
            </w:pPr>
            <w:r>
              <w:rPr>
                <w:sz w:val="18"/>
              </w:rPr>
              <w:t xml:space="preserve">Art. 16; Sch. 8</w:t>
            </w:r>
          </w:p>
        </w:tc>
        <w:tc>
          <w:tcPr>
            <w:tcW w:w="2042" w:type="dxa"/>
          </w:tcPr>
          <w:p>
            <w:pPr>
              <w:pStyle w:val="Compact"/>
              <w:spacing w:after="40"/>
              <w:jc w:val="left"/>
            </w:pPr>
            <w:r>
              <w:rPr>
                <w:sz w:val="18"/>
              </w:rPr>
              <w:t xml:space="preserve">Certifications; tests</w:t>
            </w:r>
          </w:p>
        </w:tc>
      </w:tr>
      <w:tr>
        <w:tc>
          <w:tcPr>
            <w:tcW w:w="3251" w:type="dxa"/>
          </w:tcPr>
          <w:p>
            <w:pPr>
              <w:pStyle w:val="Compact"/>
              <w:spacing w:after="40"/>
              <w:jc w:val="left"/>
            </w:pPr>
            <w:r>
              <w:rPr>
                <w:sz w:val="18"/>
              </w:rPr>
              <w:t xml:space="preserve">CIC reporting by RE</w:t>
            </w:r>
          </w:p>
        </w:tc>
        <w:tc>
          <w:tcPr>
            <w:tcW w:w="1836" w:type="dxa"/>
          </w:tcPr>
          <w:p>
            <w:pPr>
              <w:pStyle w:val="Compact"/>
              <w:spacing w:after="40"/>
              <w:jc w:val="left"/>
            </w:pPr>
            <w:r>
              <w:rPr>
                <w:sz w:val="18"/>
              </w:rPr>
              <w:t xml:space="preserve">CF para 17</w:t>
            </w:r>
          </w:p>
        </w:tc>
        <w:tc>
          <w:tcPr>
            <w:tcW w:w="2509" w:type="dxa"/>
          </w:tcPr>
          <w:p>
            <w:pPr>
              <w:pStyle w:val="Compact"/>
              <w:spacing w:after="40"/>
              <w:jc w:val="left"/>
            </w:pPr>
            <w:r>
              <w:rPr>
                <w:sz w:val="18"/>
              </w:rPr>
              <w:t xml:space="preserve">Art. 7, 18; Sch. 2 row 27</w:t>
            </w:r>
          </w:p>
        </w:tc>
        <w:tc>
          <w:tcPr>
            <w:tcW w:w="2042" w:type="dxa"/>
          </w:tcPr>
          <w:p>
            <w:pPr>
              <w:pStyle w:val="Compact"/>
              <w:spacing w:after="40"/>
              <w:jc w:val="left"/>
            </w:pPr>
            <w:r>
              <w:rPr>
                <w:sz w:val="18"/>
              </w:rPr>
              <w:t xml:space="preserve">RE submissions</w:t>
            </w:r>
          </w:p>
        </w:tc>
      </w:tr>
      <w:tr>
        <w:tc>
          <w:tcPr>
            <w:tcW w:w="3251" w:type="dxa"/>
          </w:tcPr>
          <w:p>
            <w:pPr>
              <w:pStyle w:val="Compact"/>
              <w:spacing w:after="40"/>
              <w:jc w:val="left"/>
            </w:pPr>
            <w:r>
              <w:rPr>
                <w:sz w:val="18"/>
              </w:rPr>
              <w:t xml:space="preserve">CIMS reporting, CCO certification, accuracy, no endorsement claim</w:t>
            </w:r>
          </w:p>
        </w:tc>
        <w:tc>
          <w:tcPr>
            <w:tcW w:w="1836" w:type="dxa"/>
          </w:tcPr>
          <w:p>
            <w:pPr>
              <w:pStyle w:val="Compact"/>
              <w:spacing w:after="40"/>
              <w:jc w:val="left"/>
            </w:pPr>
            <w:r>
              <w:rPr>
                <w:sz w:val="18"/>
              </w:rPr>
              <w:t xml:space="preserve">CF para 18(1)–(6)</w:t>
            </w:r>
          </w:p>
        </w:tc>
        <w:tc>
          <w:tcPr>
            <w:tcW w:w="2509" w:type="dxa"/>
          </w:tcPr>
          <w:p>
            <w:pPr>
              <w:pStyle w:val="Compact"/>
              <w:spacing w:after="40"/>
              <w:jc w:val="left"/>
            </w:pPr>
            <w:r>
              <w:rPr>
                <w:sz w:val="18"/>
              </w:rPr>
              <w:t xml:space="preserve">Art. 18; Sch. 3; Sch. 15 para 15.2</w:t>
            </w:r>
          </w:p>
        </w:tc>
        <w:tc>
          <w:tcPr>
            <w:tcW w:w="2042" w:type="dxa"/>
          </w:tcPr>
          <w:p>
            <w:pPr>
              <w:pStyle w:val="Compact"/>
              <w:spacing w:after="40"/>
              <w:jc w:val="left"/>
            </w:pPr>
            <w:r>
              <w:rPr>
                <w:sz w:val="18"/>
              </w:rPr>
              <w:t xml:space="preserve">Filings; evidence pack</w:t>
            </w:r>
          </w:p>
        </w:tc>
      </w:tr>
      <w:tr>
        <w:tc>
          <w:tcPr>
            <w:tcW w:w="3251" w:type="dxa"/>
          </w:tcPr>
          <w:p>
            <w:pPr>
              <w:pStyle w:val="Compact"/>
              <w:spacing w:after="40"/>
              <w:jc w:val="left"/>
            </w:pPr>
            <w:r>
              <w:rPr>
                <w:sz w:val="18"/>
              </w:rPr>
              <w:t xml:space="preserve">DLG provider eligibility and due diligence</w:t>
            </w:r>
          </w:p>
        </w:tc>
        <w:tc>
          <w:tcPr>
            <w:tcW w:w="1836" w:type="dxa"/>
          </w:tcPr>
          <w:p>
            <w:pPr>
              <w:pStyle w:val="Compact"/>
              <w:spacing w:after="40"/>
              <w:jc w:val="left"/>
            </w:pPr>
            <w:r>
              <w:rPr>
                <w:sz w:val="18"/>
              </w:rPr>
              <w:t xml:space="preserve">CF paras 19–20</w:t>
            </w:r>
          </w:p>
        </w:tc>
        <w:tc>
          <w:tcPr>
            <w:tcW w:w="2509" w:type="dxa"/>
          </w:tcPr>
          <w:p>
            <w:pPr>
              <w:pStyle w:val="Compact"/>
              <w:spacing w:after="40"/>
              <w:jc w:val="left"/>
            </w:pPr>
            <w:r>
              <w:rPr>
                <w:sz w:val="18"/>
              </w:rPr>
              <w:t xml:space="preserve">Art. 13; Sch. 11 paras 11.2–11.5; Annexure 11B</w:t>
            </w:r>
          </w:p>
        </w:tc>
        <w:tc>
          <w:tcPr>
            <w:tcW w:w="2042" w:type="dxa"/>
          </w:tcPr>
          <w:p>
            <w:pPr>
              <w:pStyle w:val="Compact"/>
              <w:spacing w:after="40"/>
              <w:jc w:val="left"/>
            </w:pPr>
            <w:r>
              <w:rPr>
                <w:sz w:val="18"/>
              </w:rPr>
              <w:t xml:space="preserve">Certificate</w:t>
            </w:r>
          </w:p>
        </w:tc>
      </w:tr>
      <w:tr>
        <w:tc>
          <w:tcPr>
            <w:tcW w:w="3251" w:type="dxa"/>
          </w:tcPr>
          <w:p>
            <w:pPr>
              <w:pStyle w:val="Compact"/>
              <w:spacing w:after="40"/>
              <w:jc w:val="left"/>
            </w:pPr>
            <w:r>
              <w:rPr>
                <w:sz w:val="18"/>
              </w:rPr>
              <w:t xml:space="preserve">DLG restrictions and exceptions</w:t>
            </w:r>
          </w:p>
        </w:tc>
        <w:tc>
          <w:tcPr>
            <w:tcW w:w="1836" w:type="dxa"/>
          </w:tcPr>
          <w:p>
            <w:pPr>
              <w:pStyle w:val="Compact"/>
              <w:spacing w:after="40"/>
              <w:jc w:val="left"/>
            </w:pPr>
            <w:r>
              <w:rPr>
                <w:sz w:val="18"/>
              </w:rPr>
              <w:t xml:space="preserve">CF paras 21, 29</w:t>
            </w:r>
          </w:p>
        </w:tc>
        <w:tc>
          <w:tcPr>
            <w:tcW w:w="2509" w:type="dxa"/>
          </w:tcPr>
          <w:p>
            <w:pPr>
              <w:pStyle w:val="Compact"/>
              <w:spacing w:after="40"/>
              <w:jc w:val="left"/>
            </w:pPr>
            <w:r>
              <w:rPr>
                <w:sz w:val="18"/>
              </w:rPr>
              <w:t xml:space="preserve">Sch. 4 para 4.9; Sch. 11 para 11.9</w:t>
            </w:r>
          </w:p>
        </w:tc>
        <w:tc>
          <w:tcPr>
            <w:tcW w:w="2042" w:type="dxa"/>
          </w:tcPr>
          <w:p>
            <w:pPr>
              <w:pStyle w:val="Compact"/>
              <w:spacing w:after="40"/>
              <w:jc w:val="left"/>
            </w:pPr>
            <w:r>
              <w:rPr>
                <w:sz w:val="18"/>
              </w:rPr>
              <w:t xml:space="preserve">DLG Set screening</w:t>
            </w:r>
          </w:p>
        </w:tc>
      </w:tr>
      <w:tr>
        <w:tc>
          <w:tcPr>
            <w:tcW w:w="3251" w:type="dxa"/>
          </w:tcPr>
          <w:p>
            <w:pPr>
              <w:pStyle w:val="Compact"/>
              <w:spacing w:after="40"/>
              <w:jc w:val="left"/>
            </w:pPr>
            <w:r>
              <w:rPr>
                <w:sz w:val="18"/>
              </w:rPr>
              <w:t xml:space="preserve">DLG contract, forms, cap and fixed set</w:t>
            </w:r>
          </w:p>
        </w:tc>
        <w:tc>
          <w:tcPr>
            <w:tcW w:w="1836" w:type="dxa"/>
          </w:tcPr>
          <w:p>
            <w:pPr>
              <w:pStyle w:val="Compact"/>
              <w:spacing w:after="40"/>
              <w:jc w:val="left"/>
            </w:pPr>
            <w:r>
              <w:rPr>
                <w:sz w:val="18"/>
              </w:rPr>
              <w:t xml:space="preserve">CF paras 22–24</w:t>
            </w:r>
          </w:p>
        </w:tc>
        <w:tc>
          <w:tcPr>
            <w:tcW w:w="2509" w:type="dxa"/>
          </w:tcPr>
          <w:p>
            <w:pPr>
              <w:pStyle w:val="Compact"/>
              <w:spacing w:after="40"/>
              <w:jc w:val="left"/>
            </w:pPr>
            <w:r>
              <w:rPr>
                <w:sz w:val="18"/>
              </w:rPr>
              <w:t xml:space="preserve">Sch. 11 paras 11.6–11.8; Annexure 11A</w:t>
            </w:r>
          </w:p>
        </w:tc>
        <w:tc>
          <w:tcPr>
            <w:tcW w:w="2042" w:type="dxa"/>
          </w:tcPr>
          <w:p>
            <w:pPr>
              <w:pStyle w:val="Compact"/>
              <w:spacing w:after="40"/>
              <w:jc w:val="left"/>
            </w:pPr>
            <w:r>
              <w:rPr>
                <w:sz w:val="18"/>
              </w:rPr>
              <w:t xml:space="preserve">Instruments; coverage statements</w:t>
            </w:r>
          </w:p>
        </w:tc>
      </w:tr>
      <w:tr>
        <w:tc>
          <w:tcPr>
            <w:tcW w:w="3251" w:type="dxa"/>
          </w:tcPr>
          <w:p>
            <w:pPr>
              <w:pStyle w:val="Compact"/>
              <w:spacing w:after="40"/>
              <w:jc w:val="left"/>
            </w:pPr>
            <w:r>
              <w:rPr>
                <w:sz w:val="18"/>
              </w:rPr>
              <w:t xml:space="preserve">NPA, set-off, recovery sharing, no reinstatement, capital</w:t>
            </w:r>
          </w:p>
        </w:tc>
        <w:tc>
          <w:tcPr>
            <w:tcW w:w="1836" w:type="dxa"/>
          </w:tcPr>
          <w:p>
            <w:pPr>
              <w:pStyle w:val="Compact"/>
              <w:spacing w:after="40"/>
              <w:jc w:val="left"/>
            </w:pPr>
            <w:r>
              <w:rPr>
                <w:sz w:val="18"/>
              </w:rPr>
              <w:t xml:space="preserve">CF paras 25–26, 30(2)</w:t>
            </w:r>
          </w:p>
        </w:tc>
        <w:tc>
          <w:tcPr>
            <w:tcW w:w="2509" w:type="dxa"/>
          </w:tcPr>
          <w:p>
            <w:pPr>
              <w:pStyle w:val="Compact"/>
              <w:spacing w:after="40"/>
              <w:jc w:val="left"/>
            </w:pPr>
            <w:r>
              <w:rPr>
                <w:sz w:val="18"/>
              </w:rPr>
              <w:t xml:space="preserve">Sch. 11 paras 11.13–11.16</w:t>
            </w:r>
          </w:p>
        </w:tc>
        <w:tc>
          <w:tcPr>
            <w:tcW w:w="2042" w:type="dxa"/>
          </w:tcPr>
          <w:p>
            <w:pPr>
              <w:pStyle w:val="Compact"/>
              <w:spacing w:after="40"/>
              <w:jc w:val="left"/>
            </w:pPr>
            <w:r>
              <w:rPr>
                <w:sz w:val="18"/>
              </w:rPr>
              <w:t xml:space="preserve">DLG ledger</w:t>
            </w:r>
          </w:p>
        </w:tc>
      </w:tr>
      <w:tr>
        <w:tc>
          <w:tcPr>
            <w:tcW w:w="3251" w:type="dxa"/>
          </w:tcPr>
          <w:p>
            <w:pPr>
              <w:pStyle w:val="Compact"/>
              <w:spacing w:after="40"/>
              <w:jc w:val="left"/>
            </w:pPr>
            <w:r>
              <w:rPr>
                <w:sz w:val="18"/>
              </w:rPr>
              <w:t xml:space="preserve">Invocation ≤ 120 days; term ≥ longest tenor</w:t>
            </w:r>
          </w:p>
        </w:tc>
        <w:tc>
          <w:tcPr>
            <w:tcW w:w="1836" w:type="dxa"/>
          </w:tcPr>
          <w:p>
            <w:pPr>
              <w:pStyle w:val="Compact"/>
              <w:spacing w:after="40"/>
              <w:jc w:val="left"/>
            </w:pPr>
            <w:r>
              <w:rPr>
                <w:sz w:val="18"/>
              </w:rPr>
              <w:t xml:space="preserve">CF para 27</w:t>
            </w:r>
          </w:p>
        </w:tc>
        <w:tc>
          <w:tcPr>
            <w:tcW w:w="2509" w:type="dxa"/>
          </w:tcPr>
          <w:p>
            <w:pPr>
              <w:pStyle w:val="Compact"/>
              <w:spacing w:after="40"/>
              <w:jc w:val="left"/>
            </w:pPr>
            <w:r>
              <w:rPr>
                <w:sz w:val="18"/>
              </w:rPr>
              <w:t xml:space="preserve">Sch. 11 paras 11.10, 11.12; Annexure 11D</w:t>
            </w:r>
          </w:p>
        </w:tc>
        <w:tc>
          <w:tcPr>
            <w:tcW w:w="2042" w:type="dxa"/>
          </w:tcPr>
          <w:p>
            <w:pPr>
              <w:pStyle w:val="Compact"/>
              <w:spacing w:after="40"/>
              <w:jc w:val="left"/>
            </w:pPr>
            <w:r>
              <w:rPr>
                <w:sz w:val="18"/>
              </w:rPr>
              <w:t xml:space="preserve">Invocation records</w:t>
            </w:r>
          </w:p>
        </w:tc>
      </w:tr>
      <w:tr>
        <w:tc>
          <w:tcPr>
            <w:tcW w:w="3251" w:type="dxa"/>
          </w:tcPr>
          <w:p>
            <w:pPr>
              <w:pStyle w:val="Compact"/>
              <w:spacing w:after="40"/>
              <w:jc w:val="left"/>
            </w:pPr>
            <w:r>
              <w:rPr>
                <w:sz w:val="18"/>
              </w:rPr>
              <w:t xml:space="preserve">Monthly DLG disclosure within 7 working days</w:t>
            </w:r>
          </w:p>
        </w:tc>
        <w:tc>
          <w:tcPr>
            <w:tcW w:w="1836" w:type="dxa"/>
          </w:tcPr>
          <w:p>
            <w:pPr>
              <w:pStyle w:val="Compact"/>
              <w:spacing w:after="40"/>
              <w:jc w:val="left"/>
            </w:pPr>
            <w:r>
              <w:rPr>
                <w:sz w:val="18"/>
              </w:rPr>
              <w:t xml:space="preserve">CF para 28</w:t>
            </w:r>
          </w:p>
        </w:tc>
        <w:tc>
          <w:tcPr>
            <w:tcW w:w="2509" w:type="dxa"/>
          </w:tcPr>
          <w:p>
            <w:pPr>
              <w:pStyle w:val="Compact"/>
              <w:spacing w:after="40"/>
              <w:jc w:val="left"/>
            </w:pPr>
            <w:r>
              <w:rPr>
                <w:sz w:val="18"/>
              </w:rPr>
              <w:t xml:space="preserve">Sch. 11 para 11.17; Annexure 11C; Sch. 19 R1</w:t>
            </w:r>
          </w:p>
        </w:tc>
        <w:tc>
          <w:tcPr>
            <w:tcW w:w="2042" w:type="dxa"/>
          </w:tcPr>
          <w:p>
            <w:pPr>
              <w:pStyle w:val="Compact"/>
              <w:spacing w:after="40"/>
              <w:jc w:val="left"/>
            </w:pPr>
            <w:r>
              <w:rPr>
                <w:sz w:val="18"/>
              </w:rPr>
              <w:t xml:space="preserve">Website archive</w:t>
            </w:r>
          </w:p>
        </w:tc>
      </w:tr>
      <w:tr>
        <w:tc>
          <w:tcPr>
            <w:tcW w:w="3251" w:type="dxa"/>
          </w:tcPr>
          <w:p>
            <w:pPr>
              <w:pStyle w:val="Compact"/>
              <w:spacing w:after="40"/>
              <w:jc w:val="left"/>
            </w:pPr>
            <w:r>
              <w:rPr>
                <w:sz w:val="18"/>
              </w:rPr>
              <w:t xml:space="preserve">Microfinance classification, household income, 50% cap</w:t>
            </w:r>
          </w:p>
        </w:tc>
        <w:tc>
          <w:tcPr>
            <w:tcW w:w="1836" w:type="dxa"/>
          </w:tcPr>
          <w:p>
            <w:pPr>
              <w:pStyle w:val="Compact"/>
              <w:spacing w:after="40"/>
              <w:jc w:val="left"/>
            </w:pPr>
            <w:r>
              <w:rPr>
                <w:sz w:val="18"/>
              </w:rPr>
              <w:t xml:space="preserve">CF paras 51–57</w:t>
            </w:r>
          </w:p>
        </w:tc>
        <w:tc>
          <w:tcPr>
            <w:tcW w:w="2509" w:type="dxa"/>
          </w:tcPr>
          <w:p>
            <w:pPr>
              <w:pStyle w:val="Compact"/>
              <w:spacing w:after="40"/>
              <w:jc w:val="left"/>
            </w:pPr>
            <w:r>
              <w:rPr>
                <w:sz w:val="18"/>
              </w:rPr>
              <w:t xml:space="preserve">Sch. 4 para 4.5</w:t>
            </w:r>
          </w:p>
        </w:tc>
        <w:tc>
          <w:tcPr>
            <w:tcW w:w="2042" w:type="dxa"/>
          </w:tcPr>
          <w:p>
            <w:pPr>
              <w:pStyle w:val="Compact"/>
              <w:spacing w:after="40"/>
              <w:jc w:val="left"/>
            </w:pPr>
            <w:r>
              <w:rPr>
                <w:sz w:val="18"/>
              </w:rPr>
              <w:t xml:space="preserve">Questionnaire data</w:t>
            </w:r>
          </w:p>
        </w:tc>
      </w:tr>
    </w:tbl>
    <w:bookmarkEnd w:id="118"/>
    <w:bookmarkStart w:id="119" w:name="part-b-out"/>
    <w:p>
      <w:pPr>
        <w:pStyle w:val="Heading2"/>
      </w:pPr>
      <w:r>
        <w:t xml:space="preserve">Part B — OUT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37"/>
        <w:gridCol w:w="1182"/>
        <w:gridCol w:w="4944"/>
        <w:gridCol w:w="1275"/>
      </w:tblGrid>
      <w:tr>
        <w:trPr>
          <w:tblHeader w:val="true"/>
          <w:tblHeader w:val="true"/>
        </w:trPr>
        <w:tc>
          <w:tcPr>
            <w:tcW w:w="2237" w:type="dxa"/>
            <w:shd w:val="clear" w:color="auto" w:fill="1F3A5F"/>
          </w:tcPr>
          <w:p>
            <w:pPr>
              <w:pStyle w:val="Compact"/>
              <w:spacing w:after="40"/>
              <w:jc w:val="left"/>
            </w:pPr>
            <w:r>
              <w:rPr>
                <w:b/>
                <w:color w:val="FFFFFF"/>
                <w:sz w:val="18"/>
              </w:rPr>
              <w:t xml:space="preserve">Requirement</w:t>
            </w:r>
          </w:p>
        </w:tc>
        <w:tc>
          <w:tcPr>
            <w:tcW w:w="1182" w:type="dxa"/>
            <w:shd w:val="clear" w:color="auto" w:fill="1F3A5F"/>
          </w:tcPr>
          <w:p>
            <w:pPr>
              <w:pStyle w:val="Compact"/>
              <w:spacing w:after="40"/>
              <w:jc w:val="left"/>
            </w:pPr>
            <w:r>
              <w:rPr>
                <w:b/>
                <w:color w:val="FFFFFF"/>
                <w:sz w:val="18"/>
              </w:rPr>
              <w:t xml:space="preserve">Source</w:t>
            </w:r>
          </w:p>
        </w:tc>
        <w:tc>
          <w:tcPr>
            <w:tcW w:w="4944" w:type="dxa"/>
            <w:shd w:val="clear" w:color="auto" w:fill="1F3A5F"/>
          </w:tcPr>
          <w:p>
            <w:pPr>
              <w:pStyle w:val="Compact"/>
              <w:spacing w:after="40"/>
              <w:jc w:val="left"/>
            </w:pPr>
            <w:r>
              <w:rPr>
                <w:b/>
                <w:color w:val="FFFFFF"/>
                <w:sz w:val="18"/>
              </w:rPr>
              <w:t xml:space="preserve">Implemented in</w:t>
            </w:r>
          </w:p>
        </w:tc>
        <w:tc>
          <w:tcPr>
            <w:tcW w:w="1275" w:type="dxa"/>
            <w:shd w:val="clear" w:color="auto" w:fill="1F3A5F"/>
          </w:tcPr>
          <w:p>
            <w:pPr>
              <w:pStyle w:val="Compact"/>
              <w:spacing w:after="40"/>
              <w:jc w:val="left"/>
            </w:pPr>
            <w:r>
              <w:rPr>
                <w:b/>
                <w:color w:val="FFFFFF"/>
                <w:sz w:val="18"/>
              </w:rPr>
              <w:t xml:space="preserve">Evidence</w:t>
            </w:r>
          </w:p>
        </w:tc>
      </w:tr>
      <w:tr>
        <w:tc>
          <w:tcPr>
            <w:tcW w:w="2237" w:type="dxa"/>
          </w:tcPr>
          <w:p>
            <w:pPr>
              <w:pStyle w:val="Compact"/>
              <w:spacing w:after="40"/>
              <w:jc w:val="left"/>
            </w:pPr>
            <w:r>
              <w:rPr>
                <w:sz w:val="18"/>
              </w:rPr>
              <w:t xml:space="preserve">RE responsibility retained, including for recovery agents</w:t>
            </w:r>
          </w:p>
        </w:tc>
        <w:tc>
          <w:tcPr>
            <w:tcW w:w="1182" w:type="dxa"/>
          </w:tcPr>
          <w:p>
            <w:pPr>
              <w:pStyle w:val="Compact"/>
              <w:spacing w:after="40"/>
              <w:jc w:val="left"/>
            </w:pPr>
            <w:r>
              <w:rPr>
                <w:sz w:val="18"/>
              </w:rPr>
              <w:t xml:space="preserve">OUT paras 9, 17</w:t>
            </w:r>
          </w:p>
        </w:tc>
        <w:tc>
          <w:tcPr>
            <w:tcW w:w="4944" w:type="dxa"/>
          </w:tcPr>
          <w:p>
            <w:pPr>
              <w:pStyle w:val="Compact"/>
              <w:spacing w:after="40"/>
              <w:jc w:val="left"/>
            </w:pPr>
            <w:r>
              <w:rPr>
                <w:sz w:val="18"/>
              </w:rPr>
              <w:t xml:space="preserve">Art. 3, 12</w:t>
            </w:r>
          </w:p>
        </w:tc>
        <w:tc>
          <w:tcPr>
            <w:tcW w:w="1275" w:type="dxa"/>
          </w:tcPr>
          <w:p>
            <w:pPr>
              <w:pStyle w:val="Compact"/>
              <w:spacing w:after="40"/>
              <w:jc w:val="left"/>
            </w:pPr>
            <w:r>
              <w:rPr>
                <w:sz w:val="18"/>
              </w:rPr>
              <w:t xml:space="preserve">Agreement</w:t>
            </w:r>
          </w:p>
        </w:tc>
      </w:tr>
      <w:tr>
        <w:tc>
          <w:tcPr>
            <w:tcW w:w="2237" w:type="dxa"/>
          </w:tcPr>
          <w:p>
            <w:pPr>
              <w:pStyle w:val="Compact"/>
              <w:spacing w:after="40"/>
              <w:jc w:val="left"/>
            </w:pPr>
            <w:r>
              <w:rPr>
                <w:sz w:val="18"/>
              </w:rPr>
              <w:t xml:space="preserve">Non-outsourceable decisions</w:t>
            </w:r>
          </w:p>
        </w:tc>
        <w:tc>
          <w:tcPr>
            <w:tcW w:w="1182" w:type="dxa"/>
          </w:tcPr>
          <w:p>
            <w:pPr>
              <w:pStyle w:val="Compact"/>
              <w:spacing w:after="40"/>
              <w:jc w:val="left"/>
            </w:pPr>
            <w:r>
              <w:rPr>
                <w:sz w:val="18"/>
              </w:rPr>
              <w:t xml:space="preserve">OUT para 15</w:t>
            </w:r>
          </w:p>
        </w:tc>
        <w:tc>
          <w:tcPr>
            <w:tcW w:w="4944" w:type="dxa"/>
          </w:tcPr>
          <w:p>
            <w:pPr>
              <w:pStyle w:val="Compact"/>
              <w:spacing w:after="40"/>
              <w:jc w:val="left"/>
            </w:pPr>
            <w:r>
              <w:rPr>
                <w:sz w:val="18"/>
              </w:rPr>
              <w:t xml:space="preserve">Art. 3; Sch. 2 para 2.2</w:t>
            </w:r>
          </w:p>
        </w:tc>
        <w:tc>
          <w:tcPr>
            <w:tcW w:w="1275" w:type="dxa"/>
          </w:tcPr>
          <w:p>
            <w:pPr>
              <w:pStyle w:val="Compact"/>
              <w:spacing w:after="40"/>
              <w:jc w:val="left"/>
            </w:pPr>
            <w:r>
              <w:rPr>
                <w:sz w:val="18"/>
              </w:rPr>
              <w:t xml:space="preserve">Permission matrix</w:t>
            </w:r>
          </w:p>
        </w:tc>
      </w:tr>
      <w:tr>
        <w:tc>
          <w:tcPr>
            <w:tcW w:w="2237" w:type="dxa"/>
          </w:tcPr>
          <w:p>
            <w:pPr>
              <w:pStyle w:val="Compact"/>
              <w:spacing w:after="40"/>
              <w:jc w:val="left"/>
            </w:pPr>
            <w:r>
              <w:rPr>
                <w:sz w:val="18"/>
              </w:rPr>
              <w:t xml:space="preserve">Supervisory access; standard of care; ownership bar</w:t>
            </w:r>
          </w:p>
        </w:tc>
        <w:tc>
          <w:tcPr>
            <w:tcW w:w="1182" w:type="dxa"/>
          </w:tcPr>
          <w:p>
            <w:pPr>
              <w:pStyle w:val="Compact"/>
              <w:spacing w:after="40"/>
              <w:jc w:val="left"/>
            </w:pPr>
            <w:r>
              <w:rPr>
                <w:sz w:val="18"/>
              </w:rPr>
              <w:t xml:space="preserve">OUT paras 18, 59</w:t>
            </w:r>
          </w:p>
        </w:tc>
        <w:tc>
          <w:tcPr>
            <w:tcW w:w="4944" w:type="dxa"/>
          </w:tcPr>
          <w:p>
            <w:pPr>
              <w:pStyle w:val="Compact"/>
              <w:spacing w:after="40"/>
              <w:jc w:val="left"/>
            </w:pPr>
            <w:r>
              <w:rPr>
                <w:sz w:val="18"/>
              </w:rPr>
              <w:t xml:space="preserve">Art. 4, 19; Sch. 2 para 2.3; Sch. 17 Part B</w:t>
            </w:r>
          </w:p>
        </w:tc>
        <w:tc>
          <w:tcPr>
            <w:tcW w:w="1275" w:type="dxa"/>
          </w:tcPr>
          <w:p>
            <w:pPr>
              <w:pStyle w:val="Compact"/>
              <w:spacing w:after="40"/>
              <w:jc w:val="left"/>
            </w:pPr>
            <w:r>
              <w:rPr>
                <w:sz w:val="18"/>
              </w:rPr>
              <w:t xml:space="preserve">Declarations</w:t>
            </w:r>
          </w:p>
        </w:tc>
      </w:tr>
      <w:tr>
        <w:tc>
          <w:tcPr>
            <w:tcW w:w="2237" w:type="dxa"/>
          </w:tcPr>
          <w:p>
            <w:pPr>
              <w:pStyle w:val="Compact"/>
              <w:spacing w:after="40"/>
              <w:jc w:val="left"/>
            </w:pPr>
            <w:r>
              <w:rPr>
                <w:sz w:val="18"/>
              </w:rPr>
              <w:t xml:space="preserve">Confidentiality, need-to-know, isolation, breach disclosure</w:t>
            </w:r>
          </w:p>
        </w:tc>
        <w:tc>
          <w:tcPr>
            <w:tcW w:w="1182" w:type="dxa"/>
          </w:tcPr>
          <w:p>
            <w:pPr>
              <w:pStyle w:val="Compact"/>
              <w:spacing w:after="40"/>
              <w:jc w:val="left"/>
            </w:pPr>
            <w:r>
              <w:rPr>
                <w:sz w:val="18"/>
              </w:rPr>
              <w:t xml:space="preserve">OUT paras 23–28</w:t>
            </w:r>
          </w:p>
        </w:tc>
        <w:tc>
          <w:tcPr>
            <w:tcW w:w="4944" w:type="dxa"/>
          </w:tcPr>
          <w:p>
            <w:pPr>
              <w:pStyle w:val="Compact"/>
              <w:spacing w:after="40"/>
              <w:jc w:val="left"/>
            </w:pPr>
            <w:r>
              <w:rPr>
                <w:sz w:val="18"/>
              </w:rPr>
              <w:t xml:space="preserve">Art. 15, 17, 24; Sch. 7 para 7.6; Sch. 12</w:t>
            </w:r>
          </w:p>
        </w:tc>
        <w:tc>
          <w:tcPr>
            <w:tcW w:w="1275" w:type="dxa"/>
          </w:tcPr>
          <w:p>
            <w:pPr>
              <w:pStyle w:val="Compact"/>
              <w:spacing w:after="40"/>
              <w:jc w:val="left"/>
            </w:pPr>
            <w:r>
              <w:rPr>
                <w:sz w:val="18"/>
              </w:rPr>
              <w:t xml:space="preserve">Access reviews</w:t>
            </w:r>
          </w:p>
        </w:tc>
      </w:tr>
      <w:tr>
        <w:tc>
          <w:tcPr>
            <w:tcW w:w="2237" w:type="dxa"/>
          </w:tcPr>
          <w:p>
            <w:pPr>
              <w:pStyle w:val="Compact"/>
              <w:spacing w:after="40"/>
              <w:jc w:val="left"/>
            </w:pPr>
            <w:r>
              <w:rPr>
                <w:sz w:val="18"/>
              </w:rPr>
              <w:t xml:space="preserve">Due diligence and annual review</w:t>
            </w:r>
          </w:p>
        </w:tc>
        <w:tc>
          <w:tcPr>
            <w:tcW w:w="1182" w:type="dxa"/>
          </w:tcPr>
          <w:p>
            <w:pPr>
              <w:pStyle w:val="Compact"/>
              <w:spacing w:after="40"/>
              <w:jc w:val="left"/>
            </w:pPr>
            <w:r>
              <w:rPr>
                <w:sz w:val="18"/>
              </w:rPr>
              <w:t xml:space="preserve">OUT paras 29–32, 38</w:t>
            </w:r>
          </w:p>
        </w:tc>
        <w:tc>
          <w:tcPr>
            <w:tcW w:w="4944" w:type="dxa"/>
          </w:tcPr>
          <w:p>
            <w:pPr>
              <w:pStyle w:val="Compact"/>
              <w:spacing w:after="40"/>
              <w:jc w:val="left"/>
            </w:pPr>
            <w:r>
              <w:rPr>
                <w:sz w:val="18"/>
              </w:rPr>
              <w:t xml:space="preserve">Art. 4; Sch. 17</w:t>
            </w:r>
          </w:p>
        </w:tc>
        <w:tc>
          <w:tcPr>
            <w:tcW w:w="1275" w:type="dxa"/>
          </w:tcPr>
          <w:p>
            <w:pPr>
              <w:pStyle w:val="Compact"/>
              <w:spacing w:after="40"/>
              <w:jc w:val="left"/>
            </w:pPr>
            <w:r>
              <w:rPr>
                <w:sz w:val="18"/>
              </w:rPr>
              <w:t xml:space="preserve">Due-diligence file</w:t>
            </w:r>
          </w:p>
        </w:tc>
      </w:tr>
      <w:tr>
        <w:tc>
          <w:tcPr>
            <w:tcW w:w="2237" w:type="dxa"/>
          </w:tcPr>
          <w:p>
            <w:pPr>
              <w:pStyle w:val="Compact"/>
              <w:spacing w:after="40"/>
              <w:jc w:val="left"/>
            </w:pPr>
            <w:r>
              <w:rPr>
                <w:sz w:val="18"/>
              </w:rPr>
              <w:t xml:space="preserve">Written agreement; legal relationship stated</w:t>
            </w:r>
          </w:p>
        </w:tc>
        <w:tc>
          <w:tcPr>
            <w:tcW w:w="1182" w:type="dxa"/>
          </w:tcPr>
          <w:p>
            <w:pPr>
              <w:pStyle w:val="Compact"/>
              <w:spacing w:after="40"/>
              <w:jc w:val="left"/>
            </w:pPr>
            <w:r>
              <w:rPr>
                <w:sz w:val="18"/>
              </w:rPr>
              <w:t xml:space="preserve">OUT para 33</w:t>
            </w:r>
          </w:p>
        </w:tc>
        <w:tc>
          <w:tcPr>
            <w:tcW w:w="4944" w:type="dxa"/>
          </w:tcPr>
          <w:p>
            <w:pPr>
              <w:pStyle w:val="Compact"/>
              <w:spacing w:after="40"/>
              <w:jc w:val="left"/>
            </w:pPr>
            <w:r>
              <w:rPr>
                <w:sz w:val="18"/>
              </w:rPr>
              <w:t xml:space="preserve">Agreement; Sch. 2 para 2.1</w:t>
            </w:r>
          </w:p>
        </w:tc>
        <w:tc>
          <w:tcPr>
            <w:tcW w:w="1275" w:type="dxa"/>
          </w:tcPr>
          <w:p>
            <w:pPr>
              <w:pStyle w:val="Compact"/>
              <w:spacing w:after="40"/>
              <w:jc w:val="left"/>
            </w:pPr>
            <w:r>
              <w:rPr>
                <w:sz w:val="18"/>
              </w:rPr>
              <w:t xml:space="preserve">Legal sign-off</w:t>
            </w:r>
          </w:p>
        </w:tc>
      </w:tr>
      <w:tr>
        <w:tc>
          <w:tcPr>
            <w:tcW w:w="2237" w:type="dxa"/>
          </w:tcPr>
          <w:p>
            <w:pPr>
              <w:pStyle w:val="Compact"/>
              <w:spacing w:after="40"/>
              <w:jc w:val="left"/>
            </w:pPr>
            <w:r>
              <w:rPr>
                <w:sz w:val="18"/>
              </w:rPr>
              <w:t xml:space="preserve">Agreement clauses 34(i)–(xii)</w:t>
            </w:r>
          </w:p>
        </w:tc>
        <w:tc>
          <w:tcPr>
            <w:tcW w:w="1182" w:type="dxa"/>
          </w:tcPr>
          <w:p>
            <w:pPr>
              <w:pStyle w:val="Compact"/>
              <w:spacing w:after="40"/>
              <w:jc w:val="left"/>
            </w:pPr>
            <w:r>
              <w:rPr>
                <w:sz w:val="18"/>
              </w:rPr>
              <w:t xml:space="preserve">OUT para 34</w:t>
            </w:r>
          </w:p>
        </w:tc>
        <w:tc>
          <w:tcPr>
            <w:tcW w:w="4944" w:type="dxa"/>
          </w:tcPr>
          <w:p>
            <w:pPr>
              <w:pStyle w:val="Compact"/>
              <w:spacing w:after="40"/>
              <w:jc w:val="left"/>
            </w:pPr>
            <w:r>
              <w:rPr>
                <w:sz w:val="18"/>
              </w:rPr>
              <w:t xml:space="preserve">(i) Sch. 2, 18; (ii), (vii)–(ix) Sch. 13; (iii) Art. 32; (iv) Art. 20, Sch. 17 Part C; (v) Art. 24, 27; (vi) Sch. 14; (x) Art. 30; (xi) Art. 24; (xii) Sch. 13 para 13.8</w:t>
            </w:r>
          </w:p>
        </w:tc>
        <w:tc>
          <w:tcPr>
            <w:tcW w:w="1275" w:type="dxa"/>
          </w:tcPr>
          <w:p>
            <w:pPr>
              <w:pStyle w:val="Compact"/>
              <w:spacing w:after="40"/>
              <w:jc w:val="left"/>
            </w:pPr>
            <w:r>
              <w:rPr>
                <w:sz w:val="18"/>
              </w:rPr>
              <w:t xml:space="preserve">Agreement</w:t>
            </w:r>
          </w:p>
        </w:tc>
      </w:tr>
      <w:tr>
        <w:tc>
          <w:tcPr>
            <w:tcW w:w="2237" w:type="dxa"/>
          </w:tcPr>
          <w:p>
            <w:pPr>
              <w:pStyle w:val="Compact"/>
              <w:spacing w:after="40"/>
              <w:jc w:val="left"/>
            </w:pPr>
            <w:r>
              <w:rPr>
                <w:sz w:val="18"/>
              </w:rPr>
              <w:t xml:space="preserve">Reconciliation; BCP; isolation and removal; termination publicity</w:t>
            </w:r>
          </w:p>
        </w:tc>
        <w:tc>
          <w:tcPr>
            <w:tcW w:w="1182" w:type="dxa"/>
          </w:tcPr>
          <w:p>
            <w:pPr>
              <w:pStyle w:val="Compact"/>
              <w:spacing w:after="40"/>
              <w:jc w:val="left"/>
            </w:pPr>
            <w:r>
              <w:rPr>
                <w:sz w:val="18"/>
              </w:rPr>
              <w:t xml:space="preserve">OUT paras 39–44, 89</w:t>
            </w:r>
          </w:p>
        </w:tc>
        <w:tc>
          <w:tcPr>
            <w:tcW w:w="4944" w:type="dxa"/>
          </w:tcPr>
          <w:p>
            <w:pPr>
              <w:pStyle w:val="Compact"/>
              <w:spacing w:after="40"/>
              <w:jc w:val="left"/>
            </w:pPr>
            <w:r>
              <w:rPr>
                <w:sz w:val="18"/>
              </w:rPr>
              <w:t xml:space="preserve">Sch. 6 Part C; Sch. 14</w:t>
            </w:r>
          </w:p>
        </w:tc>
        <w:tc>
          <w:tcPr>
            <w:tcW w:w="1275" w:type="dxa"/>
          </w:tcPr>
          <w:p>
            <w:pPr>
              <w:pStyle w:val="Compact"/>
              <w:spacing w:after="40"/>
              <w:jc w:val="left"/>
            </w:pPr>
            <w:r>
              <w:rPr>
                <w:sz w:val="18"/>
              </w:rPr>
              <w:t xml:space="preserve">Drill and exit records</w:t>
            </w:r>
          </w:p>
        </w:tc>
      </w:tr>
      <w:tr>
        <w:tc>
          <w:tcPr>
            <w:tcW w:w="2237" w:type="dxa"/>
          </w:tcPr>
          <w:p>
            <w:pPr>
              <w:pStyle w:val="Compact"/>
              <w:spacing w:after="40"/>
              <w:jc w:val="left"/>
            </w:pPr>
            <w:r>
              <w:rPr>
                <w:sz w:val="18"/>
              </w:rPr>
              <w:t xml:space="preserve">Grievance responsibility; disclosure in literature; 30-day route</w:t>
            </w:r>
          </w:p>
        </w:tc>
        <w:tc>
          <w:tcPr>
            <w:tcW w:w="1182" w:type="dxa"/>
          </w:tcPr>
          <w:p>
            <w:pPr>
              <w:pStyle w:val="Compact"/>
              <w:spacing w:after="40"/>
              <w:jc w:val="left"/>
            </w:pPr>
            <w:r>
              <w:rPr>
                <w:sz w:val="18"/>
              </w:rPr>
              <w:t xml:space="preserve">OUT paras 54–57</w:t>
            </w:r>
          </w:p>
        </w:tc>
        <w:tc>
          <w:tcPr>
            <w:tcW w:w="4944" w:type="dxa"/>
          </w:tcPr>
          <w:p>
            <w:pPr>
              <w:pStyle w:val="Compact"/>
              <w:spacing w:after="40"/>
              <w:jc w:val="left"/>
            </w:pPr>
            <w:r>
              <w:rPr>
                <w:sz w:val="18"/>
              </w:rPr>
              <w:t xml:space="preserve">Art. 14; Sch. 2 para 2.4; Sch. 9</w:t>
            </w:r>
          </w:p>
        </w:tc>
        <w:tc>
          <w:tcPr>
            <w:tcW w:w="1275" w:type="dxa"/>
          </w:tcPr>
          <w:p>
            <w:pPr>
              <w:pStyle w:val="Compact"/>
              <w:spacing w:after="40"/>
              <w:jc w:val="left"/>
            </w:pPr>
            <w:r>
              <w:rPr>
                <w:sz w:val="18"/>
              </w:rPr>
              <w:t xml:space="preserve">Register</w:t>
            </w:r>
          </w:p>
        </w:tc>
      </w:tr>
      <w:tr>
        <w:tc>
          <w:tcPr>
            <w:tcW w:w="2237" w:type="dxa"/>
          </w:tcPr>
          <w:p>
            <w:pPr>
              <w:pStyle w:val="Compact"/>
              <w:spacing w:after="40"/>
              <w:jc w:val="left"/>
            </w:pPr>
            <w:r>
              <w:rPr>
                <w:sz w:val="18"/>
              </w:rPr>
              <w:t xml:space="preserve">Co-branded fintech treated as financial-services outsourcing</w:t>
            </w:r>
          </w:p>
        </w:tc>
        <w:tc>
          <w:tcPr>
            <w:tcW w:w="1182" w:type="dxa"/>
          </w:tcPr>
          <w:p>
            <w:pPr>
              <w:pStyle w:val="Compact"/>
              <w:spacing w:after="40"/>
              <w:jc w:val="left"/>
            </w:pPr>
            <w:r>
              <w:rPr>
                <w:sz w:val="18"/>
              </w:rPr>
              <w:t xml:space="preserve">OUT para 58(3)(iii)</w:t>
            </w:r>
          </w:p>
        </w:tc>
        <w:tc>
          <w:tcPr>
            <w:tcW w:w="4944" w:type="dxa"/>
          </w:tcPr>
          <w:p>
            <w:pPr>
              <w:pStyle w:val="Compact"/>
              <w:spacing w:after="40"/>
              <w:jc w:val="left"/>
            </w:pPr>
            <w:r>
              <w:rPr>
                <w:sz w:val="18"/>
              </w:rPr>
              <w:t xml:space="preserve">Art. 3; Sch. 8 note</w:t>
            </w:r>
          </w:p>
        </w:tc>
        <w:tc>
          <w:tcPr>
            <w:tcW w:w="1275" w:type="dxa"/>
          </w:tcPr>
          <w:p>
            <w:pPr>
              <w:pStyle w:val="Compact"/>
              <w:spacing w:after="40"/>
              <w:jc w:val="left"/>
            </w:pPr>
            <w:r>
              <w:rPr>
                <w:sz w:val="18"/>
              </w:rPr>
              <w:t xml:space="preserve">—</w:t>
            </w:r>
          </w:p>
        </w:tc>
      </w:tr>
      <w:tr>
        <w:tc>
          <w:tcPr>
            <w:tcW w:w="2237" w:type="dxa"/>
          </w:tcPr>
          <w:p>
            <w:pPr>
              <w:pStyle w:val="Compact"/>
              <w:spacing w:after="40"/>
              <w:jc w:val="left"/>
            </w:pPr>
            <w:r>
              <w:rPr>
                <w:sz w:val="18"/>
              </w:rPr>
              <w:t xml:space="preserve">Incident reporting enabling RE’s 6-hour report</w:t>
            </w:r>
          </w:p>
        </w:tc>
        <w:tc>
          <w:tcPr>
            <w:tcW w:w="1182" w:type="dxa"/>
          </w:tcPr>
          <w:p>
            <w:pPr>
              <w:pStyle w:val="Compact"/>
              <w:spacing w:after="40"/>
              <w:jc w:val="left"/>
            </w:pPr>
            <w:r>
              <w:rPr>
                <w:sz w:val="18"/>
              </w:rPr>
              <w:t xml:space="preserve">OUT para 61</w:t>
            </w:r>
          </w:p>
        </w:tc>
        <w:tc>
          <w:tcPr>
            <w:tcW w:w="4944" w:type="dxa"/>
          </w:tcPr>
          <w:p>
            <w:pPr>
              <w:pStyle w:val="Compact"/>
              <w:spacing w:after="40"/>
              <w:jc w:val="left"/>
            </w:pPr>
            <w:r>
              <w:rPr>
                <w:sz w:val="18"/>
              </w:rPr>
              <w:t xml:space="preserve">Art. 17; Sch. 12</w:t>
            </w:r>
          </w:p>
        </w:tc>
        <w:tc>
          <w:tcPr>
            <w:tcW w:w="1275" w:type="dxa"/>
          </w:tcPr>
          <w:p>
            <w:pPr>
              <w:pStyle w:val="Compact"/>
              <w:spacing w:after="40"/>
              <w:jc w:val="left"/>
            </w:pPr>
            <w:r>
              <w:rPr>
                <w:sz w:val="18"/>
              </w:rPr>
              <w:t xml:space="preserve">Incident log</w:t>
            </w:r>
          </w:p>
        </w:tc>
      </w:tr>
      <w:tr>
        <w:tc>
          <w:tcPr>
            <w:tcW w:w="2237" w:type="dxa"/>
          </w:tcPr>
          <w:p>
            <w:pPr>
              <w:pStyle w:val="Compact"/>
              <w:spacing w:after="40"/>
              <w:jc w:val="left"/>
            </w:pPr>
            <w:r>
              <w:rPr>
                <w:sz w:val="18"/>
              </w:rPr>
              <w:t xml:space="preserve">IT-outsourcing clauses 74(i)–(xix)</w:t>
            </w:r>
          </w:p>
        </w:tc>
        <w:tc>
          <w:tcPr>
            <w:tcW w:w="1182" w:type="dxa"/>
          </w:tcPr>
          <w:p>
            <w:pPr>
              <w:pStyle w:val="Compact"/>
              <w:spacing w:after="40"/>
              <w:jc w:val="left"/>
            </w:pPr>
            <w:r>
              <w:rPr>
                <w:sz w:val="18"/>
              </w:rPr>
              <w:t xml:space="preserve">OUT paras 73–74</w:t>
            </w:r>
          </w:p>
        </w:tc>
        <w:tc>
          <w:tcPr>
            <w:tcW w:w="4944" w:type="dxa"/>
          </w:tcPr>
          <w:p>
            <w:pPr>
              <w:pStyle w:val="Compact"/>
              <w:spacing w:after="40"/>
              <w:jc w:val="left"/>
            </w:pPr>
            <w:r>
              <w:rPr>
                <w:sz w:val="18"/>
              </w:rPr>
              <w:t xml:space="preserve">Sch. 7, 8, 12, 13, 14, 17, 18; Art. 20, 24, 27, 30 (clause map: (i), (xi), (xiii), (xviii) Art. 20; (ii), (xii) Art. 19, Sch. 13; (iii) Art. 17; (iv) Art. 15; (v) Sch. 18; (vi)–(viii) Art. 15, Sch. 7; (ix) Art. 27, 30, 33; (x) Art. 21; (xiv) Clauses 3.7, 30.4; (xv) Art. 30, 31; (xvi) Clause 21.4; (xvii) Clause 21.2; (xix) Art. 24)</w:t>
            </w:r>
          </w:p>
        </w:tc>
        <w:tc>
          <w:tcPr>
            <w:tcW w:w="1275" w:type="dxa"/>
          </w:tcPr>
          <w:p>
            <w:pPr>
              <w:pStyle w:val="Compact"/>
              <w:spacing w:after="40"/>
              <w:jc w:val="left"/>
            </w:pPr>
            <w:r>
              <w:rPr>
                <w:sz w:val="18"/>
              </w:rPr>
              <w:t xml:space="preserve">Agreement</w:t>
            </w:r>
          </w:p>
        </w:tc>
      </w:tr>
      <w:tr>
        <w:tc>
          <w:tcPr>
            <w:tcW w:w="2237" w:type="dxa"/>
          </w:tcPr>
          <w:p>
            <w:pPr>
              <w:pStyle w:val="Compact"/>
              <w:spacing w:after="40"/>
              <w:jc w:val="left"/>
            </w:pPr>
            <w:r>
              <w:rPr>
                <w:sz w:val="18"/>
              </w:rPr>
              <w:t xml:space="preserve">Monitoring, audits, pooled audits, certifications, access, inventory</w:t>
            </w:r>
          </w:p>
        </w:tc>
        <w:tc>
          <w:tcPr>
            <w:tcW w:w="1182" w:type="dxa"/>
          </w:tcPr>
          <w:p>
            <w:pPr>
              <w:pStyle w:val="Compact"/>
              <w:spacing w:after="40"/>
              <w:jc w:val="left"/>
            </w:pPr>
            <w:r>
              <w:rPr>
                <w:sz w:val="18"/>
              </w:rPr>
              <w:t xml:space="preserve">OUT paras 75–82</w:t>
            </w:r>
          </w:p>
        </w:tc>
        <w:tc>
          <w:tcPr>
            <w:tcW w:w="4944" w:type="dxa"/>
          </w:tcPr>
          <w:p>
            <w:pPr>
              <w:pStyle w:val="Compact"/>
              <w:spacing w:after="40"/>
              <w:jc w:val="left"/>
            </w:pPr>
            <w:r>
              <w:rPr>
                <w:sz w:val="18"/>
              </w:rPr>
              <w:t xml:space="preserve">Sch. 13, 18, 19</w:t>
            </w:r>
          </w:p>
        </w:tc>
        <w:tc>
          <w:tcPr>
            <w:tcW w:w="1275" w:type="dxa"/>
          </w:tcPr>
          <w:p>
            <w:pPr>
              <w:pStyle w:val="Compact"/>
              <w:spacing w:after="40"/>
              <w:jc w:val="left"/>
            </w:pPr>
            <w:r>
              <w:rPr>
                <w:sz w:val="18"/>
              </w:rPr>
              <w:t xml:space="preserve">Reports</w:t>
            </w:r>
          </w:p>
        </w:tc>
      </w:tr>
      <w:tr>
        <w:tc>
          <w:tcPr>
            <w:tcW w:w="2237" w:type="dxa"/>
          </w:tcPr>
          <w:p>
            <w:pPr>
              <w:pStyle w:val="Compact"/>
              <w:spacing w:after="40"/>
              <w:jc w:val="left"/>
            </w:pPr>
            <w:r>
              <w:rPr>
                <w:sz w:val="18"/>
              </w:rPr>
              <w:t xml:space="preserve">Exit strategy; no alteration in transition; cooperation</w:t>
            </w:r>
          </w:p>
        </w:tc>
        <w:tc>
          <w:tcPr>
            <w:tcW w:w="1182" w:type="dxa"/>
          </w:tcPr>
          <w:p>
            <w:pPr>
              <w:pStyle w:val="Compact"/>
              <w:spacing w:after="40"/>
              <w:jc w:val="left"/>
            </w:pPr>
            <w:r>
              <w:rPr>
                <w:sz w:val="18"/>
              </w:rPr>
              <w:t xml:space="preserve">OUT paras 84–88</w:t>
            </w:r>
          </w:p>
        </w:tc>
        <w:tc>
          <w:tcPr>
            <w:tcW w:w="4944" w:type="dxa"/>
          </w:tcPr>
          <w:p>
            <w:pPr>
              <w:pStyle w:val="Compact"/>
              <w:spacing w:after="40"/>
              <w:jc w:val="left"/>
            </w:pPr>
            <w:r>
              <w:rPr>
                <w:sz w:val="18"/>
              </w:rPr>
              <w:t xml:space="preserve">Sch. 14 Part B</w:t>
            </w:r>
          </w:p>
        </w:tc>
        <w:tc>
          <w:tcPr>
            <w:tcW w:w="1275" w:type="dxa"/>
          </w:tcPr>
          <w:p>
            <w:pPr>
              <w:pStyle w:val="Compact"/>
              <w:spacing w:after="40"/>
              <w:jc w:val="left"/>
            </w:pPr>
            <w:r>
              <w:rPr>
                <w:sz w:val="18"/>
              </w:rPr>
              <w:t xml:space="preserve">Exit plan</w:t>
            </w:r>
          </w:p>
        </w:tc>
      </w:tr>
      <w:tr>
        <w:tc>
          <w:tcPr>
            <w:tcW w:w="2237" w:type="dxa"/>
          </w:tcPr>
          <w:p>
            <w:pPr>
              <w:pStyle w:val="Compact"/>
              <w:spacing w:after="40"/>
              <w:jc w:val="left"/>
            </w:pPr>
            <w:r>
              <w:rPr>
                <w:sz w:val="18"/>
              </w:rPr>
              <w:t xml:space="preserve">Cloud controls</w:t>
            </w:r>
          </w:p>
        </w:tc>
        <w:tc>
          <w:tcPr>
            <w:tcW w:w="1182" w:type="dxa"/>
          </w:tcPr>
          <w:p>
            <w:pPr>
              <w:pStyle w:val="Compact"/>
              <w:spacing w:after="40"/>
              <w:jc w:val="left"/>
            </w:pPr>
            <w:r>
              <w:rPr>
                <w:sz w:val="18"/>
              </w:rPr>
              <w:t xml:space="preserve">OUT para 97</w:t>
            </w:r>
          </w:p>
        </w:tc>
        <w:tc>
          <w:tcPr>
            <w:tcW w:w="4944" w:type="dxa"/>
          </w:tcPr>
          <w:p>
            <w:pPr>
              <w:pStyle w:val="Compact"/>
              <w:spacing w:after="40"/>
              <w:jc w:val="left"/>
            </w:pPr>
            <w:r>
              <w:rPr>
                <w:sz w:val="18"/>
              </w:rPr>
              <w:t xml:space="preserve">Sch. 8 C2–C6, C14; Sch. 14 E8</w:t>
            </w:r>
          </w:p>
        </w:tc>
        <w:tc>
          <w:tcPr>
            <w:tcW w:w="1275" w:type="dxa"/>
          </w:tcPr>
          <w:p>
            <w:pPr>
              <w:pStyle w:val="Compact"/>
              <w:spacing w:after="40"/>
              <w:jc w:val="left"/>
            </w:pPr>
            <w:r>
              <w:rPr>
                <w:sz w:val="18"/>
              </w:rPr>
              <w:t xml:space="preserve">Certifications</w:t>
            </w:r>
          </w:p>
        </w:tc>
      </w:tr>
    </w:tbl>
    <w:bookmarkEnd w:id="119"/>
    <w:bookmarkStart w:id="120" w:name="X179513cb7852850aa8d322f1ea8a60de11388e2"/>
    <w:p>
      <w:pPr>
        <w:pStyle w:val="Heading2"/>
      </w:pPr>
      <w:r>
        <w:t xml:space="preserve">Part C — RBC, RBC-3A, KYC, CIR, CYB, TDCR, FRM, IRACP</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595"/>
        <w:gridCol w:w="1829"/>
        <w:gridCol w:w="2514"/>
        <w:gridCol w:w="1700"/>
      </w:tblGrid>
      <w:tr>
        <w:trPr>
          <w:tblHeader w:val="true"/>
          <w:tblHeader w:val="true"/>
        </w:trPr>
        <w:tc>
          <w:tcPr>
            <w:tcW w:w="3595" w:type="dxa"/>
            <w:shd w:val="clear" w:color="auto" w:fill="1F3A5F"/>
          </w:tcPr>
          <w:p>
            <w:pPr>
              <w:pStyle w:val="Compact"/>
              <w:spacing w:after="40"/>
              <w:jc w:val="left"/>
            </w:pPr>
            <w:r>
              <w:rPr>
                <w:b/>
                <w:color w:val="FFFFFF"/>
                <w:sz w:val="18"/>
              </w:rPr>
              <w:t xml:space="preserve">Requirement</w:t>
            </w:r>
          </w:p>
        </w:tc>
        <w:tc>
          <w:tcPr>
            <w:tcW w:w="1829" w:type="dxa"/>
            <w:shd w:val="clear" w:color="auto" w:fill="1F3A5F"/>
          </w:tcPr>
          <w:p>
            <w:pPr>
              <w:pStyle w:val="Compact"/>
              <w:spacing w:after="40"/>
              <w:jc w:val="left"/>
            </w:pPr>
            <w:r>
              <w:rPr>
                <w:b/>
                <w:color w:val="FFFFFF"/>
                <w:sz w:val="18"/>
              </w:rPr>
              <w:t xml:space="preserve">Source</w:t>
            </w:r>
          </w:p>
        </w:tc>
        <w:tc>
          <w:tcPr>
            <w:tcW w:w="2514" w:type="dxa"/>
            <w:shd w:val="clear" w:color="auto" w:fill="1F3A5F"/>
          </w:tcPr>
          <w:p>
            <w:pPr>
              <w:pStyle w:val="Compact"/>
              <w:spacing w:after="40"/>
              <w:jc w:val="left"/>
            </w:pPr>
            <w:r>
              <w:rPr>
                <w:b/>
                <w:color w:val="FFFFFF"/>
                <w:sz w:val="18"/>
              </w:rPr>
              <w:t xml:space="preserve">Implemented in</w:t>
            </w:r>
          </w:p>
        </w:tc>
        <w:tc>
          <w:tcPr>
            <w:tcW w:w="1700" w:type="dxa"/>
            <w:shd w:val="clear" w:color="auto" w:fill="1F3A5F"/>
          </w:tcPr>
          <w:p>
            <w:pPr>
              <w:pStyle w:val="Compact"/>
              <w:spacing w:after="40"/>
              <w:jc w:val="left"/>
            </w:pPr>
            <w:r>
              <w:rPr>
                <w:b/>
                <w:color w:val="FFFFFF"/>
                <w:sz w:val="18"/>
              </w:rPr>
              <w:t xml:space="preserve">Evidence</w:t>
            </w:r>
          </w:p>
        </w:tc>
      </w:tr>
      <w:tr>
        <w:tc>
          <w:tcPr>
            <w:tcW w:w="3595" w:type="dxa"/>
          </w:tcPr>
          <w:p>
            <w:pPr>
              <w:pStyle w:val="Compact"/>
              <w:spacing w:after="40"/>
              <w:jc w:val="left"/>
            </w:pPr>
            <w:r>
              <w:rPr>
                <w:sz w:val="18"/>
              </w:rPr>
              <w:t xml:space="preserve">Vernacular communications</w:t>
            </w:r>
          </w:p>
        </w:tc>
        <w:tc>
          <w:tcPr>
            <w:tcW w:w="1829" w:type="dxa"/>
          </w:tcPr>
          <w:p>
            <w:pPr>
              <w:pStyle w:val="Compact"/>
              <w:spacing w:after="40"/>
              <w:jc w:val="left"/>
            </w:pPr>
            <w:r>
              <w:rPr>
                <w:sz w:val="18"/>
              </w:rPr>
              <w:t xml:space="preserve">RBC para 10</w:t>
            </w:r>
          </w:p>
        </w:tc>
        <w:tc>
          <w:tcPr>
            <w:tcW w:w="2514" w:type="dxa"/>
          </w:tcPr>
          <w:p>
            <w:pPr>
              <w:pStyle w:val="Compact"/>
              <w:spacing w:after="40"/>
              <w:jc w:val="left"/>
            </w:pPr>
            <w:r>
              <w:rPr>
                <w:sz w:val="18"/>
              </w:rPr>
              <w:t xml:space="preserve">Sch. 9 para 9.3; Sch. 15 para 15.5</w:t>
            </w:r>
          </w:p>
        </w:tc>
        <w:tc>
          <w:tcPr>
            <w:tcW w:w="1700" w:type="dxa"/>
          </w:tcPr>
          <w:p>
            <w:pPr>
              <w:pStyle w:val="Compact"/>
              <w:spacing w:after="40"/>
              <w:jc w:val="left"/>
            </w:pPr>
            <w:r>
              <w:rPr>
                <w:sz w:val="18"/>
              </w:rPr>
              <w:t xml:space="preserve">Templates</w:t>
            </w:r>
          </w:p>
        </w:tc>
      </w:tr>
      <w:tr>
        <w:tc>
          <w:tcPr>
            <w:tcW w:w="3595" w:type="dxa"/>
          </w:tcPr>
          <w:p>
            <w:pPr>
              <w:pStyle w:val="Compact"/>
              <w:spacing w:after="40"/>
              <w:jc w:val="left"/>
            </w:pPr>
            <w:r>
              <w:rPr>
                <w:sz w:val="18"/>
              </w:rPr>
              <w:t xml:space="preserve">KFS; penal charges; KFS Part 2 items 3 and 6</w:t>
            </w:r>
          </w:p>
        </w:tc>
        <w:tc>
          <w:tcPr>
            <w:tcW w:w="1829" w:type="dxa"/>
          </w:tcPr>
          <w:p>
            <w:pPr>
              <w:pStyle w:val="Compact"/>
              <w:spacing w:after="40"/>
              <w:jc w:val="left"/>
            </w:pPr>
            <w:r>
              <w:rPr>
                <w:sz w:val="18"/>
              </w:rPr>
              <w:t xml:space="preserve">RBC paras 29–30; Annex I</w:t>
            </w:r>
          </w:p>
        </w:tc>
        <w:tc>
          <w:tcPr>
            <w:tcW w:w="2514" w:type="dxa"/>
          </w:tcPr>
          <w:p>
            <w:pPr>
              <w:pStyle w:val="Compact"/>
              <w:spacing w:after="40"/>
              <w:jc w:val="left"/>
            </w:pPr>
            <w:r>
              <w:rPr>
                <w:sz w:val="18"/>
              </w:rPr>
              <w:t xml:space="preserve">Sch. 4 para 4.2; Sch. 5 para 5.2; Sch. 9 para 9.1; Sch. 10 para 10.2</w:t>
            </w:r>
          </w:p>
        </w:tc>
        <w:tc>
          <w:tcPr>
            <w:tcW w:w="1700" w:type="dxa"/>
          </w:tcPr>
          <w:p>
            <w:pPr>
              <w:pStyle w:val="Compact"/>
              <w:spacing w:after="40"/>
              <w:jc w:val="left"/>
            </w:pPr>
            <w:r>
              <w:rPr>
                <w:sz w:val="18"/>
              </w:rPr>
              <w:t xml:space="preserve">KFS template</w:t>
            </w:r>
          </w:p>
        </w:tc>
      </w:tr>
      <w:tr>
        <w:tc>
          <w:tcPr>
            <w:tcW w:w="3595" w:type="dxa"/>
          </w:tcPr>
          <w:p>
            <w:pPr>
              <w:pStyle w:val="Compact"/>
              <w:spacing w:after="40"/>
              <w:jc w:val="left"/>
            </w:pPr>
            <w:r>
              <w:rPr>
                <w:sz w:val="18"/>
              </w:rPr>
              <w:t xml:space="preserve">Microfinance recovery place and hours; recovery grievance mechanism</w:t>
            </w:r>
          </w:p>
        </w:tc>
        <w:tc>
          <w:tcPr>
            <w:tcW w:w="1829" w:type="dxa"/>
          </w:tcPr>
          <w:p>
            <w:pPr>
              <w:pStyle w:val="Compact"/>
              <w:spacing w:after="40"/>
              <w:jc w:val="left"/>
            </w:pPr>
            <w:r>
              <w:rPr>
                <w:sz w:val="18"/>
              </w:rPr>
              <w:t xml:space="preserve">RBC paras 90–92</w:t>
            </w:r>
          </w:p>
        </w:tc>
        <w:tc>
          <w:tcPr>
            <w:tcW w:w="2514" w:type="dxa"/>
          </w:tcPr>
          <w:p>
            <w:pPr>
              <w:pStyle w:val="Compact"/>
              <w:spacing w:after="40"/>
              <w:jc w:val="left"/>
            </w:pPr>
            <w:r>
              <w:rPr>
                <w:sz w:val="18"/>
              </w:rPr>
              <w:t xml:space="preserve">Sch. 10 paras 10.5–10.6; Sch. 9 para 9.5</w:t>
            </w:r>
          </w:p>
        </w:tc>
        <w:tc>
          <w:tcPr>
            <w:tcW w:w="1700" w:type="dxa"/>
          </w:tcPr>
          <w:p>
            <w:pPr>
              <w:pStyle w:val="Compact"/>
              <w:spacing w:after="40"/>
              <w:jc w:val="left"/>
            </w:pPr>
            <w:r>
              <w:rPr>
                <w:sz w:val="18"/>
              </w:rPr>
              <w:t xml:space="preserve">Contact logs</w:t>
            </w:r>
          </w:p>
        </w:tc>
      </w:tr>
      <w:tr>
        <w:tc>
          <w:tcPr>
            <w:tcW w:w="3595" w:type="dxa"/>
          </w:tcPr>
          <w:p>
            <w:pPr>
              <w:pStyle w:val="Compact"/>
              <w:spacing w:after="40"/>
              <w:jc w:val="left"/>
            </w:pPr>
            <w:r>
              <w:rPr>
                <w:sz w:val="18"/>
              </w:rPr>
              <w:t xml:space="preserve">Recovery agents: due diligence, police verification, notice, authorisation, website list, training, undertaking, no harassment, 08:00–19:00</w:t>
            </w:r>
          </w:p>
        </w:tc>
        <w:tc>
          <w:tcPr>
            <w:tcW w:w="1829" w:type="dxa"/>
          </w:tcPr>
          <w:p>
            <w:pPr>
              <w:pStyle w:val="Compact"/>
              <w:spacing w:after="40"/>
              <w:jc w:val="left"/>
            </w:pPr>
            <w:r>
              <w:rPr>
                <w:sz w:val="18"/>
              </w:rPr>
              <w:t xml:space="preserve">RBC paras 93–100</w:t>
            </w:r>
          </w:p>
        </w:tc>
        <w:tc>
          <w:tcPr>
            <w:tcW w:w="2514" w:type="dxa"/>
          </w:tcPr>
          <w:p>
            <w:pPr>
              <w:pStyle w:val="Compact"/>
              <w:spacing w:after="40"/>
              <w:jc w:val="left"/>
            </w:pPr>
            <w:r>
              <w:rPr>
                <w:sz w:val="18"/>
              </w:rPr>
              <w:t xml:space="preserve">Sch. 10</w:t>
            </w:r>
          </w:p>
        </w:tc>
        <w:tc>
          <w:tcPr>
            <w:tcW w:w="1700" w:type="dxa"/>
          </w:tcPr>
          <w:p>
            <w:pPr>
              <w:pStyle w:val="Compact"/>
              <w:spacing w:after="40"/>
              <w:jc w:val="left"/>
            </w:pPr>
            <w:r>
              <w:rPr>
                <w:sz w:val="18"/>
              </w:rPr>
              <w:t xml:space="preserve">Agent register; logs</w:t>
            </w:r>
          </w:p>
        </w:tc>
      </w:tr>
      <w:tr>
        <w:tc>
          <w:tcPr>
            <w:tcW w:w="3595" w:type="dxa"/>
          </w:tcPr>
          <w:p>
            <w:pPr>
              <w:pStyle w:val="Compact"/>
              <w:spacing w:after="40"/>
              <w:jc w:val="left"/>
            </w:pPr>
            <w:r>
              <w:rPr>
                <w:sz w:val="18"/>
              </w:rPr>
              <w:t xml:space="preserve">Registered telemarketers</w:t>
            </w:r>
          </w:p>
        </w:tc>
        <w:tc>
          <w:tcPr>
            <w:tcW w:w="1829" w:type="dxa"/>
          </w:tcPr>
          <w:p>
            <w:pPr>
              <w:pStyle w:val="Compact"/>
              <w:spacing w:after="40"/>
              <w:jc w:val="left"/>
            </w:pPr>
            <w:r>
              <w:rPr>
                <w:sz w:val="18"/>
              </w:rPr>
              <w:t xml:space="preserve">RBC para 101</w:t>
            </w:r>
          </w:p>
        </w:tc>
        <w:tc>
          <w:tcPr>
            <w:tcW w:w="2514" w:type="dxa"/>
          </w:tcPr>
          <w:p>
            <w:pPr>
              <w:pStyle w:val="Compact"/>
              <w:spacing w:after="40"/>
              <w:jc w:val="left"/>
            </w:pPr>
            <w:r>
              <w:rPr>
                <w:sz w:val="18"/>
              </w:rPr>
              <w:t xml:space="preserve">Sch. 15 para 15.6</w:t>
            </w:r>
          </w:p>
        </w:tc>
        <w:tc>
          <w:tcPr>
            <w:tcW w:w="1700" w:type="dxa"/>
          </w:tcPr>
          <w:p>
            <w:pPr>
              <w:pStyle w:val="Compact"/>
              <w:spacing w:after="40"/>
              <w:jc w:val="left"/>
            </w:pPr>
            <w:r>
              <w:rPr>
                <w:sz w:val="18"/>
              </w:rPr>
              <w:t xml:space="preserve">Registrations</w:t>
            </w:r>
          </w:p>
        </w:tc>
      </w:tr>
      <w:tr>
        <w:tc>
          <w:tcPr>
            <w:tcW w:w="3595" w:type="dxa"/>
          </w:tcPr>
          <w:p>
            <w:pPr>
              <w:pStyle w:val="Compact"/>
              <w:spacing w:after="40"/>
              <w:jc w:val="left"/>
            </w:pPr>
            <w:r>
              <w:rPr>
                <w:sz w:val="18"/>
              </w:rPr>
              <w:t xml:space="preserve">Section J recovery conduct from 1 Jan 2027 (paras 100I, 100K–100Q, 100U, 100Y, 100Z, 100AA, 100AB)</w:t>
            </w:r>
          </w:p>
        </w:tc>
        <w:tc>
          <w:tcPr>
            <w:tcW w:w="1829" w:type="dxa"/>
          </w:tcPr>
          <w:p>
            <w:pPr>
              <w:pStyle w:val="Compact"/>
              <w:spacing w:after="40"/>
              <w:jc w:val="left"/>
            </w:pPr>
            <w:r>
              <w:rPr>
                <w:sz w:val="18"/>
              </w:rPr>
              <w:t xml:space="preserve">RBC-3A [VERIFY]</w:t>
            </w:r>
          </w:p>
        </w:tc>
        <w:tc>
          <w:tcPr>
            <w:tcW w:w="2514" w:type="dxa"/>
          </w:tcPr>
          <w:p>
            <w:pPr>
              <w:pStyle w:val="Compact"/>
              <w:spacing w:after="40"/>
              <w:jc w:val="left"/>
            </w:pPr>
            <w:r>
              <w:rPr>
                <w:sz w:val="18"/>
              </w:rPr>
              <w:t xml:space="preserve">Sch. 10</w:t>
            </w:r>
          </w:p>
        </w:tc>
        <w:tc>
          <w:tcPr>
            <w:tcW w:w="1700" w:type="dxa"/>
          </w:tcPr>
          <w:p>
            <w:pPr>
              <w:pStyle w:val="Compact"/>
              <w:spacing w:after="40"/>
              <w:jc w:val="left"/>
            </w:pPr>
            <w:r>
              <w:rPr>
                <w:sz w:val="18"/>
              </w:rPr>
              <w:t xml:space="preserve">Rule Pack B tests</w:t>
            </w:r>
          </w:p>
        </w:tc>
      </w:tr>
      <w:tr>
        <w:tc>
          <w:tcPr>
            <w:tcW w:w="3595" w:type="dxa"/>
          </w:tcPr>
          <w:p>
            <w:pPr>
              <w:pStyle w:val="Compact"/>
              <w:spacing w:after="40"/>
              <w:jc w:val="left"/>
            </w:pPr>
            <w:r>
              <w:rPr>
                <w:sz w:val="18"/>
              </w:rPr>
              <w:t xml:space="preserve">KYC decision not outsourced; digital KYC on RE application; OTP e-KYC limits; V-CIP by RE</w:t>
            </w:r>
          </w:p>
        </w:tc>
        <w:tc>
          <w:tcPr>
            <w:tcW w:w="1829" w:type="dxa"/>
          </w:tcPr>
          <w:p>
            <w:pPr>
              <w:pStyle w:val="Compact"/>
              <w:spacing w:after="40"/>
              <w:jc w:val="left"/>
            </w:pPr>
            <w:r>
              <w:rPr>
                <w:sz w:val="18"/>
              </w:rPr>
              <w:t xml:space="preserve">KYC paras 13, 24, 25, 26–27</w:t>
            </w:r>
          </w:p>
        </w:tc>
        <w:tc>
          <w:tcPr>
            <w:tcW w:w="2514" w:type="dxa"/>
          </w:tcPr>
          <w:p>
            <w:pPr>
              <w:pStyle w:val="Compact"/>
              <w:spacing w:after="40"/>
              <w:jc w:val="left"/>
            </w:pPr>
            <w:r>
              <w:rPr>
                <w:sz w:val="18"/>
              </w:rPr>
              <w:t xml:space="preserve">Sch. 2 rows 4–6; Sch. 4 para 4.6</w:t>
            </w:r>
          </w:p>
        </w:tc>
        <w:tc>
          <w:tcPr>
            <w:tcW w:w="1700" w:type="dxa"/>
          </w:tcPr>
          <w:p>
            <w:pPr>
              <w:pStyle w:val="Compact"/>
              <w:spacing w:after="40"/>
              <w:jc w:val="left"/>
            </w:pPr>
            <w:r>
              <w:rPr>
                <w:sz w:val="18"/>
              </w:rPr>
              <w:t xml:space="preserve">Permission matrix; declarations</w:t>
            </w:r>
          </w:p>
        </w:tc>
      </w:tr>
      <w:tr>
        <w:tc>
          <w:tcPr>
            <w:tcW w:w="3595" w:type="dxa"/>
          </w:tcPr>
          <w:p>
            <w:pPr>
              <w:pStyle w:val="Compact"/>
              <w:spacing w:after="40"/>
              <w:jc w:val="left"/>
            </w:pPr>
            <w:r>
              <w:rPr>
                <w:sz w:val="18"/>
              </w:rPr>
              <w:t xml:space="preserve">Bureau via RE membership; complete reporting; CI grievance clocks</w:t>
            </w:r>
          </w:p>
        </w:tc>
        <w:tc>
          <w:tcPr>
            <w:tcW w:w="1829" w:type="dxa"/>
          </w:tcPr>
          <w:p>
            <w:pPr>
              <w:pStyle w:val="Compact"/>
              <w:spacing w:after="40"/>
              <w:jc w:val="left"/>
            </w:pPr>
            <w:r>
              <w:rPr>
                <w:sz w:val="18"/>
              </w:rPr>
              <w:t xml:space="preserve">CIR paras 6, 10, 34–35</w:t>
            </w:r>
          </w:p>
        </w:tc>
        <w:tc>
          <w:tcPr>
            <w:tcW w:w="2514" w:type="dxa"/>
          </w:tcPr>
          <w:p>
            <w:pPr>
              <w:pStyle w:val="Compact"/>
              <w:spacing w:after="40"/>
              <w:jc w:val="left"/>
            </w:pPr>
            <w:r>
              <w:rPr>
                <w:sz w:val="18"/>
              </w:rPr>
              <w:t xml:space="preserve">Sch. 2 row 7; Sch. 9 para 9.4; Sch. 16</w:t>
            </w:r>
          </w:p>
        </w:tc>
        <w:tc>
          <w:tcPr>
            <w:tcW w:w="1700" w:type="dxa"/>
          </w:tcPr>
          <w:p>
            <w:pPr>
              <w:pStyle w:val="Compact"/>
              <w:spacing w:after="40"/>
              <w:jc w:val="left"/>
            </w:pPr>
            <w:r>
              <w:rPr>
                <w:sz w:val="18"/>
              </w:rPr>
              <w:t xml:space="preserve">Connector configuration</w:t>
            </w:r>
          </w:p>
        </w:tc>
      </w:tr>
      <w:tr>
        <w:tc>
          <w:tcPr>
            <w:tcW w:w="3595" w:type="dxa"/>
          </w:tcPr>
          <w:p>
            <w:pPr>
              <w:pStyle w:val="Compact"/>
              <w:spacing w:after="40"/>
              <w:jc w:val="left"/>
            </w:pPr>
            <w:r>
              <w:rPr>
                <w:sz w:val="18"/>
              </w:rPr>
              <w:t xml:space="preserve">Cyber incident within 6 hours</w:t>
            </w:r>
          </w:p>
        </w:tc>
        <w:tc>
          <w:tcPr>
            <w:tcW w:w="1829" w:type="dxa"/>
          </w:tcPr>
          <w:p>
            <w:pPr>
              <w:pStyle w:val="Compact"/>
              <w:spacing w:after="40"/>
              <w:jc w:val="left"/>
            </w:pPr>
            <w:r>
              <w:rPr>
                <w:sz w:val="18"/>
              </w:rPr>
              <w:t xml:space="preserve">CYB paras 28, 141</w:t>
            </w:r>
          </w:p>
        </w:tc>
        <w:tc>
          <w:tcPr>
            <w:tcW w:w="2514" w:type="dxa"/>
          </w:tcPr>
          <w:p>
            <w:pPr>
              <w:pStyle w:val="Compact"/>
              <w:spacing w:after="40"/>
              <w:jc w:val="left"/>
            </w:pPr>
            <w:r>
              <w:rPr>
                <w:sz w:val="18"/>
              </w:rPr>
              <w:t xml:space="preserve">Sch. 12</w:t>
            </w:r>
          </w:p>
        </w:tc>
        <w:tc>
          <w:tcPr>
            <w:tcW w:w="1700" w:type="dxa"/>
          </w:tcPr>
          <w:p>
            <w:pPr>
              <w:pStyle w:val="Compact"/>
              <w:spacing w:after="40"/>
              <w:jc w:val="left"/>
            </w:pPr>
            <w:r>
              <w:rPr>
                <w:sz w:val="18"/>
              </w:rPr>
              <w:t xml:space="preserve">Incident log</w:t>
            </w:r>
          </w:p>
        </w:tc>
      </w:tr>
      <w:tr>
        <w:tc>
          <w:tcPr>
            <w:tcW w:w="3595" w:type="dxa"/>
          </w:tcPr>
          <w:p>
            <w:pPr>
              <w:pStyle w:val="Compact"/>
              <w:spacing w:after="40"/>
              <w:jc w:val="left"/>
            </w:pPr>
            <w:r>
              <w:rPr>
                <w:sz w:val="18"/>
              </w:rPr>
              <w:t xml:space="preserve">IT outsourcing contract terms (BL ≥ ₹500 crore)</w:t>
            </w:r>
          </w:p>
        </w:tc>
        <w:tc>
          <w:tcPr>
            <w:tcW w:w="1829" w:type="dxa"/>
          </w:tcPr>
          <w:p>
            <w:pPr>
              <w:pStyle w:val="Compact"/>
              <w:spacing w:after="40"/>
              <w:jc w:val="left"/>
            </w:pPr>
            <w:r>
              <w:rPr>
                <w:sz w:val="18"/>
              </w:rPr>
              <w:t xml:space="preserve">CYB paras 60–64</w:t>
            </w:r>
          </w:p>
        </w:tc>
        <w:tc>
          <w:tcPr>
            <w:tcW w:w="2514" w:type="dxa"/>
          </w:tcPr>
          <w:p>
            <w:pPr>
              <w:pStyle w:val="Compact"/>
              <w:spacing w:after="40"/>
              <w:jc w:val="left"/>
            </w:pPr>
            <w:r>
              <w:rPr>
                <w:sz w:val="18"/>
              </w:rPr>
              <w:t xml:space="preserve">Sch. 8, 13</w:t>
            </w:r>
          </w:p>
        </w:tc>
        <w:tc>
          <w:tcPr>
            <w:tcW w:w="1700" w:type="dxa"/>
          </w:tcPr>
          <w:p>
            <w:pPr>
              <w:pStyle w:val="Compact"/>
              <w:spacing w:after="40"/>
              <w:jc w:val="left"/>
            </w:pPr>
            <w:r>
              <w:rPr>
                <w:sz w:val="18"/>
              </w:rPr>
              <w:t xml:space="preserve">Agreement</w:t>
            </w:r>
          </w:p>
        </w:tc>
      </w:tr>
      <w:tr>
        <w:tc>
          <w:tcPr>
            <w:tcW w:w="3595" w:type="dxa"/>
          </w:tcPr>
          <w:p>
            <w:pPr>
              <w:pStyle w:val="Compact"/>
              <w:spacing w:after="40"/>
              <w:jc w:val="left"/>
            </w:pPr>
            <w:r>
              <w:rPr>
                <w:sz w:val="18"/>
              </w:rPr>
              <w:t xml:space="preserve">Vendor support, escrow, certificate; MFA; vendor risk; VA/PT; DR</w:t>
            </w:r>
          </w:p>
        </w:tc>
        <w:tc>
          <w:tcPr>
            <w:tcW w:w="1829" w:type="dxa"/>
          </w:tcPr>
          <w:p>
            <w:pPr>
              <w:pStyle w:val="Compact"/>
              <w:spacing w:after="40"/>
              <w:jc w:val="left"/>
            </w:pPr>
            <w:r>
              <w:rPr>
                <w:sz w:val="18"/>
              </w:rPr>
              <w:t xml:space="preserve">CYB paras 102–106, 115, 117, 121–138</w:t>
            </w:r>
          </w:p>
        </w:tc>
        <w:tc>
          <w:tcPr>
            <w:tcW w:w="2514" w:type="dxa"/>
          </w:tcPr>
          <w:p>
            <w:pPr>
              <w:pStyle w:val="Compact"/>
              <w:spacing w:after="40"/>
              <w:jc w:val="left"/>
            </w:pPr>
            <w:r>
              <w:rPr>
                <w:sz w:val="18"/>
              </w:rPr>
              <w:t xml:space="preserve">Sch. 8; Sch. 14</w:t>
            </w:r>
          </w:p>
        </w:tc>
        <w:tc>
          <w:tcPr>
            <w:tcW w:w="1700" w:type="dxa"/>
          </w:tcPr>
          <w:p>
            <w:pPr>
              <w:pStyle w:val="Compact"/>
              <w:spacing w:after="40"/>
              <w:jc w:val="left"/>
            </w:pPr>
            <w:r>
              <w:rPr>
                <w:sz w:val="18"/>
              </w:rPr>
              <w:t xml:space="preserve">Reports</w:t>
            </w:r>
          </w:p>
        </w:tc>
      </w:tr>
      <w:tr>
        <w:tc>
          <w:tcPr>
            <w:tcW w:w="3595" w:type="dxa"/>
          </w:tcPr>
          <w:p>
            <w:pPr>
              <w:pStyle w:val="Compact"/>
              <w:spacing w:after="40"/>
              <w:jc w:val="left"/>
            </w:pPr>
            <w:r>
              <w:rPr>
                <w:sz w:val="18"/>
              </w:rPr>
              <w:t xml:space="preserve">Co-lending escrow and interface disclosure; co-lending DLG</w:t>
            </w:r>
          </w:p>
        </w:tc>
        <w:tc>
          <w:tcPr>
            <w:tcW w:w="1829" w:type="dxa"/>
          </w:tcPr>
          <w:p>
            <w:pPr>
              <w:pStyle w:val="Compact"/>
              <w:spacing w:after="40"/>
              <w:jc w:val="left"/>
            </w:pPr>
            <w:r>
              <w:rPr>
                <w:sz w:val="18"/>
              </w:rPr>
              <w:t xml:space="preserve">TDCR paras 105, 117, 123</w:t>
            </w:r>
          </w:p>
        </w:tc>
        <w:tc>
          <w:tcPr>
            <w:tcW w:w="2514" w:type="dxa"/>
          </w:tcPr>
          <w:p>
            <w:pPr>
              <w:pStyle w:val="Compact"/>
              <w:spacing w:after="40"/>
              <w:jc w:val="left"/>
            </w:pPr>
            <w:r>
              <w:rPr>
                <w:sz w:val="18"/>
              </w:rPr>
              <w:t xml:space="preserve">Sch. 6 A4, para 6.5; Sch. 11 para 11.9</w:t>
            </w:r>
          </w:p>
        </w:tc>
        <w:tc>
          <w:tcPr>
            <w:tcW w:w="1700" w:type="dxa"/>
          </w:tcPr>
          <w:p>
            <w:pPr>
              <w:pStyle w:val="Compact"/>
              <w:spacing w:after="40"/>
              <w:jc w:val="left"/>
            </w:pPr>
            <w:r>
              <w:rPr>
                <w:sz w:val="18"/>
              </w:rPr>
              <w:t xml:space="preserve">Escrow configuration</w:t>
            </w:r>
          </w:p>
        </w:tc>
      </w:tr>
      <w:tr>
        <w:tc>
          <w:tcPr>
            <w:tcW w:w="3595" w:type="dxa"/>
          </w:tcPr>
          <w:p>
            <w:pPr>
              <w:pStyle w:val="Compact"/>
              <w:spacing w:after="40"/>
              <w:jc w:val="left"/>
            </w:pPr>
            <w:r>
              <w:rPr>
                <w:sz w:val="18"/>
              </w:rPr>
              <w:t xml:space="preserve">Third-party accountability for fraud</w:t>
            </w:r>
          </w:p>
        </w:tc>
        <w:tc>
          <w:tcPr>
            <w:tcW w:w="1829" w:type="dxa"/>
          </w:tcPr>
          <w:p>
            <w:pPr>
              <w:pStyle w:val="Compact"/>
              <w:spacing w:after="40"/>
              <w:jc w:val="left"/>
            </w:pPr>
            <w:r>
              <w:rPr>
                <w:sz w:val="18"/>
              </w:rPr>
              <w:t xml:space="preserve">FRM para 31</w:t>
            </w:r>
          </w:p>
        </w:tc>
        <w:tc>
          <w:tcPr>
            <w:tcW w:w="2514" w:type="dxa"/>
          </w:tcPr>
          <w:p>
            <w:pPr>
              <w:pStyle w:val="Compact"/>
              <w:spacing w:after="40"/>
              <w:jc w:val="left"/>
            </w:pPr>
            <w:r>
              <w:rPr>
                <w:sz w:val="18"/>
              </w:rPr>
              <w:t xml:space="preserve">Art. 26, 27</w:t>
            </w:r>
          </w:p>
        </w:tc>
        <w:tc>
          <w:tcPr>
            <w:tcW w:w="1700" w:type="dxa"/>
          </w:tcPr>
          <w:p>
            <w:pPr>
              <w:pStyle w:val="Compact"/>
              <w:spacing w:after="40"/>
              <w:jc w:val="left"/>
            </w:pPr>
            <w:r>
              <w:rPr>
                <w:sz w:val="18"/>
              </w:rPr>
              <w:t xml:space="preserve">Agreement</w:t>
            </w:r>
          </w:p>
        </w:tc>
      </w:tr>
      <w:tr>
        <w:tc>
          <w:tcPr>
            <w:tcW w:w="3595" w:type="dxa"/>
          </w:tcPr>
          <w:p>
            <w:pPr>
              <w:pStyle w:val="Compact"/>
              <w:spacing w:after="40"/>
              <w:jc w:val="left"/>
            </w:pPr>
            <w:r>
              <w:rPr>
                <w:sz w:val="18"/>
              </w:rPr>
              <w:t xml:space="preserve">DLG in ECL provisioning; Ind AS 1 disclosure; ECL recomputed after each invocation</w:t>
            </w:r>
          </w:p>
        </w:tc>
        <w:tc>
          <w:tcPr>
            <w:tcW w:w="1829" w:type="dxa"/>
          </w:tcPr>
          <w:p>
            <w:pPr>
              <w:pStyle w:val="Compact"/>
              <w:spacing w:after="40"/>
              <w:jc w:val="left"/>
            </w:pPr>
            <w:r>
              <w:rPr>
                <w:sz w:val="18"/>
              </w:rPr>
              <w:t xml:space="preserve">IRACP paras 36A–36C</w:t>
            </w:r>
          </w:p>
        </w:tc>
        <w:tc>
          <w:tcPr>
            <w:tcW w:w="2514" w:type="dxa"/>
          </w:tcPr>
          <w:p>
            <w:pPr>
              <w:pStyle w:val="Compact"/>
              <w:spacing w:after="40"/>
              <w:jc w:val="left"/>
            </w:pPr>
            <w:r>
              <w:rPr>
                <w:sz w:val="18"/>
              </w:rPr>
              <w:t xml:space="preserve">Art. 13; Sch. 11 para 11.16</w:t>
            </w:r>
          </w:p>
        </w:tc>
        <w:tc>
          <w:tcPr>
            <w:tcW w:w="1700" w:type="dxa"/>
          </w:tcPr>
          <w:p>
            <w:pPr>
              <w:pStyle w:val="Compact"/>
              <w:spacing w:after="40"/>
              <w:jc w:val="left"/>
            </w:pPr>
            <w:r>
              <w:rPr>
                <w:sz w:val="18"/>
              </w:rPr>
              <w:t xml:space="preserve">RE ECL workings</w:t>
            </w:r>
          </w:p>
        </w:tc>
      </w:tr>
    </w:tbl>
    <w:bookmarkEnd w:id="120"/>
    <w:bookmarkStart w:id="121" w:name="part-d-statutes-and-other-law"/>
    <w:p>
      <w:pPr>
        <w:pStyle w:val="Heading2"/>
      </w:pPr>
      <w:r>
        <w:t xml:space="preserve">Part D — Statutes and other law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065"/>
        <w:gridCol w:w="3131"/>
        <w:gridCol w:w="2442"/>
      </w:tblGrid>
      <w:tr>
        <w:trPr>
          <w:tblHeader w:val="true"/>
          <w:tblHeader w:val="true"/>
        </w:trPr>
        <w:tc>
          <w:tcPr>
            <w:tcW w:w="4065" w:type="dxa"/>
            <w:shd w:val="clear" w:color="auto" w:fill="1F3A5F"/>
          </w:tcPr>
          <w:p>
            <w:pPr>
              <w:pStyle w:val="Compact"/>
              <w:spacing w:after="40"/>
              <w:jc w:val="left"/>
            </w:pPr>
            <w:r>
              <w:rPr>
                <w:b/>
                <w:color w:val="FFFFFF"/>
                <w:sz w:val="18"/>
              </w:rPr>
              <w:t xml:space="preserve">Requirement</w:t>
            </w:r>
          </w:p>
        </w:tc>
        <w:tc>
          <w:tcPr>
            <w:tcW w:w="3131" w:type="dxa"/>
            <w:shd w:val="clear" w:color="auto" w:fill="1F3A5F"/>
          </w:tcPr>
          <w:p>
            <w:pPr>
              <w:pStyle w:val="Compact"/>
              <w:spacing w:after="40"/>
              <w:jc w:val="left"/>
            </w:pPr>
            <w:r>
              <w:rPr>
                <w:b/>
                <w:color w:val="FFFFFF"/>
                <w:sz w:val="18"/>
              </w:rPr>
              <w:t xml:space="preserve">Source</w:t>
            </w:r>
          </w:p>
        </w:tc>
        <w:tc>
          <w:tcPr>
            <w:tcW w:w="2442" w:type="dxa"/>
            <w:shd w:val="clear" w:color="auto" w:fill="1F3A5F"/>
          </w:tcPr>
          <w:p>
            <w:pPr>
              <w:pStyle w:val="Compact"/>
              <w:spacing w:after="40"/>
              <w:jc w:val="left"/>
            </w:pPr>
            <w:r>
              <w:rPr>
                <w:b/>
                <w:color w:val="FFFFFF"/>
                <w:sz w:val="18"/>
              </w:rPr>
              <w:t xml:space="preserve">Implemented in</w:t>
            </w:r>
          </w:p>
        </w:tc>
      </w:tr>
      <w:tr>
        <w:tc>
          <w:tcPr>
            <w:tcW w:w="4065" w:type="dxa"/>
          </w:tcPr>
          <w:p>
            <w:pPr>
              <w:pStyle w:val="Compact"/>
              <w:spacing w:after="40"/>
              <w:jc w:val="left"/>
            </w:pPr>
            <w:r>
              <w:rPr>
                <w:sz w:val="18"/>
              </w:rPr>
              <w:t xml:space="preserve">Fiduciary and processor roles; notice and consent; safeguards; breach; erasure; rights</w:t>
            </w:r>
          </w:p>
        </w:tc>
        <w:tc>
          <w:tcPr>
            <w:tcW w:w="3131" w:type="dxa"/>
          </w:tcPr>
          <w:p>
            <w:pPr>
              <w:pStyle w:val="Compact"/>
              <w:spacing w:after="40"/>
              <w:jc w:val="left"/>
            </w:pPr>
            <w:r>
              <w:rPr>
                <w:sz w:val="18"/>
              </w:rPr>
              <w:t xml:space="preserve">DPDP Act ss.2, 5–8, 11–14; DPDP Rules, Rules 3, 6–8</w:t>
            </w:r>
          </w:p>
        </w:tc>
        <w:tc>
          <w:tcPr>
            <w:tcW w:w="2442" w:type="dxa"/>
          </w:tcPr>
          <w:p>
            <w:pPr>
              <w:pStyle w:val="Compact"/>
              <w:spacing w:after="40"/>
              <w:jc w:val="left"/>
            </w:pPr>
            <w:r>
              <w:rPr>
                <w:sz w:val="18"/>
              </w:rPr>
              <w:t xml:space="preserve">Sch. 7; Sch. 12</w:t>
            </w:r>
          </w:p>
        </w:tc>
      </w:tr>
      <w:tr>
        <w:tc>
          <w:tcPr>
            <w:tcW w:w="4065" w:type="dxa"/>
          </w:tcPr>
          <w:p>
            <w:pPr>
              <w:pStyle w:val="Compact"/>
              <w:spacing w:after="40"/>
              <w:jc w:val="left"/>
            </w:pPr>
            <w:r>
              <w:rPr>
                <w:sz w:val="18"/>
              </w:rPr>
              <w:t xml:space="preserve">Reasonable security; electronic signatures</w:t>
            </w:r>
          </w:p>
        </w:tc>
        <w:tc>
          <w:tcPr>
            <w:tcW w:w="3131" w:type="dxa"/>
          </w:tcPr>
          <w:p>
            <w:pPr>
              <w:pStyle w:val="Compact"/>
              <w:spacing w:after="40"/>
              <w:jc w:val="left"/>
            </w:pPr>
            <w:r>
              <w:rPr>
                <w:sz w:val="18"/>
              </w:rPr>
              <w:t xml:space="preserve">IT Act ss.3A, 5, 43A, 72A</w:t>
            </w:r>
          </w:p>
        </w:tc>
        <w:tc>
          <w:tcPr>
            <w:tcW w:w="2442" w:type="dxa"/>
          </w:tcPr>
          <w:p>
            <w:pPr>
              <w:pStyle w:val="Compact"/>
              <w:spacing w:after="40"/>
              <w:jc w:val="left"/>
            </w:pPr>
            <w:r>
              <w:rPr>
                <w:sz w:val="18"/>
              </w:rPr>
              <w:t xml:space="preserve">Sch. 2 row 16; Sch. 7 para 7.15</w:t>
            </w:r>
          </w:p>
        </w:tc>
      </w:tr>
      <w:tr>
        <w:tc>
          <w:tcPr>
            <w:tcW w:w="4065" w:type="dxa"/>
          </w:tcPr>
          <w:p>
            <w:pPr>
              <w:pStyle w:val="Compact"/>
              <w:spacing w:after="40"/>
              <w:jc w:val="left"/>
            </w:pPr>
            <w:r>
              <w:rPr>
                <w:sz w:val="18"/>
              </w:rPr>
              <w:t xml:space="preserve">6-hour reporting; 180-day logs; NTP</w:t>
            </w:r>
          </w:p>
        </w:tc>
        <w:tc>
          <w:tcPr>
            <w:tcW w:w="3131" w:type="dxa"/>
          </w:tcPr>
          <w:p>
            <w:pPr>
              <w:pStyle w:val="Compact"/>
              <w:spacing w:after="40"/>
              <w:jc w:val="left"/>
            </w:pPr>
            <w:r>
              <w:rPr>
                <w:sz w:val="18"/>
              </w:rPr>
              <w:t xml:space="preserve">CERT-In Directions, 28 Apr 2022</w:t>
            </w:r>
          </w:p>
        </w:tc>
        <w:tc>
          <w:tcPr>
            <w:tcW w:w="2442" w:type="dxa"/>
          </w:tcPr>
          <w:p>
            <w:pPr>
              <w:pStyle w:val="Compact"/>
              <w:spacing w:after="40"/>
              <w:jc w:val="left"/>
            </w:pPr>
            <w:r>
              <w:rPr>
                <w:sz w:val="18"/>
              </w:rPr>
              <w:t xml:space="preserve">Sch. 8 C13; Sch. 12</w:t>
            </w:r>
          </w:p>
        </w:tc>
      </w:tr>
      <w:tr>
        <w:tc>
          <w:tcPr>
            <w:tcW w:w="4065" w:type="dxa"/>
          </w:tcPr>
          <w:p>
            <w:pPr>
              <w:pStyle w:val="Compact"/>
              <w:spacing w:after="40"/>
              <w:jc w:val="left"/>
            </w:pPr>
            <w:r>
              <w:rPr>
                <w:sz w:val="18"/>
              </w:rPr>
              <w:t xml:space="preserve">Aadhaar number and biometrics</w:t>
            </w:r>
          </w:p>
        </w:tc>
        <w:tc>
          <w:tcPr>
            <w:tcW w:w="3131" w:type="dxa"/>
          </w:tcPr>
          <w:p>
            <w:pPr>
              <w:pStyle w:val="Compact"/>
              <w:spacing w:after="40"/>
              <w:jc w:val="left"/>
            </w:pPr>
            <w:r>
              <w:rPr>
                <w:sz w:val="18"/>
              </w:rPr>
              <w:t xml:space="preserve">Aadhaar Act ss.8, 8A, 29; PML Act s.11A</w:t>
            </w:r>
          </w:p>
        </w:tc>
        <w:tc>
          <w:tcPr>
            <w:tcW w:w="2442" w:type="dxa"/>
          </w:tcPr>
          <w:p>
            <w:pPr>
              <w:pStyle w:val="Compact"/>
              <w:spacing w:after="40"/>
              <w:jc w:val="left"/>
            </w:pPr>
            <w:r>
              <w:rPr>
                <w:sz w:val="18"/>
              </w:rPr>
              <w:t xml:space="preserve">Sch. 7 para 7.14</w:t>
            </w:r>
          </w:p>
        </w:tc>
      </w:tr>
      <w:tr>
        <w:tc>
          <w:tcPr>
            <w:tcW w:w="4065" w:type="dxa"/>
          </w:tcPr>
          <w:p>
            <w:pPr>
              <w:pStyle w:val="Compact"/>
              <w:spacing w:after="40"/>
              <w:jc w:val="left"/>
            </w:pPr>
            <w:r>
              <w:rPr>
                <w:sz w:val="18"/>
              </w:rPr>
              <w:t xml:space="preserve">Credit information via RE</w:t>
            </w:r>
          </w:p>
        </w:tc>
        <w:tc>
          <w:tcPr>
            <w:tcW w:w="3131" w:type="dxa"/>
          </w:tcPr>
          <w:p>
            <w:pPr>
              <w:pStyle w:val="Compact"/>
              <w:spacing w:after="40"/>
              <w:jc w:val="left"/>
            </w:pPr>
            <w:r>
              <w:rPr>
                <w:sz w:val="18"/>
              </w:rPr>
              <w:t xml:space="preserve">CICRA 2005; CIC Rules 2006</w:t>
            </w:r>
          </w:p>
        </w:tc>
        <w:tc>
          <w:tcPr>
            <w:tcW w:w="2442" w:type="dxa"/>
          </w:tcPr>
          <w:p>
            <w:pPr>
              <w:pStyle w:val="Compact"/>
              <w:spacing w:after="40"/>
              <w:jc w:val="left"/>
            </w:pPr>
            <w:r>
              <w:rPr>
                <w:sz w:val="18"/>
              </w:rPr>
              <w:t xml:space="preserve">Sch. 2 row 7</w:t>
            </w:r>
          </w:p>
        </w:tc>
      </w:tr>
      <w:tr>
        <w:tc>
          <w:tcPr>
            <w:tcW w:w="4065" w:type="dxa"/>
          </w:tcPr>
          <w:p>
            <w:pPr>
              <w:pStyle w:val="Compact"/>
              <w:spacing w:after="40"/>
              <w:jc w:val="left"/>
            </w:pPr>
            <w:r>
              <w:rPr>
                <w:sz w:val="18"/>
              </w:rPr>
              <w:t xml:space="preserve">DLT, preference, number series</w:t>
            </w:r>
          </w:p>
        </w:tc>
        <w:tc>
          <w:tcPr>
            <w:tcW w:w="3131" w:type="dxa"/>
          </w:tcPr>
          <w:p>
            <w:pPr>
              <w:pStyle w:val="Compact"/>
              <w:spacing w:after="40"/>
              <w:jc w:val="left"/>
            </w:pPr>
            <w:r>
              <w:rPr>
                <w:sz w:val="18"/>
              </w:rPr>
              <w:t xml:space="preserve">TCCCPR 2018; TRAI directions</w:t>
            </w:r>
          </w:p>
        </w:tc>
        <w:tc>
          <w:tcPr>
            <w:tcW w:w="2442" w:type="dxa"/>
          </w:tcPr>
          <w:p>
            <w:pPr>
              <w:pStyle w:val="Compact"/>
              <w:spacing w:after="40"/>
              <w:jc w:val="left"/>
            </w:pPr>
            <w:r>
              <w:rPr>
                <w:sz w:val="18"/>
              </w:rPr>
              <w:t xml:space="preserve">Sch. 15 para 15.6</w:t>
            </w:r>
          </w:p>
        </w:tc>
      </w:tr>
      <w:tr>
        <w:tc>
          <w:tcPr>
            <w:tcW w:w="4065" w:type="dxa"/>
          </w:tcPr>
          <w:p>
            <w:pPr>
              <w:pStyle w:val="Compact"/>
              <w:spacing w:after="40"/>
              <w:jc w:val="left"/>
            </w:pPr>
            <w:r>
              <w:rPr>
                <w:sz w:val="18"/>
              </w:rPr>
              <w:t xml:space="preserve">Dark patterns</w:t>
            </w:r>
          </w:p>
        </w:tc>
        <w:tc>
          <w:tcPr>
            <w:tcW w:w="3131" w:type="dxa"/>
          </w:tcPr>
          <w:p>
            <w:pPr>
              <w:pStyle w:val="Compact"/>
              <w:spacing w:after="40"/>
              <w:jc w:val="left"/>
            </w:pPr>
            <w:r>
              <w:rPr>
                <w:sz w:val="18"/>
              </w:rPr>
              <w:t xml:space="preserve">CCPA Guidelines, 2023</w:t>
            </w:r>
          </w:p>
        </w:tc>
        <w:tc>
          <w:tcPr>
            <w:tcW w:w="2442" w:type="dxa"/>
          </w:tcPr>
          <w:p>
            <w:pPr>
              <w:pStyle w:val="Compact"/>
              <w:spacing w:after="40"/>
              <w:jc w:val="left"/>
            </w:pPr>
            <w:r>
              <w:rPr>
                <w:sz w:val="18"/>
              </w:rPr>
              <w:t xml:space="preserve">Sch. 5 para 5.6</w:t>
            </w:r>
          </w:p>
        </w:tc>
      </w:tr>
      <w:tr>
        <w:tc>
          <w:tcPr>
            <w:tcW w:w="4065" w:type="dxa"/>
          </w:tcPr>
          <w:p>
            <w:pPr>
              <w:pStyle w:val="Compact"/>
              <w:spacing w:after="40"/>
              <w:jc w:val="left"/>
            </w:pPr>
            <w:r>
              <w:rPr>
                <w:sz w:val="18"/>
              </w:rPr>
              <w:t xml:space="preserve">Stamp duty</w:t>
            </w:r>
          </w:p>
        </w:tc>
        <w:tc>
          <w:tcPr>
            <w:tcW w:w="3131" w:type="dxa"/>
          </w:tcPr>
          <w:p>
            <w:pPr>
              <w:pStyle w:val="Compact"/>
              <w:spacing w:after="40"/>
              <w:jc w:val="left"/>
            </w:pPr>
            <w:r>
              <w:rPr>
                <w:sz w:val="18"/>
              </w:rPr>
              <w:t xml:space="preserve">Indian Stamp Act, 1899 and State Acts</w:t>
            </w:r>
          </w:p>
        </w:tc>
        <w:tc>
          <w:tcPr>
            <w:tcW w:w="2442" w:type="dxa"/>
          </w:tcPr>
          <w:p>
            <w:pPr>
              <w:pStyle w:val="Compact"/>
              <w:spacing w:after="40"/>
              <w:jc w:val="left"/>
            </w:pPr>
            <w:r>
              <w:rPr>
                <w:sz w:val="18"/>
              </w:rPr>
              <w:t xml:space="preserve">Sch. 2 row 16; Sch. 11</w:t>
            </w:r>
          </w:p>
        </w:tc>
      </w:tr>
      <w:tr>
        <w:tc>
          <w:tcPr>
            <w:tcW w:w="4065" w:type="dxa"/>
          </w:tcPr>
          <w:p>
            <w:pPr>
              <w:pStyle w:val="Compact"/>
              <w:spacing w:after="40"/>
              <w:jc w:val="left"/>
            </w:pPr>
            <w:r>
              <w:rPr>
                <w:sz w:val="18"/>
              </w:rPr>
              <w:t xml:space="preserve">GST and TDS</w:t>
            </w:r>
          </w:p>
        </w:tc>
        <w:tc>
          <w:tcPr>
            <w:tcW w:w="3131" w:type="dxa"/>
          </w:tcPr>
          <w:p>
            <w:pPr>
              <w:pStyle w:val="Compact"/>
              <w:spacing w:after="40"/>
              <w:jc w:val="left"/>
            </w:pPr>
            <w:r>
              <w:rPr>
                <w:sz w:val="18"/>
              </w:rPr>
              <w:t xml:space="preserve">CGST Act 2017; Income-tax Act 2025</w:t>
            </w:r>
          </w:p>
        </w:tc>
        <w:tc>
          <w:tcPr>
            <w:tcW w:w="2442" w:type="dxa"/>
          </w:tcPr>
          <w:p>
            <w:pPr>
              <w:pStyle w:val="Compact"/>
              <w:spacing w:after="40"/>
              <w:jc w:val="left"/>
            </w:pPr>
            <w:r>
              <w:rPr>
                <w:sz w:val="18"/>
              </w:rPr>
              <w:t xml:space="preserve">Sch. 1 paras 1.7–1.8</w:t>
            </w:r>
          </w:p>
        </w:tc>
      </w:tr>
    </w:tbl>
    <w:p>
      <w:r>
        <w:pict>
          <v:rect style="width:0;height:1.5pt" o:hralign="center" o:hrstd="t" o:hr="t"/>
        </w:pict>
      </w:r>
    </w:p>
    <w:p>
      <w:r>
        <w:br w:type="page"/>
      </w:r>
    </w:p>
    <w:bookmarkEnd w:id="121"/>
    <w:bookmarkEnd w:id="122"/>
    <w:bookmarkStart w:id="128" w:name="drafting-notes-and-sources"/>
    <w:p>
      <w:pPr>
        <w:pStyle w:val="Heading1"/>
      </w:pPr>
      <w:r>
        <w:t xml:space="preserve">DRAFTING NOTES AND SOURCES</w:t>
      </w:r>
    </w:p>
    <w:p>
      <w:pPr>
        <w:pStyle w:val="FirstParagraph"/>
      </w:pPr>
      <w:r>
        <w:rPr>
          <w:iCs/>
          <w:i/>
        </w:rPr>
        <w:t xml:space="preserve">Not part of the executed Agreement.</w:t>
      </w:r>
    </w:p>
    <w:bookmarkStart w:id="123" w:name="cross-references"/>
    <w:p>
      <w:pPr>
        <w:pStyle w:val="Heading2"/>
      </w:pPr>
      <w:r>
        <w:t xml:space="preserve">1. Cross-references</w:t>
      </w:r>
    </w:p>
    <w:p>
      <w:pPr>
        <w:pStyle w:val="FirstParagraph"/>
      </w:pPr>
      <w:r>
        <w:t xml:space="preserve">Schedules refer to Articles 1–36 as numbered in the Agreement body (Article 1 Definitions to Article 36 General Provisions). References are at Article level save where a Clause number is given; verify every Article and Clause reference on finalisation. Defined terms (RE, LSP, Udofin Platform, DLA, Borrower, Loan, RE Data) follow Article 1.</w:t>
      </w:r>
    </w:p>
    <w:bookmarkEnd w:id="123"/>
    <w:bookmarkStart w:id="124" w:name="open-verify-items"/>
    <w:p>
      <w:pPr>
        <w:pStyle w:val="Heading2"/>
      </w:pPr>
      <w:r>
        <w:t xml:space="preserve">2. Open [VERIFY] items</w:t>
      </w:r>
    </w:p>
    <w:p>
      <w:pPr>
        <w:numPr>
          <w:ilvl w:val="0"/>
          <w:numId w:val="1013"/>
        </w:numPr>
        <w:pStyle w:val="Compact"/>
      </w:pPr>
      <w:r>
        <w:t xml:space="preserve">CF Annex-I CIMS columns (image only in the supplied text) and whether the GRO columns carry the LSP’s nodal officer for LSP-owned DLAs (Sch. 3).</w:t>
      </w:r>
    </w:p>
    <w:p>
      <w:pPr>
        <w:numPr>
          <w:ilvl w:val="0"/>
          <w:numId w:val="1013"/>
        </w:numPr>
        <w:pStyle w:val="Compact"/>
      </w:pPr>
      <w:r>
        <w:t xml:space="preserve">RBC-3A (RBI/2026-27/230, 6 Aug 2026, effective 1 Jan 2027): paras 100I, 100K–100Q, 100U, 100Y(4), 100Y(7), 100Z, 100AA, 100AB checked only against the rbi.org.in notification (Id 13672); confirm against the signed PDF and whether a microfinance-specific contact window survives (Sch. 10 para 10.5).</w:t>
      </w:r>
    </w:p>
    <w:p>
      <w:pPr>
        <w:numPr>
          <w:ilvl w:val="0"/>
          <w:numId w:val="1013"/>
        </w:numPr>
        <w:pStyle w:val="Compact"/>
      </w:pPr>
      <w:r>
        <w:t xml:space="preserve">DPDP Rules phasing and content of Rules 3, 6, 7, 8 and 14; DPDP Act commencement (Sch. 7). The Integration Specification says 14 Nov 2025; the Gazette date is 13 Nov 2025 — align it.</w:t>
      </w:r>
    </w:p>
    <w:p>
      <w:pPr>
        <w:numPr>
          <w:ilvl w:val="0"/>
          <w:numId w:val="1013"/>
        </w:numPr>
        <w:pStyle w:val="Compact"/>
      </w:pPr>
      <w:r>
        <w:t xml:space="preserve">Payment-aggregator escrow under CF para 10(2) (Sch. 6 A6) — legal opinion.</w:t>
      </w:r>
    </w:p>
    <w:p>
      <w:pPr>
        <w:numPr>
          <w:ilvl w:val="0"/>
          <w:numId w:val="1013"/>
        </w:numPr>
        <w:pStyle w:val="Compact"/>
      </w:pPr>
      <w:r>
        <w:t xml:space="preserve">Store-channel filtering versus CF para 7(1); application of CF para 7 to single-lender or white-label DLAs (Sch. 4 para 4.7; Sch. 5 paras 5.3, 5.10) — legal opinion; current Google Play and Apple texts before each submission.</w:t>
      </w:r>
    </w:p>
    <w:p>
      <w:pPr>
        <w:numPr>
          <w:ilvl w:val="0"/>
          <w:numId w:val="1013"/>
        </w:numPr>
        <w:pStyle w:val="Compact"/>
      </w:pPr>
      <w:r>
        <w:t xml:space="preserve">System document picker and OS biometric unlock under CF paras 13(1), 14(3) (Sch. 7 Part D).</w:t>
      </w:r>
    </w:p>
    <w:p>
      <w:pPr>
        <w:numPr>
          <w:ilvl w:val="0"/>
          <w:numId w:val="1013"/>
        </w:numPr>
        <w:pStyle w:val="Compact"/>
      </w:pPr>
      <w:r>
        <w:t xml:space="preserve">UIDAI circulars on Aadhaar Data Vault and offline verification (Sch. 7 para 7.14).</w:t>
      </w:r>
    </w:p>
    <w:p>
      <w:pPr>
        <w:numPr>
          <w:ilvl w:val="0"/>
          <w:numId w:val="1013"/>
        </w:numPr>
        <w:pStyle w:val="Compact"/>
      </w:pPr>
      <w:r>
        <w:t xml:space="preserve">Auditor’s certificate standard and assurance level (Annexure 11B); AUD (RBI/DoS/2026-27/468) has no DLG-specific requirement — the obligation is CF para 20(3).</w:t>
      </w:r>
    </w:p>
    <w:p>
      <w:pPr>
        <w:numPr>
          <w:ilvl w:val="0"/>
          <w:numId w:val="1013"/>
        </w:numPr>
        <w:pStyle w:val="Compact"/>
      </w:pPr>
      <w:r>
        <w:t xml:space="preserve">Capital Adequacy Directions treatment of DLG; Ind AS treatment for the LSP (Sch. 11 paras 11.16, 11.20).</w:t>
      </w:r>
    </w:p>
    <w:p>
      <w:pPr>
        <w:numPr>
          <w:ilvl w:val="0"/>
          <w:numId w:val="1013"/>
        </w:numPr>
        <w:pStyle w:val="Compact"/>
      </w:pPr>
      <w:r>
        <w:t xml:space="preserve">Stamp duty on the Agreement, Schedule 11, lien letter and bank guarantee per State (Sch. 2 row 16; Sch. 11).</w:t>
      </w:r>
    </w:p>
    <w:p>
      <w:pPr>
        <w:numPr>
          <w:ilvl w:val="0"/>
          <w:numId w:val="1013"/>
        </w:numPr>
        <w:pStyle w:val="Compact"/>
      </w:pPr>
      <w:r>
        <w:t xml:space="preserve">TRAI number series for LSP calls made for the RE (1600-series for service and transactional calls under TRAI’s direction of 19 Nov 2025; 140-series for promotional calls) (Sch. 10 para 10.7; Sch. 15 para 15.6).</w:t>
      </w:r>
    </w:p>
    <w:p>
      <w:pPr>
        <w:numPr>
          <w:ilvl w:val="0"/>
          <w:numId w:val="1013"/>
        </w:numPr>
        <w:pStyle w:val="Compact"/>
      </w:pPr>
      <w:r>
        <w:t xml:space="preserve">WhatsApp Business Messaging Policy on debt collection (Sch. 10 para 10.8; Sch. 15 para 15.7).</w:t>
      </w:r>
    </w:p>
    <w:p>
      <w:pPr>
        <w:numPr>
          <w:ilvl w:val="0"/>
          <w:numId w:val="1013"/>
        </w:numPr>
        <w:pStyle w:val="Compact"/>
      </w:pPr>
      <w:r>
        <w:t xml:space="preserve">GST SAC; TDS section under the Income-tax Act, 2025; cash-receipt limits (Sch. 1; Sch. 10 para 10.10).</w:t>
      </w:r>
    </w:p>
    <w:p>
      <w:pPr>
        <w:numPr>
          <w:ilvl w:val="0"/>
          <w:numId w:val="1013"/>
        </w:numPr>
        <w:pStyle w:val="Compact"/>
      </w:pPr>
      <w:r>
        <w:t xml:space="preserve">Internal Ombudsman Directions and current RB-IOS (Sch. 9 Part C step 6).</w:t>
      </w:r>
    </w:p>
    <w:p>
      <w:pPr>
        <w:numPr>
          <w:ilvl w:val="0"/>
          <w:numId w:val="1013"/>
        </w:numPr>
        <w:pStyle w:val="Compact"/>
      </w:pPr>
      <w:r>
        <w:t xml:space="preserve">Draft CF amendment (Aug 2026) on revolving credit (Sch. 4 Part B note).</w:t>
      </w:r>
    </w:p>
    <w:p>
      <w:pPr>
        <w:numPr>
          <w:ilvl w:val="0"/>
          <w:numId w:val="1013"/>
        </w:numPr>
        <w:pStyle w:val="Compact"/>
      </w:pPr>
      <w:r>
        <w:t xml:space="preserve">CCPA dark-pattern list and misleading-advertisement guidelines (Sch. 5 para 5.6; Sch. 15 para 15.3).</w:t>
      </w:r>
    </w:p>
    <w:p>
      <w:pPr>
        <w:numPr>
          <w:ilvl w:val="0"/>
          <w:numId w:val="1013"/>
        </w:numPr>
        <w:pStyle w:val="Compact"/>
      </w:pPr>
      <w:r>
        <w:t xml:space="preserve">Commercial Bank equivalents if the RE is a bank (cover note).</w:t>
      </w:r>
    </w:p>
    <w:p>
      <w:pPr>
        <w:numPr>
          <w:ilvl w:val="0"/>
          <w:numId w:val="1013"/>
        </w:numPr>
        <w:pStyle w:val="Compact"/>
      </w:pPr>
      <w:r>
        <w:t xml:space="preserve">RBI Digital Payment Security Controls Directions as mobile baseline (Sch. 8 C8); AA technology-service-provider norms (Sch. 2 row 8); Significant Data Fiduciary risk (Sch. 7 para 7.3).</w:t>
      </w:r>
    </w:p>
    <w:bookmarkEnd w:id="124"/>
    <w:bookmarkStart w:id="125" w:name="customisation-points"/>
    <w:p>
      <w:pPr>
        <w:pStyle w:val="Heading2"/>
      </w:pPr>
      <w:r>
        <w:t xml:space="preserve">3. Customisation points</w:t>
      </w:r>
    </w:p>
    <w:p>
      <w:pPr>
        <w:pStyle w:val="FirstParagraph"/>
      </w:pPr>
      <w:r>
        <w:t xml:space="preserve">Sch. 1 fee models (no performance-linked fee outside Sch. 11); Sch. 2 Part B and Sch. 4 product activation, ranges, KFS versions and cooling-off days; Sch. 3 DLA lines and GRO details; Sch. 7 para 7.3 fiduciary purposes (with the RE’s DPO); Sch. 8 para 8.1 RE layer; Sch. 10 and 11 only if used; Sch. 14 para 14.2 RTO/RPO per the RE’s ITSC; Sch. 18 credits and cap.</w:t>
      </w:r>
    </w:p>
    <w:bookmarkEnd w:id="125"/>
    <w:bookmarkStart w:id="126" w:name="X06883814e43aea729fe6e339305b9eb2e183ba8"/>
    <w:p>
      <w:pPr>
        <w:pStyle w:val="Heading2"/>
      </w:pPr>
      <w:r>
        <w:t xml:space="preserve">4. Points confirmed against the supplied texts</w:t>
      </w:r>
    </w:p>
    <w:p>
      <w:pPr>
        <w:numPr>
          <w:ilvl w:val="0"/>
          <w:numId w:val="1014"/>
        </w:numPr>
        <w:pStyle w:val="Compact"/>
      </w:pPr>
      <w:r>
        <w:t xml:space="preserve">Cooling-off</w:t>
      </w:r>
      <w:r>
        <w:t xml:space="preserve"> </w:t>
      </w:r>
      <w:r>
        <w:t xml:space="preserve">“</w:t>
      </w:r>
      <w:r>
        <w:t xml:space="preserve">not less than one day</w:t>
      </w:r>
      <w:r>
        <w:t xml:space="preserve">”</w:t>
      </w:r>
      <w:r>
        <w:t xml:space="preserve"> </w:t>
      </w:r>
      <w:r>
        <w:t xml:space="preserve">(CF para 11(1)); biometric bar CF para 14(3); 24-hour repatriation CF para 14(4).</w:t>
      </w:r>
    </w:p>
    <w:p>
      <w:pPr>
        <w:numPr>
          <w:ilvl w:val="0"/>
          <w:numId w:val="1014"/>
        </w:numPr>
        <w:pStyle w:val="Compact"/>
      </w:pPr>
      <w:r>
        <w:t xml:space="preserve">DLG cap is 5% of the amount disbursed out of a fixed DLG set (CF para 24(1), (3)); CF para 26(1) preserves the capital treatment of individual loans rather than stating</w:t>
      </w:r>
      <w:r>
        <w:t xml:space="preserve"> </w:t>
      </w:r>
      <w:r>
        <w:t xml:space="preserve">“</w:t>
      </w:r>
      <w:r>
        <w:t xml:space="preserve">no capital relief</w:t>
      </w:r>
      <w:r>
        <w:t xml:space="preserve">”</w:t>
      </w:r>
      <w:r>
        <w:t xml:space="preserve"> </w:t>
      </w:r>
      <w:r>
        <w:t xml:space="preserve">in terms; CF para 25(1) substituted w.e.f. 13 Feb 2026.</w:t>
      </w:r>
    </w:p>
    <w:p>
      <w:pPr>
        <w:numPr>
          <w:ilvl w:val="0"/>
          <w:numId w:val="1014"/>
        </w:numPr>
        <w:pStyle w:val="Compact"/>
      </w:pPr>
      <w:r>
        <w:t xml:space="preserve">Microfinance window 09:00–18:00 is RBC para 91(2); 08:00–19:00 is RBC para 100, which excludes microfinance loans.</w:t>
      </w:r>
    </w:p>
    <w:p>
      <w:pPr>
        <w:numPr>
          <w:ilvl w:val="0"/>
          <w:numId w:val="1014"/>
        </w:numPr>
        <w:pStyle w:val="Compact"/>
      </w:pPr>
      <w:r>
        <w:t xml:space="preserve">KFS Part 2 item 3: a generic email ID is allowed only with response within one working day.</w:t>
      </w:r>
    </w:p>
    <w:p>
      <w:pPr>
        <w:numPr>
          <w:ilvl w:val="0"/>
          <w:numId w:val="1014"/>
        </w:numPr>
        <w:pStyle w:val="Compact"/>
      </w:pPr>
      <w:r>
        <w:t xml:space="preserve">Drafting slips in CF: para 62(2) cites</w:t>
      </w:r>
      <w:r>
        <w:t xml:space="preserve"> </w:t>
      </w:r>
      <w:r>
        <w:t xml:space="preserve">“</w:t>
      </w:r>
      <w:r>
        <w:t xml:space="preserve">Management of Third-Party Dependencies</w:t>
      </w:r>
      <w:r>
        <w:t xml:space="preserve">”</w:t>
      </w:r>
      <w:r>
        <w:t xml:space="preserve"> </w:t>
      </w:r>
      <w:r>
        <w:t xml:space="preserve">Directions (evidently OUT); para 4(1)(xix) proviso cites</w:t>
      </w:r>
      <w:r>
        <w:t xml:space="preserve"> </w:t>
      </w:r>
      <w:r>
        <w:t xml:space="preserve">“</w:t>
      </w:r>
      <w:r>
        <w:t xml:space="preserve">Chapter IV</w:t>
      </w:r>
      <w:r>
        <w:t xml:space="preserve">”</w:t>
      </w:r>
      <w:r>
        <w:t xml:space="preserve"> </w:t>
      </w:r>
      <w:r>
        <w:t xml:space="preserve">for a PA acting as LSP (evidently Chapter III).</w:t>
      </w:r>
    </w:p>
    <w:bookmarkEnd w:id="126"/>
    <w:bookmarkStart w:id="127" w:name="sources"/>
    <w:p>
      <w:pPr>
        <w:pStyle w:val="Heading2"/>
      </w:pPr>
      <w:r>
        <w:t xml:space="preserve">5. Sources</w:t>
      </w:r>
    </w:p>
    <w:p>
      <w:pPr>
        <w:pStyle w:val="FirstParagraph"/>
      </w:pPr>
      <w:r>
        <w:t xml:space="preserve">Supplied texts: CF (347), RBC (362), OUT (363), CYB (461), KYC (361), CIR (349), TDCR (352), FRM (463), AUD (468); Udofin Master Build Prompt v1.1 (Parts 4, 6, 7A, 8A.1, 10.8; U14); Infrabyx Ecosystem Integration Specification v1.0.</w:t>
      </w:r>
    </w:p>
    <w:p>
      <w:pPr>
        <w:pStyle w:val="BodyText"/>
      </w:pPr>
      <w:r>
        <w:t xml:space="preserve">Web (accessed 19 Oct 2026):</w:t>
      </w:r>
    </w:p>
    <w:p>
      <w:pPr>
        <w:numPr>
          <w:ilvl w:val="0"/>
          <w:numId w:val="1015"/>
        </w:numPr>
        <w:pStyle w:val="Compact"/>
      </w:pPr>
      <w:r>
        <w:t xml:space="preserve">RBC Third Amendment Directions, 2026: https://rbi.org.in/Scripts/NotificationUser.aspx?Id=13672</w:t>
      </w:r>
    </w:p>
    <w:p>
      <w:pPr>
        <w:numPr>
          <w:ilvl w:val="0"/>
          <w:numId w:val="1015"/>
        </w:numPr>
        <w:pStyle w:val="Compact"/>
      </w:pPr>
      <w:r>
        <w:t xml:space="preserve">RBI DLG Guidelines, 8 Jun 2023 (repealed; practice continuity): https://www.rbi.org.in/scripts/FS_Notification.aspx?Id=12514</w:t>
      </w:r>
    </w:p>
    <w:p>
      <w:pPr>
        <w:numPr>
          <w:ilvl w:val="0"/>
          <w:numId w:val="1015"/>
        </w:numPr>
        <w:pStyle w:val="Compact"/>
      </w:pPr>
      <w:r>
        <w:t xml:space="preserve">Google Play Financial Services policy: https://support.google.com/googleplay/android-developer/answer/9876821</w:t>
      </w:r>
    </w:p>
    <w:p>
      <w:pPr>
        <w:numPr>
          <w:ilvl w:val="0"/>
          <w:numId w:val="1015"/>
        </w:numPr>
        <w:pStyle w:val="Compact"/>
      </w:pPr>
      <w:r>
        <w:t xml:space="preserve">Apple personal-loan provision (36% APR; 60 days), as captured: https://conductatlas.com/platform/apple/apple-app-store-review-guidelines/provision/CA-P-018972/personal-loan-apps-capped-at-36-apr-maximum/</w:t>
      </w:r>
    </w:p>
    <w:p>
      <w:pPr>
        <w:numPr>
          <w:ilvl w:val="0"/>
          <w:numId w:val="1015"/>
        </w:numPr>
        <w:pStyle w:val="Compact"/>
      </w:pPr>
      <w:r>
        <w:t xml:space="preserve">DPDP Rules 2025 phasing: https://ssrana.in/articles/meity-notifies-final-digital-personal-data-protection-rules-2025/</w:t>
      </w:r>
    </w:p>
    <w:p>
      <w:pPr>
        <w:numPr>
          <w:ilvl w:val="0"/>
          <w:numId w:val="1015"/>
        </w:numPr>
        <w:pStyle w:val="Compact"/>
      </w:pPr>
      <w:r>
        <w:t xml:space="preserve">TRAI 1600-series direction: https://www.outlookbusiness.com/news/trai-sets-firm-deadlines-for-bfsi-entities-to-adopt-1600-series-for-service-transactional-calls</w:t>
      </w:r>
    </w:p>
    <w:p>
      <w:pPr>
        <w:numPr>
          <w:ilvl w:val="0"/>
          <w:numId w:val="1015"/>
        </w:numPr>
        <w:pStyle w:val="Compact"/>
      </w:pPr>
      <w:r>
        <w:t xml:space="preserve">CIMS DLA reporting: https://www.medianama.com/2025/05/223-rbi-digital-lending-apps-centralised-directory/</w:t>
      </w:r>
    </w:p>
    <w:p>
      <w:pPr>
        <w:numPr>
          <w:ilvl w:val="0"/>
          <w:numId w:val="1015"/>
        </w:numPr>
        <w:pStyle w:val="Compact"/>
      </w:pPr>
      <w:r>
        <w:t xml:space="preserve">DLG commentary: https://home.kpmg/content/dam/kpmg/in/pdf/2023/06/firstnotes-rbi-issues-guidelines-on-default-loss-guarantee.pdf</w:t>
      </w:r>
    </w:p>
    <w:bookmarkEnd w:id="127"/>
    <w:bookmarkEnd w:id="128"/>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Lending Service Provider Agreement (model)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Cambria" w:cs="Cambria" w:eastAsia="Cambria" w:hAnsi="Cambria"/>
      <w:sz w:val="21"/>
    </w:rPr>
  </w:style>
  <w:style w:styleId="BodyText" w:type="paragraph">
    <w:name w:val="Body Text"/>
    <w:basedOn w:val="Normal"/>
    <w:link w:val="BodyTextChar"/>
    <w:pPr>
      <w:spacing w:after="120" w:before="180"/>
      <w:jc w:val="both"/>
    </w:pPr>
    <w:qFormat/>
    <w:rPr>
      <w:rFonts w:ascii="Cambria" w:cs="Cambria" w:eastAsia="Cambria" w:hAnsi="Cambria"/>
      <w:sz w:val="21"/>
    </w:rPr>
  </w:style>
  <w:style w:customStyle="1" w:styleId="FirstParagraph" w:type="paragraph">
    <w:name w:val="First Paragraph"/>
    <w:basedOn w:val="BodyText"/>
    <w:next w:val="BodyText"/>
    <w:qFormat/>
    <w:pPr>
      <w:spacing w:after="120"/>
      <w:jc w:val="both"/>
    </w:pPr>
    <w:rPr>
      <w:rFonts w:ascii="Cambria" w:cs="Cambria" w:eastAsia="Cambria" w:hAnsi="Cambria"/>
      <w:sz w:val="21"/>
    </w:rPr>
  </w:style>
  <w:style w:customStyle="1" w:styleId="Compact" w:type="paragraph">
    <w:name w:val="Compact"/>
    <w:basedOn w:val="BodyText"/>
    <w:qFormat/>
    <w:pPr>
      <w:spacing w:after="36" w:before="36"/>
    </w:pPr>
    <w:rPr>
      <w:rFonts w:ascii="Cambria" w:cs="Cambria" w:eastAsia="Cambria" w:hAnsi="Cambria"/>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2026-10-19T14:07:53Z</dcterms:created>
  <dcterms:modified xsi:type="dcterms:W3CDTF">2026-10-19T14:07:53Z</dcterms:modified>
</cp:coreProperties>
</file>

<file path=docProps/custom.xml><?xml version="1.0" encoding="utf-8"?>
<Properties xmlns="http://schemas.openxmlformats.org/officeDocument/2006/custom-properties" xmlns:vt="http://schemas.openxmlformats.org/officeDocument/2006/docPropsVTypes"/>
</file>