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bc00a1701f3971ffa417ac6c648e93a150fe31"/>
    <w:p>
      <w:pPr>
        <w:pStyle w:val="Heading1"/>
      </w:pPr>
      <w:r>
        <w:t xml:space="preserve">INFRABYX ECOSYSTEM INTEGRATION SPECIFICATION</w:t>
      </w:r>
    </w:p>
    <w:p>
      <w:pPr>
        <w:pStyle w:val="FirstParagraph"/>
      </w:pPr>
      <w:r>
        <w:rPr>
          <w:bCs/>
          <w:b/>
        </w:rPr>
        <w:t xml:space="preserve">Canonical contract for events, APIs, data ownership, identity and connectors across Finbyx, Udofin, Equator Resolution, LawDocsComply, the Recovery Suite (future Udolex), future ecosystem apps and third parties</w:t>
      </w:r>
    </w:p>
    <w:p>
      <w:pPr>
        <w:pStyle w:val="BodyText"/>
      </w:pPr>
      <w:r>
        <w:t xml:space="preserve">Version 1.0 · 19 October 2026 · Companion to the Finbyx Master Build Prompt v1.4 and the Udofin Master Build Prompt v1.1, whose Part 5 tables remain as summaries and point here as canonical</w:t>
      </w:r>
    </w:p>
    <w:p>
      <w:r>
        <w:pict>
          <v:rect style="width:0;height:1.5pt" o:hralign="center" o:hrstd="t" o:hr="t"/>
        </w:pict>
      </w:r>
    </w:p>
    <w:bookmarkStart w:id="20" w:name="how-to-use-this-specification"/>
    <w:p>
      <w:pPr>
        <w:pStyle w:val="Heading2"/>
      </w:pPr>
      <w:r>
        <w:t xml:space="preserve">HOW TO USE THIS SPECIFICATION</w:t>
      </w:r>
    </w:p>
    <w:p>
      <w:pPr>
        <w:pStyle w:val="FirstParagraph"/>
      </w:pPr>
      <w:r>
        <w:rPr>
          <w:bCs/>
          <w:b/>
        </w:rPr>
        <w:t xml:space="preserve">Project owner.</w:t>
      </w:r>
      <w:r>
        <w:t xml:space="preserve"> </w:t>
      </w:r>
      <w:r>
        <w:t xml:space="preserve">(1) Commit this file unchanged to every product repository as</w:t>
      </w:r>
      <w:r>
        <w:t xml:space="preserve"> </w:t>
      </w:r>
      <w:r>
        <w:rPr>
          <w:rStyle w:val="VerbatimChar"/>
        </w:rPr>
        <w:t xml:space="preserve">docs/ecosystem/infrabyx-integration-spec.md</w:t>
      </w:r>
      <w:r>
        <w:t xml:space="preserve">; edit it only in</w:t>
      </w:r>
      <w:r>
        <w:t xml:space="preserve"> </w:t>
      </w:r>
      <w:r>
        <w:rPr>
          <w:rStyle w:val="VerbatimChar"/>
        </w:rPr>
        <w:t xml:space="preserve">infrabyx-contracts</w:t>
      </w:r>
      <w:r>
        <w:t xml:space="preserve"> </w:t>
      </w:r>
      <w:r>
        <w:t xml:space="preserve">(Part 3.3); CI fails if a copy’s SHA-256 differs from the tagged version. (2) Approve changes once per affected product. (3)</w:t>
      </w:r>
      <w:r>
        <w:t xml:space="preserve"> </w:t>
      </w:r>
      <w:r>
        <w:rPr>
          <w:rStyle w:val="VerbatimChar"/>
        </w:rPr>
        <w:t xml:space="preserve">[VERIFY: …]</w:t>
      </w:r>
      <w:r>
        <w:t xml:space="preserve"> </w:t>
      </w:r>
      <w:r>
        <w:t xml:space="preserve">marks a fact to re-check against the primary source before the related connector goes live;</w:t>
      </w:r>
      <w:r>
        <w:t xml:space="preserve"> </w:t>
      </w:r>
      <w:r>
        <w:rPr>
          <w:bCs/>
          <w:b/>
        </w:rPr>
        <w:t xml:space="preserve">[LAW]</w:t>
      </w:r>
      <w:r>
        <w:t xml:space="preserve"> </w:t>
      </w:r>
      <w:r>
        <w:t xml:space="preserve">= statute or RBI text,</w:t>
      </w:r>
      <w:r>
        <w:t xml:space="preserve"> </w:t>
      </w:r>
      <w:r>
        <w:rPr>
          <w:bCs/>
          <w:b/>
        </w:rPr>
        <w:t xml:space="preserve">[INTERP]</w:t>
      </w:r>
      <w:r>
        <w:t xml:space="preserve"> </w:t>
      </w:r>
      <w:r>
        <w:t xml:space="preserve">= our reading,</w:t>
      </w:r>
      <w:r>
        <w:t xml:space="preserve"> </w:t>
      </w:r>
      <w:r>
        <w:rPr>
          <w:bCs/>
          <w:b/>
        </w:rPr>
        <w:t xml:space="preserve">[REC]</w:t>
      </w:r>
      <w:r>
        <w:t xml:space="preserve"> </w:t>
      </w:r>
      <w:r>
        <w:t xml:space="preserve">= recommendation.</w:t>
      </w:r>
    </w:p>
    <w:p>
      <w:pPr>
        <w:pStyle w:val="BodyText"/>
      </w:pPr>
      <w:r>
        <w:rPr>
          <w:bCs/>
          <w:b/>
        </w:rPr>
        <w:t xml:space="preserve">Claude Code (any repository).</w:t>
      </w:r>
      <w:r>
        <w:t xml:space="preserve"> </w:t>
      </w:r>
      <w:r>
        <w:t xml:space="preserve">(1) Read this file before designing or changing any cross-product event, API, file, identity flow or connector; it overrides conflicting product text, ADRs or code: raise conflicts, never resolve them silently. (2) Never invent or rename an event, add a field to a published schema version, or move ownership of an entity: write a proposal (Part 14.2) and stop for approval. (3) Generate types and validators from the registry; no hand-written duplicates. (4) No connector touches real data before certification (Part 14.3). (5) Refuse any design letting Udofin, Equator, an agency or a vendor take a credit, KYC, classification, settlement, referral or enforcement decision for the RE.</w:t>
      </w:r>
    </w:p>
    <w:p>
      <w:pPr>
        <w:pStyle w:val="BodyText"/>
      </w:pPr>
      <w:r>
        <w:rPr>
          <w:bCs/>
          <w:b/>
        </w:rPr>
        <w:t xml:space="preserve">Change-control rule.</w:t>
      </w:r>
      <w:r>
        <w:t xml:space="preserve"> </w:t>
      </w:r>
      <w:r>
        <w:t xml:space="preserve">The specification changes only by a merged pull request to</w:t>
      </w:r>
      <w:r>
        <w:t xml:space="preserve"> </w:t>
      </w:r>
      <w:r>
        <w:rPr>
          <w:rStyle w:val="VerbatimChar"/>
        </w:rPr>
        <w:t xml:space="preserve">infrabyx-contracts</w:t>
      </w:r>
      <w:r>
        <w:t xml:space="preserve"> </w:t>
      </w:r>
      <w:r>
        <w:t xml:space="preserve">carrying an impact note (products, events, APIs, schemas, tests), approved by the owner of every affected product, with a version bump (Part 14.1), propagated to every repository within 10 working days. Published schemas are never broken in place: a new major version runs in parallel for at least 90 days. Emergency security changes may be applied first and ratified within 5 working days.</w:t>
      </w:r>
    </w:p>
    <w:p>
      <w:r>
        <w:pict>
          <v:rect style="width:0;height:1.5pt" o:hralign="center" o:hrstd="t" o:hr="t"/>
        </w:pict>
      </w:r>
    </w:p>
    <w:bookmarkEnd w:id="20"/>
    <w:bookmarkEnd w:id="21"/>
    <w:bookmarkStart w:id="22" w:name="purpose-scope-and-products"/>
    <w:p>
      <w:pPr>
        <w:pStyle w:val="Heading1"/>
      </w:pPr>
      <w:r>
        <w:t xml:space="preserve">1 — PURPOSE, SCOPE AND PRODUCTS</w:t>
      </w:r>
    </w:p>
    <w:p>
      <w:pPr>
        <w:pStyle w:val="FirstParagraph"/>
      </w:pPr>
      <w:r>
        <w:t xml:space="preserve">The single source for cross-product events, APIs, data ownership, identity, connectors, export formats and integration security, written so that a conforming producer, consumer or connector can be built without reading another product’s code. Internal module boundaries, commercial terms and legal advice are out of scope.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00"/>
        <w:gridCol w:w="3202"/>
        <w:gridCol w:w="2181"/>
        <w:gridCol w:w="2955"/>
      </w:tblGrid>
      <w:tr>
        <w:trPr>
          <w:tblHeader w:val="true"/>
          <w:tblHeader w:val="true"/>
        </w:trPr>
        <w:tc>
          <w:tcPr>
            <w:tcW w:w="1300" w:type="dxa"/>
            <w:shd w:val="clear" w:color="auto" w:fill="1F3A5F"/>
          </w:tcPr>
          <w:p>
            <w:pPr>
              <w:pStyle w:val="Compact"/>
              <w:spacing w:after="40"/>
              <w:jc w:val="left"/>
            </w:pPr>
            <w:r>
              <w:rPr>
                <w:b/>
                <w:color w:val="FFFFFF"/>
                <w:sz w:val="18"/>
              </w:rPr>
              <w:t xml:space="preserve">Product or party</w:t>
            </w:r>
          </w:p>
        </w:tc>
        <w:tc>
          <w:tcPr>
            <w:tcW w:w="3202" w:type="dxa"/>
            <w:shd w:val="clear" w:color="auto" w:fill="1F3A5F"/>
          </w:tcPr>
          <w:p>
            <w:pPr>
              <w:pStyle w:val="Compact"/>
              <w:spacing w:after="40"/>
              <w:jc w:val="left"/>
            </w:pPr>
            <w:r>
              <w:rPr>
                <w:b/>
                <w:color w:val="FFFFFF"/>
                <w:sz w:val="18"/>
              </w:rPr>
              <w:t xml:space="preserve">Role</w:t>
            </w:r>
          </w:p>
        </w:tc>
        <w:tc>
          <w:tcPr>
            <w:tcW w:w="2181" w:type="dxa"/>
            <w:shd w:val="clear" w:color="auto" w:fill="1F3A5F"/>
          </w:tcPr>
          <w:p>
            <w:pPr>
              <w:pStyle w:val="Compact"/>
              <w:spacing w:after="40"/>
              <w:jc w:val="left"/>
            </w:pPr>
            <w:r>
              <w:rPr>
                <w:b/>
                <w:color w:val="FFFFFF"/>
                <w:sz w:val="18"/>
              </w:rPr>
              <w:t xml:space="preserve">Regulatory position</w:t>
            </w:r>
          </w:p>
        </w:tc>
        <w:tc>
          <w:tcPr>
            <w:tcW w:w="2955" w:type="dxa"/>
            <w:shd w:val="clear" w:color="auto" w:fill="1F3A5F"/>
          </w:tcPr>
          <w:p>
            <w:pPr>
              <w:pStyle w:val="Compact"/>
              <w:spacing w:after="40"/>
              <w:jc w:val="left"/>
            </w:pPr>
            <w:r>
              <w:rPr>
                <w:b/>
                <w:color w:val="FFFFFF"/>
                <w:sz w:val="18"/>
              </w:rPr>
              <w:t xml:space="preserve">System of record for</w:t>
            </w:r>
          </w:p>
        </w:tc>
      </w:tr>
      <w:tr>
        <w:tc>
          <w:tcPr>
            <w:tcW w:w="1300" w:type="dxa"/>
          </w:tcPr>
          <w:p>
            <w:pPr>
              <w:pStyle w:val="Compact"/>
              <w:spacing w:after="40"/>
              <w:jc w:val="left"/>
            </w:pPr>
            <w:r>
              <w:rPr>
                <w:bCs/>
                <w:b/>
                <w:sz w:val="18"/>
              </w:rPr>
              <w:t xml:space="preserve">Finbyx</w:t>
            </w:r>
          </w:p>
        </w:tc>
        <w:tc>
          <w:tcPr>
            <w:tcW w:w="3202" w:type="dxa"/>
          </w:tcPr>
          <w:p>
            <w:pPr>
              <w:pStyle w:val="Compact"/>
              <w:spacing w:after="40"/>
              <w:jc w:val="left"/>
            </w:pPr>
            <w:r>
              <w:rPr>
                <w:sz w:val="18"/>
              </w:rPr>
              <w:t xml:space="preserve">Staff-operated LOS, LMS, accounting, collections, Recovery Suite, risk, returns, embedded compliance</w:t>
            </w:r>
          </w:p>
        </w:tc>
        <w:tc>
          <w:tcPr>
            <w:tcW w:w="2181" w:type="dxa"/>
          </w:tcPr>
          <w:p>
            <w:pPr>
              <w:pStyle w:val="Compact"/>
              <w:spacing w:after="40"/>
              <w:jc w:val="left"/>
            </w:pPr>
            <w:r>
              <w:rPr>
                <w:sz w:val="18"/>
              </w:rPr>
              <w:t xml:space="preserve">IT service provider to each RE; material outsourcing for ML/UL [INTERP] (Finbyx Part 10.6)</w:t>
            </w:r>
          </w:p>
        </w:tc>
        <w:tc>
          <w:tcPr>
            <w:tcW w:w="2955" w:type="dxa"/>
          </w:tcPr>
          <w:p>
            <w:pPr>
              <w:pStyle w:val="Compact"/>
              <w:spacing w:after="40"/>
              <w:jc w:val="left"/>
            </w:pPr>
            <w:r>
              <w:rPr>
                <w:sz w:val="18"/>
              </w:rPr>
              <w:t xml:space="preserve">The RE’s sanction, KFS, loan, ledger, classification, provisioning, CIC reporting, collateral and pledge book, DLG ledger, recovery, notices, litigation, settlements</w:t>
            </w:r>
          </w:p>
        </w:tc>
      </w:tr>
      <w:tr>
        <w:tc>
          <w:tcPr>
            <w:tcW w:w="1300" w:type="dxa"/>
          </w:tcPr>
          <w:p>
            <w:pPr>
              <w:pStyle w:val="Compact"/>
              <w:spacing w:after="40"/>
              <w:jc w:val="left"/>
            </w:pPr>
            <w:r>
              <w:rPr>
                <w:bCs/>
                <w:b/>
                <w:sz w:val="18"/>
              </w:rPr>
              <w:t xml:space="preserve">Udofin</w:t>
            </w:r>
          </w:p>
        </w:tc>
        <w:tc>
          <w:tcPr>
            <w:tcW w:w="3202" w:type="dxa"/>
          </w:tcPr>
          <w:p>
            <w:pPr>
              <w:pStyle w:val="Compact"/>
              <w:spacing w:after="40"/>
              <w:jc w:val="left"/>
            </w:pPr>
            <w:r>
              <w:rPr>
                <w:sz w:val="18"/>
              </w:rPr>
              <w:t xml:space="preserve">Borrower-facing platform of an LSP serving several REs</w:t>
            </w:r>
          </w:p>
        </w:tc>
        <w:tc>
          <w:tcPr>
            <w:tcW w:w="2181" w:type="dxa"/>
          </w:tcPr>
          <w:p>
            <w:pPr>
              <w:pStyle w:val="Compact"/>
              <w:spacing w:after="40"/>
              <w:jc w:val="left"/>
            </w:pPr>
            <w:r>
              <w:rPr>
                <w:sz w:val="18"/>
              </w:rPr>
              <w:t xml:space="preserve">LSP and agent of each RE (CF para 4(1)(xix)); RE fully liable (para 6(7))</w:t>
            </w:r>
          </w:p>
        </w:tc>
        <w:tc>
          <w:tcPr>
            <w:tcW w:w="2955" w:type="dxa"/>
          </w:tcPr>
          <w:p>
            <w:pPr>
              <w:pStyle w:val="Compact"/>
              <w:spacing w:after="40"/>
              <w:jc w:val="left"/>
            </w:pPr>
            <w:r>
              <w:rPr>
                <w:sz w:val="18"/>
              </w:rPr>
              <w:t xml:space="preserve">Borrower journey, its consents and captured evidence, DLA register, LSP grievances, its DLG records and accounts; never a loan</w:t>
            </w:r>
          </w:p>
        </w:tc>
      </w:tr>
      <w:tr>
        <w:tc>
          <w:tcPr>
            <w:tcW w:w="1300" w:type="dxa"/>
          </w:tcPr>
          <w:p>
            <w:pPr>
              <w:pStyle w:val="Compact"/>
              <w:spacing w:after="40"/>
              <w:jc w:val="left"/>
            </w:pPr>
            <w:r>
              <w:rPr>
                <w:bCs/>
                <w:b/>
                <w:sz w:val="18"/>
              </w:rPr>
              <w:t xml:space="preserve">Equator Resolution</w:t>
            </w:r>
          </w:p>
        </w:tc>
        <w:tc>
          <w:tcPr>
            <w:tcW w:w="3202" w:type="dxa"/>
          </w:tcPr>
          <w:p>
            <w:pPr>
              <w:pStyle w:val="Compact"/>
              <w:spacing w:after="40"/>
              <w:jc w:val="left"/>
            </w:pPr>
            <w:r>
              <w:rPr>
                <w:sz w:val="18"/>
              </w:rPr>
              <w:t xml:space="preserve">ODR institution: conciliation, mediation, arbitration, Lok Adalat facilitation</w:t>
            </w:r>
          </w:p>
        </w:tc>
        <w:tc>
          <w:tcPr>
            <w:tcW w:w="2181" w:type="dxa"/>
          </w:tcPr>
          <w:p>
            <w:pPr>
              <w:pStyle w:val="Compact"/>
              <w:spacing w:after="40"/>
              <w:jc w:val="left"/>
            </w:pPr>
            <w:r>
              <w:rPr>
                <w:sz w:val="18"/>
              </w:rPr>
              <w:t xml:space="preserve">Independent institution [INTERP]</w:t>
            </w:r>
          </w:p>
        </w:tc>
        <w:tc>
          <w:tcPr>
            <w:tcW w:w="2955" w:type="dxa"/>
          </w:tcPr>
          <w:p>
            <w:pPr>
              <w:pStyle w:val="Compact"/>
              <w:spacing w:after="40"/>
              <w:jc w:val="left"/>
            </w:pPr>
            <w:r>
              <w:rPr>
                <w:sz w:val="18"/>
              </w:rPr>
              <w:t xml:space="preserve">Docket, panel and selection log, disclosures, hearings, orders, original awards and settlements, service logs, fees</w:t>
            </w:r>
          </w:p>
        </w:tc>
      </w:tr>
      <w:tr>
        <w:tc>
          <w:tcPr>
            <w:tcW w:w="1300" w:type="dxa"/>
          </w:tcPr>
          <w:p>
            <w:pPr>
              <w:pStyle w:val="Compact"/>
              <w:spacing w:after="40"/>
              <w:jc w:val="left"/>
            </w:pPr>
            <w:r>
              <w:rPr>
                <w:bCs/>
                <w:b/>
                <w:sz w:val="18"/>
              </w:rPr>
              <w:t xml:space="preserve">LawDocsComply</w:t>
            </w:r>
          </w:p>
        </w:tc>
        <w:tc>
          <w:tcPr>
            <w:tcW w:w="3202" w:type="dxa"/>
          </w:tcPr>
          <w:p>
            <w:pPr>
              <w:pStyle w:val="Compact"/>
              <w:spacing w:after="40"/>
              <w:jc w:val="left"/>
            </w:pPr>
            <w:r>
              <w:rPr>
                <w:sz w:val="18"/>
              </w:rPr>
              <w:t xml:space="preserve">GRC platform for RBI, SEBI and IFSCA regulated entities</w:t>
            </w:r>
          </w:p>
        </w:tc>
        <w:tc>
          <w:tcPr>
            <w:tcW w:w="2181" w:type="dxa"/>
          </w:tcPr>
          <w:p>
            <w:pPr>
              <w:pStyle w:val="Compact"/>
              <w:spacing w:after="40"/>
              <w:jc w:val="left"/>
            </w:pPr>
            <w:r>
              <w:rPr>
                <w:sz w:val="18"/>
              </w:rPr>
              <w:t xml:space="preserve">Technology service provider</w:t>
            </w:r>
          </w:p>
        </w:tc>
        <w:tc>
          <w:tcPr>
            <w:tcW w:w="2955" w:type="dxa"/>
          </w:tcPr>
          <w:p>
            <w:pPr>
              <w:pStyle w:val="Compact"/>
              <w:spacing w:after="40"/>
              <w:jc w:val="left"/>
            </w:pPr>
            <w:r>
              <w:rPr>
                <w:sz w:val="18"/>
              </w:rPr>
              <w:t xml:space="preserve">Obligations, calendar, policies, issues, attestations (external or group mode)</w:t>
            </w:r>
          </w:p>
        </w:tc>
      </w:tr>
      <w:tr>
        <w:tc>
          <w:tcPr>
            <w:tcW w:w="1300" w:type="dxa"/>
          </w:tcPr>
          <w:p>
            <w:pPr>
              <w:pStyle w:val="Compact"/>
              <w:spacing w:after="40"/>
              <w:jc w:val="left"/>
            </w:pPr>
            <w:r>
              <w:rPr>
                <w:bCs/>
                <w:b/>
                <w:sz w:val="18"/>
              </w:rPr>
              <w:t xml:space="preserve">Recovery Suite</w:t>
            </w:r>
          </w:p>
        </w:tc>
        <w:tc>
          <w:tcPr>
            <w:tcW w:w="3202" w:type="dxa"/>
          </w:tcPr>
          <w:p>
            <w:pPr>
              <w:pStyle w:val="Compact"/>
              <w:spacing w:after="40"/>
              <w:jc w:val="left"/>
            </w:pPr>
            <w:r>
              <w:rPr>
                <w:sz w:val="18"/>
              </w:rPr>
              <w:t xml:space="preserve">Attachable pack in Finbyx (full) and Udofin (LSP subset); later standalone</w:t>
            </w:r>
            <w:r>
              <w:rPr>
                <w:sz w:val="18"/>
              </w:rPr>
              <w:t xml:space="preserve"> </w:t>
            </w:r>
            <w:r>
              <w:rPr>
                <w:bCs/>
                <w:b/>
                <w:sz w:val="18"/>
              </w:rPr>
              <w:t xml:space="preserve">Udolex</w:t>
            </w:r>
          </w:p>
        </w:tc>
        <w:tc>
          <w:tcPr>
            <w:tcW w:w="2181" w:type="dxa"/>
          </w:tcPr>
          <w:p>
            <w:pPr>
              <w:pStyle w:val="Compact"/>
              <w:spacing w:after="40"/>
              <w:jc w:val="left"/>
            </w:pPr>
            <w:r>
              <w:rPr>
                <w:sz w:val="18"/>
              </w:rPr>
              <w:t xml:space="preserve">Runs in the RE’s tenancy</w:t>
            </w:r>
          </w:p>
        </w:tc>
        <w:tc>
          <w:tcPr>
            <w:tcW w:w="2955" w:type="dxa"/>
          </w:tcPr>
          <w:p>
            <w:pPr>
              <w:pStyle w:val="Compact"/>
              <w:spacing w:after="40"/>
              <w:jc w:val="left"/>
            </w:pPr>
            <w:r>
              <w:rPr>
                <w:sz w:val="18"/>
              </w:rPr>
              <w:t xml:space="preserve">Recovery cases, notices, settlements, litigation, asset sales</w:t>
            </w:r>
          </w:p>
        </w:tc>
      </w:tr>
      <w:tr>
        <w:tc>
          <w:tcPr>
            <w:tcW w:w="1300" w:type="dxa"/>
          </w:tcPr>
          <w:p>
            <w:pPr>
              <w:pStyle w:val="Compact"/>
              <w:spacing w:after="40"/>
              <w:jc w:val="left"/>
            </w:pPr>
            <w:r>
              <w:rPr>
                <w:bCs/>
                <w:b/>
                <w:sz w:val="18"/>
              </w:rPr>
              <w:t xml:space="preserve">Field-investigation app</w:t>
            </w:r>
            <w:r>
              <w:rPr>
                <w:sz w:val="18"/>
              </w:rPr>
              <w:t xml:space="preserve"> </w:t>
            </w:r>
            <w:r>
              <w:rPr>
                <w:sz w:val="18"/>
              </w:rPr>
              <w:t xml:space="preserve">(future)</w:t>
            </w:r>
          </w:p>
        </w:tc>
        <w:tc>
          <w:tcPr>
            <w:tcW w:w="3202" w:type="dxa"/>
          </w:tcPr>
          <w:p>
            <w:pPr>
              <w:pStyle w:val="Compact"/>
              <w:spacing w:after="40"/>
              <w:jc w:val="left"/>
            </w:pPr>
            <w:r>
              <w:rPr>
                <w:sz w:val="18"/>
              </w:rPr>
              <w:t xml:space="preserve">Field verification, skip tracing</w:t>
            </w:r>
          </w:p>
        </w:tc>
        <w:tc>
          <w:tcPr>
            <w:tcW w:w="2181" w:type="dxa"/>
          </w:tcPr>
          <w:p>
            <w:pPr>
              <w:pStyle w:val="Compact"/>
              <w:spacing w:after="40"/>
              <w:jc w:val="left"/>
            </w:pPr>
            <w:r>
              <w:rPr>
                <w:sz w:val="18"/>
              </w:rPr>
              <w:t xml:space="preserve">Service provider (OUT Ch III)</w:t>
            </w:r>
          </w:p>
        </w:tc>
        <w:tc>
          <w:tcPr>
            <w:tcW w:w="2955" w:type="dxa"/>
          </w:tcPr>
          <w:p>
            <w:pPr>
              <w:pStyle w:val="Compact"/>
              <w:spacing w:after="40"/>
              <w:jc w:val="left"/>
            </w:pPr>
            <w:r>
              <w:rPr>
                <w:sz w:val="18"/>
              </w:rPr>
              <w:t xml:space="preserve">Visit evidence</w:t>
            </w:r>
          </w:p>
        </w:tc>
      </w:tr>
      <w:tr>
        <w:tc>
          <w:tcPr>
            <w:tcW w:w="1300" w:type="dxa"/>
          </w:tcPr>
          <w:p>
            <w:pPr>
              <w:pStyle w:val="Compact"/>
              <w:spacing w:after="40"/>
              <w:jc w:val="left"/>
            </w:pPr>
            <w:r>
              <w:rPr>
                <w:bCs/>
                <w:b/>
                <w:sz w:val="18"/>
              </w:rPr>
              <w:t xml:space="preserve">Third parties</w:t>
            </w:r>
          </w:p>
        </w:tc>
        <w:tc>
          <w:tcPr>
            <w:tcW w:w="3202" w:type="dxa"/>
          </w:tcPr>
          <w:p>
            <w:pPr>
              <w:pStyle w:val="Compact"/>
              <w:spacing w:after="40"/>
              <w:jc w:val="left"/>
            </w:pPr>
            <w:r>
              <w:rPr>
                <w:sz w:val="18"/>
              </w:rPr>
              <w:t xml:space="preserve">Other LOS/LMS (incl. Fineract-based), accounting, GRC tools, legal-tech and court data, e-auction, agencies and diallers, ODR providers, KYC, bureau, AA, eSign, eStamp, depository, RTA, payments</w:t>
            </w:r>
          </w:p>
        </w:tc>
        <w:tc>
          <w:tcPr>
            <w:tcW w:w="2181" w:type="dxa"/>
          </w:tcPr>
          <w:p>
            <w:pPr>
              <w:pStyle w:val="Compact"/>
              <w:spacing w:after="40"/>
              <w:jc w:val="left"/>
            </w:pPr>
            <w:r>
              <w:rPr>
                <w:sz w:val="18"/>
              </w:rPr>
              <w:t xml:space="preserve">Own regulation and contract</w:t>
            </w:r>
          </w:p>
        </w:tc>
        <w:tc>
          <w:tcPr>
            <w:tcW w:w="2955" w:type="dxa"/>
          </w:tcPr>
          <w:p>
            <w:pPr>
              <w:pStyle w:val="Compact"/>
              <w:spacing w:after="40"/>
              <w:jc w:val="left"/>
            </w:pPr>
            <w:r>
              <w:rPr>
                <w:sz w:val="18"/>
              </w:rPr>
              <w:t xml:space="preserve">Their own records; never RE decisions</w:t>
            </w:r>
          </w:p>
        </w:tc>
      </w:tr>
    </w:tbl>
    <w:p>
      <w:r>
        <w:pict>
          <v:rect style="width:0;height:1.5pt" o:hralign="center" o:hrstd="t" o:hr="t"/>
        </w:pict>
      </w:r>
    </w:p>
    <w:bookmarkEnd w:id="22"/>
    <w:bookmarkStart w:id="23" w:name="principles"/>
    <w:p>
      <w:pPr>
        <w:pStyle w:val="Heading1"/>
      </w:pPr>
      <w:r>
        <w:t xml:space="preserve">2 — PRINCIPLES</w:t>
      </w:r>
    </w:p>
    <w:p>
      <w:pPr>
        <w:numPr>
          <w:ilvl w:val="0"/>
          <w:numId w:val="1001"/>
        </w:numPr>
        <w:pStyle w:val="Compact"/>
      </w:pPr>
      <w:r>
        <w:rPr>
          <w:bCs/>
          <w:b/>
        </w:rPr>
        <w:t xml:space="preserve">Separate databases; contracts only.</w:t>
      </w:r>
      <w:r>
        <w:t xml:space="preserve"> </w:t>
      </w:r>
      <w:r>
        <w:t xml:space="preserve">No product touches another’s tables, stores or queues; every interaction is a registered event, API or file layout with a versioned JSON Schema.</w:t>
      </w:r>
    </w:p>
    <w:p>
      <w:pPr>
        <w:numPr>
          <w:ilvl w:val="0"/>
          <w:numId w:val="1001"/>
        </w:numPr>
        <w:pStyle w:val="Compact"/>
      </w:pPr>
      <w:r>
        <w:rPr>
          <w:bCs/>
          <w:b/>
        </w:rPr>
        <w:t xml:space="preserve">Data ownership.</w:t>
      </w:r>
      <w:r>
        <w:t xml:space="preserve"> </w:t>
      </w:r>
      <w:r>
        <w:t xml:space="preserve">One owner per canonical entity per tenant (Part 5); copies are projections with source and as-of time, never edited, reconciled daily; on conflict the owner wins and</w:t>
      </w:r>
      <w:r>
        <w:t xml:space="preserve"> </w:t>
      </w:r>
      <w:r>
        <w:rPr>
          <w:rStyle w:val="VerbatimChar"/>
        </w:rPr>
        <w:t xml:space="preserve">ReconciliationBreakRaised</w:t>
      </w:r>
      <w:r>
        <w:t xml:space="preserve"> </w:t>
      </w:r>
      <w:r>
        <w:t xml:space="preserve">is opened.</w:t>
      </w:r>
    </w:p>
    <w:p>
      <w:pPr>
        <w:numPr>
          <w:ilvl w:val="0"/>
          <w:numId w:val="1001"/>
        </w:numPr>
        <w:pStyle w:val="Compact"/>
      </w:pPr>
      <w:r>
        <w:rPr>
          <w:bCs/>
          <w:b/>
        </w:rPr>
        <w:t xml:space="preserve">Regulated decisions stay with the RE:</w:t>
      </w:r>
      <w:r>
        <w:t xml:space="preserve"> </w:t>
      </w:r>
      <w:r>
        <w:t xml:space="preserve">credit and KYC decisions, sanction, pricing, KFS, disbursement, classification, provisioning, CIC reporting, settlement and write-off approval, ADR referral, legal notices, enforcement, grievance closure (OUT para 15; KYC para 13; CF paras 6(7), 12; RSA para 16).</w:t>
      </w:r>
    </w:p>
    <w:p>
      <w:pPr>
        <w:numPr>
          <w:ilvl w:val="0"/>
          <w:numId w:val="1001"/>
        </w:numPr>
        <w:pStyle w:val="Compact"/>
      </w:pPr>
      <w:r>
        <w:rPr>
          <w:bCs/>
          <w:b/>
        </w:rPr>
        <w:t xml:space="preserve">Money never through the LSP.</w:t>
      </w:r>
      <w:r>
        <w:t xml:space="preserve"> </w:t>
      </w:r>
      <w:r>
        <w:t xml:space="preserve">RE account to borrower or permitted end-beneficiary; repayment to the RE or a co-lender-controlled escrow; no LSP pool or merchant account; LSP fees paid by the RE, never deducted from recoveries (CF para 10(1)–(5)). Equator, agencies and connectors are bound equally; validators reject any other account.</w:t>
      </w:r>
    </w:p>
    <w:p>
      <w:pPr>
        <w:numPr>
          <w:ilvl w:val="0"/>
          <w:numId w:val="1001"/>
        </w:numPr>
        <w:pStyle w:val="Compact"/>
      </w:pPr>
      <w:r>
        <w:rPr>
          <w:bCs/>
          <w:b/>
        </w:rPr>
        <w:t xml:space="preserve">Consent and purpose limitation.</w:t>
      </w:r>
      <w:r>
        <w:t xml:space="preserve"> </w:t>
      </w:r>
      <w:r>
        <w:t xml:space="preserve">Personal data travels only with a</w:t>
      </w:r>
      <w:r>
        <w:t xml:space="preserve"> </w:t>
      </w:r>
      <w:r>
        <w:rPr>
          <w:rStyle w:val="VerbatimChar"/>
        </w:rPr>
        <w:t xml:space="preserve">consentref</w:t>
      </w:r>
      <w:r>
        <w:t xml:space="preserve"> </w:t>
      </w:r>
      <w:r>
        <w:t xml:space="preserve">(purpose, named RE, categories, expiry) or a</w:t>
      </w:r>
      <w:r>
        <w:t xml:space="preserve"> </w:t>
      </w:r>
      <w:r>
        <w:rPr>
          <w:rStyle w:val="VerbatimChar"/>
        </w:rPr>
        <w:t xml:space="preserve">legalbasis</w:t>
      </w:r>
      <w:r>
        <w:t xml:space="preserve"> </w:t>
      </w:r>
      <w:r>
        <w:t xml:space="preserve">code (CF para 13(4); DPDP Act ss.7, 17(1)(a) [VERIFY: wording and commencement]), only to the RE the borrower chose.</w:t>
      </w:r>
    </w:p>
    <w:p>
      <w:pPr>
        <w:numPr>
          <w:ilvl w:val="0"/>
          <w:numId w:val="1001"/>
        </w:numPr>
        <w:pStyle w:val="Compact"/>
      </w:pPr>
      <w:r>
        <w:rPr>
          <w:bCs/>
          <w:b/>
        </w:rPr>
        <w:t xml:space="preserve">India-only residency</w:t>
      </w:r>
      <w:r>
        <w:t xml:space="preserve"> </w:t>
      </w:r>
      <w:r>
        <w:t xml:space="preserve">of data, backups, logs, event logs, DLQs and sub-processors; anything processed abroad repatriated within 24 hours (CF para 14(4); OUT para 74(vi)).</w:t>
      </w:r>
    </w:p>
    <w:p>
      <w:pPr>
        <w:numPr>
          <w:ilvl w:val="0"/>
          <w:numId w:val="1001"/>
        </w:numPr>
        <w:pStyle w:val="Compact"/>
      </w:pPr>
      <w:r>
        <w:rPr>
          <w:bCs/>
          <w:b/>
        </w:rPr>
        <w:t xml:space="preserve">Least privilege</w:t>
      </w:r>
      <w:r>
        <w:t xml:space="preserve"> </w:t>
      </w:r>
      <w:r>
        <w:t xml:space="preserve">by scope (Part 4.5); recovery and litigation data reach Udofin only as the RE-permitted LSP projection (OUT paras 15, 24).</w:t>
      </w:r>
    </w:p>
    <w:p>
      <w:pPr>
        <w:numPr>
          <w:ilvl w:val="0"/>
          <w:numId w:val="1001"/>
        </w:numPr>
        <w:pStyle w:val="Compact"/>
      </w:pPr>
      <w:r>
        <w:rPr>
          <w:bCs/>
          <w:b/>
        </w:rPr>
        <w:t xml:space="preserve">Failure containment:</w:t>
      </w:r>
      <w:r>
        <w:t xml:space="preserve"> </w:t>
      </w:r>
      <w:r>
        <w:t xml:space="preserve">each product keeps working when another fails (queues, circuit breakers, DLQs, replay, reconciliation).</w:t>
      </w:r>
    </w:p>
    <w:p>
      <w:pPr>
        <w:numPr>
          <w:ilvl w:val="0"/>
          <w:numId w:val="1001"/>
        </w:numPr>
        <w:pStyle w:val="Compact"/>
      </w:pPr>
      <w:r>
        <w:rPr>
          <w:bCs/>
          <w:b/>
        </w:rPr>
        <w:t xml:space="preserve">Versioning</w:t>
      </w:r>
      <w:r>
        <w:t xml:space="preserve"> </w:t>
      </w:r>
      <w:r>
        <w:t xml:space="preserve">of schemas, events, APIs, mappings and connectors; breaking changes get a new major with ≥ 90 days’ parallel run.</w:t>
      </w:r>
    </w:p>
    <w:p>
      <w:pPr>
        <w:numPr>
          <w:ilvl w:val="0"/>
          <w:numId w:val="1001"/>
        </w:numPr>
        <w:pStyle w:val="Compact"/>
      </w:pPr>
      <w:r>
        <w:rPr>
          <w:bCs/>
          <w:b/>
        </w:rPr>
        <w:t xml:space="preserve">Auditability:</w:t>
      </w:r>
      <w:r>
        <w:t xml:space="preserve"> </w:t>
      </w:r>
      <w:r>
        <w:t xml:space="preserve">every message signed, correlated, stored with its hash at both ends and producible to the RE, auditors and RBI (OUT paras 34, 81; CYB paras 46, 57).</w:t>
      </w:r>
    </w:p>
    <w:p>
      <w:r>
        <w:pict>
          <v:rect style="width:0;height:1.5pt" o:hralign="center" o:hrstd="t" o:hr="t"/>
        </w:pict>
      </w:r>
    </w:p>
    <w:bookmarkEnd w:id="23"/>
    <w:bookmarkStart w:id="35" w:name="integration-architecture"/>
    <w:p>
      <w:pPr>
        <w:pStyle w:val="Heading1"/>
      </w:pPr>
      <w:r>
        <w:t xml:space="preserve">3 — INTEGRATION ARCHITECTURE</w:t>
      </w:r>
    </w:p>
    <w:bookmarkStart w:id="24" w:name="topology-and-transports"/>
    <w:p>
      <w:pPr>
        <w:pStyle w:val="Heading2"/>
      </w:pPr>
      <w:r>
        <w:t xml:space="preserve">3.1 Topology and transports</w:t>
      </w:r>
    </w:p>
    <w:p>
      <w:pPr>
        <w:pStyle w:val="FirstParagraph"/>
      </w:pPr>
      <w:r>
        <w:t xml:space="preserve">Each product exposes partner APIs through its own gateway (TLS 1.3, mTLS for machines, token and schema validation, rate limits, WAF). Events travel by</w:t>
      </w:r>
      <w:r>
        <w:t xml:space="preserve"> </w:t>
      </w:r>
      <w:r>
        <w:rPr>
          <w:bCs/>
          <w:b/>
        </w:rPr>
        <w:t xml:space="preserve">HTTP push</w:t>
      </w:r>
      <w:r>
        <w:t xml:space="preserve"> </w:t>
      </w:r>
      <w:r>
        <w:t xml:space="preserve">(default): CloudEvents structured JSON as Standard Webhooks with RFC 9421 signatures; or by</w:t>
      </w:r>
      <w:r>
        <w:t xml:space="preserve"> </w:t>
      </w:r>
      <w:r>
        <w:rPr>
          <w:bCs/>
          <w:b/>
        </w:rPr>
        <w:t xml:space="preserve">streaming</w:t>
      </w:r>
      <w:r>
        <w:t xml:space="preserve"> </w:t>
      </w:r>
      <w:r>
        <w:t xml:space="preserve">between Infrabyx products on the same AWS ap-south-1 estate (MSK or Redpanda, CloudEvents Kafka binding, one topic per domain per producer). Every producer serves</w:t>
      </w:r>
      <w:r>
        <w:t xml:space="preserve"> </w:t>
      </w:r>
      <w:r>
        <w:rPr>
          <w:rStyle w:val="VerbatimChar"/>
        </w:rPr>
        <w:t xml:space="preserve">GET /v1/events?after=[cursor]&amp;types=[list]</w:t>
      </w:r>
      <w:r>
        <w:t xml:space="preserve"> </w:t>
      </w:r>
      <w:r>
        <w:t xml:space="preserve">for catch-up; files are the fallback (3.11).</w:t>
      </w:r>
    </w:p>
    <w:bookmarkEnd w:id="24"/>
    <w:bookmarkStart w:id="25" w:name="cloudevents-1.0-envelope"/>
    <w:p>
      <w:pPr>
        <w:pStyle w:val="Heading2"/>
      </w:pPr>
      <w:r>
        <w:t xml:space="preserve">3.2 CloudEvents 1.0 envelope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951"/>
        <w:gridCol w:w="6687"/>
      </w:tblGrid>
      <w:tr>
        <w:trPr>
          <w:tblHeader w:val="true"/>
          <w:tblHeader w:val="true"/>
        </w:trPr>
        <w:tc>
          <w:tcPr>
            <w:tcW w:w="2951" w:type="dxa"/>
            <w:shd w:val="clear" w:color="auto" w:fill="1F3A5F"/>
          </w:tcPr>
          <w:p>
            <w:pPr>
              <w:pStyle w:val="Compact"/>
              <w:spacing w:after="40"/>
              <w:jc w:val="left"/>
            </w:pPr>
            <w:r>
              <w:rPr>
                <w:b/>
                <w:color w:val="FFFFFF"/>
                <w:sz w:val="18"/>
              </w:rPr>
              <w:t xml:space="preserve">Attribute</w:t>
            </w:r>
          </w:p>
        </w:tc>
        <w:tc>
          <w:tcPr>
            <w:tcW w:w="6687" w:type="dxa"/>
            <w:shd w:val="clear" w:color="auto" w:fill="1F3A5F"/>
          </w:tcPr>
          <w:p>
            <w:pPr>
              <w:pStyle w:val="Compact"/>
              <w:spacing w:after="40"/>
              <w:jc w:val="left"/>
            </w:pPr>
            <w:r>
              <w:rPr>
                <w:b/>
                <w:color w:val="FFFFFF"/>
                <w:sz w:val="18"/>
              </w:rPr>
              <w:t xml:space="preserve">Rule</w:t>
            </w:r>
          </w:p>
        </w:tc>
      </w:tr>
      <w:tr>
        <w:tc>
          <w:tcPr>
            <w:tcW w:w="2951" w:type="dxa"/>
          </w:tcPr>
          <w:p>
            <w:pPr>
              <w:pStyle w:val="Compact"/>
              <w:spacing w:after="40"/>
              <w:jc w:val="left"/>
            </w:pPr>
            <w:r>
              <w:rPr>
                <w:rStyle w:val="VerbatimChar"/>
                <w:sz w:val="18"/>
              </w:rPr>
              <w:t xml:space="preserve">id</w:t>
            </w:r>
          </w:p>
        </w:tc>
        <w:tc>
          <w:tcPr>
            <w:tcW w:w="6687" w:type="dxa"/>
          </w:tcPr>
          <w:p>
            <w:pPr>
              <w:pStyle w:val="Compact"/>
              <w:spacing w:after="40"/>
              <w:jc w:val="left"/>
            </w:pPr>
            <w:r>
              <w:rPr>
                <w:sz w:val="18"/>
              </w:rPr>
              <w:t xml:space="preserve">UUIDv7 (RFC 9562); with</w:t>
            </w:r>
            <w:r>
              <w:rPr>
                <w:sz w:val="18"/>
              </w:rPr>
              <w:t xml:space="preserve"> </w:t>
            </w:r>
            <w:r>
              <w:rPr>
                <w:rStyle w:val="VerbatimChar"/>
                <w:sz w:val="18"/>
              </w:rPr>
              <w:t xml:space="preserve">source</w:t>
            </w:r>
            <w:r>
              <w:rPr>
                <w:sz w:val="18"/>
              </w:rPr>
              <w:t xml:space="preserve">, the de-duplication key</w:t>
            </w:r>
          </w:p>
        </w:tc>
      </w:tr>
      <w:tr>
        <w:tc>
          <w:tcPr>
            <w:tcW w:w="2951" w:type="dxa"/>
          </w:tcPr>
          <w:p>
            <w:pPr>
              <w:pStyle w:val="Compact"/>
              <w:spacing w:after="40"/>
              <w:jc w:val="left"/>
            </w:pPr>
            <w:r>
              <w:rPr>
                <w:rStyle w:val="VerbatimChar"/>
                <w:sz w:val="18"/>
              </w:rPr>
              <w:t xml:space="preserve">source</w:t>
            </w:r>
          </w:p>
        </w:tc>
        <w:tc>
          <w:tcPr>
            <w:tcW w:w="6687" w:type="dxa"/>
          </w:tcPr>
          <w:p>
            <w:pPr>
              <w:pStyle w:val="Compact"/>
              <w:spacing w:after="40"/>
              <w:jc w:val="left"/>
            </w:pPr>
            <w:r>
              <w:rPr>
                <w:rStyle w:val="VerbatimChar"/>
                <w:sz w:val="18"/>
              </w:rPr>
              <w:t xml:space="preserve">urn:infrabyx:[product]:[tenantid]</w:t>
            </w:r>
            <w:r>
              <w:rPr>
                <w:sz w:val="18"/>
              </w:rPr>
              <w:t xml:space="preserve"> </w:t>
            </w:r>
            <w:r>
              <w:rPr>
                <w:sz w:val="18"/>
              </w:rPr>
              <w:t xml:space="preserve">(finbyx, udofin, equator, ldc, udolex, fiapp) or</w:t>
            </w:r>
            <w:r>
              <w:rPr>
                <w:sz w:val="18"/>
              </w:rPr>
              <w:t xml:space="preserve"> </w:t>
            </w:r>
            <w:r>
              <w:rPr>
                <w:rStyle w:val="VerbatimChar"/>
                <w:sz w:val="18"/>
              </w:rPr>
              <w:t xml:space="preserve">urn:ext:[connector-id]:[tenantid]</w:t>
            </w:r>
          </w:p>
        </w:tc>
      </w:tr>
      <w:tr>
        <w:tc>
          <w:tcPr>
            <w:tcW w:w="2951" w:type="dxa"/>
          </w:tcPr>
          <w:p>
            <w:pPr>
              <w:pStyle w:val="Compact"/>
              <w:spacing w:after="40"/>
              <w:jc w:val="left"/>
            </w:pPr>
            <w:r>
              <w:rPr>
                <w:rStyle w:val="VerbatimChar"/>
                <w:sz w:val="18"/>
              </w:rPr>
              <w:t xml:space="preserve">type</w:t>
            </w:r>
          </w:p>
        </w:tc>
        <w:tc>
          <w:tcPr>
            <w:tcW w:w="6687" w:type="dxa"/>
          </w:tcPr>
          <w:p>
            <w:pPr>
              <w:pStyle w:val="Compact"/>
              <w:spacing w:after="40"/>
              <w:jc w:val="left"/>
            </w:pPr>
            <w:r>
              <w:rPr>
                <w:rStyle w:val="VerbatimChar"/>
                <w:sz w:val="18"/>
              </w:rPr>
              <w:t xml:space="preserve">in.infrabyx.[domain].[EventName].v[major]</w:t>
            </w:r>
            <w:r>
              <w:rPr>
                <w:sz w:val="18"/>
              </w:rPr>
              <w:t xml:space="preserve">,</w:t>
            </w:r>
            <w:r>
              <w:rPr>
                <w:sz w:val="18"/>
              </w:rPr>
              <w:t xml:space="preserve"> </w:t>
            </w:r>
            <w:r>
              <w:rPr>
                <w:rStyle w:val="VerbatimChar"/>
                <w:sz w:val="18"/>
              </w:rPr>
              <w:t xml:space="preserve">[EventName]</w:t>
            </w:r>
            <w:r>
              <w:rPr>
                <w:sz w:val="18"/>
              </w:rPr>
              <w:t xml:space="preserve"> </w:t>
            </w:r>
            <w:r>
              <w:rPr>
                <w:sz w:val="18"/>
              </w:rPr>
              <w:t xml:space="preserve">exactly as Part 6</w:t>
            </w:r>
          </w:p>
        </w:tc>
      </w:tr>
      <w:tr>
        <w:tc>
          <w:tcPr>
            <w:tcW w:w="2951" w:type="dxa"/>
          </w:tcPr>
          <w:p>
            <w:pPr>
              <w:pStyle w:val="Compact"/>
              <w:spacing w:after="40"/>
              <w:jc w:val="left"/>
            </w:pPr>
            <w:r>
              <w:rPr>
                <w:rStyle w:val="VerbatimChar"/>
                <w:sz w:val="18"/>
              </w:rPr>
              <w:t xml:space="preserve">subject</w:t>
            </w:r>
          </w:p>
        </w:tc>
        <w:tc>
          <w:tcPr>
            <w:tcW w:w="6687" w:type="dxa"/>
          </w:tcPr>
          <w:p>
            <w:pPr>
              <w:pStyle w:val="Compact"/>
              <w:spacing w:after="40"/>
              <w:jc w:val="left"/>
            </w:pPr>
            <w:r>
              <w:rPr>
                <w:sz w:val="18"/>
              </w:rPr>
              <w:t xml:space="preserve">Aggregate id; ordering and partition key</w:t>
            </w:r>
          </w:p>
        </w:tc>
      </w:tr>
      <w:tr>
        <w:tc>
          <w:tcPr>
            <w:tcW w:w="2951" w:type="dxa"/>
          </w:tcPr>
          <w:p>
            <w:pPr>
              <w:pStyle w:val="Compact"/>
              <w:spacing w:after="40"/>
              <w:jc w:val="left"/>
            </w:pPr>
            <w:r>
              <w:rPr>
                <w:rStyle w:val="VerbatimChar"/>
                <w:sz w:val="18"/>
              </w:rPr>
              <w:t xml:space="preserve">time</w:t>
            </w:r>
            <w:r>
              <w:rPr>
                <w:sz w:val="18"/>
              </w:rPr>
              <w:t xml:space="preserve">,</w:t>
            </w:r>
            <w:r>
              <w:rPr>
                <w:sz w:val="18"/>
              </w:rPr>
              <w:t xml:space="preserve"> </w:t>
            </w:r>
            <w:r>
              <w:rPr>
                <w:rStyle w:val="VerbatimChar"/>
                <w:sz w:val="18"/>
              </w:rPr>
              <w:t xml:space="preserve">dataschema</w:t>
            </w:r>
            <w:r>
              <w:rPr>
                <w:sz w:val="18"/>
              </w:rPr>
              <w:t xml:space="preserve">,</w:t>
            </w:r>
            <w:r>
              <w:rPr>
                <w:sz w:val="18"/>
              </w:rPr>
              <w:t xml:space="preserve"> </w:t>
            </w:r>
            <w:r>
              <w:rPr>
                <w:rStyle w:val="VerbatimChar"/>
                <w:sz w:val="18"/>
              </w:rPr>
              <w:t xml:space="preserve">data</w:t>
            </w:r>
          </w:p>
        </w:tc>
        <w:tc>
          <w:tcPr>
            <w:tcW w:w="6687" w:type="dxa"/>
          </w:tcPr>
          <w:p>
            <w:pPr>
              <w:pStyle w:val="Compact"/>
              <w:spacing w:after="40"/>
              <w:jc w:val="left"/>
            </w:pPr>
            <w:r>
              <w:rPr>
                <w:sz w:val="18"/>
              </w:rPr>
              <w:t xml:space="preserve">RFC 3339 (IST);</w:t>
            </w:r>
            <w:r>
              <w:rPr>
                <w:sz w:val="18"/>
              </w:rPr>
              <w:t xml:space="preserve"> </w:t>
            </w:r>
            <w:r>
              <w:rPr>
                <w:rStyle w:val="VerbatimChar"/>
                <w:sz w:val="18"/>
              </w:rPr>
              <w:t xml:space="preserve">[registry-base]/schemas/[domain]/[EventName]/[semver].json</w:t>
            </w:r>
            <w:r>
              <w:rPr>
                <w:sz w:val="18"/>
              </w:rPr>
              <w:t xml:space="preserve">; payload</w:t>
            </w:r>
          </w:p>
        </w:tc>
      </w:tr>
      <w:tr>
        <w:tc>
          <w:tcPr>
            <w:tcW w:w="2951" w:type="dxa"/>
          </w:tcPr>
          <w:p>
            <w:pPr>
              <w:pStyle w:val="Compact"/>
              <w:spacing w:after="40"/>
              <w:jc w:val="left"/>
            </w:pPr>
            <w:r>
              <w:rPr>
                <w:rStyle w:val="VerbatimChar"/>
                <w:sz w:val="18"/>
              </w:rPr>
              <w:t xml:space="preserve">tenantid</w:t>
            </w:r>
            <w:r>
              <w:rPr>
                <w:sz w:val="18"/>
              </w:rPr>
              <w:t xml:space="preserve">,</w:t>
            </w:r>
            <w:r>
              <w:rPr>
                <w:sz w:val="18"/>
              </w:rPr>
              <w:t xml:space="preserve"> </w:t>
            </w:r>
            <w:r>
              <w:rPr>
                <w:rStyle w:val="VerbatimChar"/>
                <w:sz w:val="18"/>
              </w:rPr>
              <w:t xml:space="preserve">reid</w:t>
            </w:r>
          </w:p>
        </w:tc>
        <w:tc>
          <w:tcPr>
            <w:tcW w:w="6687" w:type="dxa"/>
          </w:tcPr>
          <w:p>
            <w:pPr>
              <w:pStyle w:val="Compact"/>
              <w:spacing w:after="40"/>
              <w:jc w:val="left"/>
            </w:pPr>
            <w:r>
              <w:rPr>
                <w:sz w:val="18"/>
              </w:rPr>
              <w:t xml:space="preserve">Producer tenant (Part 4.1); ecosystem RE id (</w:t>
            </w:r>
            <w:r>
              <w:rPr>
                <w:rStyle w:val="VerbatimChar"/>
                <w:sz w:val="18"/>
              </w:rPr>
              <w:t xml:space="preserve">none</w:t>
            </w:r>
            <w:r>
              <w:rPr>
                <w:sz w:val="18"/>
              </w:rPr>
              <w:t xml:space="preserve"> </w:t>
            </w:r>
            <w:r>
              <w:rPr>
                <w:sz w:val="18"/>
              </w:rPr>
              <w:t xml:space="preserve">only for platform events)</w:t>
            </w:r>
          </w:p>
        </w:tc>
      </w:tr>
      <w:tr>
        <w:tc>
          <w:tcPr>
            <w:tcW w:w="2951" w:type="dxa"/>
          </w:tcPr>
          <w:p>
            <w:pPr>
              <w:pStyle w:val="Compact"/>
              <w:spacing w:after="40"/>
              <w:jc w:val="left"/>
            </w:pPr>
            <w:r>
              <w:rPr>
                <w:rStyle w:val="VerbatimChar"/>
                <w:sz w:val="18"/>
              </w:rPr>
              <w:t xml:space="preserve">productfamily</w:t>
            </w:r>
          </w:p>
        </w:tc>
        <w:tc>
          <w:tcPr>
            <w:tcW w:w="6687" w:type="dxa"/>
          </w:tcPr>
          <w:p>
            <w:pPr>
              <w:pStyle w:val="Compact"/>
              <w:spacing w:after="40"/>
              <w:jc w:val="left"/>
            </w:pPr>
            <w:r>
              <w:rPr>
                <w:sz w:val="18"/>
              </w:rPr>
              <w:t xml:space="preserve">PL, PDL, MSME, LAP, HL, VL, GOLD, LAS, LAMF, CD, MFI, SCF, MED, LEF, RF, DR, CORP, STAFF, DCL, EDU, PF (codes as Finbyx Part 6.3.3); co-lent loans</w:t>
            </w:r>
            <w:r>
              <w:rPr>
                <w:sz w:val="18"/>
              </w:rPr>
              <w:t xml:space="preserve"> </w:t>
            </w:r>
            <w:r>
              <w:rPr>
                <w:rStyle w:val="VerbatimChar"/>
                <w:sz w:val="18"/>
              </w:rPr>
              <w:t xml:space="preserve">CLN-[base]</w:t>
            </w:r>
            <w:r>
              <w:rPr>
                <w:sz w:val="18"/>
              </w:rPr>
              <w:t xml:space="preserve"> </w:t>
            </w:r>
            <w:r>
              <w:rPr>
                <w:sz w:val="18"/>
              </w:rPr>
              <w:t xml:space="preserve">(e.g. </w:t>
            </w:r>
            <w:r>
              <w:rPr>
                <w:rStyle w:val="VerbatimChar"/>
                <w:sz w:val="18"/>
              </w:rPr>
              <w:t xml:space="preserve">CLN-PL</w:t>
            </w:r>
            <w:r>
              <w:rPr>
                <w:sz w:val="18"/>
              </w:rPr>
              <w:t xml:space="preserve">);</w:t>
            </w:r>
            <w:r>
              <w:rPr>
                <w:sz w:val="18"/>
              </w:rPr>
              <w:t xml:space="preserve"> </w:t>
            </w:r>
            <w:r>
              <w:rPr>
                <w:rStyle w:val="VerbatimChar"/>
                <w:sz w:val="18"/>
              </w:rPr>
              <w:t xml:space="preserve">na</w:t>
            </w:r>
            <w:r>
              <w:rPr>
                <w:sz w:val="18"/>
              </w:rPr>
              <w:t xml:space="preserve"> </w:t>
            </w:r>
            <w:r>
              <w:rPr>
                <w:sz w:val="18"/>
              </w:rPr>
              <w:t xml:space="preserve">for non-loan events</w:t>
            </w:r>
          </w:p>
        </w:tc>
      </w:tr>
      <w:tr>
        <w:tc>
          <w:tcPr>
            <w:tcW w:w="2951" w:type="dxa"/>
          </w:tcPr>
          <w:p>
            <w:pPr>
              <w:pStyle w:val="Compact"/>
              <w:spacing w:after="40"/>
              <w:jc w:val="left"/>
            </w:pPr>
            <w:r>
              <w:rPr>
                <w:rStyle w:val="VerbatimChar"/>
                <w:sz w:val="18"/>
              </w:rPr>
              <w:t xml:space="preserve">correlationid</w:t>
            </w:r>
            <w:r>
              <w:rPr>
                <w:sz w:val="18"/>
              </w:rPr>
              <w:t xml:space="preserve">,</w:t>
            </w:r>
            <w:r>
              <w:rPr>
                <w:sz w:val="18"/>
              </w:rPr>
              <w:t xml:space="preserve"> </w:t>
            </w:r>
            <w:r>
              <w:rPr>
                <w:rStyle w:val="VerbatimChar"/>
                <w:sz w:val="18"/>
              </w:rPr>
              <w:t xml:space="preserve">causationid</w:t>
            </w:r>
          </w:p>
        </w:tc>
        <w:tc>
          <w:tcPr>
            <w:tcW w:w="6687" w:type="dxa"/>
          </w:tcPr>
          <w:p>
            <w:pPr>
              <w:pStyle w:val="Compact"/>
              <w:spacing w:after="40"/>
              <w:jc w:val="left"/>
            </w:pPr>
            <w:r>
              <w:rPr>
                <w:sz w:val="18"/>
              </w:rPr>
              <w:t xml:space="preserve">Journey id; id of the causing event or request</w:t>
            </w:r>
          </w:p>
        </w:tc>
      </w:tr>
      <w:tr>
        <w:tc>
          <w:tcPr>
            <w:tcW w:w="2951" w:type="dxa"/>
          </w:tcPr>
          <w:p>
            <w:pPr>
              <w:pStyle w:val="Compact"/>
              <w:spacing w:after="40"/>
              <w:jc w:val="left"/>
            </w:pPr>
            <w:r>
              <w:rPr>
                <w:rStyle w:val="VerbatimChar"/>
                <w:sz w:val="18"/>
              </w:rPr>
              <w:t xml:space="preserve">consentref</w:t>
            </w:r>
            <w:r>
              <w:rPr>
                <w:sz w:val="18"/>
              </w:rPr>
              <w:t xml:space="preserve"> </w:t>
            </w:r>
            <w:r>
              <w:rPr>
                <w:sz w:val="18"/>
              </w:rPr>
              <w:t xml:space="preserve">or</w:t>
            </w:r>
            <w:r>
              <w:rPr>
                <w:sz w:val="18"/>
              </w:rPr>
              <w:t xml:space="preserve"> </w:t>
            </w:r>
            <w:r>
              <w:rPr>
                <w:rStyle w:val="VerbatimChar"/>
                <w:sz w:val="18"/>
              </w:rPr>
              <w:t xml:space="preserve">legalbasis</w:t>
            </w:r>
          </w:p>
        </w:tc>
        <w:tc>
          <w:tcPr>
            <w:tcW w:w="6687" w:type="dxa"/>
          </w:tcPr>
          <w:p>
            <w:pPr>
              <w:pStyle w:val="Compact"/>
              <w:spacing w:after="40"/>
              <w:jc w:val="left"/>
            </w:pPr>
            <w:r>
              <w:rPr>
                <w:sz w:val="18"/>
              </w:rPr>
              <w:t xml:space="preserve">Required with personal data;</w:t>
            </w:r>
            <w:r>
              <w:rPr>
                <w:sz w:val="18"/>
              </w:rPr>
              <w:t xml:space="preserve"> </w:t>
            </w:r>
            <w:r>
              <w:rPr>
                <w:rStyle w:val="VerbatimChar"/>
                <w:sz w:val="18"/>
              </w:rPr>
              <w:t xml:space="preserve">legalbasis</w:t>
            </w:r>
            <w:r>
              <w:rPr>
                <w:sz w:val="18"/>
              </w:rPr>
              <w:t xml:space="preserve"> </w:t>
            </w:r>
            <w:r>
              <w:rPr>
                <w:sz w:val="18"/>
              </w:rPr>
              <w:t xml:space="preserve">∈ STATUTORY_REPORTING, LEGAL_CLAIM, CONTRACT_PERFORMANCE_RE, REGULATOR_REQUEST</w:t>
            </w:r>
          </w:p>
        </w:tc>
      </w:tr>
      <w:tr>
        <w:tc>
          <w:tcPr>
            <w:tcW w:w="2951" w:type="dxa"/>
          </w:tcPr>
          <w:p>
            <w:pPr>
              <w:pStyle w:val="Compact"/>
              <w:spacing w:after="40"/>
              <w:jc w:val="left"/>
            </w:pPr>
            <w:r>
              <w:rPr>
                <w:rStyle w:val="VerbatimChar"/>
                <w:sz w:val="18"/>
              </w:rPr>
              <w:t xml:space="preserve">dataclass</w:t>
            </w:r>
            <w:r>
              <w:rPr>
                <w:sz w:val="18"/>
              </w:rPr>
              <w:t xml:space="preserve">,</w:t>
            </w:r>
            <w:r>
              <w:rPr>
                <w:sz w:val="18"/>
              </w:rPr>
              <w:t xml:space="preserve"> </w:t>
            </w:r>
            <w:r>
              <w:rPr>
                <w:rStyle w:val="VerbatimChar"/>
                <w:sz w:val="18"/>
              </w:rPr>
              <w:t xml:space="preserve">schemaver</w:t>
            </w:r>
            <w:r>
              <w:rPr>
                <w:sz w:val="18"/>
              </w:rPr>
              <w:t xml:space="preserve">,</w:t>
            </w:r>
            <w:r>
              <w:rPr>
                <w:sz w:val="18"/>
              </w:rPr>
              <w:t xml:space="preserve"> </w:t>
            </w:r>
            <w:r>
              <w:rPr>
                <w:rStyle w:val="VerbatimChar"/>
                <w:sz w:val="18"/>
              </w:rPr>
              <w:t xml:space="preserve">seq</w:t>
            </w:r>
            <w:r>
              <w:rPr>
                <w:sz w:val="18"/>
              </w:rPr>
              <w:t xml:space="preserve">,</w:t>
            </w:r>
            <w:r>
              <w:rPr>
                <w:sz w:val="18"/>
              </w:rPr>
              <w:t xml:space="preserve"> </w:t>
            </w:r>
            <w:r>
              <w:rPr>
                <w:rStyle w:val="VerbatimChar"/>
                <w:sz w:val="18"/>
              </w:rPr>
              <w:t xml:space="preserve">traceparent</w:t>
            </w:r>
          </w:p>
        </w:tc>
        <w:tc>
          <w:tcPr>
            <w:tcW w:w="6687" w:type="dxa"/>
          </w:tcPr>
          <w:p>
            <w:pPr>
              <w:pStyle w:val="Compact"/>
              <w:spacing w:after="40"/>
              <w:jc w:val="left"/>
            </w:pPr>
            <w:r>
              <w:rPr>
                <w:sz w:val="18"/>
              </w:rPr>
              <w:t xml:space="preserve">Highest class (13.2); full schema semver; per-subject sequence; W3C Trace Context</w:t>
            </w:r>
          </w:p>
        </w:tc>
      </w:tr>
    </w:tbl>
    <w:p>
      <w:pPr>
        <w:pStyle w:val="BodyText"/>
      </w:pPr>
      <w:r>
        <w:rPr>
          <w:rStyle w:val="VerbatimChar"/>
        </w:rPr>
        <w:t xml:space="preserve">specversion</w:t>
      </w:r>
      <w:r>
        <w:t xml:space="preserve"> </w:t>
      </w:r>
      <w:r>
        <w:t xml:space="preserve">1.0 (spec 1.0.2), JSON content. Consumers reject invalid events, personal data without</w:t>
      </w:r>
      <w:r>
        <w:t xml:space="preserve"> </w:t>
      </w:r>
      <w:r>
        <w:rPr>
          <w:rStyle w:val="VerbatimChar"/>
        </w:rPr>
        <w:t xml:space="preserve">consentref</w:t>
      </w:r>
      <w:r>
        <w:t xml:space="preserve"> </w:t>
      </w:r>
      <w:r>
        <w:t xml:space="preserve">or</w:t>
      </w:r>
      <w:r>
        <w:t xml:space="preserve"> </w:t>
      </w:r>
      <w:r>
        <w:rPr>
          <w:rStyle w:val="VerbatimChar"/>
        </w:rPr>
        <w:t xml:space="preserve">legalbasis</w:t>
      </w:r>
      <w:r>
        <w:t xml:space="preserve">, and unmapped</w:t>
      </w:r>
      <w:r>
        <w:t xml:space="preserve"> </w:t>
      </w:r>
      <w:r>
        <w:rPr>
          <w:rStyle w:val="VerbatimChar"/>
        </w:rPr>
        <w:t xml:space="preserve">reid</w:t>
      </w:r>
      <w:r>
        <w:t xml:space="preserve">s.</w:t>
      </w:r>
    </w:p>
    <w:bookmarkEnd w:id="25"/>
    <w:bookmarkStart w:id="26" w:name="contracts-and-registry"/>
    <w:p>
      <w:pPr>
        <w:pStyle w:val="Heading2"/>
      </w:pPr>
      <w:r>
        <w:t xml:space="preserve">3.3 Contracts and registry</w:t>
      </w:r>
    </w:p>
    <w:p>
      <w:pPr>
        <w:pStyle w:val="FirstParagraph"/>
      </w:pPr>
      <w:r>
        <w:rPr>
          <w:rStyle w:val="VerbatimChar"/>
        </w:rPr>
        <w:t xml:space="preserve">infrabyx-contracts</w:t>
      </w:r>
      <w:r>
        <w:t xml:space="preserve"> </w:t>
      </w:r>
      <w:r>
        <w:t xml:space="preserve">holds this specification, JSON Schema 2020-12 documents, OpenAPI 3.1 (3.2 only for streaming after an ADR) and AsyncAPI 3.0 documents, code tables, mapping packs and the certification suite. An India-hosted registry serves immutable versions; compatibility is</w:t>
      </w:r>
      <w:r>
        <w:t xml:space="preserve"> </w:t>
      </w:r>
      <w:r>
        <w:rPr>
          <w:bCs/>
          <w:b/>
        </w:rPr>
        <w:t xml:space="preserve">BACKWARD</w:t>
      </w:r>
      <w:r>
        <w:t xml:space="preserve"> </w:t>
      </w:r>
      <w:r>
        <w:t xml:space="preserve">(minors add optional fields or</w:t>
      </w:r>
      <w:r>
        <w:t xml:space="preserve"> </w:t>
      </w:r>
      <w:r>
        <w:rPr>
          <w:rStyle w:val="VerbatimChar"/>
        </w:rPr>
        <w:t xml:space="preserve">x-extensible-enum</w:t>
      </w:r>
      <w:r>
        <w:t xml:space="preserve"> </w:t>
      </w:r>
      <w:r>
        <w:t xml:space="preserve">values only). Paths</w:t>
      </w:r>
      <w:r>
        <w:t xml:space="preserve"> </w:t>
      </w:r>
      <w:r>
        <w:rPr>
          <w:rStyle w:val="VerbatimChar"/>
        </w:rPr>
        <w:t xml:space="preserve">/v[major]/</w:t>
      </w:r>
      <w:r>
        <w:t xml:space="preserve">,</w:t>
      </w:r>
      <w:r>
        <w:t xml:space="preserve"> </w:t>
      </w:r>
      <w:r>
        <w:rPr>
          <w:rStyle w:val="VerbatimChar"/>
        </w:rPr>
        <w:t xml:space="preserve">snake_case</w:t>
      </w:r>
      <w:r>
        <w:t xml:space="preserve"> </w:t>
      </w:r>
      <w:r>
        <w:t xml:space="preserve">fields,</w:t>
      </w:r>
      <w:r>
        <w:t xml:space="preserve"> </w:t>
      </w:r>
      <w:r>
        <w:rPr>
          <w:rStyle w:val="VerbatimChar"/>
        </w:rPr>
        <w:t xml:space="preserve">UPPER_SNAKE_CASE</w:t>
      </w:r>
      <w:r>
        <w:t xml:space="preserve"> </w:t>
      </w:r>
      <w:r>
        <w:t xml:space="preserve">enums, prefixed opaque ids, cursor pagination (</w:t>
      </w:r>
      <w:r>
        <w:rPr>
          <w:rStyle w:val="VerbatimChar"/>
        </w:rPr>
        <w:t xml:space="preserve">limit</w:t>
      </w:r>
      <w:r>
        <w:t xml:space="preserve"> </w:t>
      </w:r>
      <w:r>
        <w:t xml:space="preserve">≤ 500),</w:t>
      </w:r>
      <w:r>
        <w:t xml:space="preserve"> </w:t>
      </w:r>
      <w:r>
        <w:rPr>
          <w:rStyle w:val="VerbatimChar"/>
        </w:rPr>
        <w:t xml:space="preserve">updated_since</w:t>
      </w:r>
      <w:r>
        <w:t xml:space="preserve"> </w:t>
      </w:r>
      <w:r>
        <w:t xml:space="preserve">on reconciliation lists. Products pin versions in</w:t>
      </w:r>
      <w:r>
        <w:t xml:space="preserve"> </w:t>
      </w:r>
      <w:r>
        <w:rPr>
          <w:rStyle w:val="VerbatimChar"/>
        </w:rPr>
        <w:t xml:space="preserve">contracts.lock</w:t>
      </w:r>
      <w:r>
        <w:t xml:space="preserve">; Pact consumer-driven tests gate every deployment.</w:t>
      </w:r>
    </w:p>
    <w:bookmarkEnd w:id="26"/>
    <w:bookmarkStart w:id="27" w:name="webhooks-and-idempotency"/>
    <w:p>
      <w:pPr>
        <w:pStyle w:val="Heading2"/>
      </w:pPr>
      <w:r>
        <w:t xml:space="preserve">3.4 Webhooks and idempotency</w:t>
      </w:r>
    </w:p>
    <w:p>
      <w:pPr>
        <w:numPr>
          <w:ilvl w:val="0"/>
          <w:numId w:val="1002"/>
        </w:numPr>
        <w:pStyle w:val="Compact"/>
      </w:pPr>
      <w:r>
        <w:rPr>
          <w:bCs/>
          <w:b/>
        </w:rPr>
        <w:t xml:space="preserve">Standard Webhooks:</w:t>
      </w:r>
      <w:r>
        <w:t xml:space="preserve"> </w:t>
      </w:r>
      <w:r>
        <w:rPr>
          <w:rStyle w:val="VerbatimChar"/>
        </w:rPr>
        <w:t xml:space="preserve">webhook-id</w:t>
      </w:r>
      <w:r>
        <w:t xml:space="preserve"> </w:t>
      </w:r>
      <w:r>
        <w:t xml:space="preserve">(=</w:t>
      </w:r>
      <w:r>
        <w:t xml:space="preserve"> </w:t>
      </w:r>
      <w:r>
        <w:rPr>
          <w:rStyle w:val="VerbatimChar"/>
        </w:rPr>
        <w:t xml:space="preserve">id</w:t>
      </w:r>
      <w:r>
        <w:t xml:space="preserve">),</w:t>
      </w:r>
      <w:r>
        <w:t xml:space="preserve"> </w:t>
      </w:r>
      <w:r>
        <w:rPr>
          <w:rStyle w:val="VerbatimChar"/>
        </w:rPr>
        <w:t xml:space="preserve">webhook-timestamp</w:t>
      </w:r>
      <w:r>
        <w:t xml:space="preserve">,</w:t>
      </w:r>
      <w:r>
        <w:t xml:space="preserve"> </w:t>
      </w:r>
      <w:r>
        <w:rPr>
          <w:rStyle w:val="VerbatimChar"/>
        </w:rPr>
        <w:t xml:space="preserve">webhook-signature</w:t>
      </w:r>
      <w:r>
        <w:t xml:space="preserve"> </w:t>
      </w:r>
      <w:r>
        <w:t xml:space="preserve">(HMAC-SHA256 over</w:t>
      </w:r>
      <w:r>
        <w:t xml:space="preserve"> </w:t>
      </w:r>
      <w:r>
        <w:rPr>
          <w:rStyle w:val="VerbatimChar"/>
        </w:rPr>
        <w:t xml:space="preserve">id.timestamp.body</w:t>
      </w:r>
      <w:r>
        <w:t xml:space="preserve">,</w:t>
      </w:r>
      <w:r>
        <w:t xml:space="preserve"> </w:t>
      </w:r>
      <w:r>
        <w:rPr>
          <w:rStyle w:val="VerbatimChar"/>
        </w:rPr>
        <w:t xml:space="preserve">whsec_</w:t>
      </w:r>
      <w:r>
        <w:t xml:space="preserve"> </w:t>
      </w:r>
      <w:r>
        <w:t xml:space="preserve">secret); Infrabyx-to-Infrabyx deliveries add RFC 9421. Timestamps more than 5 minutes off are rejected.</w:t>
      </w:r>
    </w:p>
    <w:p>
      <w:pPr>
        <w:numPr>
          <w:ilvl w:val="0"/>
          <w:numId w:val="1002"/>
        </w:numPr>
        <w:pStyle w:val="Compact"/>
      </w:pPr>
      <w:r>
        <w:rPr>
          <w:bCs/>
          <w:b/>
        </w:rPr>
        <w:t xml:space="preserve">At-least-once:</w:t>
      </w:r>
      <w:r>
        <w:t xml:space="preserve"> </w:t>
      </w:r>
      <w:r>
        <w:rPr>
          <w:rStyle w:val="VerbatimChar"/>
        </w:rPr>
        <w:t xml:space="preserve">2xx</w:t>
      </w:r>
      <w:r>
        <w:t xml:space="preserve"> </w:t>
      </w:r>
      <w:r>
        <w:t xml:space="preserve">only after durable inbox write; exponential back-off with jitter for 72 hours, then DLQ and alert to both sides.</w:t>
      </w:r>
    </w:p>
    <w:p>
      <w:pPr>
        <w:numPr>
          <w:ilvl w:val="0"/>
          <w:numId w:val="1002"/>
        </w:numPr>
        <w:pStyle w:val="Compact"/>
      </w:pPr>
      <w:r>
        <w:rPr>
          <w:bCs/>
          <w:b/>
        </w:rPr>
        <w:t xml:space="preserve">Idempotency-Key</w:t>
      </w:r>
      <w:r>
        <w:t xml:space="preserve"> </w:t>
      </w:r>
      <w:r>
        <w:t xml:space="preserve">(UUIDv7) on every state-changing request (</w:t>
      </w:r>
      <w:r>
        <w:rPr>
          <w:rStyle w:val="VerbatimChar"/>
        </w:rPr>
        <w:t xml:space="preserve">draft-ietf-httpapi-idempotency-key-header</w:t>
      </w:r>
      <w:r>
        <w:t xml:space="preserve">, still a draft [VERIFY: status]); stored with body hash and response ≥ 24 hours (7 days for money); same key with a different body returns 422 and a retry while the original is still processing returns 409, as the draft specifies.</w:t>
      </w:r>
    </w:p>
    <w:p>
      <w:pPr>
        <w:numPr>
          <w:ilvl w:val="0"/>
          <w:numId w:val="1002"/>
        </w:numPr>
        <w:pStyle w:val="Compact"/>
      </w:pPr>
      <w:r>
        <w:rPr>
          <w:bCs/>
          <w:b/>
        </w:rPr>
        <w:t xml:space="preserve">Business keys</w:t>
      </w:r>
      <w:r>
        <w:t xml:space="preserve"> </w:t>
      </w:r>
      <w:r>
        <w:t xml:space="preserve">(Part 6) are unique constraints at the consumer.</w:t>
      </w:r>
    </w:p>
    <w:bookmarkEnd w:id="27"/>
    <w:bookmarkStart w:id="28" w:name="outbox-inbox-ordering-and-replay"/>
    <w:p>
      <w:pPr>
        <w:pStyle w:val="Heading2"/>
      </w:pPr>
      <w:r>
        <w:t xml:space="preserve">3.5 Outbox, inbox, ordering and replay</w:t>
      </w:r>
    </w:p>
    <w:p>
      <w:pPr>
        <w:pStyle w:val="FirstParagraph"/>
      </w:pPr>
      <w:r>
        <w:t xml:space="preserve">Producers write to a transactional outbox with the state change; consumers store</w:t>
      </w:r>
      <w:r>
        <w:t xml:space="preserve"> </w:t>
      </w:r>
      <w:r>
        <w:rPr>
          <w:rStyle w:val="VerbatimChar"/>
        </w:rPr>
        <w:t xml:space="preserve">(source, id)</w:t>
      </w:r>
      <w:r>
        <w:t xml:space="preserve"> </w:t>
      </w:r>
      <w:r>
        <w:t xml:space="preserve">and the business key before processing. Order is guaranteed per</w:t>
      </w:r>
      <w:r>
        <w:t xml:space="preserve"> </w:t>
      </w:r>
      <w:r>
        <w:rPr>
          <w:rStyle w:val="VerbatimChar"/>
        </w:rPr>
        <w:t xml:space="preserve">subject</w:t>
      </w:r>
      <w:r>
        <w:t xml:space="preserve"> </w:t>
      </w:r>
      <w:r>
        <w:t xml:space="preserve">by</w:t>
      </w:r>
      <w:r>
        <w:t xml:space="preserve"> </w:t>
      </w:r>
      <w:r>
        <w:rPr>
          <w:rStyle w:val="VerbatimChar"/>
        </w:rPr>
        <w:t xml:space="preserve">seq</w:t>
      </w:r>
      <w:r>
        <w:t xml:space="preserve">; gaps are parked 15 minutes, then replayed, else</w:t>
      </w:r>
      <w:r>
        <w:t xml:space="preserve"> </w:t>
      </w:r>
      <w:r>
        <w:rPr>
          <w:rStyle w:val="VerbatimChar"/>
        </w:rPr>
        <w:t xml:space="preserve">ReconciliationBreakRaised</w:t>
      </w:r>
      <w:r>
        <w:t xml:space="preserve">. Replay retention ≥ 90 days (365 for collateral, recovery, ADR, litigation and DLG); owners expose</w:t>
      </w:r>
      <w:r>
        <w:t xml:space="preserve"> </w:t>
      </w:r>
      <w:r>
        <w:rPr>
          <w:rStyle w:val="VerbatimChar"/>
        </w:rPr>
        <w:t xml:space="preserve">GET /v1/[aggregate]/{id}</w:t>
      </w:r>
      <w:r>
        <w:t xml:space="preserve"> </w:t>
      </w:r>
      <w:r>
        <w:t xml:space="preserve">snapshots with the last</w:t>
      </w:r>
      <w:r>
        <w:t xml:space="preserve"> </w:t>
      </w:r>
      <w:r>
        <w:rPr>
          <w:rStyle w:val="VerbatimChar"/>
        </w:rPr>
        <w:t xml:space="preserve">seq</w:t>
      </w:r>
      <w:r>
        <w:t xml:space="preserve">.</w:t>
      </w:r>
    </w:p>
    <w:bookmarkEnd w:id="28"/>
    <w:bookmarkStart w:id="29" w:name="tokens-signatures-and-documents"/>
    <w:p>
      <w:pPr>
        <w:pStyle w:val="Heading2"/>
      </w:pPr>
      <w:r>
        <w:t xml:space="preserve">3.6 Tokens, signatures and documents</w:t>
      </w:r>
    </w:p>
    <w:p>
      <w:pPr>
        <w:numPr>
          <w:ilvl w:val="0"/>
          <w:numId w:val="1003"/>
        </w:numPr>
        <w:pStyle w:val="Compact"/>
      </w:pPr>
      <w:r>
        <w:rPr>
          <w:bCs/>
          <w:b/>
        </w:rPr>
        <w:t xml:space="preserve">Machine clients:</w:t>
      </w:r>
      <w:r>
        <w:t xml:space="preserve"> </w:t>
      </w:r>
      <w:r>
        <w:t xml:space="preserve">OAuth client credentials profiled to the OAuth 2.1 draft [VERIFY: status] and RFC 9700; certificate-bound (RFC 8705) or</w:t>
      </w:r>
      <w:r>
        <w:t xml:space="preserve"> </w:t>
      </w:r>
      <w:r>
        <w:rPr>
          <w:rStyle w:val="VerbatimChar"/>
        </w:rPr>
        <w:t xml:space="preserve">private_key_jwt</w:t>
      </w:r>
      <w:r>
        <w:t xml:space="preserve"> </w:t>
      </w:r>
      <w:r>
        <w:t xml:space="preserve">(RFC 7523); tokens ≤ 10 minutes, audience-restricted.</w:t>
      </w:r>
    </w:p>
    <w:p>
      <w:pPr>
        <w:numPr>
          <w:ilvl w:val="0"/>
          <w:numId w:val="1003"/>
        </w:numPr>
        <w:pStyle w:val="Compact"/>
      </w:pPr>
      <w:r>
        <w:rPr>
          <w:bCs/>
          <w:b/>
        </w:rPr>
        <w:t xml:space="preserve">Borrower-delegated access</w:t>
      </w:r>
      <w:r>
        <w:t xml:space="preserve"> </w:t>
      </w:r>
      <w:r>
        <w:t xml:space="preserve">(an LSP or app acting for a borrower against RE APIs, e.g. drawdowns):</w:t>
      </w:r>
      <w:r>
        <w:t xml:space="preserve"> </w:t>
      </w:r>
      <w:r>
        <w:rPr>
          <w:bCs/>
          <w:b/>
        </w:rPr>
        <w:t xml:space="preserve">FAPI 2.0 Security Profile</w:t>
      </w:r>
      <w:r>
        <w:t xml:space="preserve"> </w:t>
      </w:r>
      <w:r>
        <w:t xml:space="preserve">(Final, Feb 2025) with PAR (RFC 9126), PKCE, mTLS or DPoP (RFC 9449), passing</w:t>
      </w:r>
      <w:r>
        <w:t xml:space="preserve"> </w:t>
      </w:r>
      <w:r>
        <w:rPr>
          <w:rStyle w:val="VerbatimChar"/>
        </w:rPr>
        <w:t xml:space="preserve">acr</w:t>
      </w:r>
      <w:r>
        <w:t xml:space="preserve"> </w:t>
      </w:r>
      <w:r>
        <w:t xml:space="preserve">and</w:t>
      </w:r>
      <w:r>
        <w:t xml:space="preserve"> </w:t>
      </w:r>
      <w:r>
        <w:rPr>
          <w:rStyle w:val="VerbatimChar"/>
        </w:rPr>
        <w:t xml:space="preserve">auth_time</w:t>
      </w:r>
      <w:r>
        <w:t xml:space="preserve">.</w:t>
      </w:r>
      <w:r>
        <w:t xml:space="preserve"> </w:t>
      </w:r>
      <w:r>
        <w:rPr>
          <w:bCs/>
          <w:b/>
        </w:rPr>
        <w:t xml:space="preserve">Token exchange</w:t>
      </w:r>
      <w:r>
        <w:t xml:space="preserve"> </w:t>
      </w:r>
      <w:r>
        <w:t xml:space="preserve">(RFC 8693) for Equator launch (4.4).</w:t>
      </w:r>
    </w:p>
    <w:p>
      <w:pPr>
        <w:numPr>
          <w:ilvl w:val="0"/>
          <w:numId w:val="1003"/>
        </w:numPr>
        <w:pStyle w:val="Compact"/>
      </w:pPr>
      <w:r>
        <w:rPr>
          <w:bCs/>
          <w:b/>
        </w:rPr>
        <w:t xml:space="preserve">mTLS</w:t>
      </w:r>
      <w:r>
        <w:t xml:space="preserve"> </w:t>
      </w:r>
      <w:r>
        <w:t xml:space="preserve">with Infrabyx Ecosystem PKI certificates (separate sandbox and production CAs, ≤ 397 days, automated rotation).</w:t>
      </w:r>
    </w:p>
    <w:p>
      <w:pPr>
        <w:numPr>
          <w:ilvl w:val="0"/>
          <w:numId w:val="1003"/>
        </w:numPr>
        <w:pStyle w:val="Compact"/>
      </w:pPr>
      <w:r>
        <w:rPr>
          <w:bCs/>
          <w:b/>
        </w:rPr>
        <w:t xml:space="preserve">RFC 9421</w:t>
      </w:r>
      <w:r>
        <w:t xml:space="preserve"> </w:t>
      </w:r>
      <w:r>
        <w:t xml:space="preserve">(</w:t>
      </w:r>
      <w:r>
        <w:rPr>
          <w:rStyle w:val="VerbatimChar"/>
        </w:rPr>
        <w:t xml:space="preserve">ed25519</w:t>
      </w:r>
      <w:r>
        <w:t xml:space="preserve">) on Infrabyx-to-Infrabyx calls, webhooks and regulated messages, covering the components</w:t>
      </w:r>
      <w:r>
        <w:t xml:space="preserve"> </w:t>
      </w:r>
      <w:r>
        <w:rPr>
          <w:rStyle w:val="VerbatimChar"/>
        </w:rPr>
        <w:t xml:space="preserve">@method</w:t>
      </w:r>
      <w:r>
        <w:t xml:space="preserve">,</w:t>
      </w:r>
      <w:r>
        <w:t xml:space="preserve"> </w:t>
      </w:r>
      <w:r>
        <w:rPr>
          <w:rStyle w:val="VerbatimChar"/>
        </w:rPr>
        <w:t xml:space="preserve">@target-uri</w:t>
      </w:r>
      <w:r>
        <w:t xml:space="preserve">,</w:t>
      </w:r>
      <w:r>
        <w:t xml:space="preserve"> </w:t>
      </w:r>
      <w:r>
        <w:rPr>
          <w:rStyle w:val="VerbatimChar"/>
        </w:rPr>
        <w:t xml:space="preserve">content-digest</w:t>
      </w:r>
      <w:r>
        <w:t xml:space="preserve"> </w:t>
      </w:r>
      <w:r>
        <w:t xml:space="preserve">(RFC 9530),</w:t>
      </w:r>
      <w:r>
        <w:t xml:space="preserve"> </w:t>
      </w:r>
      <w:r>
        <w:rPr>
          <w:rStyle w:val="VerbatimChar"/>
        </w:rPr>
        <w:t xml:space="preserve">content-type</w:t>
      </w:r>
      <w:r>
        <w:t xml:space="preserve"> </w:t>
      </w:r>
      <w:r>
        <w:t xml:space="preserve">and</w:t>
      </w:r>
      <w:r>
        <w:t xml:space="preserve"> </w:t>
      </w:r>
      <w:r>
        <w:rPr>
          <w:rStyle w:val="VerbatimChar"/>
        </w:rPr>
        <w:t xml:space="preserve">idempotency-key</w:t>
      </w:r>
      <w:r>
        <w:t xml:space="preserve">, with the signature parameters</w:t>
      </w:r>
      <w:r>
        <w:t xml:space="preserve"> </w:t>
      </w:r>
      <w:r>
        <w:rPr>
          <w:rStyle w:val="VerbatimChar"/>
        </w:rPr>
        <w:t xml:space="preserve">created</w:t>
      </w:r>
      <w:r>
        <w:t xml:space="preserve">,</w:t>
      </w:r>
      <w:r>
        <w:t xml:space="preserve"> </w:t>
      </w:r>
      <w:r>
        <w:rPr>
          <w:rStyle w:val="VerbatimChar"/>
        </w:rPr>
        <w:t xml:space="preserve">keyid</w:t>
      </w:r>
      <w:r>
        <w:t xml:space="preserve"> </w:t>
      </w:r>
      <w:r>
        <w:t xml:space="preserve">and</w:t>
      </w:r>
      <w:r>
        <w:t xml:space="preserve"> </w:t>
      </w:r>
      <w:r>
        <w:rPr>
          <w:rStyle w:val="VerbatimChar"/>
        </w:rPr>
        <w:t xml:space="preserve">alg</w:t>
      </w:r>
      <w:r>
        <w:t xml:space="preserve">; keys in India KMS or HSM, JWKS per product and environment.</w:t>
      </w:r>
    </w:p>
    <w:p>
      <w:pPr>
        <w:numPr>
          <w:ilvl w:val="0"/>
          <w:numId w:val="1003"/>
        </w:numPr>
        <w:pStyle w:val="Compact"/>
      </w:pPr>
      <w:r>
        <w:rPr>
          <w:bCs/>
          <w:b/>
        </w:rPr>
        <w:t xml:space="preserve">Regulated messages</w:t>
      </w:r>
      <w:r>
        <w:t xml:space="preserve"> </w:t>
      </w:r>
      <w:r>
        <w:t xml:space="preserve">(signature mandatory and retained: RFC 9421 in transit plus a detached JWS over the CloudEvent, stored with it so the proof can be re-verified after the HTTP exchange):</w:t>
      </w:r>
      <w:r>
        <w:t xml:space="preserve"> </w:t>
      </w:r>
      <w:r>
        <w:rPr>
          <w:rStyle w:val="VerbatimChar"/>
        </w:rPr>
        <w:t xml:space="preserve">DecisionMade</w:t>
      </w:r>
      <w:r>
        <w:t xml:space="preserve">,</w:t>
      </w:r>
      <w:r>
        <w:t xml:space="preserve"> </w:t>
      </w:r>
      <w:r>
        <w:rPr>
          <w:rStyle w:val="VerbatimChar"/>
        </w:rPr>
        <w:t xml:space="preserve">KFSIssued</w:t>
      </w:r>
      <w:r>
        <w:t xml:space="preserve">,</w:t>
      </w:r>
      <w:r>
        <w:t xml:space="preserve"> </w:t>
      </w:r>
      <w:r>
        <w:rPr>
          <w:rStyle w:val="VerbatimChar"/>
        </w:rPr>
        <w:t xml:space="preserve">SanctionLetterIssued</w:t>
      </w:r>
      <w:r>
        <w:t xml:space="preserve">,</w:t>
      </w:r>
      <w:r>
        <w:t xml:space="preserve"> </w:t>
      </w:r>
      <w:r>
        <w:rPr>
          <w:rStyle w:val="VerbatimChar"/>
        </w:rPr>
        <w:t xml:space="preserve">ESignCompleted</w:t>
      </w:r>
      <w:r>
        <w:t xml:space="preserve">,</w:t>
      </w:r>
      <w:r>
        <w:t xml:space="preserve"> </w:t>
      </w:r>
      <w:r>
        <w:rPr>
          <w:rStyle w:val="VerbatimChar"/>
        </w:rPr>
        <w:t xml:space="preserve">EStampCompleted</w:t>
      </w:r>
      <w:r>
        <w:t xml:space="preserve">,</w:t>
      </w:r>
      <w:r>
        <w:t xml:space="preserve"> </w:t>
      </w:r>
      <w:r>
        <w:rPr>
          <w:rStyle w:val="VerbatimChar"/>
        </w:rPr>
        <w:t xml:space="preserve">LoanDisbursed</w:t>
      </w:r>
      <w:r>
        <w:t xml:space="preserve">,</w:t>
      </w:r>
      <w:r>
        <w:t xml:space="preserve"> </w:t>
      </w:r>
      <w:r>
        <w:rPr>
          <w:rStyle w:val="VerbatimChar"/>
        </w:rPr>
        <w:t xml:space="preserve">CollateralPledgeCreated</w:t>
      </w:r>
      <w:r>
        <w:t xml:space="preserve">,</w:t>
      </w:r>
      <w:r>
        <w:t xml:space="preserve"> </w:t>
      </w:r>
      <w:r>
        <w:rPr>
          <w:rStyle w:val="VerbatimChar"/>
        </w:rPr>
        <w:t xml:space="preserve">MarginCallRaised</w:t>
      </w:r>
      <w:r>
        <w:t xml:space="preserve">,</w:t>
      </w:r>
      <w:r>
        <w:t xml:space="preserve"> </w:t>
      </w:r>
      <w:r>
        <w:rPr>
          <w:rStyle w:val="VerbatimChar"/>
        </w:rPr>
        <w:t xml:space="preserve">CollateralInvoked</w:t>
      </w:r>
      <w:r>
        <w:t xml:space="preserve">,</w:t>
      </w:r>
      <w:r>
        <w:t xml:space="preserve"> </w:t>
      </w:r>
      <w:r>
        <w:rPr>
          <w:rStyle w:val="VerbatimChar"/>
        </w:rPr>
        <w:t xml:space="preserve">CollateralReleased</w:t>
      </w:r>
      <w:r>
        <w:t xml:space="preserve">,</w:t>
      </w:r>
      <w:r>
        <w:t xml:space="preserve"> </w:t>
      </w:r>
      <w:r>
        <w:rPr>
          <w:rStyle w:val="VerbatimChar"/>
        </w:rPr>
        <w:t xml:space="preserve">ClassificationSynced</w:t>
      </w:r>
      <w:r>
        <w:t xml:space="preserve">,</w:t>
      </w:r>
      <w:r>
        <w:t xml:space="preserve"> </w:t>
      </w:r>
      <w:r>
        <w:rPr>
          <w:rStyle w:val="VerbatimChar"/>
        </w:rPr>
        <w:t xml:space="preserve">SettlementApproved</w:t>
      </w:r>
      <w:r>
        <w:t xml:space="preserve">,</w:t>
      </w:r>
      <w:r>
        <w:t xml:space="preserve"> </w:t>
      </w:r>
      <w:r>
        <w:rPr>
          <w:rStyle w:val="VerbatimChar"/>
        </w:rPr>
        <w:t xml:space="preserve">SettlementOfferIssued</w:t>
      </w:r>
      <w:r>
        <w:t xml:space="preserve">,</w:t>
      </w:r>
      <w:r>
        <w:t xml:space="preserve"> </w:t>
      </w:r>
      <w:r>
        <w:rPr>
          <w:rStyle w:val="VerbatimChar"/>
        </w:rPr>
        <w:t xml:space="preserve">LegalNoticeIssued</w:t>
      </w:r>
      <w:r>
        <w:t xml:space="preserve">,</w:t>
      </w:r>
      <w:r>
        <w:t xml:space="preserve"> </w:t>
      </w:r>
      <w:r>
        <w:rPr>
          <w:rStyle w:val="VerbatimChar"/>
        </w:rPr>
        <w:t xml:space="preserve">ADRReferralCreated</w:t>
      </w:r>
      <w:r>
        <w:t xml:space="preserve">,</w:t>
      </w:r>
      <w:r>
        <w:t xml:space="preserve"> </w:t>
      </w:r>
      <w:r>
        <w:rPr>
          <w:rStyle w:val="VerbatimChar"/>
        </w:rPr>
        <w:t xml:space="preserve">ADRConsentRecorded</w:t>
      </w:r>
      <w:r>
        <w:t xml:space="preserve">,</w:t>
      </w:r>
      <w:r>
        <w:t xml:space="preserve"> </w:t>
      </w:r>
      <w:r>
        <w:rPr>
          <w:rStyle w:val="VerbatimChar"/>
        </w:rPr>
        <w:t xml:space="preserve">ADROutcomeRecorded</w:t>
      </w:r>
      <w:r>
        <w:t xml:space="preserve">,</w:t>
      </w:r>
      <w:r>
        <w:t xml:space="preserve"> </w:t>
      </w:r>
      <w:r>
        <w:rPr>
          <w:rStyle w:val="VerbatimChar"/>
        </w:rPr>
        <w:t xml:space="preserve">OrderRecorded</w:t>
      </w:r>
      <w:r>
        <w:t xml:space="preserve">,</w:t>
      </w:r>
      <w:r>
        <w:t xml:space="preserve"> </w:t>
      </w:r>
      <w:r>
        <w:rPr>
          <w:rStyle w:val="VerbatimChar"/>
        </w:rPr>
        <w:t xml:space="preserve">RecoveryReceiptPosted</w:t>
      </w:r>
      <w:r>
        <w:t xml:space="preserve">.</w:t>
      </w:r>
    </w:p>
    <w:p>
      <w:pPr>
        <w:numPr>
          <w:ilvl w:val="0"/>
          <w:numId w:val="1003"/>
        </w:numPr>
        <w:pStyle w:val="Compact"/>
      </w:pPr>
      <w:r>
        <w:rPr>
          <w:bCs/>
          <w:b/>
        </w:rPr>
        <w:t xml:space="preserve">Documents</w:t>
      </w:r>
      <w:r>
        <w:t xml:space="preserve"> </w:t>
      </w:r>
      <w:r>
        <w:t xml:space="preserve">travel by reference (</w:t>
      </w:r>
      <w:r>
        <w:rPr>
          <w:rStyle w:val="VerbatimChar"/>
        </w:rPr>
        <w:t xml:space="preserve">document_id</w:t>
      </w:r>
      <w:r>
        <w:t xml:space="preserve">,</w:t>
      </w:r>
      <w:r>
        <w:t xml:space="preserve"> </w:t>
      </w:r>
      <w:r>
        <w:rPr>
          <w:rStyle w:val="VerbatimChar"/>
        </w:rPr>
        <w:t xml:space="preserve">sha256</w:t>
      </w:r>
      <w:r>
        <w:t xml:space="preserve">) with a</w:t>
      </w:r>
      <w:r>
        <w:t xml:space="preserve"> </w:t>
      </w:r>
      <w:r>
        <w:rPr>
          <w:bCs/>
          <w:b/>
        </w:rPr>
        <w:t xml:space="preserve">detached JWS</w:t>
      </w:r>
      <w:r>
        <w:t xml:space="preserve"> </w:t>
      </w:r>
      <w:r>
        <w:t xml:space="preserve">(RFC 7515, 7797) for transfer integrity; legal effect rests on the document’s own eSign, DSC or PAdES signature and e-stamp.</w:t>
      </w:r>
    </w:p>
    <w:bookmarkEnd w:id="29"/>
    <w:bookmarkStart w:id="30" w:name="sandbox-and-certification"/>
    <w:p>
      <w:pPr>
        <w:pStyle w:val="Heading2"/>
      </w:pPr>
      <w:r>
        <w:t xml:space="preserve">3.7 Sandbox and certification</w:t>
      </w:r>
    </w:p>
    <w:p>
      <w:pPr>
        <w:pStyle w:val="FirstParagraph"/>
      </w:pPr>
      <w:r>
        <w:t xml:space="preserve">Per-counterparty sandbox: synthetic data, rail mocks, personas per product and recovery path, a time-travel clock for statutory deadlines. Real data only after the suite (14.3) passes and</w:t>
      </w:r>
      <w:r>
        <w:t xml:space="preserve"> </w:t>
      </w:r>
      <w:r>
        <w:rPr>
          <w:rStyle w:val="VerbatimChar"/>
        </w:rPr>
        <w:t xml:space="preserve">ConnectorCertified</w:t>
      </w:r>
      <w:r>
        <w:t xml:space="preserve"> </w:t>
      </w:r>
      <w:r>
        <w:t xml:space="preserve">is emitted; recertify on schema, hosting, key or sub-processor change and annually.</w:t>
      </w:r>
    </w:p>
    <w:bookmarkEnd w:id="30"/>
    <w:bookmarkStart w:id="31" w:name="service-levels"/>
    <w:p>
      <w:pPr>
        <w:pStyle w:val="Heading2"/>
      </w:pPr>
      <w:r>
        <w:t xml:space="preserve">3.8 Service levels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964"/>
        <w:gridCol w:w="4471"/>
        <w:gridCol w:w="2203"/>
      </w:tblGrid>
      <w:tr>
        <w:trPr>
          <w:tblHeader w:val="true"/>
          <w:tblHeader w:val="true"/>
        </w:trPr>
        <w:tc>
          <w:tcPr>
            <w:tcW w:w="2964" w:type="dxa"/>
            <w:shd w:val="clear" w:color="auto" w:fill="1F3A5F"/>
          </w:tcPr>
          <w:p>
            <w:pPr>
              <w:pStyle w:val="Compact"/>
              <w:spacing w:after="40"/>
              <w:jc w:val="left"/>
            </w:pPr>
            <w:r>
              <w:rPr>
                <w:b/>
                <w:color w:val="FFFFFF"/>
                <w:sz w:val="18"/>
              </w:rPr>
              <w:t xml:space="preserve">Measure</w:t>
            </w:r>
          </w:p>
        </w:tc>
        <w:tc>
          <w:tcPr>
            <w:tcW w:w="4471" w:type="dxa"/>
            <w:shd w:val="clear" w:color="auto" w:fill="1F3A5F"/>
          </w:tcPr>
          <w:p>
            <w:pPr>
              <w:pStyle w:val="Compact"/>
              <w:spacing w:after="40"/>
              <w:jc w:val="left"/>
            </w:pPr>
            <w:r>
              <w:rPr>
                <w:b/>
                <w:color w:val="FFFFFF"/>
                <w:sz w:val="18"/>
              </w:rPr>
              <w:t xml:space="preserve">Target</w:t>
            </w:r>
          </w:p>
        </w:tc>
        <w:tc>
          <w:tcPr>
            <w:tcW w:w="2203" w:type="dxa"/>
            <w:shd w:val="clear" w:color="auto" w:fill="1F3A5F"/>
          </w:tcPr>
          <w:p>
            <w:pPr>
              <w:pStyle w:val="Compact"/>
              <w:spacing w:after="40"/>
              <w:jc w:val="left"/>
            </w:pPr>
            <w:r>
              <w:rPr>
                <w:b/>
                <w:color w:val="FFFFFF"/>
                <w:sz w:val="18"/>
              </w:rPr>
              <w:t xml:space="preserve">Basis</w:t>
            </w:r>
          </w:p>
        </w:tc>
      </w:tr>
      <w:tr>
        <w:tc>
          <w:tcPr>
            <w:tcW w:w="2964" w:type="dxa"/>
          </w:tcPr>
          <w:p>
            <w:pPr>
              <w:pStyle w:val="Compact"/>
              <w:spacing w:after="40"/>
              <w:jc w:val="left"/>
            </w:pPr>
            <w:r>
              <w:rPr>
                <w:sz w:val="18"/>
              </w:rPr>
              <w:t xml:space="preserve">Event delivery (</w:t>
            </w:r>
            <w:r>
              <w:rPr>
                <w:sz w:val="18"/>
              </w:rPr>
              <w:t xml:space="preserve">“</w:t>
            </w:r>
            <w:r>
              <w:rPr>
                <w:sz w:val="18"/>
              </w:rPr>
              <w:t xml:space="preserve">std</w:t>
            </w:r>
            <w:r>
              <w:rPr>
                <w:sz w:val="18"/>
              </w:rPr>
              <w:t xml:space="preserve">”</w:t>
            </w:r>
            <w:r>
              <w:rPr>
                <w:sz w:val="18"/>
              </w:rPr>
              <w:t xml:space="preserve">)</w:t>
            </w:r>
          </w:p>
        </w:tc>
        <w:tc>
          <w:tcPr>
            <w:tcW w:w="4471" w:type="dxa"/>
          </w:tcPr>
          <w:p>
            <w:pPr>
              <w:pStyle w:val="Compact"/>
              <w:spacing w:after="40"/>
              <w:jc w:val="left"/>
            </w:pPr>
            <w:r>
              <w:rPr>
                <w:sz w:val="18"/>
              </w:rPr>
              <w:t xml:space="preserve">Outbox lag p95 ≤ 30 s; delivery p95 ≤ 5 min; retries 72 h then DLQ</w:t>
            </w:r>
          </w:p>
        </w:tc>
        <w:tc>
          <w:tcPr>
            <w:tcW w:w="2203" w:type="dxa"/>
          </w:tcPr>
          <w:p>
            <w:pPr>
              <w:pStyle w:val="Compact"/>
              <w:spacing w:after="40"/>
              <w:jc w:val="left"/>
            </w:pPr>
            <w:r>
              <w:rPr>
                <w:sz w:val="18"/>
              </w:rPr>
              <w:t xml:space="preserve">[REC]</w:t>
            </w:r>
          </w:p>
        </w:tc>
      </w:tr>
      <w:tr>
        <w:tc>
          <w:tcPr>
            <w:tcW w:w="2964" w:type="dxa"/>
          </w:tcPr>
          <w:p>
            <w:pPr>
              <w:pStyle w:val="Compact"/>
              <w:spacing w:after="40"/>
              <w:jc w:val="left"/>
            </w:pPr>
            <w:r>
              <w:rPr>
                <w:sz w:val="18"/>
              </w:rPr>
              <w:t xml:space="preserve">Synchronous APIs</w:t>
            </w:r>
          </w:p>
        </w:tc>
        <w:tc>
          <w:tcPr>
            <w:tcW w:w="4471" w:type="dxa"/>
          </w:tcPr>
          <w:p>
            <w:pPr>
              <w:pStyle w:val="Compact"/>
              <w:spacing w:after="40"/>
              <w:jc w:val="left"/>
            </w:pPr>
            <w:r>
              <w:rPr>
                <w:sz w:val="18"/>
              </w:rPr>
              <w:t xml:space="preserve">p95 ≤ 800 ms excluding third parties;</w:t>
            </w:r>
            <w:r>
              <w:rPr>
                <w:sz w:val="18"/>
              </w:rPr>
              <w:t xml:space="preserve"> </w:t>
            </w:r>
            <w:r>
              <w:rPr>
                <w:rStyle w:val="VerbatimChar"/>
                <w:sz w:val="18"/>
              </w:rPr>
              <w:t xml:space="preserve">EligibilityCheck</w:t>
            </w:r>
            <w:r>
              <w:rPr>
                <w:sz w:val="18"/>
              </w:rPr>
              <w:t xml:space="preserve"> </w:t>
            </w:r>
            <w:r>
              <w:rPr>
                <w:sz w:val="18"/>
              </w:rPr>
              <w:t xml:space="preserve">≤ 3 s</w:t>
            </w:r>
          </w:p>
        </w:tc>
        <w:tc>
          <w:tcPr>
            <w:tcW w:w="2203" w:type="dxa"/>
          </w:tcPr>
          <w:p>
            <w:pPr>
              <w:pStyle w:val="Compact"/>
              <w:spacing w:after="40"/>
              <w:jc w:val="left"/>
            </w:pPr>
            <w:r>
              <w:rPr>
                <w:sz w:val="18"/>
              </w:rPr>
              <w:t xml:space="preserve">Finbyx Part 10.3</w:t>
            </w:r>
          </w:p>
        </w:tc>
      </w:tr>
      <w:tr>
        <w:tc>
          <w:tcPr>
            <w:tcW w:w="2964" w:type="dxa"/>
          </w:tcPr>
          <w:p>
            <w:pPr>
              <w:pStyle w:val="Compact"/>
              <w:spacing w:after="40"/>
              <w:jc w:val="left"/>
            </w:pPr>
            <w:r>
              <w:rPr>
                <w:sz w:val="18"/>
              </w:rPr>
              <w:t xml:space="preserve">Availability</w:t>
            </w:r>
          </w:p>
        </w:tc>
        <w:tc>
          <w:tcPr>
            <w:tcW w:w="4471" w:type="dxa"/>
          </w:tcPr>
          <w:p>
            <w:pPr>
              <w:pStyle w:val="Compact"/>
              <w:spacing w:after="40"/>
              <w:jc w:val="left"/>
            </w:pPr>
            <w:r>
              <w:rPr>
                <w:sz w:val="18"/>
              </w:rPr>
              <w:t xml:space="preserve">Finbyx, Udofin 99.9%; Equator, LawDocsComply 99.5% monthly</w:t>
            </w:r>
          </w:p>
        </w:tc>
        <w:tc>
          <w:tcPr>
            <w:tcW w:w="2203" w:type="dxa"/>
          </w:tcPr>
          <w:p>
            <w:pPr>
              <w:pStyle w:val="Compact"/>
              <w:spacing w:after="40"/>
              <w:jc w:val="left"/>
            </w:pPr>
            <w:r>
              <w:rPr>
                <w:sz w:val="18"/>
              </w:rPr>
              <w:t xml:space="preserve">[REC]</w:t>
            </w:r>
          </w:p>
        </w:tc>
      </w:tr>
      <w:tr>
        <w:tc>
          <w:tcPr>
            <w:tcW w:w="2964" w:type="dxa"/>
          </w:tcPr>
          <w:p>
            <w:pPr>
              <w:pStyle w:val="Compact"/>
              <w:spacing w:after="40"/>
              <w:jc w:val="left"/>
            </w:pPr>
            <w:r>
              <w:rPr>
                <w:sz w:val="18"/>
              </w:rPr>
              <w:t xml:space="preserve">Co-lender classification sync</w:t>
            </w:r>
          </w:p>
        </w:tc>
        <w:tc>
          <w:tcPr>
            <w:tcW w:w="4471" w:type="dxa"/>
          </w:tcPr>
          <w:p>
            <w:pPr>
              <w:pStyle w:val="Compact"/>
              <w:spacing w:after="40"/>
              <w:jc w:val="left"/>
            </w:pPr>
            <w:r>
              <w:rPr>
                <w:sz w:val="18"/>
              </w:rPr>
              <w:t xml:space="preserve">By 23:59 IST next working day</w:t>
            </w:r>
          </w:p>
        </w:tc>
        <w:tc>
          <w:tcPr>
            <w:tcW w:w="2203" w:type="dxa"/>
          </w:tcPr>
          <w:p>
            <w:pPr>
              <w:pStyle w:val="Compact"/>
              <w:spacing w:after="40"/>
              <w:jc w:val="left"/>
            </w:pPr>
            <w:r>
              <w:rPr>
                <w:sz w:val="18"/>
              </w:rPr>
              <w:t xml:space="preserve">TDCR para 124</w:t>
            </w:r>
          </w:p>
        </w:tc>
      </w:tr>
      <w:tr>
        <w:tc>
          <w:tcPr>
            <w:tcW w:w="2964" w:type="dxa"/>
          </w:tcPr>
          <w:p>
            <w:pPr>
              <w:pStyle w:val="Compact"/>
              <w:spacing w:after="40"/>
              <w:jc w:val="left"/>
            </w:pPr>
            <w:r>
              <w:rPr>
                <w:sz w:val="18"/>
              </w:rPr>
              <w:t xml:space="preserve">Agent cash posting</w:t>
            </w:r>
          </w:p>
        </w:tc>
        <w:tc>
          <w:tcPr>
            <w:tcW w:w="4471" w:type="dxa"/>
          </w:tcPr>
          <w:p>
            <w:pPr>
              <w:pStyle w:val="Compact"/>
              <w:spacing w:after="40"/>
              <w:jc w:val="left"/>
            </w:pPr>
            <w:r>
              <w:rPr>
                <w:sz w:val="18"/>
              </w:rPr>
              <w:t xml:space="preserve">Same day</w:t>
            </w:r>
          </w:p>
        </w:tc>
        <w:tc>
          <w:tcPr>
            <w:tcW w:w="2203" w:type="dxa"/>
          </w:tcPr>
          <w:p>
            <w:pPr>
              <w:pStyle w:val="Compact"/>
              <w:spacing w:after="40"/>
              <w:jc w:val="left"/>
            </w:pPr>
            <w:r>
              <w:rPr>
                <w:sz w:val="18"/>
              </w:rPr>
              <w:t xml:space="preserve">CF para 10(5)</w:t>
            </w:r>
          </w:p>
        </w:tc>
      </w:tr>
      <w:tr>
        <w:tc>
          <w:tcPr>
            <w:tcW w:w="2964" w:type="dxa"/>
          </w:tcPr>
          <w:p>
            <w:pPr>
              <w:pStyle w:val="Compact"/>
              <w:spacing w:after="40"/>
              <w:jc w:val="left"/>
            </w:pPr>
            <w:r>
              <w:rPr>
                <w:sz w:val="18"/>
              </w:rPr>
              <w:t xml:space="preserve">Provider incident to RE</w:t>
            </w:r>
          </w:p>
        </w:tc>
        <w:tc>
          <w:tcPr>
            <w:tcW w:w="4471" w:type="dxa"/>
          </w:tcPr>
          <w:p>
            <w:pPr>
              <w:pStyle w:val="Compact"/>
              <w:spacing w:after="40"/>
              <w:jc w:val="left"/>
            </w:pPr>
            <w:r>
              <w:rPr>
                <w:sz w:val="18"/>
              </w:rPr>
              <w:t xml:space="preserve">≤ 2 h, so the RE reports within 6 h of provider detection</w:t>
            </w:r>
          </w:p>
        </w:tc>
        <w:tc>
          <w:tcPr>
            <w:tcW w:w="2203" w:type="dxa"/>
          </w:tcPr>
          <w:p>
            <w:pPr>
              <w:pStyle w:val="Compact"/>
              <w:spacing w:after="40"/>
              <w:jc w:val="left"/>
            </w:pPr>
            <w:r>
              <w:rPr>
                <w:sz w:val="18"/>
              </w:rPr>
              <w:t xml:space="preserve">OUT para 61</w:t>
            </w:r>
          </w:p>
        </w:tc>
      </w:tr>
      <w:tr>
        <w:tc>
          <w:tcPr>
            <w:tcW w:w="2964" w:type="dxa"/>
          </w:tcPr>
          <w:p>
            <w:pPr>
              <w:pStyle w:val="Compact"/>
              <w:spacing w:after="40"/>
              <w:jc w:val="left"/>
            </w:pPr>
            <w:r>
              <w:rPr>
                <w:sz w:val="18"/>
              </w:rPr>
              <w:t xml:space="preserve">Daily reconciliation file</w:t>
            </w:r>
          </w:p>
        </w:tc>
        <w:tc>
          <w:tcPr>
            <w:tcW w:w="4471" w:type="dxa"/>
          </w:tcPr>
          <w:p>
            <w:pPr>
              <w:pStyle w:val="Compact"/>
              <w:spacing w:after="40"/>
              <w:jc w:val="left"/>
            </w:pPr>
            <w:r>
              <w:rPr>
                <w:sz w:val="18"/>
              </w:rPr>
              <w:t xml:space="preserve">By 06:00 IST</w:t>
            </w:r>
          </w:p>
        </w:tc>
        <w:tc>
          <w:tcPr>
            <w:tcW w:w="2203" w:type="dxa"/>
          </w:tcPr>
          <w:p>
            <w:pPr>
              <w:pStyle w:val="Compact"/>
              <w:spacing w:after="40"/>
              <w:jc w:val="left"/>
            </w:pPr>
            <w:r>
              <w:rPr>
                <w:sz w:val="18"/>
              </w:rPr>
              <w:t xml:space="preserve">[REC]</w:t>
            </w:r>
          </w:p>
        </w:tc>
      </w:tr>
    </w:tbl>
    <w:bookmarkEnd w:id="31"/>
    <w:bookmarkStart w:id="32" w:name="error-model"/>
    <w:p>
      <w:pPr>
        <w:pStyle w:val="Heading2"/>
      </w:pPr>
      <w:r>
        <w:t xml:space="preserve">3.9 Error model</w:t>
      </w:r>
    </w:p>
    <w:p>
      <w:pPr>
        <w:pStyle w:val="FirstParagraph"/>
      </w:pPr>
      <w:r>
        <w:t xml:space="preserve">RFC 9457 problem details:</w:t>
      </w:r>
      <w:r>
        <w:t xml:space="preserve"> </w:t>
      </w:r>
      <w:r>
        <w:rPr>
          <w:rStyle w:val="VerbatimChar"/>
        </w:rPr>
        <w:t xml:space="preserve">type</w:t>
      </w:r>
      <w:r>
        <w:t xml:space="preserve"> </w:t>
      </w:r>
      <w:r>
        <w:rPr>
          <w:rStyle w:val="VerbatimChar"/>
        </w:rPr>
        <w:t xml:space="preserve">[registry-base]/problems/[code]</w:t>
      </w:r>
      <w:r>
        <w:t xml:space="preserve">,</w:t>
      </w:r>
      <w:r>
        <w:t xml:space="preserve"> </w:t>
      </w:r>
      <w:r>
        <w:rPr>
          <w:rStyle w:val="VerbatimChar"/>
        </w:rPr>
        <w:t xml:space="preserve">title</w:t>
      </w:r>
      <w:r>
        <w:t xml:space="preserve">,</w:t>
      </w:r>
      <w:r>
        <w:t xml:space="preserve"> </w:t>
      </w:r>
      <w:r>
        <w:rPr>
          <w:rStyle w:val="VerbatimChar"/>
        </w:rPr>
        <w:t xml:space="preserve">status</w:t>
      </w:r>
      <w:r>
        <w:t xml:space="preserve">,</w:t>
      </w:r>
      <w:r>
        <w:t xml:space="preserve"> </w:t>
      </w:r>
      <w:r>
        <w:rPr>
          <w:rStyle w:val="VerbatimChar"/>
        </w:rPr>
        <w:t xml:space="preserve">detail</w:t>
      </w:r>
      <w:r>
        <w:t xml:space="preserve"> </w:t>
      </w:r>
      <w:r>
        <w:t xml:space="preserve">(no personal data),</w:t>
      </w:r>
      <w:r>
        <w:t xml:space="preserve"> </w:t>
      </w:r>
      <w:r>
        <w:rPr>
          <w:rStyle w:val="VerbatimChar"/>
        </w:rPr>
        <w:t xml:space="preserve">instance</w:t>
      </w:r>
      <w:r>
        <w:t xml:space="preserve">,</w:t>
      </w:r>
      <w:r>
        <w:t xml:space="preserve"> </w:t>
      </w:r>
      <w:r>
        <w:rPr>
          <w:rStyle w:val="VerbatimChar"/>
        </w:rPr>
        <w:t xml:space="preserve">code</w:t>
      </w:r>
      <w:r>
        <w:t xml:space="preserve">,</w:t>
      </w:r>
      <w:r>
        <w:t xml:space="preserve"> </w:t>
      </w:r>
      <w:r>
        <w:rPr>
          <w:rStyle w:val="VerbatimChar"/>
        </w:rPr>
        <w:t xml:space="preserve">correlation_id</w:t>
      </w:r>
      <w:r>
        <w:t xml:space="preserve">,</w:t>
      </w:r>
      <w:r>
        <w:t xml:space="preserve"> </w:t>
      </w:r>
      <w:r>
        <w:rPr>
          <w:rStyle w:val="VerbatimChar"/>
        </w:rPr>
        <w:t xml:space="preserve">retryable</w:t>
      </w:r>
      <w:r>
        <w:t xml:space="preserve">,</w:t>
      </w:r>
      <w:r>
        <w:t xml:space="preserve"> </w:t>
      </w:r>
      <w:r>
        <w:rPr>
          <w:rStyle w:val="VerbatimChar"/>
        </w:rPr>
        <w:t xml:space="preserve">errors[]</w:t>
      </w:r>
      <w:r>
        <w:t xml:space="preserve"> </w:t>
      </w:r>
      <w:r>
        <w:t xml:space="preserve">(JSON Pointers). Codes:</w:t>
      </w:r>
      <w:r>
        <w:t xml:space="preserve"> </w:t>
      </w:r>
      <w:r>
        <w:rPr>
          <w:rStyle w:val="VerbatimChar"/>
        </w:rPr>
        <w:t xml:space="preserve">schema-validation-failed</w:t>
      </w:r>
      <w:r>
        <w:t xml:space="preserve"> </w:t>
      </w:r>
      <w:r>
        <w:t xml:space="preserve">422,</w:t>
      </w:r>
      <w:r>
        <w:t xml:space="preserve"> </w:t>
      </w:r>
      <w:r>
        <w:rPr>
          <w:rStyle w:val="VerbatimChar"/>
        </w:rPr>
        <w:t xml:space="preserve">consent-missing</w:t>
      </w:r>
      <w:r>
        <w:t xml:space="preserve"> </w:t>
      </w:r>
      <w:r>
        <w:t xml:space="preserve">403,</w:t>
      </w:r>
      <w:r>
        <w:t xml:space="preserve"> </w:t>
      </w:r>
      <w:r>
        <w:rPr>
          <w:rStyle w:val="VerbatimChar"/>
        </w:rPr>
        <w:t xml:space="preserve">scope-insufficient</w:t>
      </w:r>
      <w:r>
        <w:t xml:space="preserve"> </w:t>
      </w:r>
      <w:r>
        <w:t xml:space="preserve">403,</w:t>
      </w:r>
      <w:r>
        <w:t xml:space="preserve"> </w:t>
      </w:r>
      <w:r>
        <w:rPr>
          <w:rStyle w:val="VerbatimChar"/>
        </w:rPr>
        <w:t xml:space="preserve">tenant-unknown</w:t>
      </w:r>
      <w:r>
        <w:t xml:space="preserve"> </w:t>
      </w:r>
      <w:r>
        <w:t xml:space="preserve">404,</w:t>
      </w:r>
      <w:r>
        <w:t xml:space="preserve"> </w:t>
      </w:r>
      <w:r>
        <w:rPr>
          <w:rStyle w:val="VerbatimChar"/>
        </w:rPr>
        <w:t xml:space="preserve">idempotency-key-reuse</w:t>
      </w:r>
      <w:r>
        <w:t xml:space="preserve"> </w:t>
      </w:r>
      <w:r>
        <w:t xml:space="preserve">422,</w:t>
      </w:r>
      <w:r>
        <w:t xml:space="preserve"> </w:t>
      </w:r>
      <w:r>
        <w:rPr>
          <w:rStyle w:val="VerbatimChar"/>
        </w:rPr>
        <w:t xml:space="preserve">request-in-progress</w:t>
      </w:r>
      <w:r>
        <w:t xml:space="preserve"> </w:t>
      </w:r>
      <w:r>
        <w:t xml:space="preserve">409,</w:t>
      </w:r>
      <w:r>
        <w:t xml:space="preserve"> </w:t>
      </w:r>
      <w:r>
        <w:rPr>
          <w:rStyle w:val="VerbatimChar"/>
        </w:rPr>
        <w:t xml:space="preserve">state-transition-invalid</w:t>
      </w:r>
      <w:r>
        <w:t xml:space="preserve"> </w:t>
      </w:r>
      <w:r>
        <w:t xml:space="preserve">409,</w:t>
      </w:r>
      <w:r>
        <w:t xml:space="preserve"> </w:t>
      </w:r>
      <w:r>
        <w:rPr>
          <w:rStyle w:val="VerbatimChar"/>
        </w:rPr>
        <w:t xml:space="preserve">regulatory-guard</w:t>
      </w:r>
      <w:r>
        <w:t xml:space="preserve"> </w:t>
      </w:r>
      <w:r>
        <w:t xml:space="preserve">422 (names rule and citation, e.g. LSP-controlled account, un-notified NBFC attempting SARFAESI, referral without arbitration basis),</w:t>
      </w:r>
      <w:r>
        <w:t xml:space="preserve"> </w:t>
      </w:r>
      <w:r>
        <w:rPr>
          <w:rStyle w:val="VerbatimChar"/>
        </w:rPr>
        <w:t xml:space="preserve">rate-limited</w:t>
      </w:r>
      <w:r>
        <w:t xml:space="preserve"> </w:t>
      </w:r>
      <w:r>
        <w:t xml:space="preserve">429,</w:t>
      </w:r>
      <w:r>
        <w:t xml:space="preserve"> </w:t>
      </w:r>
      <w:r>
        <w:rPr>
          <w:rStyle w:val="VerbatimChar"/>
        </w:rPr>
        <w:t xml:space="preserve">dependency-unavailable</w:t>
      </w:r>
      <w:r>
        <w:t xml:space="preserve"> </w:t>
      </w:r>
      <w:r>
        <w:t xml:space="preserve">503.</w:t>
      </w:r>
    </w:p>
    <w:bookmarkEnd w:id="32"/>
    <w:bookmarkStart w:id="33" w:name="rate-limits-and-observability"/>
    <w:p>
      <w:pPr>
        <w:pStyle w:val="Heading2"/>
      </w:pPr>
      <w:r>
        <w:t xml:space="preserve">3.10 Rate limits and observability</w:t>
      </w:r>
    </w:p>
    <w:p>
      <w:pPr>
        <w:pStyle w:val="FirstParagraph"/>
      </w:pPr>
      <w:r>
        <w:t xml:space="preserve">Token buckets per client, tenant and operation class, advertised in</w:t>
      </w:r>
      <w:r>
        <w:t xml:space="preserve"> </w:t>
      </w:r>
      <w:r>
        <w:rPr>
          <w:rStyle w:val="VerbatimChar"/>
        </w:rPr>
        <w:t xml:space="preserve">RateLimit</w:t>
      </w:r>
      <w:r>
        <w:t xml:space="preserve"> </w:t>
      </w:r>
      <w:r>
        <w:t xml:space="preserve">headers [VERIFY: draft header names]; regulated commands never share a bucket with bulk reads. OpenTelemetry to India collectors without personal data; integration monitors (Finbyx M21, Udofin U21) show health, latency, errors, DLQ depth and certification status.</w:t>
      </w:r>
    </w:p>
    <w:bookmarkEnd w:id="33"/>
    <w:bookmarkStart w:id="34" w:name="file-transfer-fallback"/>
    <w:p>
      <w:pPr>
        <w:pStyle w:val="Heading2"/>
      </w:pPr>
      <w:r>
        <w:t xml:space="preserve">3.11 File-transfer fallback</w:t>
      </w:r>
    </w:p>
    <w:p>
      <w:pPr>
        <w:pStyle w:val="FirstParagraph"/>
      </w:pPr>
      <w:r>
        <w:t xml:space="preserve">SFTP from allow-listed Indian IPs or signed-URL upload; CloudEvents batches (</w:t>
      </w:r>
      <w:r>
        <w:rPr>
          <w:rStyle w:val="VerbatimChar"/>
        </w:rPr>
        <w:t xml:space="preserve">application/cloudevents-batch+json</w:t>
      </w:r>
      <w:r>
        <w:t xml:space="preserve">), NDJSON or registered CSV/XML layouts (Part 12); a manifest (layout, version, count, control totals, period, SHA-256) signed by detached JWS; an acknowledgement file of accepted and rejected records. Name:</w:t>
      </w:r>
      <w:r>
        <w:t xml:space="preserve"> </w:t>
      </w:r>
      <w:r>
        <w:rPr>
          <w:rStyle w:val="VerbatimChar"/>
        </w:rPr>
        <w:t xml:space="preserve">[producer]_[reid]_[layoutid]_v[major]_[yyyymmdd]_[seq].[ext]</w:t>
      </w:r>
      <w:r>
        <w:t xml:space="preserve">.</w:t>
      </w:r>
    </w:p>
    <w:p>
      <w:r>
        <w:pict>
          <v:rect style="width:0;height:1.5pt" o:hralign="center" o:hrstd="t" o:hr="t"/>
        </w:pict>
      </w:r>
    </w:p>
    <w:bookmarkEnd w:id="34"/>
    <w:bookmarkEnd w:id="35"/>
    <w:bookmarkStart w:id="41" w:name="X70295abda8acc015438fb4fae0f360718afa983"/>
    <w:p>
      <w:pPr>
        <w:pStyle w:val="Heading1"/>
      </w:pPr>
      <w:r>
        <w:t xml:space="preserve">4 — IDENTITY, TENANCY AND ACCESS ACROSS PRODUCTS</w:t>
      </w:r>
    </w:p>
    <w:bookmarkStart w:id="36" w:name="organisations-tenants-and-re-identifiers"/>
    <w:p>
      <w:pPr>
        <w:pStyle w:val="Heading2"/>
      </w:pPr>
      <w:r>
        <w:t xml:space="preserve">4.1 Organisations, tenants and RE identifiers</w:t>
      </w:r>
    </w:p>
    <w:p>
      <w:pPr>
        <w:numPr>
          <w:ilvl w:val="0"/>
          <w:numId w:val="1004"/>
        </w:numPr>
        <w:pStyle w:val="Compact"/>
      </w:pPr>
      <w:r>
        <w:rPr>
          <w:bCs/>
          <w:b/>
        </w:rPr>
        <w:t xml:space="preserve">Organisation registry:</w:t>
      </w:r>
      <w:r>
        <w:t xml:space="preserve"> </w:t>
      </w:r>
      <w:r>
        <w:t xml:space="preserve">one</w:t>
      </w:r>
      <w:r>
        <w:t xml:space="preserve"> </w:t>
      </w:r>
      <w:r>
        <w:rPr>
          <w:rStyle w:val="VerbatimChar"/>
        </w:rPr>
        <w:t xml:space="preserve">org_id</w:t>
      </w:r>
      <w:r>
        <w:t xml:space="preserve"> </w:t>
      </w:r>
      <w:r>
        <w:t xml:space="preserve">per legal organisation (name, constitution, CIN, masked PAN, GSTIN, LEI,</w:t>
      </w:r>
      <w:r>
        <w:t xml:space="preserve"> </w:t>
      </w:r>
      <w:r>
        <w:rPr>
          <w:rStyle w:val="VerbatimChar"/>
        </w:rPr>
        <w:t xml:space="preserve">group_id</w:t>
      </w:r>
      <w:r>
        <w:t xml:space="preserve">, role flags</w:t>
      </w:r>
      <w:r>
        <w:t xml:space="preserve"> </w:t>
      </w:r>
      <w:r>
        <w:rPr>
          <w:rStyle w:val="VerbatimChar"/>
        </w:rPr>
        <w:t xml:space="preserve">is_re</w:t>
      </w:r>
      <w:r>
        <w:t xml:space="preserve">,</w:t>
      </w:r>
      <w:r>
        <w:t xml:space="preserve"> </w:t>
      </w:r>
      <w:r>
        <w:rPr>
          <w:rStyle w:val="VerbatimChar"/>
        </w:rPr>
        <w:t xml:space="preserve">is_lsp</w:t>
      </w:r>
      <w:r>
        <w:t xml:space="preserve">,</w:t>
      </w:r>
      <w:r>
        <w:t xml:space="preserve"> </w:t>
      </w:r>
      <w:r>
        <w:rPr>
          <w:rStyle w:val="VerbatimChar"/>
        </w:rPr>
        <w:t xml:space="preserve">is_odr_institution</w:t>
      </w:r>
      <w:r>
        <w:t xml:space="preserve">,</w:t>
      </w:r>
      <w:r>
        <w:t xml:space="preserve"> </w:t>
      </w:r>
      <w:r>
        <w:rPr>
          <w:rStyle w:val="VerbatimChar"/>
        </w:rPr>
        <w:t xml:space="preserve">is_service_provider</w:t>
      </w:r>
      <w:r>
        <w:t xml:space="preserve">). Groups drive LawDocsComply group mode and group-outsourcing controls (OUT paras 45–51, 90–92).</w:t>
      </w:r>
    </w:p>
    <w:p>
      <w:pPr>
        <w:numPr>
          <w:ilvl w:val="0"/>
          <w:numId w:val="1004"/>
        </w:numPr>
        <w:pStyle w:val="Compact"/>
      </w:pPr>
      <w:r>
        <w:rPr>
          <w:bCs/>
          <w:b/>
        </w:rPr>
        <w:t xml:space="preserve">Tenant map:</w:t>
      </w:r>
      <w:r>
        <w:t xml:space="preserve"> </w:t>
      </w:r>
      <w:r>
        <w:t xml:space="preserve">each product maps its</w:t>
      </w:r>
      <w:r>
        <w:t xml:space="preserve"> </w:t>
      </w:r>
      <w:r>
        <w:rPr>
          <w:rStyle w:val="VerbatimChar"/>
        </w:rPr>
        <w:t xml:space="preserve">tenantid</w:t>
      </w:r>
      <w:r>
        <w:t xml:space="preserve"> </w:t>
      </w:r>
      <w:r>
        <w:t xml:space="preserve">to</w:t>
      </w:r>
      <w:r>
        <w:t xml:space="preserve"> </w:t>
      </w:r>
      <w:r>
        <w:rPr>
          <w:rStyle w:val="VerbatimChar"/>
        </w:rPr>
        <w:t xml:space="preserve">org_id</w:t>
      </w:r>
      <w:r>
        <w:t xml:space="preserve"> </w:t>
      </w:r>
      <w:r>
        <w:t xml:space="preserve">(with environment, status and effective dates), served by</w:t>
      </w:r>
      <w:r>
        <w:t xml:space="preserve"> </w:t>
      </w:r>
      <w:r>
        <w:rPr>
          <w:rStyle w:val="VerbatimChar"/>
        </w:rPr>
        <w:t xml:space="preserve">GET /v1/tenant-map</w:t>
      </w:r>
      <w:r>
        <w:t xml:space="preserve"> </w:t>
      </w:r>
      <w:r>
        <w:t xml:space="preserve">to authorised counterparts only.</w:t>
      </w:r>
    </w:p>
    <w:p>
      <w:pPr>
        <w:numPr>
          <w:ilvl w:val="0"/>
          <w:numId w:val="1004"/>
        </w:numPr>
        <w:pStyle w:val="Compact"/>
      </w:pPr>
      <w:r>
        <w:rPr>
          <w:bCs/>
          <w:b/>
        </w:rPr>
        <w:t xml:space="preserve">Links</w:t>
      </w:r>
      <w:r>
        <w:t xml:space="preserve"> </w:t>
      </w:r>
      <w:r>
        <w:t xml:space="preserve">are explicit, dated and authorise every message between two parties:</w:t>
      </w:r>
      <w:r>
        <w:t xml:space="preserve"> </w:t>
      </w:r>
      <w:r>
        <w:rPr>
          <w:rStyle w:val="VerbatimChar"/>
        </w:rPr>
        <w:t xml:space="preserve">re_lsp_link</w:t>
      </w:r>
      <w:r>
        <w:t xml:space="preserve"> </w:t>
      </w:r>
      <w:r>
        <w:t xml:space="preserve">(products, territories, recovery-agent appointment, DLG flag),</w:t>
      </w:r>
      <w:r>
        <w:t xml:space="preserve"> </w:t>
      </w:r>
      <w:r>
        <w:rPr>
          <w:rStyle w:val="VerbatimChar"/>
        </w:rPr>
        <w:t xml:space="preserve">re_odr_link</w:t>
      </w:r>
      <w:r>
        <w:t xml:space="preserve"> </w:t>
      </w:r>
      <w:r>
        <w:t xml:space="preserve">(rules, fees, clause refs),</w:t>
      </w:r>
      <w:r>
        <w:t xml:space="preserve"> </w:t>
      </w:r>
      <w:r>
        <w:rPr>
          <w:rStyle w:val="VerbatimChar"/>
        </w:rPr>
        <w:t xml:space="preserve">re_grc_link</w:t>
      </w:r>
      <w:r>
        <w:t xml:space="preserve"> </w:t>
      </w:r>
      <w:r>
        <w:t xml:space="preserve">(compliance mode),</w:t>
      </w:r>
      <w:r>
        <w:t xml:space="preserve"> </w:t>
      </w:r>
      <w:r>
        <w:rPr>
          <w:rStyle w:val="VerbatimChar"/>
        </w:rPr>
        <w:t xml:space="preserve">cla_link</w:t>
      </w:r>
      <w:r>
        <w:t xml:space="preserve"> </w:t>
      </w:r>
      <w:r>
        <w:t xml:space="preserve">(co-lenders),</w:t>
      </w:r>
      <w:r>
        <w:t xml:space="preserve"> </w:t>
      </w:r>
      <w:r>
        <w:rPr>
          <w:rStyle w:val="VerbatimChar"/>
        </w:rPr>
        <w:t xml:space="preserve">re_sp_link</w:t>
      </w:r>
      <w:r>
        <w:t xml:space="preserve"> </w:t>
      </w:r>
      <w:r>
        <w:t xml:space="preserve">(service provider or agency appointment under OUT Ch III: services, territories, recovery-agent appointment, scopes, dates; used by agencies, AGY connectors and the field-investigation app).</w:t>
      </w:r>
    </w:p>
    <w:p>
      <w:pPr>
        <w:numPr>
          <w:ilvl w:val="0"/>
          <w:numId w:val="1004"/>
        </w:numPr>
        <w:pStyle w:val="Compact"/>
      </w:pPr>
      <w:r>
        <w:rPr>
          <w:bCs/>
          <w:b/>
        </w:rPr>
        <w:t xml:space="preserve">RE identifiers:</w:t>
      </w:r>
      <w:r>
        <w:t xml:space="preserve"> </w:t>
      </w:r>
      <w:r>
        <w:rPr>
          <w:rStyle w:val="VerbatimChar"/>
        </w:rPr>
        <w:t xml:space="preserve">reid</w:t>
      </w:r>
      <w:r>
        <w:t xml:space="preserve"> </w:t>
      </w:r>
      <w:r>
        <w:t xml:space="preserve">(</w:t>
      </w:r>
      <w:r>
        <w:rPr>
          <w:rStyle w:val="VerbatimChar"/>
        </w:rPr>
        <w:t xml:space="preserve">re_</w:t>
      </w:r>
      <w:r>
        <w:t xml:space="preserve"> </w:t>
      </w:r>
      <w:r>
        <w:t xml:space="preserve">+ ULID, stable);</w:t>
      </w:r>
      <w:r>
        <w:t xml:space="preserve"> </w:t>
      </w:r>
      <w:r>
        <w:rPr>
          <w:rStyle w:val="VerbatimChar"/>
        </w:rPr>
        <w:t xml:space="preserve">rbi_cor_no</w:t>
      </w:r>
      <w:r>
        <w:t xml:space="preserve"> </w:t>
      </w:r>
      <w:r>
        <w:t xml:space="preserve">verified at onboarding [VERIFY: source for automated checks];</w:t>
      </w:r>
      <w:r>
        <w:t xml:space="preserve"> </w:t>
      </w:r>
      <w:r>
        <w:rPr>
          <w:rStyle w:val="VerbatimChar"/>
        </w:rPr>
        <w:t xml:space="preserve">re_category</w:t>
      </w:r>
      <w:r>
        <w:t xml:space="preserve"> </w:t>
      </w:r>
      <w:r>
        <w:t xml:space="preserve">and</w:t>
      </w:r>
      <w:r>
        <w:t xml:space="preserve"> </w:t>
      </w:r>
      <w:r>
        <w:rPr>
          <w:rStyle w:val="VerbatimChar"/>
        </w:rPr>
        <w:t xml:space="preserve">sbr_layer</w:t>
      </w:r>
      <w:r>
        <w:t xml:space="preserve"> </w:t>
      </w:r>
      <w:r>
        <w:t xml:space="preserve">from Finbyx</w:t>
      </w:r>
      <w:r>
        <w:t xml:space="preserve"> </w:t>
      </w:r>
      <w:r>
        <w:rPr>
          <w:rStyle w:val="VerbatimChar"/>
        </w:rPr>
        <w:t xml:space="preserve">entity_regulatory_profile</w:t>
      </w:r>
      <w:r>
        <w:t xml:space="preserve">;</w:t>
      </w:r>
      <w:r>
        <w:t xml:space="preserve"> </w:t>
      </w:r>
      <w:r>
        <w:rPr>
          <w:rStyle w:val="VerbatimChar"/>
        </w:rPr>
        <w:t xml:space="preserve">sarfaesi_notified</w:t>
      </w:r>
      <w:r>
        <w:t xml:space="preserve"> </w:t>
      </w:r>
      <w:r>
        <w:t xml:space="preserve">(NBFC only with assets ≥ ₹100 crore and debt ≥ ₹20 lakh: S.O. 856(E) of 24 Feb 2020 as amended by S.O. 652(E) of 12 Feb 2021) and</w:t>
      </w:r>
      <w:r>
        <w:t xml:space="preserve"> </w:t>
      </w:r>
      <w:r>
        <w:rPr>
          <w:rStyle w:val="VerbatimChar"/>
        </w:rPr>
        <w:t xml:space="preserve">rdb_notified</w:t>
      </w:r>
      <w:r>
        <w:t xml:space="preserve"> </w:t>
      </w:r>
      <w:r>
        <w:t xml:space="preserve">(false for NBFCs and HFCs unless notified under RDB s.2(h)(ii)) with gazette refs (research A F1, F15);</w:t>
      </w:r>
      <w:r>
        <w:t xml:space="preserve"> </w:t>
      </w:r>
      <w:r>
        <w:rPr>
          <w:rStyle w:val="VerbatimChar"/>
        </w:rPr>
        <w:t xml:space="preserve">lsp_id</w:t>
      </w:r>
      <w:r>
        <w:t xml:space="preserve">; one</w:t>
      </w:r>
      <w:r>
        <w:t xml:space="preserve"> </w:t>
      </w:r>
      <w:r>
        <w:rPr>
          <w:rStyle w:val="VerbatimChar"/>
        </w:rPr>
        <w:t xml:space="preserve">dla_id</w:t>
      </w:r>
      <w:r>
        <w:t xml:space="preserve"> </w:t>
      </w:r>
      <w:r>
        <w:t xml:space="preserve">per DLA per platform per RE (CF para 18).</w:t>
      </w:r>
    </w:p>
    <w:bookmarkEnd w:id="36"/>
    <w:bookmarkStart w:id="37" w:name="service-accounts-and-staff-access"/>
    <w:p>
      <w:pPr>
        <w:pStyle w:val="Heading2"/>
      </w:pPr>
      <w:r>
        <w:t xml:space="preserve">4.2 Service accounts and staff access</w:t>
      </w:r>
    </w:p>
    <w:p>
      <w:pPr>
        <w:numPr>
          <w:ilvl w:val="0"/>
          <w:numId w:val="1005"/>
        </w:numPr>
        <w:pStyle w:val="Compact"/>
      </w:pPr>
      <w:r>
        <w:t xml:space="preserve">One OAuth client per (product, counterparty, environment, purpose), certificate-bound or</w:t>
      </w:r>
      <w:r>
        <w:t xml:space="preserve"> </w:t>
      </w:r>
      <w:r>
        <w:rPr>
          <w:rStyle w:val="VerbatimChar"/>
        </w:rPr>
        <w:t xml:space="preserve">private_key_jwt</w:t>
      </w:r>
      <w:r>
        <w:t xml:space="preserve">, secrets never stored in clear and rotated ≤ 90 days, with owner, scopes, authorising link and expiry; an expired link disables the client.</w:t>
      </w:r>
    </w:p>
    <w:p>
      <w:pPr>
        <w:numPr>
          <w:ilvl w:val="0"/>
          <w:numId w:val="1005"/>
        </w:numPr>
        <w:pStyle w:val="Compact"/>
      </w:pPr>
      <w:r>
        <w:t xml:space="preserve">Staff use OIDC (preferred) or SAML 2.0 against their organisation’s IdP with MFA;</w:t>
      </w:r>
      <w:r>
        <w:t xml:space="preserve"> </w:t>
      </w:r>
      <w:r>
        <w:rPr>
          <w:bCs/>
          <w:b/>
        </w:rPr>
        <w:t xml:space="preserve">SCIM 2.0</w:t>
      </w:r>
      <w:r>
        <w:t xml:space="preserve"> </w:t>
      </w:r>
      <w:r>
        <w:t xml:space="preserve">(RFC 7643, 7644) provisions users and groups; leavers removed within 4 hours (privileged within 1 hour) [REC]. An optional Infrabyx IdP serves Infrabyx staff; authorisation stays per product.</w:t>
      </w:r>
    </w:p>
    <w:p>
      <w:pPr>
        <w:numPr>
          <w:ilvl w:val="0"/>
          <w:numId w:val="1005"/>
        </w:numPr>
        <w:pStyle w:val="Compact"/>
      </w:pPr>
      <w:r>
        <w:t xml:space="preserve">Roles are product-specific. Neutrals exist only in Equator and counsel only in Finbyx’s counsel portal; no Finbyx or Udofin user may be a neutral for the same RE (Part 8.6).</w:t>
      </w:r>
    </w:p>
    <w:bookmarkEnd w:id="37"/>
    <w:bookmarkStart w:id="38" w:name="borrower-identity"/>
    <w:p>
      <w:pPr>
        <w:pStyle w:val="Heading2"/>
      </w:pPr>
      <w:r>
        <w:t xml:space="preserve">4.3 Borrower identity</w:t>
      </w:r>
    </w:p>
    <w:p>
      <w:pPr>
        <w:pStyle w:val="FirstParagraph"/>
      </w:pPr>
      <w:r>
        <w:t xml:space="preserve">Borrower identities are not shared across products without consent (Udofin Part 2). Each product keeps its own account; links use</w:t>
      </w:r>
      <w:r>
        <w:t xml:space="preserve"> </w:t>
      </w:r>
      <w:r>
        <w:rPr>
          <w:bCs/>
          <w:b/>
        </w:rPr>
        <w:t xml:space="preserve">pairwise pseudonymous</w:t>
      </w:r>
      <w:r>
        <w:rPr>
          <w:bCs/>
          <w:b/>
        </w:rPr>
        <w:t xml:space="preserve"> </w:t>
      </w:r>
      <w:r>
        <w:rPr>
          <w:rStyle w:val="VerbatimChar"/>
          <w:bCs/>
          <w:b/>
        </w:rPr>
        <w:t xml:space="preserve">party_ref</w:t>
      </w:r>
      <w:r>
        <w:rPr>
          <w:bCs/>
          <w:b/>
        </w:rPr>
        <w:t xml:space="preserve">s</w:t>
      </w:r>
      <w:r>
        <w:t xml:space="preserve"> </w:t>
      </w:r>
      <w:r>
        <w:t xml:space="preserve">unique per product pair and RE, so no product can correlate a borrower across REs.</w:t>
      </w:r>
    </w:p>
    <w:bookmarkEnd w:id="38"/>
    <w:bookmarkStart w:id="39" w:name="udofin-equator-without-a-separate-app"/>
    <w:p>
      <w:pPr>
        <w:pStyle w:val="Heading2"/>
      </w:pPr>
      <w:r>
        <w:t xml:space="preserve">4.4 Udofin → Equator without a separate app</w:t>
      </w:r>
    </w:p>
    <w:p>
      <w:pPr>
        <w:numPr>
          <w:ilvl w:val="0"/>
          <w:numId w:val="1006"/>
        </w:numPr>
        <w:pStyle w:val="Compact"/>
      </w:pPr>
      <w:r>
        <w:t xml:space="preserve">Equator emits</w:t>
      </w:r>
      <w:r>
        <w:t xml:space="preserve"> </w:t>
      </w:r>
      <w:r>
        <w:rPr>
          <w:rStyle w:val="VerbatimChar"/>
        </w:rPr>
        <w:t xml:space="preserve">ADRCaseStatusChanged</w:t>
      </w:r>
      <w:r>
        <w:t xml:space="preserve"> </w:t>
      </w:r>
      <w:r>
        <w:t xml:space="preserve">with</w:t>
      </w:r>
      <w:r>
        <w:t xml:space="preserve"> </w:t>
      </w:r>
      <w:r>
        <w:rPr>
          <w:rStyle w:val="VerbatimChar"/>
        </w:rPr>
        <w:t xml:space="preserve">borrower_action_required</w:t>
      </w:r>
      <w:r>
        <w:t xml:space="preserve"> </w:t>
      </w:r>
      <w:r>
        <w:t xml:space="preserve">for a case whose RE permits Udofin presentation.</w:t>
      </w:r>
    </w:p>
    <w:p>
      <w:pPr>
        <w:numPr>
          <w:ilvl w:val="0"/>
          <w:numId w:val="1006"/>
        </w:numPr>
        <w:pStyle w:val="Compact"/>
      </w:pPr>
      <w:r>
        <w:t xml:space="preserve">On tap, Udofin’s backend calls Equator’s token-exchange endpoint (RFC 8693) with a signed subject token: pairwise</w:t>
      </w:r>
      <w:r>
        <w:t xml:space="preserve"> </w:t>
      </w:r>
      <w:r>
        <w:rPr>
          <w:rStyle w:val="VerbatimChar"/>
        </w:rPr>
        <w:t xml:space="preserve">sub</w:t>
      </w:r>
      <w:r>
        <w:t xml:space="preserve">,</w:t>
      </w:r>
      <w:r>
        <w:t xml:space="preserve"> </w:t>
      </w:r>
      <w:r>
        <w:rPr>
          <w:rStyle w:val="VerbatimChar"/>
        </w:rPr>
        <w:t xml:space="preserve">reid</w:t>
      </w:r>
      <w:r>
        <w:t xml:space="preserve">,</w:t>
      </w:r>
      <w:r>
        <w:t xml:space="preserve"> </w:t>
      </w:r>
      <w:r>
        <w:rPr>
          <w:rStyle w:val="VerbatimChar"/>
        </w:rPr>
        <w:t xml:space="preserve">adr_case_id</w:t>
      </w:r>
      <w:r>
        <w:t xml:space="preserve">,</w:t>
      </w:r>
      <w:r>
        <w:t xml:space="preserve"> </w:t>
      </w:r>
      <w:r>
        <w:rPr>
          <w:rStyle w:val="VerbatimChar"/>
        </w:rPr>
        <w:t xml:space="preserve">acr</w:t>
      </w:r>
      <w:r>
        <w:t xml:space="preserve">,</w:t>
      </w:r>
      <w:r>
        <w:t xml:space="preserve"> </w:t>
      </w:r>
      <w:r>
        <w:rPr>
          <w:rStyle w:val="VerbatimChar"/>
        </w:rPr>
        <w:t xml:space="preserve">auth_time</w:t>
      </w:r>
      <w:r>
        <w:t xml:space="preserve">,</w:t>
      </w:r>
      <w:r>
        <w:t xml:space="preserve"> </w:t>
      </w:r>
      <w:r>
        <w:rPr>
          <w:rStyle w:val="VerbatimChar"/>
        </w:rPr>
        <w:t xml:space="preserve">consentref</w:t>
      </w:r>
      <w:r>
        <w:t xml:space="preserve">.</w:t>
      </w:r>
    </w:p>
    <w:p>
      <w:pPr>
        <w:numPr>
          <w:ilvl w:val="0"/>
          <w:numId w:val="1006"/>
        </w:numPr>
        <w:pStyle w:val="Compact"/>
      </w:pPr>
      <w:r>
        <w:t xml:space="preserve">Equator returns a single-use launch URL valid ≤ 10 minutes, opened in an in-app browser tab.</w:t>
      </w:r>
    </w:p>
    <w:p>
      <w:pPr>
        <w:numPr>
          <w:ilvl w:val="0"/>
          <w:numId w:val="1006"/>
        </w:numPr>
        <w:pStyle w:val="Compact"/>
      </w:pPr>
      <w:r>
        <w:t xml:space="preserve">Equator binds the session to the referral’s party record and requires</w:t>
      </w:r>
      <w:r>
        <w:t xml:space="preserve"> </w:t>
      </w:r>
      <w:r>
        <w:rPr>
          <w:bCs/>
          <w:b/>
        </w:rPr>
        <w:t xml:space="preserve">OTP step-up to the RE-registered mobile</w:t>
      </w:r>
      <w:r>
        <w:t xml:space="preserve"> </w:t>
      </w:r>
      <w:r>
        <w:t xml:space="preserve">before any consent, statement, acceptance or signature (Aadhaar eSign or DSC).</w:t>
      </w:r>
    </w:p>
    <w:p>
      <w:pPr>
        <w:numPr>
          <w:ilvl w:val="0"/>
          <w:numId w:val="1006"/>
        </w:numPr>
        <w:pStyle w:val="Compact"/>
      </w:pPr>
      <w:r>
        <w:t xml:space="preserve">Udofin never receives hearing content, the RE’s mandate, the selection log or other parties’ documents.</w:t>
      </w:r>
    </w:p>
    <w:p>
      <w:pPr>
        <w:pStyle w:val="FirstParagraph"/>
      </w:pPr>
      <w:r>
        <w:t xml:space="preserve">Borrowers not on Udofin get a signed magic link from Equator by SMS and email to RE-supplied contacts (never WhatsApp: its Business Messaging Policy bars debt-collection use; Finbyx 7A.0.6, Udofin UR3), valid ≤ 72 hours, with the same step-up. The Finbyx borrower portal follows the Udofin pattern.</w:t>
      </w:r>
    </w:p>
    <w:bookmarkEnd w:id="39"/>
    <w:bookmarkStart w:id="40" w:name="authorisation-scopes"/>
    <w:p>
      <w:pPr>
        <w:pStyle w:val="Heading2"/>
      </w:pPr>
      <w:r>
        <w:t xml:space="preserve">4.5 Authorisation scopes</w:t>
      </w:r>
    </w:p>
    <w:p>
      <w:pPr>
        <w:pStyle w:val="FirstParagraph"/>
      </w:pPr>
      <w:r>
        <w:t xml:space="preserve">Scopes are</w:t>
      </w:r>
      <w:r>
        <w:t xml:space="preserve"> </w:t>
      </w:r>
      <w:r>
        <w:rPr>
          <w:rStyle w:val="VerbatimChar"/>
        </w:rPr>
        <w:t xml:space="preserve">[domain].[resource]:[action]</w:t>
      </w:r>
      <w:r>
        <w:t xml:space="preserve">; producers filter fields, and LSP projections are separate registry subjects (</w:t>
      </w:r>
      <w:r>
        <w:rPr>
          <w:rStyle w:val="VerbatimChar"/>
        </w:rPr>
        <w:t xml:space="preserve">[EventName].lsp</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808"/>
        <w:gridCol w:w="5830"/>
      </w:tblGrid>
      <w:tr>
        <w:trPr>
          <w:tblHeader w:val="true"/>
          <w:tblHeader w:val="true"/>
        </w:trPr>
        <w:tc>
          <w:tcPr>
            <w:tcW w:w="3808" w:type="dxa"/>
            <w:shd w:val="clear" w:color="auto" w:fill="1F3A5F"/>
          </w:tcPr>
          <w:p>
            <w:pPr>
              <w:pStyle w:val="Compact"/>
              <w:spacing w:after="40"/>
              <w:jc w:val="left"/>
            </w:pPr>
            <w:r>
              <w:rPr>
                <w:b/>
                <w:color w:val="FFFFFF"/>
                <w:sz w:val="18"/>
              </w:rPr>
              <w:t xml:space="preserve">Scope</w:t>
            </w:r>
          </w:p>
        </w:tc>
        <w:tc>
          <w:tcPr>
            <w:tcW w:w="5830" w:type="dxa"/>
            <w:shd w:val="clear" w:color="auto" w:fill="1F3A5F"/>
          </w:tcPr>
          <w:p>
            <w:pPr>
              <w:pStyle w:val="Compact"/>
              <w:spacing w:after="40"/>
              <w:jc w:val="left"/>
            </w:pPr>
            <w:r>
              <w:rPr>
                <w:b/>
                <w:color w:val="FFFFFF"/>
                <w:sz w:val="18"/>
              </w:rPr>
              <w:t xml:space="preserve">Granted to</w:t>
            </w:r>
          </w:p>
        </w:tc>
      </w:tr>
      <w:tr>
        <w:tc>
          <w:tcPr>
            <w:tcW w:w="3808" w:type="dxa"/>
          </w:tcPr>
          <w:p>
            <w:pPr>
              <w:pStyle w:val="Compact"/>
              <w:spacing w:after="40"/>
              <w:jc w:val="left"/>
            </w:pPr>
            <w:r>
              <w:rPr>
                <w:rStyle w:val="VerbatimChar"/>
                <w:sz w:val="18"/>
              </w:rPr>
              <w:t xml:space="preserve">origination.application:write</w:t>
            </w:r>
            <w:r>
              <w:rPr>
                <w:sz w:val="18"/>
              </w:rPr>
              <w:t xml:space="preserve">,</w:t>
            </w:r>
            <w:r>
              <w:rPr>
                <w:sz w:val="18"/>
              </w:rPr>
              <w:t xml:space="preserve"> </w:t>
            </w:r>
            <w:r>
              <w:rPr>
                <w:rStyle w:val="VerbatimChar"/>
                <w:sz w:val="18"/>
              </w:rPr>
              <w:t xml:space="preserve">origination.decision:read</w:t>
            </w:r>
          </w:p>
        </w:tc>
        <w:tc>
          <w:tcPr>
            <w:tcW w:w="5830" w:type="dxa"/>
          </w:tcPr>
          <w:p>
            <w:pPr>
              <w:pStyle w:val="Compact"/>
              <w:spacing w:after="40"/>
              <w:jc w:val="left"/>
            </w:pPr>
            <w:r>
              <w:rPr>
                <w:sz w:val="18"/>
              </w:rPr>
              <w:t xml:space="preserve">LSPs, DSAs, co-lending originators (own applications)</w:t>
            </w:r>
          </w:p>
        </w:tc>
      </w:tr>
      <w:tr>
        <w:tc>
          <w:tcPr>
            <w:tcW w:w="3808" w:type="dxa"/>
          </w:tcPr>
          <w:p>
            <w:pPr>
              <w:pStyle w:val="Compact"/>
              <w:spacing w:after="40"/>
              <w:jc w:val="left"/>
            </w:pPr>
            <w:r>
              <w:rPr>
                <w:rStyle w:val="VerbatimChar"/>
                <w:sz w:val="18"/>
              </w:rPr>
              <w:t xml:space="preserve">servicing.loan:read.lsp</w:t>
            </w:r>
            <w:r>
              <w:rPr>
                <w:sz w:val="18"/>
              </w:rPr>
              <w:t xml:space="preserve">,</w:t>
            </w:r>
            <w:r>
              <w:rPr>
                <w:sz w:val="18"/>
              </w:rPr>
              <w:t xml:space="preserve"> </w:t>
            </w:r>
            <w:r>
              <w:rPr>
                <w:rStyle w:val="VerbatimChar"/>
                <w:sz w:val="18"/>
              </w:rPr>
              <w:t xml:space="preserve">payments.mandate:write</w:t>
            </w:r>
          </w:p>
        </w:tc>
        <w:tc>
          <w:tcPr>
            <w:tcW w:w="5830" w:type="dxa"/>
          </w:tcPr>
          <w:p>
            <w:pPr>
              <w:pStyle w:val="Compact"/>
              <w:spacing w:after="40"/>
              <w:jc w:val="left"/>
            </w:pPr>
            <w:r>
              <w:rPr>
                <w:sz w:val="18"/>
              </w:rPr>
              <w:t xml:space="preserve">LSPs (loans they sourced or service)</w:t>
            </w:r>
          </w:p>
        </w:tc>
      </w:tr>
      <w:tr>
        <w:tc>
          <w:tcPr>
            <w:tcW w:w="3808" w:type="dxa"/>
          </w:tcPr>
          <w:p>
            <w:pPr>
              <w:pStyle w:val="Compact"/>
              <w:spacing w:after="40"/>
              <w:jc w:val="left"/>
            </w:pPr>
            <w:r>
              <w:rPr>
                <w:rStyle w:val="VerbatimChar"/>
                <w:sz w:val="18"/>
              </w:rPr>
              <w:t xml:space="preserve">collateral.pledge:orchestrate</w:t>
            </w:r>
            <w:r>
              <w:rPr>
                <w:sz w:val="18"/>
              </w:rPr>
              <w:t xml:space="preserve">,</w:t>
            </w:r>
            <w:r>
              <w:rPr>
                <w:sz w:val="18"/>
              </w:rPr>
              <w:t xml:space="preserve"> </w:t>
            </w:r>
            <w:r>
              <w:rPr>
                <w:rStyle w:val="VerbatimChar"/>
                <w:sz w:val="18"/>
              </w:rPr>
              <w:t xml:space="preserve">collateral.position:read.lsp</w:t>
            </w:r>
          </w:p>
        </w:tc>
        <w:tc>
          <w:tcPr>
            <w:tcW w:w="5830" w:type="dxa"/>
          </w:tcPr>
          <w:p>
            <w:pPr>
              <w:pStyle w:val="Compact"/>
              <w:spacing w:after="40"/>
              <w:jc w:val="left"/>
            </w:pPr>
            <w:r>
              <w:rPr>
                <w:sz w:val="18"/>
              </w:rPr>
              <w:t xml:space="preserve">LSPs as the RE’s technology provider (OTP steps, display; never accept, invoke or release)</w:t>
            </w:r>
          </w:p>
        </w:tc>
      </w:tr>
      <w:tr>
        <w:tc>
          <w:tcPr>
            <w:tcW w:w="3808" w:type="dxa"/>
          </w:tcPr>
          <w:p>
            <w:pPr>
              <w:pStyle w:val="Compact"/>
              <w:spacing w:after="40"/>
              <w:jc w:val="left"/>
            </w:pPr>
            <w:r>
              <w:rPr>
                <w:rStyle w:val="VerbatimChar"/>
                <w:sz w:val="18"/>
              </w:rPr>
              <w:t xml:space="preserve">collateral.position:write</w:t>
            </w:r>
            <w:r>
              <w:rPr>
                <w:sz w:val="18"/>
              </w:rPr>
              <w:t xml:space="preserve">,</w:t>
            </w:r>
            <w:r>
              <w:rPr>
                <w:sz w:val="18"/>
              </w:rPr>
              <w:t xml:space="preserve"> </w:t>
            </w:r>
            <w:r>
              <w:rPr>
                <w:rStyle w:val="VerbatimChar"/>
                <w:sz w:val="18"/>
              </w:rPr>
              <w:t xml:space="preserve">recovery.case:write</w:t>
            </w:r>
            <w:r>
              <w:rPr>
                <w:sz w:val="18"/>
              </w:rPr>
              <w:t xml:space="preserve">,</w:t>
            </w:r>
            <w:r>
              <w:rPr>
                <w:sz w:val="18"/>
              </w:rPr>
              <w:t xml:space="preserve"> </w:t>
            </w:r>
            <w:r>
              <w:rPr>
                <w:rStyle w:val="VerbatimChar"/>
                <w:sz w:val="18"/>
              </w:rPr>
              <w:t xml:space="preserve">adr.referral:create</w:t>
            </w:r>
          </w:p>
        </w:tc>
        <w:tc>
          <w:tcPr>
            <w:tcW w:w="5830" w:type="dxa"/>
          </w:tcPr>
          <w:p>
            <w:pPr>
              <w:pStyle w:val="Compact"/>
              <w:spacing w:after="40"/>
              <w:jc w:val="left"/>
            </w:pPr>
            <w:r>
              <w:rPr>
                <w:sz w:val="18"/>
              </w:rPr>
              <w:t xml:space="preserve">RE system only</w:t>
            </w:r>
          </w:p>
        </w:tc>
      </w:tr>
      <w:tr>
        <w:tc>
          <w:tcPr>
            <w:tcW w:w="3808" w:type="dxa"/>
          </w:tcPr>
          <w:p>
            <w:pPr>
              <w:pStyle w:val="Compact"/>
              <w:spacing w:after="40"/>
              <w:jc w:val="left"/>
            </w:pPr>
            <w:r>
              <w:rPr>
                <w:rStyle w:val="VerbatimChar"/>
                <w:sz w:val="18"/>
              </w:rPr>
              <w:t xml:space="preserve">colending.share:write</w:t>
            </w:r>
          </w:p>
        </w:tc>
        <w:tc>
          <w:tcPr>
            <w:tcW w:w="5830" w:type="dxa"/>
          </w:tcPr>
          <w:p>
            <w:pPr>
              <w:pStyle w:val="Compact"/>
              <w:spacing w:after="40"/>
              <w:jc w:val="left"/>
            </w:pPr>
            <w:r>
              <w:rPr>
                <w:sz w:val="18"/>
              </w:rPr>
              <w:t xml:space="preserve">Co-lender RE systems</w:t>
            </w:r>
          </w:p>
        </w:tc>
      </w:tr>
      <w:tr>
        <w:tc>
          <w:tcPr>
            <w:tcW w:w="3808" w:type="dxa"/>
          </w:tcPr>
          <w:p>
            <w:pPr>
              <w:pStyle w:val="Compact"/>
              <w:spacing w:after="40"/>
              <w:jc w:val="left"/>
            </w:pPr>
            <w:r>
              <w:rPr>
                <w:rStyle w:val="VerbatimChar"/>
                <w:sz w:val="18"/>
              </w:rPr>
              <w:t xml:space="preserve">collections.allocation:read</w:t>
            </w:r>
            <w:r>
              <w:rPr>
                <w:sz w:val="18"/>
              </w:rPr>
              <w:t xml:space="preserve">,</w:t>
            </w:r>
            <w:r>
              <w:rPr>
                <w:sz w:val="18"/>
              </w:rPr>
              <w:t xml:space="preserve"> </w:t>
            </w:r>
            <w:r>
              <w:rPr>
                <w:rStyle w:val="VerbatimChar"/>
                <w:sz w:val="18"/>
              </w:rPr>
              <w:t xml:space="preserve">collections.activity:write</w:t>
            </w:r>
          </w:p>
        </w:tc>
        <w:tc>
          <w:tcPr>
            <w:tcW w:w="5830" w:type="dxa"/>
          </w:tcPr>
          <w:p>
            <w:pPr>
              <w:pStyle w:val="Compact"/>
              <w:spacing w:after="40"/>
              <w:jc w:val="left"/>
            </w:pPr>
            <w:r>
              <w:rPr>
                <w:sz w:val="18"/>
              </w:rPr>
              <w:t xml:space="preserve">Appointed agents and LSPs while the appointment is active</w:t>
            </w:r>
          </w:p>
        </w:tc>
      </w:tr>
      <w:tr>
        <w:tc>
          <w:tcPr>
            <w:tcW w:w="3808" w:type="dxa"/>
          </w:tcPr>
          <w:p>
            <w:pPr>
              <w:pStyle w:val="Compact"/>
              <w:spacing w:after="40"/>
              <w:jc w:val="left"/>
            </w:pPr>
            <w:r>
              <w:rPr>
                <w:rStyle w:val="VerbatimChar"/>
                <w:sz w:val="18"/>
              </w:rPr>
              <w:t xml:space="preserve">origination.verification:read</w:t>
            </w:r>
            <w:r>
              <w:rPr>
                <w:sz w:val="18"/>
              </w:rPr>
              <w:t xml:space="preserve">,</w:t>
            </w:r>
            <w:r>
              <w:rPr>
                <w:sz w:val="18"/>
              </w:rPr>
              <w:t xml:space="preserve"> </w:t>
            </w:r>
            <w:r>
              <w:rPr>
                <w:rStyle w:val="VerbatimChar"/>
                <w:sz w:val="18"/>
              </w:rPr>
              <w:t xml:space="preserve">origination.verification:write</w:t>
            </w:r>
          </w:p>
        </w:tc>
        <w:tc>
          <w:tcPr>
            <w:tcW w:w="5830" w:type="dxa"/>
          </w:tcPr>
          <w:p>
            <w:pPr>
              <w:pStyle w:val="Compact"/>
              <w:spacing w:after="40"/>
              <w:jc w:val="left"/>
            </w:pPr>
            <w:r>
              <w:rPr>
                <w:sz w:val="18"/>
              </w:rPr>
              <w:t xml:space="preserve">Field-investigation apps and verification agencies with an active</w:t>
            </w:r>
            <w:r>
              <w:rPr>
                <w:sz w:val="18"/>
              </w:rPr>
              <w:t xml:space="preserve"> </w:t>
            </w:r>
            <w:r>
              <w:rPr>
                <w:rStyle w:val="VerbatimChar"/>
                <w:sz w:val="18"/>
              </w:rPr>
              <w:t xml:space="preserve">re_sp_link</w:t>
            </w:r>
            <w:r>
              <w:rPr>
                <w:sz w:val="18"/>
              </w:rPr>
              <w:t xml:space="preserve"> </w:t>
            </w:r>
            <w:r>
              <w:rPr>
                <w:sz w:val="18"/>
              </w:rPr>
              <w:t xml:space="preserve">(own tasks only:</w:t>
            </w:r>
            <w:r>
              <w:rPr>
                <w:sz w:val="18"/>
              </w:rPr>
              <w:t xml:space="preserve"> </w:t>
            </w:r>
            <w:r>
              <w:rPr>
                <w:rStyle w:val="VerbatimChar"/>
                <w:sz w:val="18"/>
              </w:rPr>
              <w:t xml:space="preserve">VerificationRequested</w:t>
            </w:r>
            <w:r>
              <w:rPr>
                <w:sz w:val="18"/>
              </w:rPr>
              <w:t xml:space="preserve">,</w:t>
            </w:r>
            <w:r>
              <w:rPr>
                <w:sz w:val="18"/>
              </w:rPr>
              <w:t xml:space="preserve"> </w:t>
            </w:r>
            <w:r>
              <w:rPr>
                <w:rStyle w:val="VerbatimChar"/>
                <w:sz w:val="18"/>
              </w:rPr>
              <w:t xml:space="preserve">VerificationCompleted</w:t>
            </w:r>
            <w:r>
              <w:rPr>
                <w:sz w:val="18"/>
              </w:rPr>
              <w:t xml:space="preserve">,</w:t>
            </w:r>
            <w:r>
              <w:rPr>
                <w:sz w:val="18"/>
              </w:rPr>
              <w:t xml:space="preserve"> </w:t>
            </w:r>
            <w:r>
              <w:rPr>
                <w:rStyle w:val="VerbatimChar"/>
                <w:sz w:val="18"/>
              </w:rPr>
              <w:t xml:space="preserve">RiskSignalRaised</w:t>
            </w:r>
            <w:r>
              <w:rPr>
                <w:sz w:val="18"/>
              </w:rPr>
              <w:t xml:space="preserve">)</w:t>
            </w:r>
          </w:p>
        </w:tc>
      </w:tr>
      <w:tr>
        <w:tc>
          <w:tcPr>
            <w:tcW w:w="3808" w:type="dxa"/>
          </w:tcPr>
          <w:p>
            <w:pPr>
              <w:pStyle w:val="Compact"/>
              <w:spacing w:after="40"/>
              <w:jc w:val="left"/>
            </w:pPr>
            <w:r>
              <w:rPr>
                <w:rStyle w:val="VerbatimChar"/>
                <w:sz w:val="18"/>
              </w:rPr>
              <w:t xml:space="preserve">recovery.case:read.lsp</w:t>
            </w:r>
            <w:r>
              <w:rPr>
                <w:sz w:val="18"/>
              </w:rPr>
              <w:t xml:space="preserve">,</w:t>
            </w:r>
            <w:r>
              <w:rPr>
                <w:sz w:val="18"/>
              </w:rPr>
              <w:t xml:space="preserve"> </w:t>
            </w:r>
            <w:r>
              <w:rPr>
                <w:rStyle w:val="VerbatimChar"/>
                <w:sz w:val="18"/>
              </w:rPr>
              <w:t xml:space="preserve">litigation.case:read.lsp</w:t>
            </w:r>
          </w:p>
        </w:tc>
        <w:tc>
          <w:tcPr>
            <w:tcW w:w="5830" w:type="dxa"/>
          </w:tcPr>
          <w:p>
            <w:pPr>
              <w:pStyle w:val="Compact"/>
              <w:spacing w:after="40"/>
              <w:jc w:val="left"/>
            </w:pPr>
            <w:r>
              <w:rPr>
                <w:sz w:val="18"/>
              </w:rPr>
              <w:t xml:space="preserve">LSPs, if the RE permits (</w:t>
            </w:r>
            <w:r>
              <w:rPr>
                <w:rStyle w:val="VerbatimChar"/>
                <w:sz w:val="18"/>
              </w:rPr>
              <w:t xml:space="preserve">legal_stage</w:t>
            </w:r>
            <w:r>
              <w:rPr>
                <w:sz w:val="18"/>
              </w:rPr>
              <w:t xml:space="preserve">, RE wording, next action)</w:t>
            </w:r>
          </w:p>
        </w:tc>
      </w:tr>
      <w:tr>
        <w:tc>
          <w:tcPr>
            <w:tcW w:w="3808" w:type="dxa"/>
          </w:tcPr>
          <w:p>
            <w:pPr>
              <w:pStyle w:val="Compact"/>
              <w:spacing w:after="40"/>
              <w:jc w:val="left"/>
            </w:pPr>
            <w:r>
              <w:rPr>
                <w:rStyle w:val="VerbatimChar"/>
                <w:sz w:val="18"/>
              </w:rPr>
              <w:t xml:space="preserve">recovery.settlement:request</w:t>
            </w:r>
          </w:p>
        </w:tc>
        <w:tc>
          <w:tcPr>
            <w:tcW w:w="5830" w:type="dxa"/>
          </w:tcPr>
          <w:p>
            <w:pPr>
              <w:pStyle w:val="Compact"/>
              <w:spacing w:after="40"/>
              <w:jc w:val="left"/>
            </w:pPr>
            <w:r>
              <w:rPr>
                <w:sz w:val="18"/>
              </w:rPr>
              <w:t xml:space="preserve">LSPs and borrower portals (relay only)</w:t>
            </w:r>
          </w:p>
        </w:tc>
      </w:tr>
      <w:tr>
        <w:tc>
          <w:tcPr>
            <w:tcW w:w="3808" w:type="dxa"/>
          </w:tcPr>
          <w:p>
            <w:pPr>
              <w:pStyle w:val="Compact"/>
              <w:spacing w:after="40"/>
              <w:jc w:val="left"/>
            </w:pPr>
            <w:r>
              <w:rPr>
                <w:rStyle w:val="VerbatimChar"/>
                <w:sz w:val="18"/>
              </w:rPr>
              <w:t xml:space="preserve">adr.case:read.party</w:t>
            </w:r>
            <w:r>
              <w:rPr>
                <w:sz w:val="18"/>
              </w:rPr>
              <w:t xml:space="preserve">,</w:t>
            </w:r>
            <w:r>
              <w:rPr>
                <w:sz w:val="18"/>
              </w:rPr>
              <w:t xml:space="preserve"> </w:t>
            </w:r>
            <w:r>
              <w:rPr>
                <w:rStyle w:val="VerbatimChar"/>
                <w:sz w:val="18"/>
              </w:rPr>
              <w:t xml:space="preserve">adr.case:write.institution</w:t>
            </w:r>
          </w:p>
        </w:tc>
        <w:tc>
          <w:tcPr>
            <w:tcW w:w="5830" w:type="dxa"/>
          </w:tcPr>
          <w:p>
            <w:pPr>
              <w:pStyle w:val="Compact"/>
              <w:spacing w:after="40"/>
              <w:jc w:val="left"/>
            </w:pPr>
            <w:r>
              <w:rPr>
                <w:sz w:val="18"/>
              </w:rPr>
              <w:t xml:space="preserve">Borrower-facing products; ODR institutions</w:t>
            </w:r>
          </w:p>
        </w:tc>
      </w:tr>
      <w:tr>
        <w:tc>
          <w:tcPr>
            <w:tcW w:w="3808" w:type="dxa"/>
          </w:tcPr>
          <w:p>
            <w:pPr>
              <w:pStyle w:val="Compact"/>
              <w:spacing w:after="40"/>
              <w:jc w:val="left"/>
            </w:pPr>
            <w:r>
              <w:rPr>
                <w:rStyle w:val="VerbatimChar"/>
                <w:sz w:val="18"/>
              </w:rPr>
              <w:t xml:space="preserve">grc.obligation:read</w:t>
            </w:r>
            <w:r>
              <w:rPr>
                <w:sz w:val="18"/>
              </w:rPr>
              <w:t xml:space="preserve">,</w:t>
            </w:r>
            <w:r>
              <w:rPr>
                <w:sz w:val="18"/>
              </w:rPr>
              <w:t xml:space="preserve"> </w:t>
            </w:r>
            <w:r>
              <w:rPr>
                <w:rStyle w:val="VerbatimChar"/>
                <w:sz w:val="18"/>
              </w:rPr>
              <w:t xml:space="preserve">grc.evidence:write</w:t>
            </w:r>
            <w:r>
              <w:rPr>
                <w:sz w:val="18"/>
              </w:rPr>
              <w:t xml:space="preserve">,</w:t>
            </w:r>
            <w:r>
              <w:rPr>
                <w:sz w:val="18"/>
              </w:rPr>
              <w:t xml:space="preserve"> </w:t>
            </w:r>
            <w:r>
              <w:rPr>
                <w:rStyle w:val="VerbatimChar"/>
                <w:sz w:val="18"/>
              </w:rPr>
              <w:t xml:space="preserve">privacy.request:write</w:t>
            </w:r>
          </w:p>
        </w:tc>
        <w:tc>
          <w:tcPr>
            <w:tcW w:w="5830" w:type="dxa"/>
          </w:tcPr>
          <w:p>
            <w:pPr>
              <w:pStyle w:val="Compact"/>
              <w:spacing w:after="40"/>
              <w:jc w:val="left"/>
            </w:pPr>
            <w:r>
              <w:rPr>
                <w:sz w:val="18"/>
              </w:rPr>
              <w:t xml:space="preserve">Products in a GRC link; every product</w:t>
            </w:r>
          </w:p>
        </w:tc>
      </w:tr>
      <w:tr>
        <w:tc>
          <w:tcPr>
            <w:tcW w:w="3808" w:type="dxa"/>
          </w:tcPr>
          <w:p>
            <w:pPr>
              <w:pStyle w:val="Compact"/>
              <w:spacing w:after="40"/>
              <w:jc w:val="left"/>
            </w:pPr>
            <w:r>
              <w:rPr>
                <w:rStyle w:val="VerbatimChar"/>
                <w:sz w:val="18"/>
              </w:rPr>
              <w:t xml:space="preserve">platform.module:admin</w:t>
            </w:r>
            <w:r>
              <w:rPr>
                <w:sz w:val="18"/>
              </w:rPr>
              <w:t xml:space="preserve">,</w:t>
            </w:r>
            <w:r>
              <w:rPr>
                <w:sz w:val="18"/>
              </w:rPr>
              <w:t xml:space="preserve"> </w:t>
            </w:r>
            <w:r>
              <w:rPr>
                <w:rStyle w:val="VerbatimChar"/>
                <w:sz w:val="18"/>
              </w:rPr>
              <w:t xml:space="preserve">platform.connector:certify</w:t>
            </w:r>
          </w:p>
        </w:tc>
        <w:tc>
          <w:tcPr>
            <w:tcW w:w="5830" w:type="dxa"/>
          </w:tcPr>
          <w:p>
            <w:pPr>
              <w:pStyle w:val="Compact"/>
              <w:spacing w:after="40"/>
              <w:jc w:val="left"/>
            </w:pPr>
            <w:r>
              <w:rPr>
                <w:sz w:val="18"/>
              </w:rPr>
              <w:t xml:space="preserve">Entitlement and certification services</w:t>
            </w:r>
          </w:p>
        </w:tc>
      </w:tr>
    </w:tbl>
    <w:p>
      <w:r>
        <w:pict>
          <v:rect style="width:0;height:1.5pt" o:hralign="center" o:hrstd="t" o:hr="t"/>
        </w:pict>
      </w:r>
    </w:p>
    <w:bookmarkEnd w:id="40"/>
    <w:bookmarkEnd w:id="41"/>
    <w:bookmarkStart w:id="45" w:name="canonical-data-model"/>
    <w:p>
      <w:pPr>
        <w:pStyle w:val="Heading1"/>
      </w:pPr>
      <w:r>
        <w:t xml:space="preserve">5 — CANONICAL DATA MODEL</w:t>
      </w:r>
    </w:p>
    <w:bookmarkStart w:id="42" w:name="conventions"/>
    <w:p>
      <w:pPr>
        <w:pStyle w:val="Heading2"/>
      </w:pPr>
      <w:r>
        <w:t xml:space="preserve">5.1 Conventions</w:t>
      </w:r>
    </w:p>
    <w:p>
      <w:pPr>
        <w:pStyle w:val="FirstParagraph"/>
      </w:pPr>
      <w:r>
        <w:t xml:space="preserve">Every entity has</w:t>
      </w:r>
      <w:r>
        <w:t xml:space="preserve"> </w:t>
      </w:r>
      <w:r>
        <w:rPr>
          <w:rStyle w:val="VerbatimChar"/>
        </w:rPr>
        <w:t xml:space="preserve">id</w:t>
      </w:r>
      <w:r>
        <w:t xml:space="preserve"> </w:t>
      </w:r>
      <w:r>
        <w:t xml:space="preserve">(prefix + ULID),</w:t>
      </w:r>
      <w:r>
        <w:t xml:space="preserve"> </w:t>
      </w:r>
      <w:r>
        <w:rPr>
          <w:rStyle w:val="VerbatimChar"/>
        </w:rPr>
        <w:t xml:space="preserve">reid</w:t>
      </w:r>
      <w:r>
        <w:t xml:space="preserve">,</w:t>
      </w:r>
      <w:r>
        <w:t xml:space="preserve"> </w:t>
      </w:r>
      <w:r>
        <w:rPr>
          <w:rStyle w:val="VerbatimChar"/>
        </w:rPr>
        <w:t xml:space="preserve">tenantid</w:t>
      </w:r>
      <w:r>
        <w:t xml:space="preserve">,</w:t>
      </w:r>
      <w:r>
        <w:t xml:space="preserve"> </w:t>
      </w:r>
      <w:r>
        <w:rPr>
          <w:rStyle w:val="VerbatimChar"/>
        </w:rPr>
        <w:t xml:space="preserve">owner_system</w:t>
      </w:r>
      <w:r>
        <w:t xml:space="preserve">,</w:t>
      </w:r>
      <w:r>
        <w:t xml:space="preserve"> </w:t>
      </w:r>
      <w:r>
        <w:rPr>
          <w:rStyle w:val="VerbatimChar"/>
        </w:rPr>
        <w:t xml:space="preserve">version</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source_refs[]</w:t>
      </w:r>
      <w:r>
        <w:t xml:space="preserve">; every schema field carries</w:t>
      </w:r>
      <w:r>
        <w:t xml:space="preserve"> </w:t>
      </w:r>
      <w:r>
        <w:rPr>
          <w:rStyle w:val="VerbatimChar"/>
        </w:rPr>
        <w:t xml:space="preserve">x-dataclass</w:t>
      </w:r>
      <w:r>
        <w:t xml:space="preserve">. Money</w:t>
      </w:r>
      <w:r>
        <w:t xml:space="preserve"> </w:t>
      </w:r>
      <w:r>
        <w:rPr>
          <w:rStyle w:val="VerbatimChar"/>
        </w:rPr>
        <w:t xml:space="preserve">{"amount": "125000.00", "currency": "INR"}</w:t>
      </w:r>
      <w:r>
        <w:t xml:space="preserve">; rates as percent per annum with day count. PAN and bank accounts travel masked plus keyed token; Aadhaar numbers never; clear identifiers (</w:t>
      </w:r>
      <w:r>
        <w:rPr>
          <w:rStyle w:val="VerbatimChar"/>
        </w:rPr>
        <w:t xml:space="preserve">SPI</w:t>
      </w:r>
      <w:r>
        <w:t xml:space="preserve">) only to the RE. Owners:</w:t>
      </w:r>
      <w:r>
        <w:t xml:space="preserve"> </w:t>
      </w:r>
      <w:r>
        <w:rPr>
          <w:bCs/>
          <w:b/>
        </w:rPr>
        <w:t xml:space="preserve">FX</w:t>
      </w:r>
      <w:r>
        <w:t xml:space="preserve"> </w:t>
      </w:r>
      <w:r>
        <w:t xml:space="preserve">Finbyx or the RE’s certified LMS;</w:t>
      </w:r>
      <w:r>
        <w:t xml:space="preserve"> </w:t>
      </w:r>
      <w:r>
        <w:rPr>
          <w:bCs/>
          <w:b/>
        </w:rPr>
        <w:t xml:space="preserve">UD</w:t>
      </w:r>
      <w:r>
        <w:t xml:space="preserve"> </w:t>
      </w:r>
      <w:r>
        <w:t xml:space="preserve">Udofin;</w:t>
      </w:r>
      <w:r>
        <w:t xml:space="preserve"> </w:t>
      </w:r>
      <w:r>
        <w:rPr>
          <w:bCs/>
          <w:b/>
        </w:rPr>
        <w:t xml:space="preserve">EQ</w:t>
      </w:r>
      <w:r>
        <w:t xml:space="preserve"> </w:t>
      </w:r>
      <w:r>
        <w:t xml:space="preserve">Equator or another ODR institution;</w:t>
      </w:r>
      <w:r>
        <w:t xml:space="preserve"> </w:t>
      </w:r>
      <w:r>
        <w:rPr>
          <w:bCs/>
          <w:b/>
        </w:rPr>
        <w:t xml:space="preserve">LDC</w:t>
      </w:r>
      <w:r>
        <w:t xml:space="preserve"> </w:t>
      </w:r>
      <w:r>
        <w:t xml:space="preserve">LawDocsComply or the RE’s GRC tool;</w:t>
      </w:r>
      <w:r>
        <w:t xml:space="preserve"> </w:t>
      </w:r>
      <w:r>
        <w:rPr>
          <w:bCs/>
          <w:b/>
        </w:rPr>
        <w:t xml:space="preserve">RS</w:t>
      </w:r>
      <w:r>
        <w:t xml:space="preserve"> </w:t>
      </w:r>
      <w:r>
        <w:t xml:space="preserve">Recovery Suite (in FX or standalone Udolex);</w:t>
      </w:r>
      <w:r>
        <w:t xml:space="preserve"> </w:t>
      </w:r>
      <w:r>
        <w:rPr>
          <w:bCs/>
          <w:b/>
        </w:rPr>
        <w:t xml:space="preserve">EXT</w:t>
      </w:r>
      <w:r>
        <w:t xml:space="preserve"> </w:t>
      </w:r>
      <w:r>
        <w:t xml:space="preserve">external provider.</w:t>
      </w:r>
    </w:p>
    <w:bookmarkEnd w:id="42"/>
    <w:bookmarkStart w:id="43" w:name="entity-catalogue-and-owners"/>
    <w:p>
      <w:pPr>
        <w:pStyle w:val="Heading2"/>
      </w:pPr>
      <w:r>
        <w:t xml:space="preserve">5.2 Entity catalogue and owners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59"/>
        <w:gridCol w:w="1599"/>
        <w:gridCol w:w="2204"/>
        <w:gridCol w:w="3734"/>
        <w:gridCol w:w="1242"/>
      </w:tblGrid>
      <w:tr>
        <w:trPr>
          <w:tblHeader w:val="true"/>
          <w:tblHeader w:val="true"/>
        </w:trPr>
        <w:tc>
          <w:tcPr>
            <w:tcW w:w="859" w:type="dxa"/>
            <w:shd w:val="clear" w:color="auto" w:fill="1F3A5F"/>
          </w:tcPr>
          <w:p>
            <w:pPr>
              <w:pStyle w:val="Compact"/>
              <w:spacing w:after="40"/>
              <w:jc w:val="left"/>
            </w:pPr>
            <w:r>
              <w:rPr>
                <w:b/>
                <w:color w:val="FFFFFF"/>
                <w:sz w:val="18"/>
              </w:rPr>
              <w:t xml:space="preserve">#</w:t>
            </w:r>
          </w:p>
        </w:tc>
        <w:tc>
          <w:tcPr>
            <w:tcW w:w="1599" w:type="dxa"/>
            <w:shd w:val="clear" w:color="auto" w:fill="1F3A5F"/>
          </w:tcPr>
          <w:p>
            <w:pPr>
              <w:pStyle w:val="Compact"/>
              <w:spacing w:after="40"/>
              <w:jc w:val="left"/>
            </w:pPr>
            <w:r>
              <w:rPr>
                <w:b/>
                <w:color w:val="FFFFFF"/>
                <w:sz w:val="18"/>
              </w:rPr>
              <w:t xml:space="preserve">Entity</w:t>
            </w:r>
          </w:p>
        </w:tc>
        <w:tc>
          <w:tcPr>
            <w:tcW w:w="2204" w:type="dxa"/>
            <w:shd w:val="clear" w:color="auto" w:fill="1F3A5F"/>
          </w:tcPr>
          <w:p>
            <w:pPr>
              <w:pStyle w:val="Compact"/>
              <w:spacing w:after="40"/>
              <w:jc w:val="left"/>
            </w:pPr>
            <w:r>
              <w:rPr>
                <w:b/>
                <w:color w:val="FFFFFF"/>
                <w:sz w:val="18"/>
              </w:rPr>
              <w:t xml:space="preserve">Owner</w:t>
            </w:r>
          </w:p>
        </w:tc>
        <w:tc>
          <w:tcPr>
            <w:tcW w:w="3734" w:type="dxa"/>
            <w:shd w:val="clear" w:color="auto" w:fill="1F3A5F"/>
          </w:tcPr>
          <w:p>
            <w:pPr>
              <w:pStyle w:val="Compact"/>
              <w:spacing w:after="40"/>
              <w:jc w:val="left"/>
            </w:pPr>
            <w:r>
              <w:rPr>
                <w:b/>
                <w:color w:val="FFFFFF"/>
                <w:sz w:val="18"/>
              </w:rPr>
              <w:t xml:space="preserve">Key fields (beyond 5.1)</w:t>
            </w:r>
          </w:p>
        </w:tc>
        <w:tc>
          <w:tcPr>
            <w:tcW w:w="1242" w:type="dxa"/>
            <w:shd w:val="clear" w:color="auto" w:fill="1F3A5F"/>
          </w:tcPr>
          <w:p>
            <w:pPr>
              <w:pStyle w:val="Compact"/>
              <w:spacing w:after="40"/>
              <w:jc w:val="left"/>
            </w:pPr>
            <w:r>
              <w:rPr>
                <w:b/>
                <w:color w:val="FFFFFF"/>
                <w:sz w:val="18"/>
              </w:rPr>
              <w:t xml:space="preserve">Copies</w:t>
            </w:r>
          </w:p>
        </w:tc>
      </w:tr>
      <w:tr>
        <w:tc>
          <w:tcPr>
            <w:tcW w:w="859" w:type="dxa"/>
          </w:tcPr>
          <w:p>
            <w:pPr>
              <w:pStyle w:val="Compact"/>
              <w:spacing w:after="40"/>
              <w:jc w:val="left"/>
            </w:pPr>
            <w:r>
              <w:rPr>
                <w:sz w:val="18"/>
              </w:rPr>
              <w:t xml:space="preserve">1</w:t>
            </w:r>
          </w:p>
        </w:tc>
        <w:tc>
          <w:tcPr>
            <w:tcW w:w="1599" w:type="dxa"/>
          </w:tcPr>
          <w:p>
            <w:pPr>
              <w:pStyle w:val="Compact"/>
              <w:spacing w:after="40"/>
              <w:jc w:val="left"/>
            </w:pPr>
            <w:r>
              <w:rPr>
                <w:rStyle w:val="VerbatimChar"/>
                <w:sz w:val="18"/>
              </w:rPr>
              <w:t xml:space="preserve">party</w:t>
            </w:r>
          </w:p>
        </w:tc>
        <w:tc>
          <w:tcPr>
            <w:tcW w:w="2204" w:type="dxa"/>
          </w:tcPr>
          <w:p>
            <w:pPr>
              <w:pStyle w:val="Compact"/>
              <w:spacing w:after="40"/>
              <w:jc w:val="left"/>
            </w:pPr>
            <w:r>
              <w:rPr>
                <w:sz w:val="18"/>
              </w:rPr>
              <w:t xml:space="preserve">Onboarding product; FX CIF for the RE</w:t>
            </w:r>
          </w:p>
        </w:tc>
        <w:tc>
          <w:tcPr>
            <w:tcW w:w="3734" w:type="dxa"/>
          </w:tcPr>
          <w:p>
            <w:pPr>
              <w:pStyle w:val="Compact"/>
              <w:spacing w:after="40"/>
              <w:jc w:val="left"/>
            </w:pPr>
            <w:r>
              <w:rPr>
                <w:sz w:val="18"/>
              </w:rPr>
              <w:t xml:space="preserve">type, name, DOB, pan_token, contacts and addresses with source, is_deceased, legal_heirs</w:t>
            </w:r>
          </w:p>
        </w:tc>
        <w:tc>
          <w:tcPr>
            <w:tcW w:w="1242" w:type="dxa"/>
          </w:tcPr>
          <w:p>
            <w:pPr>
              <w:pStyle w:val="Compact"/>
              <w:spacing w:after="40"/>
              <w:jc w:val="left"/>
            </w:pPr>
            <w:r>
              <w:rPr>
                <w:sz w:val="18"/>
              </w:rPr>
              <w:t xml:space="preserve">UD, EQ, RS</w:t>
            </w:r>
          </w:p>
        </w:tc>
      </w:tr>
      <w:tr>
        <w:tc>
          <w:tcPr>
            <w:tcW w:w="859" w:type="dxa"/>
          </w:tcPr>
          <w:p>
            <w:pPr>
              <w:pStyle w:val="Compact"/>
              <w:spacing w:after="40"/>
              <w:jc w:val="left"/>
            </w:pPr>
            <w:r>
              <w:rPr>
                <w:sz w:val="18"/>
              </w:rPr>
              <w:t xml:space="preserve">2</w:t>
            </w:r>
          </w:p>
        </w:tc>
        <w:tc>
          <w:tcPr>
            <w:tcW w:w="1599" w:type="dxa"/>
          </w:tcPr>
          <w:p>
            <w:pPr>
              <w:pStyle w:val="Compact"/>
              <w:spacing w:after="40"/>
              <w:jc w:val="left"/>
            </w:pPr>
            <w:r>
              <w:rPr>
                <w:rStyle w:val="VerbatimChar"/>
                <w:sz w:val="18"/>
              </w:rPr>
              <w:t xml:space="preserve">borrower</w:t>
            </w:r>
          </w:p>
        </w:tc>
        <w:tc>
          <w:tcPr>
            <w:tcW w:w="2204" w:type="dxa"/>
          </w:tcPr>
          <w:p>
            <w:pPr>
              <w:pStyle w:val="Compact"/>
              <w:spacing w:after="40"/>
              <w:jc w:val="left"/>
            </w:pPr>
            <w:r>
              <w:rPr>
                <w:sz w:val="18"/>
              </w:rPr>
              <w:t xml:space="preserve">FX</w:t>
            </w:r>
          </w:p>
        </w:tc>
        <w:tc>
          <w:tcPr>
            <w:tcW w:w="3734" w:type="dxa"/>
          </w:tcPr>
          <w:p>
            <w:pPr>
              <w:pStyle w:val="Compact"/>
              <w:spacing w:after="40"/>
              <w:jc w:val="left"/>
            </w:pPr>
            <w:r>
              <w:rPr>
                <w:sz w:val="18"/>
              </w:rPr>
              <w:t xml:space="preserve">party, loans, ucic, household income (CF para 51), udyam, fraud and WD flags, ibc_state</w:t>
            </w:r>
          </w:p>
        </w:tc>
        <w:tc>
          <w:tcPr>
            <w:tcW w:w="1242" w:type="dxa"/>
          </w:tcPr>
          <w:p>
            <w:pPr>
              <w:pStyle w:val="Compact"/>
              <w:spacing w:after="40"/>
              <w:jc w:val="left"/>
            </w:pPr>
            <w:r>
              <w:rPr>
                <w:sz w:val="18"/>
              </w:rPr>
              <w:t xml:space="preserve">UD, EQ, RS</w:t>
            </w:r>
          </w:p>
        </w:tc>
      </w:tr>
      <w:tr>
        <w:tc>
          <w:tcPr>
            <w:tcW w:w="859" w:type="dxa"/>
          </w:tcPr>
          <w:p>
            <w:pPr>
              <w:pStyle w:val="Compact"/>
              <w:spacing w:after="40"/>
              <w:jc w:val="left"/>
            </w:pPr>
            <w:r>
              <w:rPr>
                <w:sz w:val="18"/>
              </w:rPr>
              <w:t xml:space="preserve">3</w:t>
            </w:r>
          </w:p>
        </w:tc>
        <w:tc>
          <w:tcPr>
            <w:tcW w:w="1599" w:type="dxa"/>
          </w:tcPr>
          <w:p>
            <w:pPr>
              <w:pStyle w:val="Compact"/>
              <w:spacing w:after="40"/>
              <w:jc w:val="left"/>
            </w:pPr>
            <w:r>
              <w:rPr>
                <w:rStyle w:val="VerbatimChar"/>
                <w:sz w:val="18"/>
              </w:rPr>
              <w:t xml:space="preserve">guarantor</w:t>
            </w:r>
          </w:p>
        </w:tc>
        <w:tc>
          <w:tcPr>
            <w:tcW w:w="2204" w:type="dxa"/>
          </w:tcPr>
          <w:p>
            <w:pPr>
              <w:pStyle w:val="Compact"/>
              <w:spacing w:after="40"/>
              <w:jc w:val="left"/>
            </w:pPr>
            <w:r>
              <w:rPr>
                <w:sz w:val="18"/>
              </w:rPr>
              <w:t xml:space="preserve">FX</w:t>
            </w:r>
          </w:p>
        </w:tc>
        <w:tc>
          <w:tcPr>
            <w:tcW w:w="3734" w:type="dxa"/>
          </w:tcPr>
          <w:p>
            <w:pPr>
              <w:pStyle w:val="Compact"/>
              <w:spacing w:after="40"/>
              <w:jc w:val="left"/>
            </w:pPr>
            <w:r>
              <w:rPr>
                <w:sz w:val="18"/>
              </w:rPr>
              <w:t xml:space="preserve">party, loan, type, amount, invoked_at, is_pg_to_corporate_debtor</w:t>
            </w:r>
          </w:p>
        </w:tc>
        <w:tc>
          <w:tcPr>
            <w:tcW w:w="1242" w:type="dxa"/>
          </w:tcPr>
          <w:p>
            <w:pPr>
              <w:pStyle w:val="Compact"/>
              <w:spacing w:after="40"/>
              <w:jc w:val="left"/>
            </w:pPr>
            <w:r>
              <w:rPr>
                <w:sz w:val="18"/>
              </w:rPr>
              <w:t xml:space="preserve">RS, EQ</w:t>
            </w:r>
          </w:p>
        </w:tc>
      </w:tr>
      <w:tr>
        <w:tc>
          <w:tcPr>
            <w:tcW w:w="859" w:type="dxa"/>
          </w:tcPr>
          <w:p>
            <w:pPr>
              <w:pStyle w:val="Compact"/>
              <w:spacing w:after="40"/>
              <w:jc w:val="left"/>
            </w:pPr>
            <w:r>
              <w:rPr>
                <w:sz w:val="18"/>
              </w:rPr>
              <w:t xml:space="preserve">4</w:t>
            </w:r>
          </w:p>
        </w:tc>
        <w:tc>
          <w:tcPr>
            <w:tcW w:w="1599" w:type="dxa"/>
          </w:tcPr>
          <w:p>
            <w:pPr>
              <w:pStyle w:val="Compact"/>
              <w:spacing w:after="40"/>
              <w:jc w:val="left"/>
            </w:pPr>
            <w:r>
              <w:rPr>
                <w:rStyle w:val="VerbatimChar"/>
                <w:sz w:val="18"/>
              </w:rPr>
              <w:t xml:space="preserve">regulated_entity</w:t>
            </w:r>
            <w:r>
              <w:rPr>
                <w:sz w:val="18"/>
              </w:rPr>
              <w:t xml:space="preserve">,</w:t>
            </w:r>
            <w:r>
              <w:rPr>
                <w:sz w:val="18"/>
              </w:rPr>
              <w:t xml:space="preserve"> </w:t>
            </w:r>
            <w:r>
              <w:rPr>
                <w:rStyle w:val="VerbatimChar"/>
                <w:sz w:val="18"/>
              </w:rPr>
              <w:t xml:space="preserve">lsp</w:t>
            </w:r>
          </w:p>
        </w:tc>
        <w:tc>
          <w:tcPr>
            <w:tcW w:w="2204" w:type="dxa"/>
          </w:tcPr>
          <w:p>
            <w:pPr>
              <w:pStyle w:val="Compact"/>
              <w:spacing w:after="40"/>
              <w:jc w:val="left"/>
            </w:pPr>
            <w:r>
              <w:rPr>
                <w:sz w:val="18"/>
              </w:rPr>
              <w:t xml:space="preserve">Ecosystem registry</w:t>
            </w:r>
          </w:p>
        </w:tc>
        <w:tc>
          <w:tcPr>
            <w:tcW w:w="3734" w:type="dxa"/>
          </w:tcPr>
          <w:p>
            <w:pPr>
              <w:pStyle w:val="Compact"/>
              <w:spacing w:after="40"/>
              <w:jc w:val="left"/>
            </w:pPr>
            <w:r>
              <w:rPr>
                <w:sz w:val="18"/>
              </w:rPr>
              <w:t xml:space="preserve">category, layer, SARFAESI and RDB flags, GRO; LSP is_company (CF para 19), nodal officer (CF para 12), DLAs</w:t>
            </w:r>
          </w:p>
        </w:tc>
        <w:tc>
          <w:tcPr>
            <w:tcW w:w="1242" w:type="dxa"/>
          </w:tcPr>
          <w:p>
            <w:pPr>
              <w:pStyle w:val="Compact"/>
              <w:spacing w:after="40"/>
              <w:jc w:val="left"/>
            </w:pPr>
            <w:r>
              <w:rPr>
                <w:sz w:val="18"/>
              </w:rPr>
              <w:t xml:space="preserve">All</w:t>
            </w:r>
          </w:p>
        </w:tc>
      </w:tr>
      <w:tr>
        <w:tc>
          <w:tcPr>
            <w:tcW w:w="859" w:type="dxa"/>
          </w:tcPr>
          <w:p>
            <w:pPr>
              <w:pStyle w:val="Compact"/>
              <w:spacing w:after="40"/>
              <w:jc w:val="left"/>
            </w:pPr>
            <w:r>
              <w:rPr>
                <w:sz w:val="18"/>
              </w:rPr>
              <w:t xml:space="preserve">5</w:t>
            </w:r>
          </w:p>
        </w:tc>
        <w:tc>
          <w:tcPr>
            <w:tcW w:w="1599" w:type="dxa"/>
          </w:tcPr>
          <w:p>
            <w:pPr>
              <w:pStyle w:val="Compact"/>
              <w:spacing w:after="40"/>
              <w:jc w:val="left"/>
            </w:pPr>
            <w:r>
              <w:rPr>
                <w:rStyle w:val="VerbatimChar"/>
                <w:sz w:val="18"/>
              </w:rPr>
              <w:t xml:space="preserve">product</w:t>
            </w:r>
          </w:p>
        </w:tc>
        <w:tc>
          <w:tcPr>
            <w:tcW w:w="2204" w:type="dxa"/>
          </w:tcPr>
          <w:p>
            <w:pPr>
              <w:pStyle w:val="Compact"/>
              <w:spacing w:after="40"/>
              <w:jc w:val="left"/>
            </w:pPr>
            <w:r>
              <w:rPr>
                <w:sz w:val="18"/>
              </w:rPr>
              <w:t xml:space="preserve">FX</w:t>
            </w:r>
          </w:p>
        </w:tc>
        <w:tc>
          <w:tcPr>
            <w:tcW w:w="3734" w:type="dxa"/>
          </w:tcPr>
          <w:p>
            <w:pPr>
              <w:pStyle w:val="Compact"/>
              <w:spacing w:after="40"/>
              <w:jc w:val="left"/>
            </w:pPr>
            <w:r>
              <w:rPr>
                <w:sz w:val="18"/>
              </w:rPr>
              <w:t xml:space="preserve">family, version, collateral types, rate model, charges, KFS template, cooling-off, recovery playbook, LAS haircut table</w:t>
            </w:r>
          </w:p>
        </w:tc>
        <w:tc>
          <w:tcPr>
            <w:tcW w:w="1242" w:type="dxa"/>
          </w:tcPr>
          <w:p>
            <w:pPr>
              <w:pStyle w:val="Compact"/>
              <w:spacing w:after="40"/>
              <w:jc w:val="left"/>
            </w:pPr>
            <w:r>
              <w:rPr>
                <w:sz w:val="18"/>
              </w:rPr>
              <w:t xml:space="preserve">UD</w:t>
            </w:r>
          </w:p>
        </w:tc>
      </w:tr>
      <w:tr>
        <w:tc>
          <w:tcPr>
            <w:tcW w:w="859" w:type="dxa"/>
          </w:tcPr>
          <w:p>
            <w:pPr>
              <w:pStyle w:val="Compact"/>
              <w:spacing w:after="40"/>
              <w:jc w:val="left"/>
            </w:pPr>
            <w:r>
              <w:rPr>
                <w:sz w:val="18"/>
              </w:rPr>
              <w:t xml:space="preserve">6</w:t>
            </w:r>
          </w:p>
        </w:tc>
        <w:tc>
          <w:tcPr>
            <w:tcW w:w="1599" w:type="dxa"/>
          </w:tcPr>
          <w:p>
            <w:pPr>
              <w:pStyle w:val="Compact"/>
              <w:spacing w:after="40"/>
              <w:jc w:val="left"/>
            </w:pPr>
            <w:r>
              <w:rPr>
                <w:rStyle w:val="VerbatimChar"/>
                <w:sz w:val="18"/>
              </w:rPr>
              <w:t xml:space="preserve">application</w:t>
            </w:r>
          </w:p>
        </w:tc>
        <w:tc>
          <w:tcPr>
            <w:tcW w:w="2204" w:type="dxa"/>
          </w:tcPr>
          <w:p>
            <w:pPr>
              <w:pStyle w:val="Compact"/>
              <w:spacing w:after="40"/>
              <w:jc w:val="left"/>
            </w:pPr>
            <w:r>
              <w:rPr>
                <w:sz w:val="18"/>
              </w:rPr>
              <w:t xml:space="preserve">UD journey; FX once submitted</w:t>
            </w:r>
          </w:p>
        </w:tc>
        <w:tc>
          <w:tcPr>
            <w:tcW w:w="3734" w:type="dxa"/>
          </w:tcPr>
          <w:p>
            <w:pPr>
              <w:pStyle w:val="Compact"/>
              <w:spacing w:after="40"/>
              <w:jc w:val="left"/>
            </w:pPr>
            <w:r>
              <w:rPr>
                <w:sz w:val="18"/>
              </w:rPr>
              <w:t xml:space="preserve">product, amount, tenor, purpose, applicants, consents, KYC, bureau and AA refs, documents, collateral offers, dla_id, status</w:t>
            </w:r>
          </w:p>
        </w:tc>
        <w:tc>
          <w:tcPr>
            <w:tcW w:w="1242" w:type="dxa"/>
          </w:tcPr>
          <w:p>
            <w:pPr>
              <w:pStyle w:val="Compact"/>
              <w:spacing w:after="40"/>
              <w:jc w:val="left"/>
            </w:pPr>
            <w:r>
              <w:rPr>
                <w:sz w:val="18"/>
              </w:rPr>
              <w:t xml:space="preserve">Both</w:t>
            </w:r>
          </w:p>
        </w:tc>
      </w:tr>
      <w:tr>
        <w:tc>
          <w:tcPr>
            <w:tcW w:w="859" w:type="dxa"/>
          </w:tcPr>
          <w:p>
            <w:pPr>
              <w:pStyle w:val="Compact"/>
              <w:spacing w:after="40"/>
              <w:jc w:val="left"/>
            </w:pPr>
            <w:r>
              <w:rPr>
                <w:sz w:val="18"/>
              </w:rPr>
              <w:t xml:space="preserve">7</w:t>
            </w:r>
          </w:p>
        </w:tc>
        <w:tc>
          <w:tcPr>
            <w:tcW w:w="1599" w:type="dxa"/>
          </w:tcPr>
          <w:p>
            <w:pPr>
              <w:pStyle w:val="Compact"/>
              <w:spacing w:after="40"/>
              <w:jc w:val="left"/>
            </w:pPr>
            <w:r>
              <w:rPr>
                <w:rStyle w:val="VerbatimChar"/>
                <w:sz w:val="18"/>
              </w:rPr>
              <w:t xml:space="preserve">offer</w:t>
            </w:r>
            <w:r>
              <w:rPr>
                <w:sz w:val="18"/>
              </w:rPr>
              <w:t xml:space="preserve">,</w:t>
            </w:r>
            <w:r>
              <w:rPr>
                <w:sz w:val="18"/>
              </w:rPr>
              <w:t xml:space="preserve"> </w:t>
            </w:r>
            <w:r>
              <w:rPr>
                <w:rStyle w:val="VerbatimChar"/>
                <w:sz w:val="18"/>
              </w:rPr>
              <w:t xml:space="preserve">kfs</w:t>
            </w:r>
          </w:p>
        </w:tc>
        <w:tc>
          <w:tcPr>
            <w:tcW w:w="2204" w:type="dxa"/>
          </w:tcPr>
          <w:p>
            <w:pPr>
              <w:pStyle w:val="Compact"/>
              <w:spacing w:after="40"/>
              <w:jc w:val="left"/>
            </w:pPr>
            <w:r>
              <w:rPr>
                <w:sz w:val="18"/>
              </w:rPr>
              <w:t xml:space="preserve">FX</w:t>
            </w:r>
          </w:p>
        </w:tc>
        <w:tc>
          <w:tcPr>
            <w:tcW w:w="3734" w:type="dxa"/>
          </w:tcPr>
          <w:p>
            <w:pPr>
              <w:pStyle w:val="Compact"/>
              <w:spacing w:after="40"/>
              <w:jc w:val="left"/>
            </w:pPr>
            <w:r>
              <w:rPr>
                <w:sz w:val="18"/>
              </w:rPr>
              <w:t xml:space="preserve">APR, EMI, penal charges, proposal_no, validity (RBC para 29), KFS Part 2 items 1, 4, 5, 6(ii), hash</w:t>
            </w:r>
          </w:p>
        </w:tc>
        <w:tc>
          <w:tcPr>
            <w:tcW w:w="1242" w:type="dxa"/>
          </w:tcPr>
          <w:p>
            <w:pPr>
              <w:pStyle w:val="Compact"/>
              <w:spacing w:after="40"/>
              <w:jc w:val="left"/>
            </w:pPr>
            <w:r>
              <w:rPr>
                <w:sz w:val="18"/>
              </w:rPr>
              <w:t xml:space="preserve">UD</w:t>
            </w:r>
          </w:p>
        </w:tc>
      </w:tr>
      <w:tr>
        <w:tc>
          <w:tcPr>
            <w:tcW w:w="859" w:type="dxa"/>
          </w:tcPr>
          <w:p>
            <w:pPr>
              <w:pStyle w:val="Compact"/>
              <w:spacing w:after="40"/>
              <w:jc w:val="left"/>
            </w:pPr>
            <w:r>
              <w:rPr>
                <w:sz w:val="18"/>
              </w:rPr>
              <w:t xml:space="preserve">8</w:t>
            </w:r>
          </w:p>
        </w:tc>
        <w:tc>
          <w:tcPr>
            <w:tcW w:w="1599" w:type="dxa"/>
          </w:tcPr>
          <w:p>
            <w:pPr>
              <w:pStyle w:val="Compact"/>
              <w:spacing w:after="40"/>
              <w:jc w:val="left"/>
            </w:pPr>
            <w:r>
              <w:rPr>
                <w:rStyle w:val="VerbatimChar"/>
                <w:sz w:val="18"/>
              </w:rPr>
              <w:t xml:space="preserve">loan</w:t>
            </w:r>
          </w:p>
        </w:tc>
        <w:tc>
          <w:tcPr>
            <w:tcW w:w="2204" w:type="dxa"/>
          </w:tcPr>
          <w:p>
            <w:pPr>
              <w:pStyle w:val="Compact"/>
              <w:spacing w:after="40"/>
              <w:jc w:val="left"/>
            </w:pPr>
            <w:r>
              <w:rPr>
                <w:sz w:val="18"/>
              </w:rPr>
              <w:t xml:space="preserve">FX</w:t>
            </w:r>
          </w:p>
        </w:tc>
        <w:tc>
          <w:tcPr>
            <w:tcW w:w="3734" w:type="dxa"/>
          </w:tcPr>
          <w:p>
            <w:pPr>
              <w:pStyle w:val="Compact"/>
              <w:spacing w:after="40"/>
              <w:jc w:val="left"/>
            </w:pPr>
            <w:r>
              <w:rPr>
                <w:sz w:val="18"/>
              </w:rPr>
              <w:t xml:space="preserve">lender of record, co-lenders and shares, outstanding by component, dpd, asset_class, npa_date, restructured, technical write-off, servicer, transferred interests</w:t>
            </w:r>
          </w:p>
        </w:tc>
        <w:tc>
          <w:tcPr>
            <w:tcW w:w="1242" w:type="dxa"/>
          </w:tcPr>
          <w:p>
            <w:pPr>
              <w:pStyle w:val="Compact"/>
              <w:spacing w:after="40"/>
              <w:jc w:val="left"/>
            </w:pPr>
            <w:r>
              <w:rPr>
                <w:sz w:val="18"/>
              </w:rPr>
              <w:t xml:space="preserve">UD, RS, EQ</w:t>
            </w:r>
          </w:p>
        </w:tc>
      </w:tr>
      <w:tr>
        <w:tc>
          <w:tcPr>
            <w:tcW w:w="859" w:type="dxa"/>
          </w:tcPr>
          <w:p>
            <w:pPr>
              <w:pStyle w:val="Compact"/>
              <w:spacing w:after="40"/>
              <w:jc w:val="left"/>
            </w:pPr>
            <w:r>
              <w:rPr>
                <w:sz w:val="18"/>
              </w:rPr>
              <w:t xml:space="preserve">9</w:t>
            </w:r>
          </w:p>
        </w:tc>
        <w:tc>
          <w:tcPr>
            <w:tcW w:w="1599" w:type="dxa"/>
          </w:tcPr>
          <w:p>
            <w:pPr>
              <w:pStyle w:val="Compact"/>
              <w:spacing w:after="40"/>
              <w:jc w:val="left"/>
            </w:pPr>
            <w:r>
              <w:rPr>
                <w:rStyle w:val="VerbatimChar"/>
                <w:sz w:val="18"/>
              </w:rPr>
              <w:t xml:space="preserve">schedule</w:t>
            </w:r>
          </w:p>
        </w:tc>
        <w:tc>
          <w:tcPr>
            <w:tcW w:w="2204" w:type="dxa"/>
          </w:tcPr>
          <w:p>
            <w:pPr>
              <w:pStyle w:val="Compact"/>
              <w:spacing w:after="40"/>
              <w:jc w:val="left"/>
            </w:pPr>
            <w:r>
              <w:rPr>
                <w:sz w:val="18"/>
              </w:rPr>
              <w:t xml:space="preserve">FX</w:t>
            </w:r>
          </w:p>
        </w:tc>
        <w:tc>
          <w:tcPr>
            <w:tcW w:w="3734" w:type="dxa"/>
          </w:tcPr>
          <w:p>
            <w:pPr>
              <w:pStyle w:val="Compact"/>
              <w:spacing w:after="40"/>
              <w:jc w:val="left"/>
            </w:pPr>
            <w:r>
              <w:rPr>
                <w:sz w:val="18"/>
              </w:rPr>
              <w:t xml:space="preserve">version, instalments, moratorium, tranches</w:t>
            </w:r>
          </w:p>
        </w:tc>
        <w:tc>
          <w:tcPr>
            <w:tcW w:w="1242" w:type="dxa"/>
          </w:tcPr>
          <w:p>
            <w:pPr>
              <w:pStyle w:val="Compact"/>
              <w:spacing w:after="40"/>
              <w:jc w:val="left"/>
            </w:pPr>
            <w:r>
              <w:rPr>
                <w:sz w:val="18"/>
              </w:rPr>
              <w:t xml:space="preserve">UD</w:t>
            </w:r>
          </w:p>
        </w:tc>
      </w:tr>
      <w:tr>
        <w:tc>
          <w:tcPr>
            <w:tcW w:w="859" w:type="dxa"/>
          </w:tcPr>
          <w:p>
            <w:pPr>
              <w:pStyle w:val="Compact"/>
              <w:spacing w:after="40"/>
              <w:jc w:val="left"/>
            </w:pPr>
            <w:r>
              <w:rPr>
                <w:sz w:val="18"/>
              </w:rPr>
              <w:t xml:space="preserve">10</w:t>
            </w:r>
          </w:p>
        </w:tc>
        <w:tc>
          <w:tcPr>
            <w:tcW w:w="1599" w:type="dxa"/>
          </w:tcPr>
          <w:p>
            <w:pPr>
              <w:pStyle w:val="Compact"/>
              <w:spacing w:after="40"/>
              <w:jc w:val="left"/>
            </w:pPr>
            <w:r>
              <w:rPr>
                <w:rStyle w:val="VerbatimChar"/>
                <w:sz w:val="18"/>
              </w:rPr>
              <w:t xml:space="preserve">payment</w:t>
            </w:r>
          </w:p>
        </w:tc>
        <w:tc>
          <w:tcPr>
            <w:tcW w:w="2204" w:type="dxa"/>
          </w:tcPr>
          <w:p>
            <w:pPr>
              <w:pStyle w:val="Compact"/>
              <w:spacing w:after="40"/>
              <w:jc w:val="left"/>
            </w:pPr>
            <w:r>
              <w:rPr>
                <w:sz w:val="18"/>
              </w:rPr>
              <w:t xml:space="preserve">FX</w:t>
            </w:r>
          </w:p>
        </w:tc>
        <w:tc>
          <w:tcPr>
            <w:tcW w:w="3734" w:type="dxa"/>
          </w:tcPr>
          <w:p>
            <w:pPr>
              <w:pStyle w:val="Compact"/>
              <w:spacing w:after="40"/>
              <w:jc w:val="left"/>
            </w:pPr>
            <w:r>
              <w:rPr>
                <w:sz w:val="18"/>
              </w:rPr>
              <w:t xml:space="preserve">utr, rail, value date, amount, allocation by component and co-lender share, collected_by (RE, APPOINTED_AGENT, LSP_AS_AGENT)</w:t>
            </w:r>
          </w:p>
        </w:tc>
        <w:tc>
          <w:tcPr>
            <w:tcW w:w="1242" w:type="dxa"/>
          </w:tcPr>
          <w:p>
            <w:pPr>
              <w:pStyle w:val="Compact"/>
              <w:spacing w:after="40"/>
              <w:jc w:val="left"/>
            </w:pPr>
            <w:r>
              <w:rPr>
                <w:sz w:val="18"/>
              </w:rPr>
              <w:t xml:space="preserve">UD, RS, EQ</w:t>
            </w:r>
          </w:p>
        </w:tc>
      </w:tr>
      <w:tr>
        <w:tc>
          <w:tcPr>
            <w:tcW w:w="859" w:type="dxa"/>
          </w:tcPr>
          <w:p>
            <w:pPr>
              <w:pStyle w:val="Compact"/>
              <w:spacing w:after="40"/>
              <w:jc w:val="left"/>
            </w:pPr>
            <w:r>
              <w:rPr>
                <w:sz w:val="18"/>
              </w:rPr>
              <w:t xml:space="preserve">11</w:t>
            </w:r>
          </w:p>
        </w:tc>
        <w:tc>
          <w:tcPr>
            <w:tcW w:w="1599" w:type="dxa"/>
          </w:tcPr>
          <w:p>
            <w:pPr>
              <w:pStyle w:val="Compact"/>
              <w:spacing w:after="40"/>
              <w:jc w:val="left"/>
            </w:pPr>
            <w:r>
              <w:rPr>
                <w:rStyle w:val="VerbatimChar"/>
                <w:sz w:val="18"/>
              </w:rPr>
              <w:t xml:space="preserve">mandate</w:t>
            </w:r>
          </w:p>
        </w:tc>
        <w:tc>
          <w:tcPr>
            <w:tcW w:w="2204" w:type="dxa"/>
          </w:tcPr>
          <w:p>
            <w:pPr>
              <w:pStyle w:val="Compact"/>
              <w:spacing w:after="40"/>
              <w:jc w:val="left"/>
            </w:pPr>
            <w:r>
              <w:rPr>
                <w:sz w:val="18"/>
              </w:rPr>
              <w:t xml:space="preserve">FX; UD evidence</w:t>
            </w:r>
          </w:p>
        </w:tc>
        <w:tc>
          <w:tcPr>
            <w:tcW w:w="3734" w:type="dxa"/>
          </w:tcPr>
          <w:p>
            <w:pPr>
              <w:pStyle w:val="Compact"/>
              <w:spacing w:after="40"/>
              <w:jc w:val="left"/>
            </w:pPr>
            <w:r>
              <w:rPr>
                <w:sz w:val="18"/>
              </w:rPr>
              <w:t xml:space="preserve">umrn, type, sponsor bank, limits, beneficiary (must be RE)</w:t>
            </w:r>
          </w:p>
        </w:tc>
        <w:tc>
          <w:tcPr>
            <w:tcW w:w="1242" w:type="dxa"/>
          </w:tcPr>
          <w:p>
            <w:pPr>
              <w:pStyle w:val="Compact"/>
              <w:spacing w:after="40"/>
              <w:jc w:val="left"/>
            </w:pPr>
            <w:r>
              <w:rPr>
                <w:sz w:val="18"/>
              </w:rPr>
              <w:t xml:space="preserve">UD</w:t>
            </w:r>
          </w:p>
        </w:tc>
      </w:tr>
      <w:tr>
        <w:tc>
          <w:tcPr>
            <w:tcW w:w="859" w:type="dxa"/>
          </w:tcPr>
          <w:p>
            <w:pPr>
              <w:pStyle w:val="Compact"/>
              <w:spacing w:after="40"/>
              <w:jc w:val="left"/>
            </w:pPr>
            <w:r>
              <w:rPr>
                <w:sz w:val="18"/>
              </w:rPr>
              <w:t xml:space="preserve">12</w:t>
            </w:r>
          </w:p>
        </w:tc>
        <w:tc>
          <w:tcPr>
            <w:tcW w:w="1599" w:type="dxa"/>
          </w:tcPr>
          <w:p>
            <w:pPr>
              <w:pStyle w:val="Compact"/>
              <w:spacing w:after="40"/>
              <w:jc w:val="left"/>
            </w:pPr>
            <w:r>
              <w:rPr>
                <w:rStyle w:val="VerbatimChar"/>
                <w:sz w:val="18"/>
              </w:rPr>
              <w:t xml:space="preserve">collateral</w:t>
            </w:r>
          </w:p>
        </w:tc>
        <w:tc>
          <w:tcPr>
            <w:tcW w:w="2204" w:type="dxa"/>
          </w:tcPr>
          <w:p>
            <w:pPr>
              <w:pStyle w:val="Compact"/>
              <w:spacing w:after="40"/>
              <w:jc w:val="left"/>
            </w:pPr>
            <w:r>
              <w:rPr>
                <w:sz w:val="18"/>
              </w:rPr>
              <w:t xml:space="preserve">FX</w:t>
            </w:r>
          </w:p>
        </w:tc>
        <w:tc>
          <w:tcPr>
            <w:tcW w:w="3734" w:type="dxa"/>
          </w:tcPr>
          <w:p>
            <w:pPr>
              <w:pStyle w:val="Compact"/>
              <w:spacing w:after="40"/>
              <w:jc w:val="left"/>
            </w:pPr>
            <w:r>
              <w:rPr>
                <w:sz w:val="18"/>
              </w:rPr>
              <w:t xml:space="preserve">collateral_type (5.3), owners, valuations, charge {type, registry, registry_ref, satisfied_at}, insurance, custody, release status</w:t>
            </w:r>
          </w:p>
        </w:tc>
        <w:tc>
          <w:tcPr>
            <w:tcW w:w="1242" w:type="dxa"/>
          </w:tcPr>
          <w:p>
            <w:pPr>
              <w:pStyle w:val="Compact"/>
              <w:spacing w:after="40"/>
              <w:jc w:val="left"/>
            </w:pPr>
            <w:r>
              <w:rPr>
                <w:sz w:val="18"/>
              </w:rPr>
              <w:t xml:space="preserve">UD, RS</w:t>
            </w:r>
          </w:p>
        </w:tc>
      </w:tr>
      <w:tr>
        <w:tc>
          <w:tcPr>
            <w:tcW w:w="859" w:type="dxa"/>
          </w:tcPr>
          <w:p>
            <w:pPr>
              <w:pStyle w:val="Compact"/>
              <w:spacing w:after="40"/>
              <w:jc w:val="left"/>
            </w:pPr>
            <w:r>
              <w:rPr>
                <w:sz w:val="18"/>
              </w:rPr>
              <w:t xml:space="preserve">13</w:t>
            </w:r>
          </w:p>
        </w:tc>
        <w:tc>
          <w:tcPr>
            <w:tcW w:w="1599" w:type="dxa"/>
          </w:tcPr>
          <w:p>
            <w:pPr>
              <w:pStyle w:val="Compact"/>
              <w:spacing w:after="40"/>
              <w:jc w:val="left"/>
            </w:pPr>
            <w:r>
              <w:rPr>
                <w:rStyle w:val="VerbatimChar"/>
                <w:sz w:val="18"/>
              </w:rPr>
              <w:t xml:space="preserve">securities_position</w:t>
            </w:r>
          </w:p>
        </w:tc>
        <w:tc>
          <w:tcPr>
            <w:tcW w:w="2204" w:type="dxa"/>
          </w:tcPr>
          <w:p>
            <w:pPr>
              <w:pStyle w:val="Compact"/>
              <w:spacing w:after="40"/>
              <w:jc w:val="left"/>
            </w:pPr>
            <w:r>
              <w:rPr>
                <w:sz w:val="18"/>
              </w:rPr>
              <w:t xml:space="preserve">FX; depository or RTA external truth</w:t>
            </w:r>
          </w:p>
        </w:tc>
        <w:tc>
          <w:tcPr>
            <w:tcW w:w="3734" w:type="dxa"/>
          </w:tcPr>
          <w:p>
            <w:pPr>
              <w:pStyle w:val="Compact"/>
              <w:spacing w:after="40"/>
              <w:jc w:val="left"/>
            </w:pPr>
            <w:r>
              <w:rPr>
                <w:sz w:val="18"/>
              </w:rPr>
              <w:t xml:space="preserve">ISIN or scheme, folio or BOID token, units, pledge_ref, provider, status (7.3), price and as_of, haircut, eligible value</w:t>
            </w:r>
          </w:p>
        </w:tc>
        <w:tc>
          <w:tcPr>
            <w:tcW w:w="1242" w:type="dxa"/>
          </w:tcPr>
          <w:p>
            <w:pPr>
              <w:pStyle w:val="Compact"/>
              <w:spacing w:after="40"/>
              <w:jc w:val="left"/>
            </w:pPr>
            <w:r>
              <w:rPr>
                <w:sz w:val="18"/>
              </w:rPr>
              <w:t xml:space="preserve">UD</w:t>
            </w:r>
          </w:p>
        </w:tc>
      </w:tr>
      <w:tr>
        <w:tc>
          <w:tcPr>
            <w:tcW w:w="859" w:type="dxa"/>
          </w:tcPr>
          <w:p>
            <w:pPr>
              <w:pStyle w:val="Compact"/>
              <w:spacing w:after="40"/>
              <w:jc w:val="left"/>
            </w:pPr>
            <w:r>
              <w:rPr>
                <w:sz w:val="18"/>
              </w:rPr>
              <w:t xml:space="preserve">14</w:t>
            </w:r>
          </w:p>
        </w:tc>
        <w:tc>
          <w:tcPr>
            <w:tcW w:w="1599" w:type="dxa"/>
          </w:tcPr>
          <w:p>
            <w:pPr>
              <w:pStyle w:val="Compact"/>
              <w:spacing w:after="40"/>
              <w:jc w:val="left"/>
            </w:pPr>
            <w:r>
              <w:rPr>
                <w:rStyle w:val="VerbatimChar"/>
                <w:sz w:val="18"/>
              </w:rPr>
              <w:t xml:space="preserve">drawing_power_snapshot</w:t>
            </w:r>
          </w:p>
        </w:tc>
        <w:tc>
          <w:tcPr>
            <w:tcW w:w="2204" w:type="dxa"/>
          </w:tcPr>
          <w:p>
            <w:pPr>
              <w:pStyle w:val="Compact"/>
              <w:spacing w:after="40"/>
              <w:jc w:val="left"/>
            </w:pPr>
            <w:r>
              <w:rPr>
                <w:sz w:val="18"/>
              </w:rPr>
              <w:t xml:space="preserve">FX</w:t>
            </w:r>
          </w:p>
        </w:tc>
        <w:tc>
          <w:tcPr>
            <w:tcW w:w="3734" w:type="dxa"/>
          </w:tcPr>
          <w:p>
            <w:pPr>
              <w:pStyle w:val="Compact"/>
              <w:spacing w:after="40"/>
              <w:jc w:val="left"/>
            </w:pPr>
            <w:r>
              <w:rPr>
                <w:sz w:val="18"/>
              </w:rPr>
              <w:t xml:space="preserve">eligible value, haircut version, DP, limit, utilised, reservations, available, LTV, breach and stale flags</w:t>
            </w:r>
          </w:p>
        </w:tc>
        <w:tc>
          <w:tcPr>
            <w:tcW w:w="1242" w:type="dxa"/>
          </w:tcPr>
          <w:p>
            <w:pPr>
              <w:pStyle w:val="Compact"/>
              <w:spacing w:after="40"/>
              <w:jc w:val="left"/>
            </w:pPr>
            <w:r>
              <w:rPr>
                <w:sz w:val="18"/>
              </w:rPr>
              <w:t xml:space="preserve">UD</w:t>
            </w:r>
          </w:p>
        </w:tc>
      </w:tr>
      <w:tr>
        <w:tc>
          <w:tcPr>
            <w:tcW w:w="859" w:type="dxa"/>
          </w:tcPr>
          <w:p>
            <w:pPr>
              <w:pStyle w:val="Compact"/>
              <w:spacing w:after="40"/>
              <w:jc w:val="left"/>
            </w:pPr>
            <w:r>
              <w:rPr>
                <w:sz w:val="18"/>
              </w:rPr>
              <w:t xml:space="preserve">15</w:t>
            </w:r>
          </w:p>
        </w:tc>
        <w:tc>
          <w:tcPr>
            <w:tcW w:w="1599" w:type="dxa"/>
          </w:tcPr>
          <w:p>
            <w:pPr>
              <w:pStyle w:val="Compact"/>
              <w:spacing w:after="40"/>
              <w:jc w:val="left"/>
            </w:pPr>
            <w:r>
              <w:rPr>
                <w:rStyle w:val="VerbatimChar"/>
                <w:sz w:val="18"/>
              </w:rPr>
              <w:t xml:space="preserve">margin_call</w:t>
            </w:r>
          </w:p>
        </w:tc>
        <w:tc>
          <w:tcPr>
            <w:tcW w:w="2204" w:type="dxa"/>
          </w:tcPr>
          <w:p>
            <w:pPr>
              <w:pStyle w:val="Compact"/>
              <w:spacing w:after="40"/>
              <w:jc w:val="left"/>
            </w:pPr>
            <w:r>
              <w:rPr>
                <w:sz w:val="18"/>
              </w:rPr>
              <w:t xml:space="preserve">FX</w:t>
            </w:r>
          </w:p>
        </w:tc>
        <w:tc>
          <w:tcPr>
            <w:tcW w:w="3734" w:type="dxa"/>
          </w:tcPr>
          <w:p>
            <w:pPr>
              <w:pStyle w:val="Compact"/>
              <w:spacing w:after="40"/>
              <w:jc w:val="left"/>
            </w:pPr>
            <w:r>
              <w:rPr>
                <w:sz w:val="18"/>
              </w:rPr>
              <w:t xml:space="preserve">LTV, shortfall, cure options, cure_deadline (working days), basis (CF para 106(1) or Board policy), status</w:t>
            </w:r>
          </w:p>
        </w:tc>
        <w:tc>
          <w:tcPr>
            <w:tcW w:w="1242" w:type="dxa"/>
          </w:tcPr>
          <w:p>
            <w:pPr>
              <w:pStyle w:val="Compact"/>
              <w:spacing w:after="40"/>
              <w:jc w:val="left"/>
            </w:pPr>
            <w:r>
              <w:rPr>
                <w:sz w:val="18"/>
              </w:rPr>
              <w:t xml:space="preserve">UD</w:t>
            </w:r>
          </w:p>
        </w:tc>
      </w:tr>
      <w:tr>
        <w:tc>
          <w:tcPr>
            <w:tcW w:w="859" w:type="dxa"/>
          </w:tcPr>
          <w:p>
            <w:pPr>
              <w:pStyle w:val="Compact"/>
              <w:spacing w:after="40"/>
              <w:jc w:val="left"/>
            </w:pPr>
            <w:r>
              <w:rPr>
                <w:sz w:val="18"/>
              </w:rPr>
              <w:t xml:space="preserve">16</w:t>
            </w:r>
          </w:p>
        </w:tc>
        <w:tc>
          <w:tcPr>
            <w:tcW w:w="1599" w:type="dxa"/>
          </w:tcPr>
          <w:p>
            <w:pPr>
              <w:pStyle w:val="Compact"/>
              <w:spacing w:after="40"/>
              <w:jc w:val="left"/>
            </w:pPr>
            <w:r>
              <w:rPr>
                <w:rStyle w:val="VerbatimChar"/>
                <w:sz w:val="18"/>
              </w:rPr>
              <w:t xml:space="preserve">dlg_arrangement</w:t>
            </w:r>
          </w:p>
        </w:tc>
        <w:tc>
          <w:tcPr>
            <w:tcW w:w="2204" w:type="dxa"/>
          </w:tcPr>
          <w:p>
            <w:pPr>
              <w:pStyle w:val="Compact"/>
              <w:spacing w:after="40"/>
              <w:jc w:val="left"/>
            </w:pPr>
            <w:r>
              <w:rPr>
                <w:sz w:val="18"/>
              </w:rPr>
              <w:t xml:space="preserve">FX ledger; UD own records</w:t>
            </w:r>
          </w:p>
        </w:tc>
        <w:tc>
          <w:tcPr>
            <w:tcW w:w="3734" w:type="dxa"/>
          </w:tcPr>
          <w:p>
            <w:pPr>
              <w:pStyle w:val="Compact"/>
              <w:spacing w:after="40"/>
              <w:jc w:val="left"/>
            </w:pPr>
            <w:r>
              <w:rPr>
                <w:sz w:val="18"/>
              </w:rPr>
              <w:t xml:space="preserve">form (CF para 23), fixed set, cap base (amount disbursed, CF para 24; CLA outstanding, TDCR para 123), cap, invocations, recovery shares</w:t>
            </w:r>
          </w:p>
        </w:tc>
        <w:tc>
          <w:tcPr>
            <w:tcW w:w="1242" w:type="dxa"/>
          </w:tcPr>
          <w:p>
            <w:pPr>
              <w:pStyle w:val="Compact"/>
              <w:spacing w:after="40"/>
              <w:jc w:val="left"/>
            </w:pPr>
            <w:r>
              <w:rPr>
                <w:sz w:val="18"/>
              </w:rPr>
              <w:t xml:space="preserve">UD</w:t>
            </w:r>
          </w:p>
        </w:tc>
      </w:tr>
      <w:tr>
        <w:tc>
          <w:tcPr>
            <w:tcW w:w="859" w:type="dxa"/>
          </w:tcPr>
          <w:p>
            <w:pPr>
              <w:pStyle w:val="Compact"/>
              <w:spacing w:after="40"/>
              <w:jc w:val="left"/>
            </w:pPr>
            <w:r>
              <w:rPr>
                <w:sz w:val="18"/>
              </w:rPr>
              <w:t xml:space="preserve">17</w:t>
            </w:r>
          </w:p>
        </w:tc>
        <w:tc>
          <w:tcPr>
            <w:tcW w:w="1599" w:type="dxa"/>
          </w:tcPr>
          <w:p>
            <w:pPr>
              <w:pStyle w:val="Compact"/>
              <w:spacing w:after="40"/>
              <w:jc w:val="left"/>
            </w:pPr>
            <w:r>
              <w:rPr>
                <w:rStyle w:val="VerbatimChar"/>
                <w:sz w:val="18"/>
              </w:rPr>
              <w:t xml:space="preserve">colending_arrangement</w:t>
            </w:r>
          </w:p>
        </w:tc>
        <w:tc>
          <w:tcPr>
            <w:tcW w:w="2204" w:type="dxa"/>
          </w:tcPr>
          <w:p>
            <w:pPr>
              <w:pStyle w:val="Compact"/>
              <w:spacing w:after="40"/>
              <w:jc w:val="left"/>
            </w:pPr>
            <w:r>
              <w:rPr>
                <w:sz w:val="18"/>
              </w:rPr>
              <w:t xml:space="preserve">Each co-lender for its share</w:t>
            </w:r>
          </w:p>
        </w:tc>
        <w:tc>
          <w:tcPr>
            <w:tcW w:w="3734" w:type="dxa"/>
          </w:tcPr>
          <w:p>
            <w:pPr>
              <w:pStyle w:val="Compact"/>
              <w:spacing w:after="40"/>
              <w:jc w:val="left"/>
            </w:pPr>
            <w:r>
              <w:rPr>
                <w:sz w:val="18"/>
              </w:rPr>
              <w:t xml:space="preserve">cla_regime, shares (NBFC ≥ 10%, TDCR para 102), blended rate, escrow (REs only), appropriation, customer-interface and servicer RE, recovery matrix, DLG provider</w:t>
            </w:r>
          </w:p>
        </w:tc>
        <w:tc>
          <w:tcPr>
            <w:tcW w:w="1242" w:type="dxa"/>
          </w:tcPr>
          <w:p>
            <w:pPr>
              <w:pStyle w:val="Compact"/>
              <w:spacing w:after="40"/>
              <w:jc w:val="left"/>
            </w:pPr>
            <w:r>
              <w:rPr>
                <w:sz w:val="18"/>
              </w:rPr>
              <w:t xml:space="preserve">Partner, UD (disclosure)</w:t>
            </w:r>
          </w:p>
        </w:tc>
      </w:tr>
      <w:tr>
        <w:tc>
          <w:tcPr>
            <w:tcW w:w="859" w:type="dxa"/>
          </w:tcPr>
          <w:p>
            <w:pPr>
              <w:pStyle w:val="Compact"/>
              <w:spacing w:after="40"/>
              <w:jc w:val="left"/>
            </w:pPr>
            <w:r>
              <w:rPr>
                <w:sz w:val="18"/>
              </w:rPr>
              <w:t xml:space="preserve">18</w:t>
            </w:r>
          </w:p>
        </w:tc>
        <w:tc>
          <w:tcPr>
            <w:tcW w:w="1599" w:type="dxa"/>
          </w:tcPr>
          <w:p>
            <w:pPr>
              <w:pStyle w:val="Compact"/>
              <w:spacing w:after="40"/>
              <w:jc w:val="left"/>
            </w:pPr>
            <w:r>
              <w:rPr>
                <w:rStyle w:val="VerbatimChar"/>
                <w:sz w:val="18"/>
              </w:rPr>
              <w:t xml:space="preserve">loan_transfer</w:t>
            </w:r>
          </w:p>
        </w:tc>
        <w:tc>
          <w:tcPr>
            <w:tcW w:w="2204" w:type="dxa"/>
          </w:tcPr>
          <w:p>
            <w:pPr>
              <w:pStyle w:val="Compact"/>
              <w:spacing w:after="40"/>
              <w:jc w:val="left"/>
            </w:pPr>
            <w:r>
              <w:rPr>
                <w:sz w:val="18"/>
              </w:rPr>
              <w:t xml:space="preserve">Transferor, transferee</w:t>
            </w:r>
          </w:p>
        </w:tc>
        <w:tc>
          <w:tcPr>
            <w:tcW w:w="3734" w:type="dxa"/>
          </w:tcPr>
          <w:p>
            <w:pPr>
              <w:pStyle w:val="Compact"/>
              <w:spacing w:after="40"/>
              <w:jc w:val="left"/>
            </w:pPr>
            <w:r>
              <w:rPr>
                <w:sz w:val="18"/>
              </w:rPr>
              <w:t xml:space="preserve">mode (ASSIGNMENT, NOVATION, PARTICIPATION, SECURITISATION, ARC_SALE), transferee, share, servicer, payment instructions, trade-report ref (TDCR para 94)</w:t>
            </w:r>
          </w:p>
        </w:tc>
        <w:tc>
          <w:tcPr>
            <w:tcW w:w="1242" w:type="dxa"/>
          </w:tcPr>
          <w:p>
            <w:pPr>
              <w:pStyle w:val="Compact"/>
              <w:spacing w:after="40"/>
              <w:jc w:val="left"/>
            </w:pPr>
            <w:r>
              <w:rPr>
                <w:sz w:val="18"/>
              </w:rPr>
              <w:t xml:space="preserve">UD, EQ</w:t>
            </w:r>
          </w:p>
        </w:tc>
      </w:tr>
      <w:tr>
        <w:tc>
          <w:tcPr>
            <w:tcW w:w="859" w:type="dxa"/>
          </w:tcPr>
          <w:p>
            <w:pPr>
              <w:pStyle w:val="Compact"/>
              <w:spacing w:after="40"/>
              <w:jc w:val="left"/>
            </w:pPr>
            <w:r>
              <w:rPr>
                <w:sz w:val="18"/>
              </w:rPr>
              <w:t xml:space="preserve">19</w:t>
            </w:r>
          </w:p>
        </w:tc>
        <w:tc>
          <w:tcPr>
            <w:tcW w:w="1599" w:type="dxa"/>
          </w:tcPr>
          <w:p>
            <w:pPr>
              <w:pStyle w:val="Compact"/>
              <w:spacing w:after="40"/>
              <w:jc w:val="left"/>
            </w:pPr>
            <w:r>
              <w:rPr>
                <w:rStyle w:val="VerbatimChar"/>
                <w:sz w:val="18"/>
              </w:rPr>
              <w:t xml:space="preserve">recovery_case</w:t>
            </w:r>
          </w:p>
        </w:tc>
        <w:tc>
          <w:tcPr>
            <w:tcW w:w="2204" w:type="dxa"/>
          </w:tcPr>
          <w:p>
            <w:pPr>
              <w:pStyle w:val="Compact"/>
              <w:spacing w:after="40"/>
              <w:jc w:val="left"/>
            </w:pPr>
            <w:r>
              <w:rPr>
                <w:sz w:val="18"/>
              </w:rPr>
              <w:t xml:space="preserve">RS</w:t>
            </w:r>
          </w:p>
        </w:tc>
        <w:tc>
          <w:tcPr>
            <w:tcW w:w="3734" w:type="dxa"/>
          </w:tcPr>
          <w:p>
            <w:pPr>
              <w:pStyle w:val="Compact"/>
              <w:spacing w:after="40"/>
              <w:jc w:val="left"/>
            </w:pPr>
            <w:r>
              <w:rPr>
                <w:sz w:val="18"/>
              </w:rPr>
              <w:t xml:space="preserve">trigger, strategy {permitted, blocked with reasons, selected, rule version}, limitation dates, stage, officer, agency, counsel, holds</w:t>
            </w:r>
          </w:p>
        </w:tc>
        <w:tc>
          <w:tcPr>
            <w:tcW w:w="1242" w:type="dxa"/>
          </w:tcPr>
          <w:p>
            <w:pPr>
              <w:pStyle w:val="Compact"/>
              <w:spacing w:after="40"/>
              <w:jc w:val="left"/>
            </w:pPr>
            <w:r>
              <w:rPr>
                <w:sz w:val="18"/>
              </w:rPr>
              <w:t xml:space="preserve">UD (projection), EQ, LDC</w:t>
            </w:r>
          </w:p>
        </w:tc>
      </w:tr>
      <w:tr>
        <w:tc>
          <w:tcPr>
            <w:tcW w:w="859" w:type="dxa"/>
          </w:tcPr>
          <w:p>
            <w:pPr>
              <w:pStyle w:val="Compact"/>
              <w:spacing w:after="40"/>
              <w:jc w:val="left"/>
            </w:pPr>
            <w:r>
              <w:rPr>
                <w:sz w:val="18"/>
              </w:rPr>
              <w:t xml:space="preserve">20</w:t>
            </w:r>
          </w:p>
        </w:tc>
        <w:tc>
          <w:tcPr>
            <w:tcW w:w="1599" w:type="dxa"/>
          </w:tcPr>
          <w:p>
            <w:pPr>
              <w:pStyle w:val="Compact"/>
              <w:spacing w:after="40"/>
              <w:jc w:val="left"/>
            </w:pPr>
            <w:r>
              <w:rPr>
                <w:rStyle w:val="VerbatimChar"/>
                <w:sz w:val="18"/>
              </w:rPr>
              <w:t xml:space="preserve">notice</w:t>
            </w:r>
          </w:p>
        </w:tc>
        <w:tc>
          <w:tcPr>
            <w:tcW w:w="2204" w:type="dxa"/>
          </w:tcPr>
          <w:p>
            <w:pPr>
              <w:pStyle w:val="Compact"/>
              <w:spacing w:after="40"/>
              <w:jc w:val="left"/>
            </w:pPr>
            <w:r>
              <w:rPr>
                <w:sz w:val="18"/>
              </w:rPr>
              <w:t xml:space="preserve">RS</w:t>
            </w:r>
          </w:p>
        </w:tc>
        <w:tc>
          <w:tcPr>
            <w:tcW w:w="3734" w:type="dxa"/>
          </w:tcPr>
          <w:p>
            <w:pPr>
              <w:pStyle w:val="Compact"/>
              <w:spacing w:after="40"/>
              <w:jc w:val="left"/>
            </w:pPr>
            <w:r>
              <w:rPr>
                <w:sz w:val="18"/>
              </w:rPr>
              <w:t xml:space="preserve">instrument (e.g. LRN, S13_2, S13_4, RULE_8_6, S138, S25_PSS, ARB_S21, CONCILIATION_S62, IBC_DEMAND, AGENT_INTIMATION, GOLD_AUCTION, OTS_OFFER), statute ref, template version, language, addressees, dues snapshot, signer</w:t>
            </w:r>
          </w:p>
        </w:tc>
        <w:tc>
          <w:tcPr>
            <w:tcW w:w="1242" w:type="dxa"/>
          </w:tcPr>
          <w:p>
            <w:pPr>
              <w:pStyle w:val="Compact"/>
              <w:spacing w:after="40"/>
              <w:jc w:val="left"/>
            </w:pPr>
            <w:r>
              <w:rPr>
                <w:sz w:val="18"/>
              </w:rPr>
              <w:t xml:space="preserve">UD, EQ</w:t>
            </w:r>
          </w:p>
        </w:tc>
      </w:tr>
      <w:tr>
        <w:tc>
          <w:tcPr>
            <w:tcW w:w="859" w:type="dxa"/>
          </w:tcPr>
          <w:p>
            <w:pPr>
              <w:pStyle w:val="Compact"/>
              <w:spacing w:after="40"/>
              <w:jc w:val="left"/>
            </w:pPr>
            <w:r>
              <w:rPr>
                <w:sz w:val="18"/>
              </w:rPr>
              <w:t xml:space="preserve">21</w:t>
            </w:r>
          </w:p>
        </w:tc>
        <w:tc>
          <w:tcPr>
            <w:tcW w:w="1599" w:type="dxa"/>
          </w:tcPr>
          <w:p>
            <w:pPr>
              <w:pStyle w:val="Compact"/>
              <w:spacing w:after="40"/>
              <w:jc w:val="left"/>
            </w:pPr>
            <w:r>
              <w:rPr>
                <w:rStyle w:val="VerbatimChar"/>
                <w:sz w:val="18"/>
              </w:rPr>
              <w:t xml:space="preserve">service_proof</w:t>
            </w:r>
          </w:p>
        </w:tc>
        <w:tc>
          <w:tcPr>
            <w:tcW w:w="2204" w:type="dxa"/>
          </w:tcPr>
          <w:p>
            <w:pPr>
              <w:pStyle w:val="Compact"/>
              <w:spacing w:after="40"/>
              <w:jc w:val="left"/>
            </w:pPr>
            <w:r>
              <w:rPr>
                <w:sz w:val="18"/>
              </w:rPr>
              <w:t xml:space="preserve">RS (EQ for its notices)</w:t>
            </w:r>
          </w:p>
        </w:tc>
        <w:tc>
          <w:tcPr>
            <w:tcW w:w="3734" w:type="dxa"/>
          </w:tcPr>
          <w:p>
            <w:pPr>
              <w:pStyle w:val="Compact"/>
              <w:spacing w:after="40"/>
              <w:jc w:val="left"/>
            </w:pPr>
            <w:r>
              <w:rPr>
                <w:sz w:val="18"/>
              </w:rPr>
              <w:t xml:space="preserve">per party per mode: booking or message id, status, evidence hashes, deemed service date and rule, deadlines</w:t>
            </w:r>
          </w:p>
        </w:tc>
        <w:tc>
          <w:tcPr>
            <w:tcW w:w="1242" w:type="dxa"/>
          </w:tcPr>
          <w:p>
            <w:pPr>
              <w:pStyle w:val="Compact"/>
              <w:spacing w:after="40"/>
              <w:jc w:val="left"/>
            </w:pPr>
            <w:r>
              <w:rPr>
                <w:sz w:val="18"/>
              </w:rPr>
              <w:t xml:space="preserve">EQ, courts</w:t>
            </w:r>
          </w:p>
        </w:tc>
      </w:tr>
      <w:tr>
        <w:tc>
          <w:tcPr>
            <w:tcW w:w="859" w:type="dxa"/>
          </w:tcPr>
          <w:p>
            <w:pPr>
              <w:pStyle w:val="Compact"/>
              <w:spacing w:after="40"/>
              <w:jc w:val="left"/>
            </w:pPr>
            <w:r>
              <w:rPr>
                <w:sz w:val="18"/>
              </w:rPr>
              <w:t xml:space="preserve">22</w:t>
            </w:r>
          </w:p>
        </w:tc>
        <w:tc>
          <w:tcPr>
            <w:tcW w:w="1599" w:type="dxa"/>
          </w:tcPr>
          <w:p>
            <w:pPr>
              <w:pStyle w:val="Compact"/>
              <w:spacing w:after="40"/>
              <w:jc w:val="left"/>
            </w:pPr>
            <w:r>
              <w:rPr>
                <w:rStyle w:val="VerbatimChar"/>
                <w:sz w:val="18"/>
              </w:rPr>
              <w:t xml:space="preserve">settlement</w:t>
            </w:r>
          </w:p>
        </w:tc>
        <w:tc>
          <w:tcPr>
            <w:tcW w:w="2204" w:type="dxa"/>
          </w:tcPr>
          <w:p>
            <w:pPr>
              <w:pStyle w:val="Compact"/>
              <w:spacing w:after="40"/>
              <w:jc w:val="left"/>
            </w:pPr>
            <w:r>
              <w:rPr>
                <w:sz w:val="18"/>
              </w:rPr>
              <w:t xml:space="preserve">RS; EQ holds ADR instruments</w:t>
            </w:r>
          </w:p>
        </w:tc>
        <w:tc>
          <w:tcPr>
            <w:tcW w:w="3734" w:type="dxa"/>
          </w:tcPr>
          <w:p>
            <w:pPr>
              <w:pStyle w:val="Compact"/>
              <w:spacing w:after="40"/>
              <w:jc w:val="left"/>
            </w:pPr>
            <w:r>
              <w:rPr>
                <w:sz w:val="18"/>
              </w:rPr>
              <w:t xml:space="preserve">origin (DIRECT, LSP_REQUEST, ADR, LOK_ADALAT, COURT), sacrifice, approver level (RSA para 16(5)), Board ref, schedule, restructuring (para 89), consent decree (para 100), cooling end (para 95)</w:t>
            </w:r>
          </w:p>
        </w:tc>
        <w:tc>
          <w:tcPr>
            <w:tcW w:w="1242" w:type="dxa"/>
          </w:tcPr>
          <w:p>
            <w:pPr>
              <w:pStyle w:val="Compact"/>
              <w:spacing w:after="40"/>
              <w:jc w:val="left"/>
            </w:pPr>
            <w:r>
              <w:rPr>
                <w:sz w:val="18"/>
              </w:rPr>
              <w:t xml:space="preserve">UD, EQ</w:t>
            </w:r>
          </w:p>
        </w:tc>
      </w:tr>
      <w:tr>
        <w:tc>
          <w:tcPr>
            <w:tcW w:w="859" w:type="dxa"/>
          </w:tcPr>
          <w:p>
            <w:pPr>
              <w:pStyle w:val="Compact"/>
              <w:spacing w:after="40"/>
              <w:jc w:val="left"/>
            </w:pPr>
            <w:r>
              <w:rPr>
                <w:sz w:val="18"/>
              </w:rPr>
              <w:t xml:space="preserve">23</w:t>
            </w:r>
          </w:p>
        </w:tc>
        <w:tc>
          <w:tcPr>
            <w:tcW w:w="1599" w:type="dxa"/>
          </w:tcPr>
          <w:p>
            <w:pPr>
              <w:pStyle w:val="Compact"/>
              <w:spacing w:after="40"/>
              <w:jc w:val="left"/>
            </w:pPr>
            <w:r>
              <w:rPr>
                <w:rStyle w:val="VerbatimChar"/>
                <w:sz w:val="18"/>
              </w:rPr>
              <w:t xml:space="preserve">adr_case</w:t>
            </w:r>
          </w:p>
        </w:tc>
        <w:tc>
          <w:tcPr>
            <w:tcW w:w="2204" w:type="dxa"/>
          </w:tcPr>
          <w:p>
            <w:pPr>
              <w:pStyle w:val="Compact"/>
              <w:spacing w:after="40"/>
              <w:jc w:val="left"/>
            </w:pPr>
            <w:r>
              <w:rPr>
                <w:sz w:val="18"/>
              </w:rPr>
              <w:t xml:space="preserve">EQ docket; RS referral</w:t>
            </w:r>
          </w:p>
        </w:tc>
        <w:tc>
          <w:tcPr>
            <w:tcW w:w="3734" w:type="dxa"/>
          </w:tcPr>
          <w:p>
            <w:pPr>
              <w:pStyle w:val="Compact"/>
              <w:spacing w:after="40"/>
              <w:jc w:val="left"/>
            </w:pPr>
            <w:r>
              <w:rPr>
                <w:sz w:val="18"/>
              </w:rPr>
              <w:t xml:space="preserve">process, basis (PRE_NAMED_INSTITUTION, POST_DISPUTE_CONSENT, CONCILIATION_INVITATION, COURT_REFERRAL), clause ref, seat, claim, parties, state (8.3), neutral, clocks</w:t>
            </w:r>
          </w:p>
        </w:tc>
        <w:tc>
          <w:tcPr>
            <w:tcW w:w="1242" w:type="dxa"/>
          </w:tcPr>
          <w:p>
            <w:pPr>
              <w:pStyle w:val="Compact"/>
              <w:spacing w:after="40"/>
              <w:jc w:val="left"/>
            </w:pPr>
            <w:r>
              <w:rPr>
                <w:sz w:val="18"/>
              </w:rPr>
              <w:t xml:space="preserve">RS, UD</w:t>
            </w:r>
          </w:p>
        </w:tc>
      </w:tr>
      <w:tr>
        <w:tc>
          <w:tcPr>
            <w:tcW w:w="859" w:type="dxa"/>
          </w:tcPr>
          <w:p>
            <w:pPr>
              <w:pStyle w:val="Compact"/>
              <w:spacing w:after="40"/>
              <w:jc w:val="left"/>
            </w:pPr>
            <w:r>
              <w:rPr>
                <w:sz w:val="18"/>
              </w:rPr>
              <w:t xml:space="preserve">24</w:t>
            </w:r>
          </w:p>
        </w:tc>
        <w:tc>
          <w:tcPr>
            <w:tcW w:w="1599" w:type="dxa"/>
          </w:tcPr>
          <w:p>
            <w:pPr>
              <w:pStyle w:val="Compact"/>
              <w:spacing w:after="40"/>
              <w:jc w:val="left"/>
            </w:pPr>
            <w:r>
              <w:rPr>
                <w:rStyle w:val="VerbatimChar"/>
                <w:sz w:val="18"/>
              </w:rPr>
              <w:t xml:space="preserve">litigation_case</w:t>
            </w:r>
          </w:p>
        </w:tc>
        <w:tc>
          <w:tcPr>
            <w:tcW w:w="2204" w:type="dxa"/>
          </w:tcPr>
          <w:p>
            <w:pPr>
              <w:pStyle w:val="Compact"/>
              <w:spacing w:after="40"/>
              <w:jc w:val="left"/>
            </w:pPr>
            <w:r>
              <w:rPr>
                <w:sz w:val="18"/>
              </w:rPr>
              <w:t xml:space="preserve">RS</w:t>
            </w:r>
          </w:p>
        </w:tc>
        <w:tc>
          <w:tcPr>
            <w:tcW w:w="3734" w:type="dxa"/>
          </w:tcPr>
          <w:p>
            <w:pPr>
              <w:pStyle w:val="Compact"/>
              <w:spacing w:after="40"/>
              <w:jc w:val="left"/>
            </w:pPr>
            <w:r>
              <w:rPr>
                <w:sz w:val="18"/>
              </w:rPr>
              <w:t xml:space="preserve">role, mechanism, forum, case no, CNR, claim, stage, next date, counsel, linked matters, stay, outcome</w:t>
            </w:r>
          </w:p>
        </w:tc>
        <w:tc>
          <w:tcPr>
            <w:tcW w:w="1242" w:type="dxa"/>
          </w:tcPr>
          <w:p>
            <w:pPr>
              <w:pStyle w:val="Compact"/>
              <w:spacing w:after="40"/>
              <w:jc w:val="left"/>
            </w:pPr>
            <w:r>
              <w:rPr>
                <w:sz w:val="18"/>
              </w:rPr>
              <w:t xml:space="preserve">UD, LDC</w:t>
            </w:r>
          </w:p>
        </w:tc>
      </w:tr>
      <w:tr>
        <w:tc>
          <w:tcPr>
            <w:tcW w:w="859" w:type="dxa"/>
          </w:tcPr>
          <w:p>
            <w:pPr>
              <w:pStyle w:val="Compact"/>
              <w:spacing w:after="40"/>
              <w:jc w:val="left"/>
            </w:pPr>
            <w:r>
              <w:rPr>
                <w:sz w:val="18"/>
              </w:rPr>
              <w:t xml:space="preserve">25</w:t>
            </w:r>
          </w:p>
        </w:tc>
        <w:tc>
          <w:tcPr>
            <w:tcW w:w="1599" w:type="dxa"/>
          </w:tcPr>
          <w:p>
            <w:pPr>
              <w:pStyle w:val="Compact"/>
              <w:spacing w:after="40"/>
              <w:jc w:val="left"/>
            </w:pPr>
            <w:r>
              <w:rPr>
                <w:rStyle w:val="VerbatimChar"/>
                <w:sz w:val="18"/>
              </w:rPr>
              <w:t xml:space="preserve">hearing</w:t>
            </w:r>
            <w:r>
              <w:rPr>
                <w:sz w:val="18"/>
              </w:rPr>
              <w:t xml:space="preserve">,</w:t>
            </w:r>
            <w:r>
              <w:rPr>
                <w:sz w:val="18"/>
              </w:rPr>
              <w:t xml:space="preserve"> </w:t>
            </w:r>
            <w:r>
              <w:rPr>
                <w:rStyle w:val="VerbatimChar"/>
                <w:sz w:val="18"/>
              </w:rPr>
              <w:t xml:space="preserve">order</w:t>
            </w:r>
          </w:p>
        </w:tc>
        <w:tc>
          <w:tcPr>
            <w:tcW w:w="2204" w:type="dxa"/>
          </w:tcPr>
          <w:p>
            <w:pPr>
              <w:pStyle w:val="Compact"/>
              <w:spacing w:after="40"/>
              <w:jc w:val="left"/>
            </w:pPr>
            <w:r>
              <w:rPr>
                <w:sz w:val="18"/>
              </w:rPr>
              <w:t xml:space="preserve">RS (courts); EQ (ADR)</w:t>
            </w:r>
          </w:p>
        </w:tc>
        <w:tc>
          <w:tcPr>
            <w:tcW w:w="3734" w:type="dxa"/>
          </w:tcPr>
          <w:p>
            <w:pPr>
              <w:pStyle w:val="Compact"/>
              <w:spacing w:after="40"/>
              <w:jc w:val="left"/>
            </w:pPr>
            <w:r>
              <w:rPr>
                <w:sz w:val="18"/>
              </w:rPr>
              <w:t xml:space="preserve">date, mode, purpose, attendance, next date; order type (INTERIM, FINAL, DECREE, AWARD, RECOVERY_CERTIFICATE, STAY), directions with due dates</w:t>
            </w:r>
          </w:p>
        </w:tc>
        <w:tc>
          <w:tcPr>
            <w:tcW w:w="1242" w:type="dxa"/>
          </w:tcPr>
          <w:p>
            <w:pPr>
              <w:pStyle w:val="Compact"/>
              <w:spacing w:after="40"/>
              <w:jc w:val="left"/>
            </w:pPr>
            <w:r>
              <w:rPr>
                <w:sz w:val="18"/>
              </w:rPr>
              <w:t xml:space="preserve">UD (date), LDC</w:t>
            </w:r>
          </w:p>
        </w:tc>
      </w:tr>
      <w:tr>
        <w:tc>
          <w:tcPr>
            <w:tcW w:w="859" w:type="dxa"/>
          </w:tcPr>
          <w:p>
            <w:pPr>
              <w:pStyle w:val="Compact"/>
              <w:spacing w:after="40"/>
              <w:jc w:val="left"/>
            </w:pPr>
            <w:r>
              <w:rPr>
                <w:sz w:val="18"/>
              </w:rPr>
              <w:t xml:space="preserve">26</w:t>
            </w:r>
          </w:p>
        </w:tc>
        <w:tc>
          <w:tcPr>
            <w:tcW w:w="1599" w:type="dxa"/>
          </w:tcPr>
          <w:p>
            <w:pPr>
              <w:pStyle w:val="Compact"/>
              <w:spacing w:after="40"/>
              <w:jc w:val="left"/>
            </w:pPr>
            <w:r>
              <w:rPr>
                <w:rStyle w:val="VerbatimChar"/>
                <w:sz w:val="18"/>
              </w:rPr>
              <w:t xml:space="preserve">asset_sale</w:t>
            </w:r>
          </w:p>
        </w:tc>
        <w:tc>
          <w:tcPr>
            <w:tcW w:w="2204" w:type="dxa"/>
          </w:tcPr>
          <w:p>
            <w:pPr>
              <w:pStyle w:val="Compact"/>
              <w:spacing w:after="40"/>
              <w:jc w:val="left"/>
            </w:pPr>
            <w:r>
              <w:rPr>
                <w:sz w:val="18"/>
              </w:rPr>
              <w:t xml:space="preserve">RS</w:t>
            </w:r>
          </w:p>
        </w:tc>
        <w:tc>
          <w:tcPr>
            <w:tcW w:w="3734" w:type="dxa"/>
          </w:tcPr>
          <w:p>
            <w:pPr>
              <w:pStyle w:val="Compact"/>
              <w:spacing w:after="40"/>
              <w:jc w:val="left"/>
            </w:pPr>
            <w:r>
              <w:rPr>
                <w:sz w:val="18"/>
              </w:rPr>
              <w:t xml:space="preserve">mode, platform, reserve and basis, notices, H1, 25% deposit and balance dates (SARFAESI Rules 9(3)–(4)), certificate, proceeds, surplus or shortfall</w:t>
            </w:r>
          </w:p>
        </w:tc>
        <w:tc>
          <w:tcPr>
            <w:tcW w:w="1242" w:type="dxa"/>
          </w:tcPr>
          <w:p>
            <w:pPr>
              <w:pStyle w:val="Compact"/>
              <w:spacing w:after="40"/>
              <w:jc w:val="left"/>
            </w:pPr>
            <w:r>
              <w:rPr>
                <w:sz w:val="18"/>
              </w:rPr>
              <w:t xml:space="preserve">UD</w:t>
            </w:r>
          </w:p>
        </w:tc>
      </w:tr>
      <w:tr>
        <w:tc>
          <w:tcPr>
            <w:tcW w:w="859" w:type="dxa"/>
          </w:tcPr>
          <w:p>
            <w:pPr>
              <w:pStyle w:val="Compact"/>
              <w:spacing w:after="40"/>
              <w:jc w:val="left"/>
            </w:pPr>
            <w:r>
              <w:rPr>
                <w:sz w:val="18"/>
              </w:rPr>
              <w:t xml:space="preserve">27</w:t>
            </w:r>
          </w:p>
        </w:tc>
        <w:tc>
          <w:tcPr>
            <w:tcW w:w="1599" w:type="dxa"/>
          </w:tcPr>
          <w:p>
            <w:pPr>
              <w:pStyle w:val="Compact"/>
              <w:spacing w:after="40"/>
              <w:jc w:val="left"/>
            </w:pPr>
            <w:r>
              <w:rPr>
                <w:rStyle w:val="VerbatimChar"/>
                <w:sz w:val="18"/>
              </w:rPr>
              <w:t xml:space="preserve">compliance_obligation</w:t>
            </w:r>
            <w:r>
              <w:rPr>
                <w:sz w:val="18"/>
              </w:rPr>
              <w:t xml:space="preserve">,</w:t>
            </w:r>
            <w:r>
              <w:rPr>
                <w:sz w:val="18"/>
              </w:rPr>
              <w:t xml:space="preserve"> </w:t>
            </w:r>
            <w:r>
              <w:rPr>
                <w:rStyle w:val="VerbatimChar"/>
                <w:sz w:val="18"/>
              </w:rPr>
              <w:t xml:space="preserve">control</w:t>
            </w:r>
            <w:r>
              <w:rPr>
                <w:sz w:val="18"/>
              </w:rPr>
              <w:t xml:space="preserve">,</w:t>
            </w:r>
            <w:r>
              <w:rPr>
                <w:sz w:val="18"/>
              </w:rPr>
              <w:t xml:space="preserve"> </w:t>
            </w:r>
            <w:r>
              <w:rPr>
                <w:rStyle w:val="VerbatimChar"/>
                <w:sz w:val="18"/>
              </w:rPr>
              <w:t xml:space="preserve">evidence</w:t>
            </w:r>
          </w:p>
        </w:tc>
        <w:tc>
          <w:tcPr>
            <w:tcW w:w="2204" w:type="dxa"/>
          </w:tcPr>
          <w:p>
            <w:pPr>
              <w:pStyle w:val="Compact"/>
              <w:spacing w:after="40"/>
              <w:jc w:val="left"/>
            </w:pPr>
            <w:r>
              <w:rPr>
                <w:sz w:val="18"/>
              </w:rPr>
              <w:t xml:space="preserve">LDC (obligations); operating product (controls, evidence in its India store)</w:t>
            </w:r>
          </w:p>
        </w:tc>
        <w:tc>
          <w:tcPr>
            <w:tcW w:w="3734" w:type="dxa"/>
          </w:tcPr>
          <w:p>
            <w:pPr>
              <w:pStyle w:val="Compact"/>
              <w:spacing w:after="40"/>
              <w:jc w:val="left"/>
            </w:pPr>
            <w:r>
              <w:rPr>
                <w:sz w:val="18"/>
              </w:rPr>
              <w:t xml:space="preserve">obligation_ref (e.g. </w:t>
            </w:r>
            <w:r>
              <w:rPr>
                <w:rStyle w:val="VerbatimChar"/>
                <w:sz w:val="18"/>
              </w:rPr>
              <w:t xml:space="preserve">RBI/DOR/2025-26/352#124</w:t>
            </w:r>
            <w:r>
              <w:rPr>
                <w:sz w:val="18"/>
              </w:rPr>
              <w:t xml:space="preserve">), paragraph, applicability; control component and frequency; evidence hashes, masked sample, hash-chain pointer</w:t>
            </w:r>
          </w:p>
        </w:tc>
        <w:tc>
          <w:tcPr>
            <w:tcW w:w="1242" w:type="dxa"/>
          </w:tcPr>
          <w:p>
            <w:pPr>
              <w:pStyle w:val="Compact"/>
              <w:spacing w:after="40"/>
              <w:jc w:val="left"/>
            </w:pPr>
            <w:r>
              <w:rPr>
                <w:sz w:val="18"/>
              </w:rPr>
              <w:t xml:space="preserve">All</w:t>
            </w:r>
          </w:p>
        </w:tc>
      </w:tr>
      <w:tr>
        <w:tc>
          <w:tcPr>
            <w:tcW w:w="859" w:type="dxa"/>
          </w:tcPr>
          <w:p>
            <w:pPr>
              <w:pStyle w:val="Compact"/>
              <w:spacing w:after="40"/>
              <w:jc w:val="left"/>
            </w:pPr>
            <w:r>
              <w:rPr>
                <w:sz w:val="18"/>
              </w:rPr>
              <w:t xml:space="preserve">28</w:t>
            </w:r>
          </w:p>
        </w:tc>
        <w:tc>
          <w:tcPr>
            <w:tcW w:w="1599" w:type="dxa"/>
          </w:tcPr>
          <w:p>
            <w:pPr>
              <w:pStyle w:val="Compact"/>
              <w:spacing w:after="40"/>
              <w:jc w:val="left"/>
            </w:pPr>
            <w:r>
              <w:rPr>
                <w:rStyle w:val="VerbatimChar"/>
                <w:sz w:val="18"/>
              </w:rPr>
              <w:t xml:space="preserve">document</w:t>
            </w:r>
          </w:p>
        </w:tc>
        <w:tc>
          <w:tcPr>
            <w:tcW w:w="2204" w:type="dxa"/>
          </w:tcPr>
          <w:p>
            <w:pPr>
              <w:pStyle w:val="Compact"/>
              <w:spacing w:after="40"/>
              <w:jc w:val="left"/>
            </w:pPr>
            <w:r>
              <w:rPr>
                <w:sz w:val="18"/>
              </w:rPr>
              <w:t xml:space="preserve">Producing product</w:t>
            </w:r>
          </w:p>
        </w:tc>
        <w:tc>
          <w:tcPr>
            <w:tcW w:w="3734" w:type="dxa"/>
          </w:tcPr>
          <w:p>
            <w:pPr>
              <w:pStyle w:val="Compact"/>
              <w:spacing w:after="40"/>
              <w:jc w:val="left"/>
            </w:pPr>
            <w:r>
              <w:rPr>
                <w:sz w:val="18"/>
              </w:rPr>
              <w:t xml:space="preserve">type, version, sha256, signed URI, signatures (eSign, DSC, PAdES), e-stamp, retention class, legal hold</w:t>
            </w:r>
          </w:p>
        </w:tc>
        <w:tc>
          <w:tcPr>
            <w:tcW w:w="1242" w:type="dxa"/>
          </w:tcPr>
          <w:p>
            <w:pPr>
              <w:pStyle w:val="Compact"/>
              <w:spacing w:after="40"/>
              <w:jc w:val="left"/>
            </w:pPr>
            <w:r>
              <w:rPr>
                <w:sz w:val="18"/>
              </w:rPr>
              <w:t xml:space="preserve">Per permission</w:t>
            </w:r>
          </w:p>
        </w:tc>
      </w:tr>
      <w:tr>
        <w:tc>
          <w:tcPr>
            <w:tcW w:w="859" w:type="dxa"/>
          </w:tcPr>
          <w:p>
            <w:pPr>
              <w:pStyle w:val="Compact"/>
              <w:spacing w:after="40"/>
              <w:jc w:val="left"/>
            </w:pPr>
            <w:r>
              <w:rPr>
                <w:sz w:val="18"/>
              </w:rPr>
              <w:t xml:space="preserve">29</w:t>
            </w:r>
          </w:p>
        </w:tc>
        <w:tc>
          <w:tcPr>
            <w:tcW w:w="1599" w:type="dxa"/>
          </w:tcPr>
          <w:p>
            <w:pPr>
              <w:pStyle w:val="Compact"/>
              <w:spacing w:after="40"/>
              <w:jc w:val="left"/>
            </w:pPr>
            <w:r>
              <w:rPr>
                <w:rStyle w:val="VerbatimChar"/>
                <w:sz w:val="18"/>
              </w:rPr>
              <w:t xml:space="preserve">consent_artefact</w:t>
            </w:r>
          </w:p>
        </w:tc>
        <w:tc>
          <w:tcPr>
            <w:tcW w:w="2204" w:type="dxa"/>
          </w:tcPr>
          <w:p>
            <w:pPr>
              <w:pStyle w:val="Compact"/>
              <w:spacing w:after="40"/>
              <w:jc w:val="left"/>
            </w:pPr>
            <w:r>
              <w:rPr>
                <w:sz w:val="18"/>
              </w:rPr>
              <w:t xml:space="preserve">Capturer (UD, FX, AA, EQ)</w:t>
            </w:r>
          </w:p>
        </w:tc>
        <w:tc>
          <w:tcPr>
            <w:tcW w:w="3734" w:type="dxa"/>
          </w:tcPr>
          <w:p>
            <w:pPr>
              <w:pStyle w:val="Compact"/>
              <w:spacing w:after="40"/>
              <w:jc w:val="left"/>
            </w:pPr>
            <w:r>
              <w:rPr>
                <w:sz w:val="18"/>
              </w:rPr>
              <w:t xml:space="preserve">consentref, party_ref, named recipients, purpose, categories, notice version, method (OTP, ESIGN, AA_ARTEFACT, WRITTEN), expiry, withdrawal, evidence hash</w:t>
            </w:r>
          </w:p>
        </w:tc>
        <w:tc>
          <w:tcPr>
            <w:tcW w:w="1242" w:type="dxa"/>
          </w:tcPr>
          <w:p>
            <w:pPr>
              <w:pStyle w:val="Compact"/>
              <w:spacing w:after="40"/>
              <w:jc w:val="left"/>
            </w:pPr>
            <w:r>
              <w:rPr>
                <w:sz w:val="18"/>
              </w:rPr>
              <w:t xml:space="preserve">Recipients</w:t>
            </w:r>
          </w:p>
        </w:tc>
      </w:tr>
    </w:tbl>
    <w:bookmarkEnd w:id="43"/>
    <w:bookmarkStart w:id="44" w:name="code-tables"/>
    <w:p>
      <w:pPr>
        <w:pStyle w:val="Heading2"/>
      </w:pPr>
      <w:r>
        <w:t xml:space="preserve">5.3 Code tables</w:t>
      </w:r>
    </w:p>
    <w:p>
      <w:pPr>
        <w:numPr>
          <w:ilvl w:val="0"/>
          <w:numId w:val="1007"/>
        </w:numPr>
        <w:pStyle w:val="Compact"/>
      </w:pPr>
      <w:r>
        <w:rPr>
          <w:rStyle w:val="VerbatimChar"/>
          <w:bCs/>
          <w:b/>
        </w:rPr>
        <w:t xml:space="preserve">collateral_type</w:t>
      </w:r>
      <w:r>
        <w:rPr>
          <w:bCs/>
          <w:b/>
        </w:rPr>
        <w:t xml:space="preserve">:</w:t>
      </w:r>
      <w:r>
        <w:t xml:space="preserve"> </w:t>
      </w:r>
      <w:r>
        <w:t xml:space="preserve">RESIDENTIAL_PROPERTY, COMMERCIAL_PROPERTY, PLOT, UNDER_CONSTRUCTION_AGREEMENT, VEHICLE, EQUIPMENT, STOCK, BOOK_DEBTS, RECEIVABLE_INVOICE, TREDS_FACTORING_UNIT, GOLD_JEWELLERY, SILVER_JEWELLERY, GOLD_COIN, LISTED_SHARE_DEMAT, BOND_DEMAT, MF_UNIT_SOA, MF_UNIT_DEMAT, FIXED_DEPOSIT, INSURANCE_POLICY, PERSONAL_GUARANTEE, CORPORATE_GUARANTEE, CREDIT_GUARANTEE_CGTMSE. Barred collateral is blocked by rule pack (primary-gold-backed units, CF para 35(2); own shares, para 105).</w:t>
      </w:r>
    </w:p>
    <w:p>
      <w:pPr>
        <w:numPr>
          <w:ilvl w:val="0"/>
          <w:numId w:val="1007"/>
        </w:numPr>
        <w:pStyle w:val="Compact"/>
      </w:pPr>
      <w:r>
        <w:rPr>
          <w:rStyle w:val="VerbatimChar"/>
          <w:bCs/>
          <w:b/>
        </w:rPr>
        <w:t xml:space="preserve">recovery_mechanism</w:t>
      </w:r>
      <w:r>
        <w:rPr>
          <w:bCs/>
          <w:b/>
        </w:rPr>
        <w:t xml:space="preserve">:</w:t>
      </w:r>
      <w:r>
        <w:t xml:space="preserve"> </w:t>
      </w:r>
      <w:r>
        <w:t xml:space="preserve">NEGOTIATION_OTS, CONCILIATION, MEDIATION, ARBITRATION, LOK_ADALAT, PERMANENT_LOK_ADALAT, S138_NI, S25_PSS, SARFAESI_S13, SARFAESI_S14, PLEDGE_SALE, CONTRACTUAL_REPOSSESSION, CIVIL_SUIT, ORDER_XXXVII, COMMERCIAL_S12A_MEDIATION, DRT_OA, IBC_S7, IBC_PG_S95, IBC_CLAIM, REVENUE_RECOVERY, SET_OFF, CGTMSE_CLAIM, DLG_INVOCATION, LOAN_SALE_ARC, WRITE_OFF; litigation adds SARFAESI_S17, DRAT_APPEAL, S9_INTERIM, S11_APPOINTMENT, S34_CHALLENGE, S36_EXECUTION, CONSUMER_COMPLAINT, WRIT_226, RBIOS (offensive and defensive).</w:t>
      </w:r>
    </w:p>
    <w:p>
      <w:pPr>
        <w:numPr>
          <w:ilvl w:val="0"/>
          <w:numId w:val="1007"/>
        </w:numPr>
        <w:pStyle w:val="Compact"/>
      </w:pPr>
      <w:r>
        <w:rPr>
          <w:rStyle w:val="VerbatimChar"/>
          <w:bCs/>
          <w:b/>
        </w:rPr>
        <w:t xml:space="preserve">legal_stage</w:t>
      </w:r>
      <w:r>
        <w:t xml:space="preserve"> </w:t>
      </w:r>
      <w:r>
        <w:t xml:space="preserve">(LSP projection): NONE, PRE_LEGAL, NOTICE_ISSUED, ADR_IN_PROGRESS, SETTLEMENT_IN_PROGRESS, ENFORCEMENT_IN_PROGRESS, LITIGATION_PENDING, DECREE_OR_AWARD, CLOSED; the RE approves borrower wording per stage.</w:t>
      </w:r>
    </w:p>
    <w:p>
      <w:r>
        <w:pict>
          <v:rect style="width:0;height:1.5pt" o:hralign="center" o:hrstd="t" o:hr="t"/>
        </w:pict>
      </w:r>
    </w:p>
    <w:bookmarkEnd w:id="44"/>
    <w:bookmarkEnd w:id="45"/>
    <w:bookmarkStart w:id="64" w:name="event-and-api-catalogue-v2"/>
    <w:p>
      <w:pPr>
        <w:pStyle w:val="Heading1"/>
      </w:pPr>
      <w:r>
        <w:t xml:space="preserve">6 — EVENT AND API CATALOGUE v2</w:t>
      </w:r>
    </w:p>
    <w:bookmarkStart w:id="46" w:name="reading-the-tables"/>
    <w:p>
      <w:pPr>
        <w:pStyle w:val="Heading2"/>
      </w:pPr>
      <w:r>
        <w:t xml:space="preserve">6.1 Reading the tables</w:t>
      </w:r>
    </w:p>
    <w:p>
      <w:pPr>
        <w:pStyle w:val="FirstParagraph"/>
      </w:pPr>
      <w:r>
        <w:rPr>
          <w:bCs/>
          <w:b/>
        </w:rPr>
        <w:t xml:space="preserve">Tags:</w:t>
      </w:r>
      <w:r>
        <w:t xml:space="preserve"> </w:t>
      </w:r>
      <w:r>
        <w:rPr>
          <w:bCs/>
          <w:b/>
        </w:rPr>
        <w:t xml:space="preserve">(E)</w:t>
      </w:r>
      <w:r>
        <w:t xml:space="preserve"> </w:t>
      </w:r>
      <w:r>
        <w:t xml:space="preserve">existing Finbyx Part 5.2 interface, unchanged;</w:t>
      </w:r>
      <w:r>
        <w:t xml:space="preserve"> </w:t>
      </w:r>
      <w:r>
        <w:rPr>
          <w:bCs/>
          <w:b/>
        </w:rPr>
        <w:t xml:space="preserve">(A)</w:t>
      </w:r>
      <w:r>
        <w:t xml:space="preserve"> </w:t>
      </w:r>
      <w:r>
        <w:t xml:space="preserve">one of the six Udofin Part 5.2 proposals,</w:t>
      </w:r>
      <w:r>
        <w:t xml:space="preserve"> </w:t>
      </w:r>
      <w:r>
        <w:rPr>
          <w:bCs/>
          <w:b/>
        </w:rPr>
        <w:t xml:space="preserve">adopted in v1.0 of this specification subject to approval by both the Finbyx and Udofin product owners</w:t>
      </w:r>
      <w:r>
        <w:t xml:space="preserve"> </w:t>
      </w:r>
      <w:r>
        <w:t xml:space="preserve">(until both approvals are recorded, send through the RE’s agreed manual channel and log);</w:t>
      </w:r>
      <w:r>
        <w:t xml:space="preserve"> </w:t>
      </w:r>
      <w:r>
        <w:rPr>
          <w:bCs/>
          <w:b/>
        </w:rPr>
        <w:t xml:space="preserve">(N)</w:t>
      </w:r>
      <w:r>
        <w:t xml:space="preserve"> </w:t>
      </w:r>
      <w:r>
        <w:t xml:space="preserve">new canonical name fixed by the v1.4/v1.1 drafting brief;</w:t>
      </w:r>
      <w:r>
        <w:t xml:space="preserve"> </w:t>
      </w:r>
      <w:r>
        <w:rPr>
          <w:bCs/>
          <w:b/>
        </w:rPr>
        <w:t xml:space="preserve">(N+)</w:t>
      </w:r>
      <w:r>
        <w:t xml:space="preserve"> </w:t>
      </w:r>
      <w:r>
        <w:t xml:space="preserve">added by this specification.</w:t>
      </w:r>
      <w:r>
        <w:t xml:space="preserve"> </w:t>
      </w:r>
      <w:r>
        <w:rPr>
          <w:bCs/>
          <w:b/>
        </w:rPr>
        <w:t xml:space="preserve">Signed</w:t>
      </w:r>
      <w:r>
        <w:t xml:space="preserve"> </w:t>
      </w:r>
      <w:r>
        <w:t xml:space="preserve">= regulated message (3.6);</w:t>
      </w:r>
      <w:r>
        <w:t xml:space="preserve"> </w:t>
      </w:r>
      <w:r>
        <w:rPr>
          <w:bCs/>
          <w:b/>
        </w:rPr>
        <w:t xml:space="preserve">API</w:t>
      </w:r>
      <w:r>
        <w:t xml:space="preserve"> </w:t>
      </w:r>
      <w:r>
        <w:t xml:space="preserve">= synchronous. Parties as Part 5.1 plus</w:t>
      </w:r>
      <w:r>
        <w:t xml:space="preserve"> </w:t>
      </w:r>
      <w:r>
        <w:rPr>
          <w:bCs/>
          <w:b/>
        </w:rPr>
        <w:t xml:space="preserve">AGY</w:t>
      </w:r>
      <w:r>
        <w:t xml:space="preserve"> </w:t>
      </w:r>
      <w:r>
        <w:t xml:space="preserve">agency or dialler,</w:t>
      </w:r>
      <w:r>
        <w:t xml:space="preserve"> </w:t>
      </w:r>
      <w:r>
        <w:rPr>
          <w:bCs/>
          <w:b/>
        </w:rPr>
        <w:t xml:space="preserve">FIA</w:t>
      </w:r>
      <w:r>
        <w:t xml:space="preserve"> </w:t>
      </w:r>
      <w:r>
        <w:t xml:space="preserve">field-investigation app,</w:t>
      </w:r>
      <w:r>
        <w:t xml:space="preserve"> </w:t>
      </w:r>
      <w:r>
        <w:rPr>
          <w:bCs/>
          <w:b/>
        </w:rPr>
        <w:t xml:space="preserve">CL</w:t>
      </w:r>
      <w:r>
        <w:t xml:space="preserve"> </w:t>
      </w:r>
      <w:r>
        <w:t xml:space="preserve">co-lender,</w:t>
      </w:r>
      <w:r>
        <w:t xml:space="preserve"> </w:t>
      </w:r>
      <w:r>
        <w:rPr>
          <w:bCs/>
          <w:b/>
        </w:rPr>
        <w:t xml:space="preserve">DSP</w:t>
      </w:r>
      <w:r>
        <w:t xml:space="preserve"> </w:t>
      </w:r>
      <w:r>
        <w:t xml:space="preserve">dispatch adapter,</w:t>
      </w:r>
      <w:r>
        <w:t xml:space="preserve"> </w:t>
      </w:r>
      <w:r>
        <w:rPr>
          <w:bCs/>
          <w:b/>
        </w:rPr>
        <w:t xml:space="preserve">CDA</w:t>
      </w:r>
      <w:r>
        <w:t xml:space="preserve"> </w:t>
      </w:r>
      <w:r>
        <w:t xml:space="preserve">court-data adapter; an RE on another LMS takes the FX role, and FIA working for an appointed agent takes the AGY role in 6.7 (allocations, activity, PTP, visits, receipts). The idempotency key is the consumer’s business unique constraint (besides</w:t>
      </w:r>
      <w:r>
        <w:t xml:space="preserve"> </w:t>
      </w:r>
      <w:r>
        <w:rPr>
          <w:rStyle w:val="VerbatimChar"/>
        </w:rPr>
        <w:t xml:space="preserve">(source, id)</w:t>
      </w:r>
      <w:r>
        <w:t xml:space="preserve">).</w:t>
      </w:r>
      <w:r>
        <w:t xml:space="preserve"> </w:t>
      </w:r>
      <w:r>
        <w:rPr>
          <w:bCs/>
          <w:b/>
        </w:rPr>
        <w:t xml:space="preserve">std</w:t>
      </w:r>
      <w:r>
        <w:t xml:space="preserve"> </w:t>
      </w:r>
      <w:r>
        <w:t xml:space="preserve">= delivery p95 ≤ 5 minutes (3.8). LSP consumers receive</w:t>
      </w:r>
      <w:r>
        <w:t xml:space="preserve"> </w:t>
      </w:r>
      <w:r>
        <w:rPr>
          <w:rStyle w:val="VerbatimChar"/>
        </w:rPr>
        <w:t xml:space="preserve">.lsp</w:t>
      </w:r>
      <w:r>
        <w:t xml:space="preserve"> </w:t>
      </w:r>
      <w:r>
        <w:t xml:space="preserve">projections; scopes in 4.5.</w:t>
      </w:r>
    </w:p>
    <w:bookmarkEnd w:id="46"/>
    <w:bookmarkStart w:id="47" w:name="origination-origination"/>
    <w:p>
      <w:pPr>
        <w:pStyle w:val="Heading2"/>
      </w:pPr>
      <w:r>
        <w:t xml:space="preserve">6.2 Origination (</w:t>
      </w:r>
      <w:r>
        <w:rPr>
          <w:rStyle w:val="VerbatimChar"/>
        </w:rPr>
        <w:t xml:space="preserve">origination</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68"/>
        <w:gridCol w:w="890"/>
        <w:gridCol w:w="1314"/>
        <w:gridCol w:w="2347"/>
        <w:gridCol w:w="1022"/>
        <w:gridCol w:w="1106"/>
        <w:gridCol w:w="1591"/>
      </w:tblGrid>
      <w:tr>
        <w:trPr>
          <w:tblHeader w:val="true"/>
          <w:tblHeader w:val="true"/>
        </w:trPr>
        <w:tc>
          <w:tcPr>
            <w:tcW w:w="1368" w:type="dxa"/>
            <w:shd w:val="clear" w:color="auto" w:fill="1F3A5F"/>
          </w:tcPr>
          <w:p>
            <w:pPr>
              <w:pStyle w:val="Compact"/>
              <w:spacing w:after="40"/>
              <w:jc w:val="left"/>
            </w:pPr>
            <w:r>
              <w:rPr>
                <w:b/>
                <w:color w:val="FFFFFF"/>
                <w:sz w:val="18"/>
              </w:rPr>
              <w:t xml:space="preserve">Event or API</w:t>
            </w:r>
          </w:p>
        </w:tc>
        <w:tc>
          <w:tcPr>
            <w:tcW w:w="890" w:type="dxa"/>
            <w:shd w:val="clear" w:color="auto" w:fill="1F3A5F"/>
          </w:tcPr>
          <w:p>
            <w:pPr>
              <w:pStyle w:val="Compact"/>
              <w:spacing w:after="40"/>
              <w:jc w:val="left"/>
            </w:pPr>
            <w:r>
              <w:rPr>
                <w:b/>
                <w:color w:val="FFFFFF"/>
                <w:sz w:val="18"/>
              </w:rPr>
              <w:t xml:space="preserve">Producer → consumer(s)</w:t>
            </w:r>
          </w:p>
        </w:tc>
        <w:tc>
          <w:tcPr>
            <w:tcW w:w="1314" w:type="dxa"/>
            <w:shd w:val="clear" w:color="auto" w:fill="1F3A5F"/>
          </w:tcPr>
          <w:p>
            <w:pPr>
              <w:pStyle w:val="Compact"/>
              <w:spacing w:after="40"/>
              <w:jc w:val="left"/>
            </w:pPr>
            <w:r>
              <w:rPr>
                <w:b/>
                <w:color w:val="FFFFFF"/>
                <w:sz w:val="18"/>
              </w:rPr>
              <w:t xml:space="preserve">Trigger</w:t>
            </w:r>
          </w:p>
        </w:tc>
        <w:tc>
          <w:tcPr>
            <w:tcW w:w="2347" w:type="dxa"/>
            <w:shd w:val="clear" w:color="auto" w:fill="1F3A5F"/>
          </w:tcPr>
          <w:p>
            <w:pPr>
              <w:pStyle w:val="Compact"/>
              <w:spacing w:after="40"/>
              <w:jc w:val="left"/>
            </w:pPr>
            <w:r>
              <w:rPr>
                <w:b/>
                <w:color w:val="FFFFFF"/>
                <w:sz w:val="18"/>
              </w:rPr>
              <w:t xml:space="preserve">Key payload fields</w:t>
            </w:r>
          </w:p>
        </w:tc>
        <w:tc>
          <w:tcPr>
            <w:tcW w:w="1022" w:type="dxa"/>
            <w:shd w:val="clear" w:color="auto" w:fill="1F3A5F"/>
          </w:tcPr>
          <w:p>
            <w:pPr>
              <w:pStyle w:val="Compact"/>
              <w:spacing w:after="40"/>
              <w:jc w:val="left"/>
            </w:pPr>
            <w:r>
              <w:rPr>
                <w:b/>
                <w:color w:val="FFFFFF"/>
                <w:sz w:val="18"/>
              </w:rPr>
              <w:t xml:space="preserve">Owner</w:t>
            </w:r>
          </w:p>
        </w:tc>
        <w:tc>
          <w:tcPr>
            <w:tcW w:w="1106" w:type="dxa"/>
            <w:shd w:val="clear" w:color="auto" w:fill="1F3A5F"/>
          </w:tcPr>
          <w:p>
            <w:pPr>
              <w:pStyle w:val="Compact"/>
              <w:spacing w:after="40"/>
              <w:jc w:val="left"/>
            </w:pPr>
            <w:r>
              <w:rPr>
                <w:b/>
                <w:color w:val="FFFFFF"/>
                <w:sz w:val="18"/>
              </w:rPr>
              <w:t xml:space="preserve">Idempotency key</w:t>
            </w:r>
          </w:p>
        </w:tc>
        <w:tc>
          <w:tcPr>
            <w:tcW w:w="1591" w:type="dxa"/>
            <w:shd w:val="clear" w:color="auto" w:fill="1F3A5F"/>
          </w:tcPr>
          <w:p>
            <w:pPr>
              <w:pStyle w:val="Compact"/>
              <w:spacing w:after="40"/>
              <w:jc w:val="left"/>
            </w:pPr>
            <w:r>
              <w:rPr>
                <w:b/>
                <w:color w:val="FFFFFF"/>
                <w:sz w:val="18"/>
              </w:rPr>
              <w:t xml:space="preserve">SLA</w:t>
            </w:r>
          </w:p>
        </w:tc>
      </w:tr>
      <w:tr>
        <w:tc>
          <w:tcPr>
            <w:tcW w:w="1368" w:type="dxa"/>
          </w:tcPr>
          <w:p>
            <w:pPr>
              <w:pStyle w:val="Compact"/>
              <w:spacing w:after="40"/>
              <w:jc w:val="left"/>
            </w:pPr>
            <w:r>
              <w:rPr>
                <w:rStyle w:val="VerbatimChar"/>
                <w:sz w:val="18"/>
              </w:rPr>
              <w:t xml:space="preserve">ProductCatalogPublished</w:t>
            </w:r>
            <w:r>
              <w:rPr>
                <w:sz w:val="18"/>
              </w:rPr>
              <w:t xml:space="preserve"> </w:t>
            </w:r>
            <w:r>
              <w:rPr>
                <w:sz w:val="18"/>
              </w:rPr>
              <w:t xml:space="preserve">(E)</w:t>
            </w:r>
          </w:p>
        </w:tc>
        <w:tc>
          <w:tcPr>
            <w:tcW w:w="890" w:type="dxa"/>
          </w:tcPr>
          <w:p>
            <w:pPr>
              <w:pStyle w:val="Compact"/>
              <w:spacing w:after="40"/>
              <w:jc w:val="left"/>
            </w:pPr>
            <w:r>
              <w:rPr>
                <w:sz w:val="18"/>
              </w:rPr>
              <w:t xml:space="preserve">FX → UD, other LSPs</w:t>
            </w:r>
          </w:p>
        </w:tc>
        <w:tc>
          <w:tcPr>
            <w:tcW w:w="1314" w:type="dxa"/>
          </w:tcPr>
          <w:p>
            <w:pPr>
              <w:pStyle w:val="Compact"/>
              <w:spacing w:after="40"/>
              <w:jc w:val="left"/>
            </w:pPr>
            <w:r>
              <w:rPr>
                <w:sz w:val="18"/>
              </w:rPr>
              <w:t xml:space="preserve">RE approves a product version</w:t>
            </w:r>
          </w:p>
        </w:tc>
        <w:tc>
          <w:tcPr>
            <w:tcW w:w="2347" w:type="dxa"/>
          </w:tcPr>
          <w:p>
            <w:pPr>
              <w:pStyle w:val="Compact"/>
              <w:spacing w:after="40"/>
              <w:jc w:val="left"/>
            </w:pPr>
            <w:r>
              <w:rPr>
                <w:sz w:val="18"/>
              </w:rPr>
              <w:t xml:space="preserve">product_code, version, eligibility, pricing grid, charges, KFS template, cooling-off days, grievance contacts, DLA disclosures, LAS haircut-table version</w:t>
            </w:r>
          </w:p>
        </w:tc>
        <w:tc>
          <w:tcPr>
            <w:tcW w:w="1022" w:type="dxa"/>
          </w:tcPr>
          <w:p>
            <w:pPr>
              <w:pStyle w:val="Compact"/>
              <w:spacing w:after="40"/>
              <w:jc w:val="left"/>
            </w:pPr>
            <w:r>
              <w:rPr>
                <w:sz w:val="18"/>
              </w:rPr>
              <w:t xml:space="preserve">FX</w:t>
            </w:r>
          </w:p>
        </w:tc>
        <w:tc>
          <w:tcPr>
            <w:tcW w:w="1106" w:type="dxa"/>
          </w:tcPr>
          <w:p>
            <w:pPr>
              <w:pStyle w:val="Compact"/>
              <w:spacing w:after="40"/>
              <w:jc w:val="left"/>
            </w:pPr>
            <w:r>
              <w:rPr>
                <w:sz w:val="18"/>
              </w:rPr>
              <w:t xml:space="preserve">(product_code, version)</w:t>
            </w:r>
          </w:p>
        </w:tc>
        <w:tc>
          <w:tcPr>
            <w:tcW w:w="1591" w:type="dxa"/>
          </w:tcPr>
          <w:p>
            <w:pPr>
              <w:pStyle w:val="Compact"/>
              <w:spacing w:after="40"/>
              <w:jc w:val="left"/>
            </w:pPr>
            <w:r>
              <w:rPr>
                <w:sz w:val="18"/>
              </w:rPr>
              <w:t xml:space="preserve">Before effective date; UD live after RE approval (CMP paras 15(2), 31)</w:t>
            </w:r>
          </w:p>
        </w:tc>
      </w:tr>
      <w:tr>
        <w:tc>
          <w:tcPr>
            <w:tcW w:w="1368" w:type="dxa"/>
          </w:tcPr>
          <w:p>
            <w:pPr>
              <w:pStyle w:val="Compact"/>
              <w:spacing w:after="40"/>
              <w:jc w:val="left"/>
            </w:pPr>
            <w:r>
              <w:rPr>
                <w:rStyle w:val="VerbatimChar"/>
                <w:sz w:val="18"/>
              </w:rPr>
              <w:t xml:space="preserve">EligibilityCheck</w:t>
            </w:r>
            <w:r>
              <w:rPr>
                <w:sz w:val="18"/>
              </w:rPr>
              <w:t xml:space="preserve"> </w:t>
            </w:r>
            <w:r>
              <w:rPr>
                <w:sz w:val="18"/>
              </w:rPr>
              <w:t xml:space="preserve">(E) API</w:t>
            </w:r>
            <w:r>
              <w:rPr>
                <w:sz w:val="18"/>
              </w:rPr>
              <w:t xml:space="preserve"> </w:t>
            </w:r>
            <w:r>
              <w:rPr>
                <w:rStyle w:val="VerbatimChar"/>
                <w:sz w:val="18"/>
              </w:rPr>
              <w:t xml:space="preserve">POST /v1/eligibility-checks</w:t>
            </w:r>
          </w:p>
        </w:tc>
        <w:tc>
          <w:tcPr>
            <w:tcW w:w="890" w:type="dxa"/>
          </w:tcPr>
          <w:p>
            <w:pPr>
              <w:pStyle w:val="Compact"/>
              <w:spacing w:after="40"/>
              <w:jc w:val="left"/>
            </w:pPr>
            <w:r>
              <w:rPr>
                <w:sz w:val="18"/>
              </w:rPr>
              <w:t xml:space="preserve">UD → FX</w:t>
            </w:r>
          </w:p>
        </w:tc>
        <w:tc>
          <w:tcPr>
            <w:tcW w:w="1314" w:type="dxa"/>
          </w:tcPr>
          <w:p>
            <w:pPr>
              <w:pStyle w:val="Compact"/>
              <w:spacing w:after="40"/>
              <w:jc w:val="left"/>
            </w:pPr>
            <w:r>
              <w:rPr>
                <w:sz w:val="18"/>
              </w:rPr>
              <w:t xml:space="preserve">Borrower asks for offers</w:t>
            </w:r>
          </w:p>
        </w:tc>
        <w:tc>
          <w:tcPr>
            <w:tcW w:w="2347" w:type="dxa"/>
          </w:tcPr>
          <w:p>
            <w:pPr>
              <w:pStyle w:val="Compact"/>
              <w:spacing w:after="40"/>
              <w:jc w:val="left"/>
            </w:pPr>
            <w:r>
              <w:rPr>
                <w:sz w:val="18"/>
              </w:rPr>
              <w:t xml:space="preserve">minimum consented fields, consentref</w:t>
            </w:r>
          </w:p>
        </w:tc>
        <w:tc>
          <w:tcPr>
            <w:tcW w:w="1022" w:type="dxa"/>
          </w:tcPr>
          <w:p>
            <w:pPr>
              <w:pStyle w:val="Compact"/>
              <w:spacing w:after="40"/>
              <w:jc w:val="left"/>
            </w:pPr>
            <w:r>
              <w:rPr>
                <w:sz w:val="18"/>
              </w:rPr>
              <w:t xml:space="preserve">FX (RE BRE, rule version)</w:t>
            </w:r>
          </w:p>
        </w:tc>
        <w:tc>
          <w:tcPr>
            <w:tcW w:w="1106" w:type="dxa"/>
          </w:tcPr>
          <w:p>
            <w:pPr>
              <w:pStyle w:val="Compact"/>
              <w:spacing w:after="40"/>
              <w:jc w:val="left"/>
            </w:pPr>
            <w:r>
              <w:rPr>
                <w:sz w:val="18"/>
              </w:rPr>
              <w:t xml:space="preserve">Idempotency-Key</w:t>
            </w:r>
          </w:p>
        </w:tc>
        <w:tc>
          <w:tcPr>
            <w:tcW w:w="1591" w:type="dxa"/>
          </w:tcPr>
          <w:p>
            <w:pPr>
              <w:pStyle w:val="Compact"/>
              <w:spacing w:after="40"/>
              <w:jc w:val="left"/>
            </w:pPr>
            <w:r>
              <w:rPr>
                <w:sz w:val="18"/>
              </w:rPr>
              <w:t xml:space="preserve">≤ 3 s; timeout =</w:t>
            </w:r>
            <w:r>
              <w:rPr>
                <w:sz w:val="18"/>
              </w:rPr>
              <w:t xml:space="preserve"> </w:t>
            </w:r>
            <w:r>
              <w:rPr>
                <w:sz w:val="18"/>
              </w:rPr>
              <w:t xml:space="preserve">“</w:t>
            </w:r>
            <w:r>
              <w:rPr>
                <w:sz w:val="18"/>
              </w:rPr>
              <w:t xml:space="preserve">lender unavailable</w:t>
            </w:r>
            <w:r>
              <w:rPr>
                <w:sz w:val="18"/>
              </w:rPr>
              <w:t xml:space="preserve">”</w:t>
            </w:r>
          </w:p>
        </w:tc>
      </w:tr>
      <w:tr>
        <w:tc>
          <w:tcPr>
            <w:tcW w:w="1368" w:type="dxa"/>
          </w:tcPr>
          <w:p>
            <w:pPr>
              <w:pStyle w:val="Compact"/>
              <w:spacing w:after="40"/>
              <w:jc w:val="left"/>
            </w:pPr>
            <w:r>
              <w:rPr>
                <w:rStyle w:val="VerbatimChar"/>
                <w:sz w:val="18"/>
              </w:rPr>
              <w:t xml:space="preserve">ApplicationSubmitted</w:t>
            </w:r>
            <w:r>
              <w:rPr>
                <w:sz w:val="18"/>
              </w:rPr>
              <w:t xml:space="preserve"> </w:t>
            </w:r>
            <w:r>
              <w:rPr>
                <w:sz w:val="18"/>
              </w:rPr>
              <w:t xml:space="preserve">(E)</w:t>
            </w:r>
          </w:p>
        </w:tc>
        <w:tc>
          <w:tcPr>
            <w:tcW w:w="890" w:type="dxa"/>
          </w:tcPr>
          <w:p>
            <w:pPr>
              <w:pStyle w:val="Compact"/>
              <w:spacing w:after="40"/>
              <w:jc w:val="left"/>
            </w:pPr>
            <w:r>
              <w:rPr>
                <w:sz w:val="18"/>
              </w:rPr>
              <w:t xml:space="preserve">UD → FX</w:t>
            </w:r>
          </w:p>
        </w:tc>
        <w:tc>
          <w:tcPr>
            <w:tcW w:w="1314" w:type="dxa"/>
          </w:tcPr>
          <w:p>
            <w:pPr>
              <w:pStyle w:val="Compact"/>
              <w:spacing w:after="40"/>
              <w:jc w:val="left"/>
            </w:pPr>
            <w:r>
              <w:rPr>
                <w:sz w:val="18"/>
              </w:rPr>
              <w:t xml:space="preserve">Borrower submits</w:t>
            </w:r>
          </w:p>
        </w:tc>
        <w:tc>
          <w:tcPr>
            <w:tcW w:w="2347" w:type="dxa"/>
          </w:tcPr>
          <w:p>
            <w:pPr>
              <w:pStyle w:val="Compact"/>
              <w:spacing w:after="40"/>
              <w:jc w:val="left"/>
            </w:pPr>
            <w:r>
              <w:rPr>
                <w:sz w:val="18"/>
              </w:rPr>
              <w:t xml:space="preserve">applicants, KYC evidence refs (KYC para 13), OTP e-KYC declaration (para 25(8)), bureau and AA refs, documents, consents, household data (CF para 51)</w:t>
            </w:r>
          </w:p>
        </w:tc>
        <w:tc>
          <w:tcPr>
            <w:tcW w:w="1022" w:type="dxa"/>
          </w:tcPr>
          <w:p>
            <w:pPr>
              <w:pStyle w:val="Compact"/>
              <w:spacing w:after="40"/>
              <w:jc w:val="left"/>
            </w:pPr>
            <w:r>
              <w:rPr>
                <w:sz w:val="18"/>
              </w:rPr>
              <w:t xml:space="preserve">UD; FX once submitted</w:t>
            </w:r>
          </w:p>
        </w:tc>
        <w:tc>
          <w:tcPr>
            <w:tcW w:w="1106" w:type="dxa"/>
          </w:tcPr>
          <w:p>
            <w:pPr>
              <w:pStyle w:val="Compact"/>
              <w:spacing w:after="40"/>
              <w:jc w:val="left"/>
            </w:pPr>
            <w:r>
              <w:rPr>
                <w:sz w:val="18"/>
              </w:rPr>
              <w:t xml:space="preserve">lsp_application_ref</w:t>
            </w:r>
          </w:p>
        </w:tc>
        <w:tc>
          <w:tcPr>
            <w:tcW w:w="1591" w:type="dxa"/>
          </w:tcPr>
          <w:p>
            <w:pPr>
              <w:pStyle w:val="Compact"/>
              <w:spacing w:after="40"/>
              <w:jc w:val="left"/>
            </w:pPr>
            <w:r>
              <w:rPr>
                <w:sz w:val="18"/>
              </w:rPr>
              <w:t xml:space="preserve">Ack ≤ 5 min</w:t>
            </w:r>
          </w:p>
        </w:tc>
      </w:tr>
      <w:tr>
        <w:tc>
          <w:tcPr>
            <w:tcW w:w="1368" w:type="dxa"/>
          </w:tcPr>
          <w:p>
            <w:pPr>
              <w:pStyle w:val="Compact"/>
              <w:spacing w:after="40"/>
              <w:jc w:val="left"/>
            </w:pPr>
            <w:r>
              <w:rPr>
                <w:rStyle w:val="VerbatimChar"/>
                <w:sz w:val="18"/>
              </w:rPr>
              <w:t xml:space="preserve">ApplicationStatusChanged</w:t>
            </w:r>
            <w:r>
              <w:rPr>
                <w:sz w:val="18"/>
              </w:rPr>
              <w:t xml:space="preserve"> </w:t>
            </w:r>
            <w:r>
              <w:rPr>
                <w:sz w:val="18"/>
              </w:rPr>
              <w:t xml:space="preserve">(E)</w:t>
            </w:r>
          </w:p>
        </w:tc>
        <w:tc>
          <w:tcPr>
            <w:tcW w:w="890" w:type="dxa"/>
          </w:tcPr>
          <w:p>
            <w:pPr>
              <w:pStyle w:val="Compact"/>
              <w:spacing w:after="40"/>
              <w:jc w:val="left"/>
            </w:pPr>
            <w:r>
              <w:rPr>
                <w:sz w:val="18"/>
              </w:rPr>
              <w:t xml:space="preserve">FX → UD</w:t>
            </w:r>
          </w:p>
        </w:tc>
        <w:tc>
          <w:tcPr>
            <w:tcW w:w="1314" w:type="dxa"/>
          </w:tcPr>
          <w:p>
            <w:pPr>
              <w:pStyle w:val="Compact"/>
              <w:spacing w:after="40"/>
              <w:jc w:val="left"/>
            </w:pPr>
            <w:r>
              <w:rPr>
                <w:sz w:val="18"/>
              </w:rPr>
              <w:t xml:space="preserve">State change</w:t>
            </w:r>
          </w:p>
        </w:tc>
        <w:tc>
          <w:tcPr>
            <w:tcW w:w="2347" w:type="dxa"/>
          </w:tcPr>
          <w:p>
            <w:pPr>
              <w:pStyle w:val="Compact"/>
              <w:spacing w:after="40"/>
              <w:jc w:val="left"/>
            </w:pPr>
            <w:r>
              <w:rPr>
                <w:sz w:val="18"/>
              </w:rPr>
              <w:t xml:space="preserve">from, to, reason_code</w:t>
            </w:r>
          </w:p>
        </w:tc>
        <w:tc>
          <w:tcPr>
            <w:tcW w:w="1022" w:type="dxa"/>
          </w:tcPr>
          <w:p>
            <w:pPr>
              <w:pStyle w:val="Compact"/>
              <w:spacing w:after="40"/>
              <w:jc w:val="left"/>
            </w:pPr>
            <w:r>
              <w:rPr>
                <w:sz w:val="18"/>
              </w:rPr>
              <w:t xml:space="preserve">FX</w:t>
            </w:r>
          </w:p>
        </w:tc>
        <w:tc>
          <w:tcPr>
            <w:tcW w:w="1106" w:type="dxa"/>
          </w:tcPr>
          <w:p>
            <w:pPr>
              <w:pStyle w:val="Compact"/>
              <w:spacing w:after="40"/>
              <w:jc w:val="left"/>
            </w:pPr>
            <w:r>
              <w:rPr>
                <w:sz w:val="18"/>
              </w:rPr>
              <w:t xml:space="preserve">(application_id, seq)</w:t>
            </w:r>
          </w:p>
        </w:tc>
        <w:tc>
          <w:tcPr>
            <w:tcW w:w="1591" w:type="dxa"/>
          </w:tcPr>
          <w:p>
            <w:pPr>
              <w:pStyle w:val="Compact"/>
              <w:spacing w:after="40"/>
              <w:jc w:val="left"/>
            </w:pPr>
            <w:r>
              <w:rPr>
                <w:sz w:val="18"/>
              </w:rPr>
              <w:t xml:space="preserve">std</w:t>
            </w:r>
          </w:p>
        </w:tc>
      </w:tr>
      <w:tr>
        <w:tc>
          <w:tcPr>
            <w:tcW w:w="1368" w:type="dxa"/>
          </w:tcPr>
          <w:p>
            <w:pPr>
              <w:pStyle w:val="Compact"/>
              <w:spacing w:after="40"/>
              <w:jc w:val="left"/>
            </w:pPr>
            <w:r>
              <w:rPr>
                <w:rStyle w:val="VerbatimChar"/>
                <w:sz w:val="18"/>
              </w:rPr>
              <w:t xml:space="preserve">AdditionalInfoRequested</w:t>
            </w:r>
            <w:r>
              <w:rPr>
                <w:sz w:val="18"/>
              </w:rPr>
              <w:t xml:space="preserve"> </w:t>
            </w:r>
            <w:r>
              <w:rPr>
                <w:sz w:val="18"/>
              </w:rPr>
              <w:t xml:space="preserve">(E)</w:t>
            </w:r>
          </w:p>
        </w:tc>
        <w:tc>
          <w:tcPr>
            <w:tcW w:w="890" w:type="dxa"/>
          </w:tcPr>
          <w:p>
            <w:pPr>
              <w:pStyle w:val="Compact"/>
              <w:spacing w:after="40"/>
              <w:jc w:val="left"/>
            </w:pPr>
            <w:r>
              <w:rPr>
                <w:sz w:val="18"/>
              </w:rPr>
              <w:t xml:space="preserve">FX → UD</w:t>
            </w:r>
          </w:p>
        </w:tc>
        <w:tc>
          <w:tcPr>
            <w:tcW w:w="1314" w:type="dxa"/>
          </w:tcPr>
          <w:p>
            <w:pPr>
              <w:pStyle w:val="Compact"/>
              <w:spacing w:after="40"/>
              <w:jc w:val="left"/>
            </w:pPr>
            <w:r>
              <w:rPr>
                <w:sz w:val="18"/>
              </w:rPr>
              <w:t xml:space="preserve">RE query</w:t>
            </w:r>
          </w:p>
        </w:tc>
        <w:tc>
          <w:tcPr>
            <w:tcW w:w="2347" w:type="dxa"/>
          </w:tcPr>
          <w:p>
            <w:pPr>
              <w:pStyle w:val="Compact"/>
              <w:spacing w:after="40"/>
              <w:jc w:val="left"/>
            </w:pPr>
            <w:r>
              <w:rPr>
                <w:sz w:val="18"/>
              </w:rPr>
              <w:t xml:space="preserve">request_id, items, due date</w:t>
            </w:r>
          </w:p>
        </w:tc>
        <w:tc>
          <w:tcPr>
            <w:tcW w:w="1022" w:type="dxa"/>
          </w:tcPr>
          <w:p>
            <w:pPr>
              <w:pStyle w:val="Compact"/>
              <w:spacing w:after="40"/>
              <w:jc w:val="left"/>
            </w:pPr>
            <w:r>
              <w:rPr>
                <w:sz w:val="18"/>
              </w:rPr>
              <w:t xml:space="preserve">FX</w:t>
            </w:r>
          </w:p>
        </w:tc>
        <w:tc>
          <w:tcPr>
            <w:tcW w:w="1106" w:type="dxa"/>
          </w:tcPr>
          <w:p>
            <w:pPr>
              <w:pStyle w:val="Compact"/>
              <w:spacing w:after="40"/>
              <w:jc w:val="left"/>
            </w:pPr>
            <w:r>
              <w:rPr>
                <w:sz w:val="18"/>
              </w:rPr>
              <w:t xml:space="preserve">request_id</w:t>
            </w:r>
          </w:p>
        </w:tc>
        <w:tc>
          <w:tcPr>
            <w:tcW w:w="1591" w:type="dxa"/>
          </w:tcPr>
          <w:p>
            <w:pPr>
              <w:pStyle w:val="Compact"/>
              <w:spacing w:after="40"/>
              <w:jc w:val="left"/>
            </w:pPr>
            <w:r>
              <w:rPr>
                <w:sz w:val="18"/>
              </w:rPr>
              <w:t xml:space="preserve">std</w:t>
            </w:r>
          </w:p>
        </w:tc>
      </w:tr>
      <w:tr>
        <w:tc>
          <w:tcPr>
            <w:tcW w:w="1368" w:type="dxa"/>
          </w:tcPr>
          <w:p>
            <w:pPr>
              <w:pStyle w:val="Compact"/>
              <w:spacing w:after="40"/>
              <w:jc w:val="left"/>
            </w:pPr>
            <w:r>
              <w:rPr>
                <w:rStyle w:val="VerbatimChar"/>
                <w:sz w:val="18"/>
              </w:rPr>
              <w:t xml:space="preserve">DecisionMade</w:t>
            </w:r>
            <w:r>
              <w:rPr>
                <w:sz w:val="18"/>
              </w:rPr>
              <w:t xml:space="preserve"> </w:t>
            </w:r>
            <w:r>
              <w:rPr>
                <w:sz w:val="18"/>
              </w:rPr>
              <w:t xml:space="preserve">(E) signed</w:t>
            </w:r>
          </w:p>
        </w:tc>
        <w:tc>
          <w:tcPr>
            <w:tcW w:w="890" w:type="dxa"/>
          </w:tcPr>
          <w:p>
            <w:pPr>
              <w:pStyle w:val="Compact"/>
              <w:spacing w:after="40"/>
              <w:jc w:val="left"/>
            </w:pPr>
            <w:r>
              <w:rPr>
                <w:sz w:val="18"/>
              </w:rPr>
              <w:t xml:space="preserve">FX → UD</w:t>
            </w:r>
          </w:p>
        </w:tc>
        <w:tc>
          <w:tcPr>
            <w:tcW w:w="1314" w:type="dxa"/>
          </w:tcPr>
          <w:p>
            <w:pPr>
              <w:pStyle w:val="Compact"/>
              <w:spacing w:after="40"/>
              <w:jc w:val="left"/>
            </w:pPr>
            <w:r>
              <w:rPr>
                <w:sz w:val="18"/>
              </w:rPr>
              <w:t xml:space="preserve">Sanction or rejection</w:t>
            </w:r>
          </w:p>
        </w:tc>
        <w:tc>
          <w:tcPr>
            <w:tcW w:w="2347" w:type="dxa"/>
          </w:tcPr>
          <w:p>
            <w:pPr>
              <w:pStyle w:val="Compact"/>
              <w:spacing w:after="40"/>
              <w:jc w:val="left"/>
            </w:pPr>
            <w:r>
              <w:rPr>
                <w:sz w:val="18"/>
              </w:rPr>
              <w:t xml:space="preserve">decision, reason codes, rule version, offers</w:t>
            </w:r>
          </w:p>
        </w:tc>
        <w:tc>
          <w:tcPr>
            <w:tcW w:w="1022" w:type="dxa"/>
          </w:tcPr>
          <w:p>
            <w:pPr>
              <w:pStyle w:val="Compact"/>
              <w:spacing w:after="40"/>
              <w:jc w:val="left"/>
            </w:pPr>
            <w:r>
              <w:rPr>
                <w:sz w:val="18"/>
              </w:rPr>
              <w:t xml:space="preserve">FX</w:t>
            </w:r>
          </w:p>
        </w:tc>
        <w:tc>
          <w:tcPr>
            <w:tcW w:w="1106" w:type="dxa"/>
          </w:tcPr>
          <w:p>
            <w:pPr>
              <w:pStyle w:val="Compact"/>
              <w:spacing w:after="40"/>
              <w:jc w:val="left"/>
            </w:pPr>
            <w:r>
              <w:rPr>
                <w:sz w:val="18"/>
              </w:rPr>
              <w:t xml:space="preserve">(application_id, decision_version)</w:t>
            </w:r>
          </w:p>
        </w:tc>
        <w:tc>
          <w:tcPr>
            <w:tcW w:w="1591" w:type="dxa"/>
          </w:tcPr>
          <w:p>
            <w:pPr>
              <w:pStyle w:val="Compact"/>
              <w:spacing w:after="40"/>
              <w:jc w:val="left"/>
            </w:pPr>
            <w:r>
              <w:rPr>
                <w:sz w:val="18"/>
              </w:rPr>
              <w:t xml:space="preserve">std</w:t>
            </w:r>
          </w:p>
        </w:tc>
      </w:tr>
      <w:tr>
        <w:tc>
          <w:tcPr>
            <w:tcW w:w="1368" w:type="dxa"/>
          </w:tcPr>
          <w:p>
            <w:pPr>
              <w:pStyle w:val="Compact"/>
              <w:spacing w:after="40"/>
              <w:jc w:val="left"/>
            </w:pPr>
            <w:r>
              <w:rPr>
                <w:rStyle w:val="VerbatimChar"/>
                <w:sz w:val="18"/>
              </w:rPr>
              <w:t xml:space="preserve">KFSIssued</w:t>
            </w:r>
            <w:r>
              <w:rPr>
                <w:sz w:val="18"/>
              </w:rPr>
              <w:t xml:space="preserve"> </w:t>
            </w:r>
            <w:r>
              <w:rPr>
                <w:sz w:val="18"/>
              </w:rPr>
              <w:t xml:space="preserve">(E) signed</w:t>
            </w:r>
          </w:p>
        </w:tc>
        <w:tc>
          <w:tcPr>
            <w:tcW w:w="890" w:type="dxa"/>
          </w:tcPr>
          <w:p>
            <w:pPr>
              <w:pStyle w:val="Compact"/>
              <w:spacing w:after="40"/>
              <w:jc w:val="left"/>
            </w:pPr>
            <w:r>
              <w:rPr>
                <w:sz w:val="18"/>
              </w:rPr>
              <w:t xml:space="preserve">FX → UD</w:t>
            </w:r>
          </w:p>
        </w:tc>
        <w:tc>
          <w:tcPr>
            <w:tcW w:w="1314" w:type="dxa"/>
          </w:tcPr>
          <w:p>
            <w:pPr>
              <w:pStyle w:val="Compact"/>
              <w:spacing w:after="40"/>
              <w:jc w:val="left"/>
            </w:pPr>
            <w:r>
              <w:rPr>
                <w:sz w:val="18"/>
              </w:rPr>
              <w:t xml:space="preserve">KFS generated</w:t>
            </w:r>
          </w:p>
        </w:tc>
        <w:tc>
          <w:tcPr>
            <w:tcW w:w="2347" w:type="dxa"/>
          </w:tcPr>
          <w:p>
            <w:pPr>
              <w:pStyle w:val="Compact"/>
              <w:spacing w:after="40"/>
              <w:jc w:val="left"/>
            </w:pPr>
            <w:r>
              <w:rPr>
                <w:sz w:val="18"/>
              </w:rPr>
              <w:t xml:space="preserve">proposal_no, validity_expiry, APR, document hash</w:t>
            </w:r>
          </w:p>
        </w:tc>
        <w:tc>
          <w:tcPr>
            <w:tcW w:w="1022" w:type="dxa"/>
          </w:tcPr>
          <w:p>
            <w:pPr>
              <w:pStyle w:val="Compact"/>
              <w:spacing w:after="40"/>
              <w:jc w:val="left"/>
            </w:pPr>
            <w:r>
              <w:rPr>
                <w:sz w:val="18"/>
              </w:rPr>
              <w:t xml:space="preserve">FX</w:t>
            </w:r>
          </w:p>
        </w:tc>
        <w:tc>
          <w:tcPr>
            <w:tcW w:w="1106" w:type="dxa"/>
          </w:tcPr>
          <w:p>
            <w:pPr>
              <w:pStyle w:val="Compact"/>
              <w:spacing w:after="40"/>
              <w:jc w:val="left"/>
            </w:pPr>
            <w:r>
              <w:rPr>
                <w:sz w:val="18"/>
              </w:rPr>
              <w:t xml:space="preserve">(kfs_id, version)</w:t>
            </w:r>
          </w:p>
        </w:tc>
        <w:tc>
          <w:tcPr>
            <w:tcW w:w="1591" w:type="dxa"/>
          </w:tcPr>
          <w:p>
            <w:pPr>
              <w:pStyle w:val="Compact"/>
              <w:spacing w:after="40"/>
              <w:jc w:val="left"/>
            </w:pPr>
            <w:r>
              <w:rPr>
                <w:sz w:val="18"/>
              </w:rPr>
              <w:t xml:space="preserve">Before acceptance</w:t>
            </w:r>
          </w:p>
        </w:tc>
      </w:tr>
      <w:tr>
        <w:tc>
          <w:tcPr>
            <w:tcW w:w="1368" w:type="dxa"/>
          </w:tcPr>
          <w:p>
            <w:pPr>
              <w:pStyle w:val="Compact"/>
              <w:spacing w:after="40"/>
              <w:jc w:val="left"/>
            </w:pPr>
            <w:r>
              <w:rPr>
                <w:rStyle w:val="VerbatimChar"/>
                <w:sz w:val="18"/>
              </w:rPr>
              <w:t xml:space="preserve">SanctionLetterIssued</w:t>
            </w:r>
            <w:r>
              <w:rPr>
                <w:sz w:val="18"/>
              </w:rPr>
              <w:t xml:space="preserve"> </w:t>
            </w:r>
            <w:r>
              <w:rPr>
                <w:sz w:val="18"/>
              </w:rPr>
              <w:t xml:space="preserve">(E) signed</w:t>
            </w:r>
          </w:p>
        </w:tc>
        <w:tc>
          <w:tcPr>
            <w:tcW w:w="890" w:type="dxa"/>
          </w:tcPr>
          <w:p>
            <w:pPr>
              <w:pStyle w:val="Compact"/>
              <w:spacing w:after="40"/>
              <w:jc w:val="left"/>
            </w:pPr>
            <w:r>
              <w:rPr>
                <w:sz w:val="18"/>
              </w:rPr>
              <w:t xml:space="preserve">FX → UD</w:t>
            </w:r>
          </w:p>
        </w:tc>
        <w:tc>
          <w:tcPr>
            <w:tcW w:w="1314" w:type="dxa"/>
          </w:tcPr>
          <w:p>
            <w:pPr>
              <w:pStyle w:val="Compact"/>
              <w:spacing w:after="40"/>
              <w:jc w:val="left"/>
            </w:pPr>
            <w:r>
              <w:rPr>
                <w:sz w:val="18"/>
              </w:rPr>
              <w:t xml:space="preserve">Sanction letter generated</w:t>
            </w:r>
          </w:p>
        </w:tc>
        <w:tc>
          <w:tcPr>
            <w:tcW w:w="2347" w:type="dxa"/>
          </w:tcPr>
          <w:p>
            <w:pPr>
              <w:pStyle w:val="Compact"/>
              <w:spacing w:after="40"/>
              <w:jc w:val="left"/>
            </w:pPr>
            <w:r>
              <w:rPr>
                <w:sz w:val="18"/>
              </w:rPr>
              <w:t xml:space="preserve">sanction_id, terms, document hash</w:t>
            </w:r>
          </w:p>
        </w:tc>
        <w:tc>
          <w:tcPr>
            <w:tcW w:w="1022" w:type="dxa"/>
          </w:tcPr>
          <w:p>
            <w:pPr>
              <w:pStyle w:val="Compact"/>
              <w:spacing w:after="40"/>
              <w:jc w:val="left"/>
            </w:pPr>
            <w:r>
              <w:rPr>
                <w:sz w:val="18"/>
              </w:rPr>
              <w:t xml:space="preserve">FX</w:t>
            </w:r>
          </w:p>
        </w:tc>
        <w:tc>
          <w:tcPr>
            <w:tcW w:w="1106" w:type="dxa"/>
          </w:tcPr>
          <w:p>
            <w:pPr>
              <w:pStyle w:val="Compact"/>
              <w:spacing w:after="40"/>
              <w:jc w:val="left"/>
            </w:pPr>
            <w:r>
              <w:rPr>
                <w:sz w:val="18"/>
              </w:rPr>
              <w:t xml:space="preserve">(sanction_id, version)</w:t>
            </w:r>
          </w:p>
        </w:tc>
        <w:tc>
          <w:tcPr>
            <w:tcW w:w="1591" w:type="dxa"/>
          </w:tcPr>
          <w:p>
            <w:pPr>
              <w:pStyle w:val="Compact"/>
              <w:spacing w:after="40"/>
              <w:jc w:val="left"/>
            </w:pPr>
            <w:r>
              <w:rPr>
                <w:sz w:val="18"/>
              </w:rPr>
              <w:t xml:space="preserve">std</w:t>
            </w:r>
          </w:p>
        </w:tc>
      </w:tr>
      <w:tr>
        <w:tc>
          <w:tcPr>
            <w:tcW w:w="1368" w:type="dxa"/>
          </w:tcPr>
          <w:p>
            <w:pPr>
              <w:pStyle w:val="Compact"/>
              <w:spacing w:after="40"/>
              <w:jc w:val="left"/>
            </w:pPr>
            <w:r>
              <w:rPr>
                <w:rStyle w:val="VerbatimChar"/>
                <w:sz w:val="18"/>
              </w:rPr>
              <w:t xml:space="preserve">BorrowerAccepted</w:t>
            </w:r>
            <w:r>
              <w:rPr>
                <w:sz w:val="18"/>
              </w:rPr>
              <w:t xml:space="preserve"> </w:t>
            </w:r>
            <w:r>
              <w:rPr>
                <w:sz w:val="18"/>
              </w:rPr>
              <w:t xml:space="preserve">(E)</w:t>
            </w:r>
          </w:p>
        </w:tc>
        <w:tc>
          <w:tcPr>
            <w:tcW w:w="890" w:type="dxa"/>
          </w:tcPr>
          <w:p>
            <w:pPr>
              <w:pStyle w:val="Compact"/>
              <w:spacing w:after="40"/>
              <w:jc w:val="left"/>
            </w:pPr>
            <w:r>
              <w:rPr>
                <w:sz w:val="18"/>
              </w:rPr>
              <w:t xml:space="preserve">UD → FX</w:t>
            </w:r>
          </w:p>
        </w:tc>
        <w:tc>
          <w:tcPr>
            <w:tcW w:w="1314" w:type="dxa"/>
          </w:tcPr>
          <w:p>
            <w:pPr>
              <w:pStyle w:val="Compact"/>
              <w:spacing w:after="40"/>
              <w:jc w:val="left"/>
            </w:pPr>
            <w:r>
              <w:rPr>
                <w:sz w:val="18"/>
              </w:rPr>
              <w:t xml:space="preserve">Acceptance within KFS validity</w:t>
            </w:r>
          </w:p>
        </w:tc>
        <w:tc>
          <w:tcPr>
            <w:tcW w:w="2347" w:type="dxa"/>
          </w:tcPr>
          <w:p>
            <w:pPr>
              <w:pStyle w:val="Compact"/>
              <w:spacing w:after="40"/>
              <w:jc w:val="left"/>
            </w:pPr>
            <w:r>
              <w:rPr>
                <w:sz w:val="18"/>
              </w:rPr>
              <w:t xml:space="preserve">accepted_at, explanation acknowledgement</w:t>
            </w:r>
          </w:p>
        </w:tc>
        <w:tc>
          <w:tcPr>
            <w:tcW w:w="1022" w:type="dxa"/>
          </w:tcPr>
          <w:p>
            <w:pPr>
              <w:pStyle w:val="Compact"/>
              <w:spacing w:after="40"/>
              <w:jc w:val="left"/>
            </w:pPr>
            <w:r>
              <w:rPr>
                <w:sz w:val="18"/>
              </w:rPr>
              <w:t xml:space="preserve">UD evidence</w:t>
            </w:r>
          </w:p>
        </w:tc>
        <w:tc>
          <w:tcPr>
            <w:tcW w:w="1106" w:type="dxa"/>
          </w:tcPr>
          <w:p>
            <w:pPr>
              <w:pStyle w:val="Compact"/>
              <w:spacing w:after="40"/>
              <w:jc w:val="left"/>
            </w:pPr>
            <w:r>
              <w:rPr>
                <w:sz w:val="18"/>
              </w:rPr>
              <w:t xml:space="preserve">kfs_id</w:t>
            </w:r>
          </w:p>
        </w:tc>
        <w:tc>
          <w:tcPr>
            <w:tcW w:w="1591" w:type="dxa"/>
          </w:tcPr>
          <w:p>
            <w:pPr>
              <w:pStyle w:val="Compact"/>
              <w:spacing w:after="40"/>
              <w:jc w:val="left"/>
            </w:pPr>
            <w:r>
              <w:rPr>
                <w:sz w:val="18"/>
              </w:rPr>
              <w:t xml:space="preserve">Rejected after validity</w:t>
            </w:r>
          </w:p>
        </w:tc>
      </w:tr>
      <w:tr>
        <w:tc>
          <w:tcPr>
            <w:tcW w:w="1368" w:type="dxa"/>
          </w:tcPr>
          <w:p>
            <w:pPr>
              <w:pStyle w:val="Compact"/>
              <w:spacing w:after="40"/>
              <w:jc w:val="left"/>
            </w:pPr>
            <w:r>
              <w:rPr>
                <w:rStyle w:val="VerbatimChar"/>
                <w:sz w:val="18"/>
              </w:rPr>
              <w:t xml:space="preserve">ESignCompleted</w:t>
            </w:r>
            <w:r>
              <w:rPr>
                <w:sz w:val="18"/>
              </w:rPr>
              <w:t xml:space="preserve"> </w:t>
            </w:r>
            <w:r>
              <w:rPr>
                <w:sz w:val="18"/>
              </w:rPr>
              <w:t xml:space="preserve">(E) signed</w:t>
            </w:r>
          </w:p>
        </w:tc>
        <w:tc>
          <w:tcPr>
            <w:tcW w:w="890" w:type="dxa"/>
          </w:tcPr>
          <w:p>
            <w:pPr>
              <w:pStyle w:val="Compact"/>
              <w:spacing w:after="40"/>
              <w:jc w:val="left"/>
            </w:pPr>
            <w:r>
              <w:rPr>
                <w:sz w:val="18"/>
              </w:rPr>
              <w:t xml:space="preserve">UD → FX</w:t>
            </w:r>
          </w:p>
        </w:tc>
        <w:tc>
          <w:tcPr>
            <w:tcW w:w="1314" w:type="dxa"/>
          </w:tcPr>
          <w:p>
            <w:pPr>
              <w:pStyle w:val="Compact"/>
              <w:spacing w:after="40"/>
              <w:jc w:val="left"/>
            </w:pPr>
            <w:r>
              <w:rPr>
                <w:sz w:val="18"/>
              </w:rPr>
              <w:t xml:space="preserve">ESP confirms</w:t>
            </w:r>
          </w:p>
        </w:tc>
        <w:tc>
          <w:tcPr>
            <w:tcW w:w="2347" w:type="dxa"/>
          </w:tcPr>
          <w:p>
            <w:pPr>
              <w:pStyle w:val="Compact"/>
              <w:spacing w:after="40"/>
              <w:jc w:val="left"/>
            </w:pPr>
            <w:r>
              <w:rPr>
                <w:sz w:val="18"/>
              </w:rPr>
              <w:t xml:space="preserve">ESP txn id, certificate, signed hash; never a bare flag</w:t>
            </w:r>
          </w:p>
        </w:tc>
        <w:tc>
          <w:tcPr>
            <w:tcW w:w="1022" w:type="dxa"/>
          </w:tcPr>
          <w:p>
            <w:pPr>
              <w:pStyle w:val="Compact"/>
              <w:spacing w:after="40"/>
              <w:jc w:val="left"/>
            </w:pPr>
            <w:r>
              <w:rPr>
                <w:sz w:val="18"/>
              </w:rPr>
              <w:t xml:space="preserve">UD evidence</w:t>
            </w:r>
          </w:p>
        </w:tc>
        <w:tc>
          <w:tcPr>
            <w:tcW w:w="1106" w:type="dxa"/>
          </w:tcPr>
          <w:p>
            <w:pPr>
              <w:pStyle w:val="Compact"/>
              <w:spacing w:after="40"/>
              <w:jc w:val="left"/>
            </w:pPr>
            <w:r>
              <w:rPr>
                <w:sz w:val="18"/>
              </w:rPr>
              <w:t xml:space="preserve">(document_id, esp_txn_id)</w:t>
            </w:r>
          </w:p>
        </w:tc>
        <w:tc>
          <w:tcPr>
            <w:tcW w:w="1591" w:type="dxa"/>
          </w:tcPr>
          <w:p>
            <w:pPr>
              <w:pStyle w:val="Compact"/>
              <w:spacing w:after="40"/>
              <w:jc w:val="left"/>
            </w:pPr>
            <w:r>
              <w:rPr>
                <w:sz w:val="18"/>
              </w:rPr>
              <w:t xml:space="preserve">std</w:t>
            </w:r>
          </w:p>
        </w:tc>
      </w:tr>
      <w:tr>
        <w:tc>
          <w:tcPr>
            <w:tcW w:w="1368" w:type="dxa"/>
          </w:tcPr>
          <w:p>
            <w:pPr>
              <w:pStyle w:val="Compact"/>
              <w:spacing w:after="40"/>
              <w:jc w:val="left"/>
            </w:pPr>
            <w:r>
              <w:rPr>
                <w:rStyle w:val="VerbatimChar"/>
                <w:sz w:val="18"/>
              </w:rPr>
              <w:t xml:space="preserve">EStampCompleted</w:t>
            </w:r>
            <w:r>
              <w:rPr>
                <w:sz w:val="18"/>
              </w:rPr>
              <w:t xml:space="preserve"> </w:t>
            </w:r>
            <w:r>
              <w:rPr>
                <w:sz w:val="18"/>
              </w:rPr>
              <w:t xml:space="preserve">(E) signed</w:t>
            </w:r>
          </w:p>
        </w:tc>
        <w:tc>
          <w:tcPr>
            <w:tcW w:w="890" w:type="dxa"/>
          </w:tcPr>
          <w:p>
            <w:pPr>
              <w:pStyle w:val="Compact"/>
              <w:spacing w:after="40"/>
              <w:jc w:val="left"/>
            </w:pPr>
            <w:r>
              <w:rPr>
                <w:sz w:val="18"/>
              </w:rPr>
              <w:t xml:space="preserve">UD → FX</w:t>
            </w:r>
          </w:p>
        </w:tc>
        <w:tc>
          <w:tcPr>
            <w:tcW w:w="1314" w:type="dxa"/>
          </w:tcPr>
          <w:p>
            <w:pPr>
              <w:pStyle w:val="Compact"/>
              <w:spacing w:after="40"/>
              <w:jc w:val="left"/>
            </w:pPr>
            <w:r>
              <w:rPr>
                <w:sz w:val="18"/>
              </w:rPr>
              <w:t xml:space="preserve">Stamp certificate issued</w:t>
            </w:r>
          </w:p>
        </w:tc>
        <w:tc>
          <w:tcPr>
            <w:tcW w:w="2347" w:type="dxa"/>
          </w:tcPr>
          <w:p>
            <w:pPr>
              <w:pStyle w:val="Compact"/>
              <w:spacing w:after="40"/>
              <w:jc w:val="left"/>
            </w:pPr>
            <w:r>
              <w:rPr>
                <w:sz w:val="18"/>
              </w:rPr>
              <w:t xml:space="preserve">certificate_no, state, duty</w:t>
            </w:r>
          </w:p>
        </w:tc>
        <w:tc>
          <w:tcPr>
            <w:tcW w:w="1022" w:type="dxa"/>
          </w:tcPr>
          <w:p>
            <w:pPr>
              <w:pStyle w:val="Compact"/>
              <w:spacing w:after="40"/>
              <w:jc w:val="left"/>
            </w:pPr>
            <w:r>
              <w:rPr>
                <w:sz w:val="18"/>
              </w:rPr>
              <w:t xml:space="preserve">UD evidence</w:t>
            </w:r>
          </w:p>
        </w:tc>
        <w:tc>
          <w:tcPr>
            <w:tcW w:w="1106" w:type="dxa"/>
          </w:tcPr>
          <w:p>
            <w:pPr>
              <w:pStyle w:val="Compact"/>
              <w:spacing w:after="40"/>
              <w:jc w:val="left"/>
            </w:pPr>
            <w:r>
              <w:rPr>
                <w:sz w:val="18"/>
              </w:rPr>
              <w:t xml:space="preserve">(document_id, certificate_no)</w:t>
            </w:r>
          </w:p>
        </w:tc>
        <w:tc>
          <w:tcPr>
            <w:tcW w:w="1591" w:type="dxa"/>
          </w:tcPr>
          <w:p>
            <w:pPr>
              <w:pStyle w:val="Compact"/>
              <w:spacing w:after="40"/>
              <w:jc w:val="left"/>
            </w:pPr>
            <w:r>
              <w:rPr>
                <w:sz w:val="18"/>
              </w:rPr>
              <w:t xml:space="preserve">std</w:t>
            </w:r>
          </w:p>
        </w:tc>
      </w:tr>
      <w:tr>
        <w:tc>
          <w:tcPr>
            <w:tcW w:w="1368" w:type="dxa"/>
          </w:tcPr>
          <w:p>
            <w:pPr>
              <w:pStyle w:val="Compact"/>
              <w:spacing w:after="40"/>
              <w:jc w:val="left"/>
            </w:pPr>
            <w:r>
              <w:rPr>
                <w:rStyle w:val="VerbatimChar"/>
                <w:sz w:val="18"/>
              </w:rPr>
              <w:t xml:space="preserve">RiskSignalRaised</w:t>
            </w:r>
            <w:r>
              <w:rPr>
                <w:sz w:val="18"/>
              </w:rPr>
              <w:t xml:space="preserve"> </w:t>
            </w:r>
            <w:r>
              <w:rPr>
                <w:sz w:val="18"/>
              </w:rPr>
              <w:t xml:space="preserve">(A)</w:t>
            </w:r>
          </w:p>
        </w:tc>
        <w:tc>
          <w:tcPr>
            <w:tcW w:w="890" w:type="dxa"/>
          </w:tcPr>
          <w:p>
            <w:pPr>
              <w:pStyle w:val="Compact"/>
              <w:spacing w:after="40"/>
              <w:jc w:val="left"/>
            </w:pPr>
            <w:r>
              <w:rPr>
                <w:sz w:val="18"/>
              </w:rPr>
              <w:t xml:space="preserve">UD, FIA → FX</w:t>
            </w:r>
          </w:p>
        </w:tc>
        <w:tc>
          <w:tcPr>
            <w:tcW w:w="1314" w:type="dxa"/>
          </w:tcPr>
          <w:p>
            <w:pPr>
              <w:pStyle w:val="Compact"/>
              <w:spacing w:after="40"/>
              <w:jc w:val="left"/>
            </w:pPr>
            <w:r>
              <w:rPr>
                <w:sz w:val="18"/>
              </w:rPr>
              <w:t xml:space="preserve">Fraud or EWS signal, any stage</w:t>
            </w:r>
          </w:p>
        </w:tc>
        <w:tc>
          <w:tcPr>
            <w:tcW w:w="2347" w:type="dxa"/>
          </w:tcPr>
          <w:p>
            <w:pPr>
              <w:pStyle w:val="Compact"/>
              <w:spacing w:after="40"/>
              <w:jc w:val="left"/>
            </w:pPr>
            <w:r>
              <w:rPr>
                <w:sz w:val="18"/>
              </w:rPr>
              <w:t xml:space="preserve">type, score, evidence; signals, not determinations (FRM paras 15, 19–23)</w:t>
            </w:r>
          </w:p>
        </w:tc>
        <w:tc>
          <w:tcPr>
            <w:tcW w:w="1022" w:type="dxa"/>
          </w:tcPr>
          <w:p>
            <w:pPr>
              <w:pStyle w:val="Compact"/>
              <w:spacing w:after="40"/>
              <w:jc w:val="left"/>
            </w:pPr>
            <w:r>
              <w:rPr>
                <w:sz w:val="18"/>
              </w:rPr>
              <w:t xml:space="preserve">Signal UD or FIA; decision FX</w:t>
            </w:r>
          </w:p>
        </w:tc>
        <w:tc>
          <w:tcPr>
            <w:tcW w:w="1106" w:type="dxa"/>
          </w:tcPr>
          <w:p>
            <w:pPr>
              <w:pStyle w:val="Compact"/>
              <w:spacing w:after="40"/>
              <w:jc w:val="left"/>
            </w:pPr>
            <w:r>
              <w:rPr>
                <w:sz w:val="18"/>
              </w:rPr>
              <w:t xml:space="preserve">signal_id</w:t>
            </w:r>
          </w:p>
        </w:tc>
        <w:tc>
          <w:tcPr>
            <w:tcW w:w="1591" w:type="dxa"/>
          </w:tcPr>
          <w:p>
            <w:pPr>
              <w:pStyle w:val="Compact"/>
              <w:spacing w:after="40"/>
              <w:jc w:val="left"/>
            </w:pPr>
            <w:r>
              <w:rPr>
                <w:sz w:val="18"/>
              </w:rPr>
              <w:t xml:space="preserve">≤ 15 min pre-disbursal</w:t>
            </w:r>
          </w:p>
        </w:tc>
      </w:tr>
      <w:tr>
        <w:tc>
          <w:tcPr>
            <w:tcW w:w="1368" w:type="dxa"/>
          </w:tcPr>
          <w:p>
            <w:pPr>
              <w:pStyle w:val="Compact"/>
              <w:spacing w:after="40"/>
              <w:jc w:val="left"/>
            </w:pPr>
            <w:r>
              <w:rPr>
                <w:rStyle w:val="VerbatimChar"/>
                <w:sz w:val="18"/>
              </w:rPr>
              <w:t xml:space="preserve">VerificationRequested</w:t>
            </w:r>
            <w:r>
              <w:rPr>
                <w:sz w:val="18"/>
              </w:rPr>
              <w:t xml:space="preserve"> </w:t>
            </w:r>
            <w:r>
              <w:rPr>
                <w:sz w:val="18"/>
              </w:rPr>
              <w:t xml:space="preserve">(N+)</w:t>
            </w:r>
          </w:p>
        </w:tc>
        <w:tc>
          <w:tcPr>
            <w:tcW w:w="890" w:type="dxa"/>
          </w:tcPr>
          <w:p>
            <w:pPr>
              <w:pStyle w:val="Compact"/>
              <w:spacing w:after="40"/>
              <w:jc w:val="left"/>
            </w:pPr>
            <w:r>
              <w:rPr>
                <w:sz w:val="18"/>
              </w:rPr>
              <w:t xml:space="preserve">FX → FIA, AGY</w:t>
            </w:r>
          </w:p>
        </w:tc>
        <w:tc>
          <w:tcPr>
            <w:tcW w:w="1314" w:type="dxa"/>
          </w:tcPr>
          <w:p>
            <w:pPr>
              <w:pStyle w:val="Compact"/>
              <w:spacing w:after="40"/>
              <w:jc w:val="left"/>
            </w:pPr>
            <w:r>
              <w:rPr>
                <w:sz w:val="18"/>
              </w:rPr>
              <w:t xml:space="preserve">FI, PD, RCU, legal, technical or skip-trace task</w:t>
            </w:r>
          </w:p>
        </w:tc>
        <w:tc>
          <w:tcPr>
            <w:tcW w:w="2347" w:type="dxa"/>
          </w:tcPr>
          <w:p>
            <w:pPr>
              <w:pStyle w:val="Compact"/>
              <w:spacing w:after="40"/>
              <w:jc w:val="left"/>
            </w:pPr>
            <w:r>
              <w:rPr>
                <w:sz w:val="18"/>
              </w:rPr>
              <w:t xml:space="preserve">type, address token, due, consentref or legalbasis</w:t>
            </w:r>
          </w:p>
        </w:tc>
        <w:tc>
          <w:tcPr>
            <w:tcW w:w="1022" w:type="dxa"/>
          </w:tcPr>
          <w:p>
            <w:pPr>
              <w:pStyle w:val="Compact"/>
              <w:spacing w:after="40"/>
              <w:jc w:val="left"/>
            </w:pPr>
            <w:r>
              <w:rPr>
                <w:sz w:val="18"/>
              </w:rPr>
              <w:t xml:space="preserve">FX</w:t>
            </w:r>
          </w:p>
        </w:tc>
        <w:tc>
          <w:tcPr>
            <w:tcW w:w="1106" w:type="dxa"/>
          </w:tcPr>
          <w:p>
            <w:pPr>
              <w:pStyle w:val="Compact"/>
              <w:spacing w:after="40"/>
              <w:jc w:val="left"/>
            </w:pPr>
            <w:r>
              <w:rPr>
                <w:sz w:val="18"/>
              </w:rPr>
              <w:t xml:space="preserve">task_id</w:t>
            </w:r>
          </w:p>
        </w:tc>
        <w:tc>
          <w:tcPr>
            <w:tcW w:w="1591" w:type="dxa"/>
          </w:tcPr>
          <w:p>
            <w:pPr>
              <w:pStyle w:val="Compact"/>
              <w:spacing w:after="40"/>
              <w:jc w:val="left"/>
            </w:pPr>
            <w:r>
              <w:rPr>
                <w:sz w:val="18"/>
              </w:rPr>
              <w:t xml:space="preserve">std</w:t>
            </w:r>
          </w:p>
        </w:tc>
      </w:tr>
      <w:tr>
        <w:tc>
          <w:tcPr>
            <w:tcW w:w="1368" w:type="dxa"/>
          </w:tcPr>
          <w:p>
            <w:pPr>
              <w:pStyle w:val="Compact"/>
              <w:spacing w:after="40"/>
              <w:jc w:val="left"/>
            </w:pPr>
            <w:r>
              <w:rPr>
                <w:rStyle w:val="VerbatimChar"/>
                <w:sz w:val="18"/>
              </w:rPr>
              <w:t xml:space="preserve">VerificationCompleted</w:t>
            </w:r>
            <w:r>
              <w:rPr>
                <w:sz w:val="18"/>
              </w:rPr>
              <w:t xml:space="preserve"> </w:t>
            </w:r>
            <w:r>
              <w:rPr>
                <w:sz w:val="18"/>
              </w:rPr>
              <w:t xml:space="preserve">(N+)</w:t>
            </w:r>
          </w:p>
        </w:tc>
        <w:tc>
          <w:tcPr>
            <w:tcW w:w="890" w:type="dxa"/>
          </w:tcPr>
          <w:p>
            <w:pPr>
              <w:pStyle w:val="Compact"/>
              <w:spacing w:after="40"/>
              <w:jc w:val="left"/>
            </w:pPr>
            <w:r>
              <w:rPr>
                <w:sz w:val="18"/>
              </w:rPr>
              <w:t xml:space="preserve">FIA, AGY → FX</w:t>
            </w:r>
          </w:p>
        </w:tc>
        <w:tc>
          <w:tcPr>
            <w:tcW w:w="1314" w:type="dxa"/>
          </w:tcPr>
          <w:p>
            <w:pPr>
              <w:pStyle w:val="Compact"/>
              <w:spacing w:after="40"/>
              <w:jc w:val="left"/>
            </w:pPr>
            <w:r>
              <w:rPr>
                <w:sz w:val="18"/>
              </w:rPr>
              <w:t xml:space="preserve">Task done or failed</w:t>
            </w:r>
          </w:p>
        </w:tc>
        <w:tc>
          <w:tcPr>
            <w:tcW w:w="2347" w:type="dxa"/>
          </w:tcPr>
          <w:p>
            <w:pPr>
              <w:pStyle w:val="Compact"/>
              <w:spacing w:after="40"/>
              <w:jc w:val="left"/>
            </w:pPr>
            <w:r>
              <w:rPr>
                <w:sz w:val="18"/>
              </w:rPr>
              <w:t xml:space="preserve">findings, geo, time, evidence hash, agent police verification (RBC para 94)</w:t>
            </w:r>
          </w:p>
        </w:tc>
        <w:tc>
          <w:tcPr>
            <w:tcW w:w="1022" w:type="dxa"/>
          </w:tcPr>
          <w:p>
            <w:pPr>
              <w:pStyle w:val="Compact"/>
              <w:spacing w:after="40"/>
              <w:jc w:val="left"/>
            </w:pPr>
            <w:r>
              <w:rPr>
                <w:sz w:val="18"/>
              </w:rPr>
              <w:t xml:space="preserve">FIA</w:t>
            </w:r>
          </w:p>
        </w:tc>
        <w:tc>
          <w:tcPr>
            <w:tcW w:w="1106" w:type="dxa"/>
          </w:tcPr>
          <w:p>
            <w:pPr>
              <w:pStyle w:val="Compact"/>
              <w:spacing w:after="40"/>
              <w:jc w:val="left"/>
            </w:pPr>
            <w:r>
              <w:rPr>
                <w:sz w:val="18"/>
              </w:rPr>
              <w:t xml:space="preserve">(task_id, attempt)</w:t>
            </w:r>
          </w:p>
        </w:tc>
        <w:tc>
          <w:tcPr>
            <w:tcW w:w="1591" w:type="dxa"/>
          </w:tcPr>
          <w:p>
            <w:pPr>
              <w:pStyle w:val="Compact"/>
              <w:spacing w:after="40"/>
              <w:jc w:val="left"/>
            </w:pPr>
            <w:r>
              <w:rPr>
                <w:sz w:val="18"/>
              </w:rPr>
              <w:t xml:space="preserve">≤ 15 min</w:t>
            </w:r>
          </w:p>
        </w:tc>
      </w:tr>
    </w:tbl>
    <w:bookmarkEnd w:id="47"/>
    <w:bookmarkStart w:id="48" w:name="servicing-servicing"/>
    <w:p>
      <w:pPr>
        <w:pStyle w:val="Heading2"/>
      </w:pPr>
      <w:r>
        <w:t xml:space="preserve">6.3 Servicing (</w:t>
      </w:r>
      <w:r>
        <w:rPr>
          <w:rStyle w:val="VerbatimChar"/>
        </w:rPr>
        <w:t xml:space="preserve">servicing</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03"/>
        <w:gridCol w:w="983"/>
        <w:gridCol w:w="1582"/>
        <w:gridCol w:w="2021"/>
        <w:gridCol w:w="1275"/>
        <w:gridCol w:w="1089"/>
        <w:gridCol w:w="985"/>
      </w:tblGrid>
      <w:tr>
        <w:trPr>
          <w:tblHeader w:val="true"/>
          <w:tblHeader w:val="true"/>
        </w:trPr>
        <w:tc>
          <w:tcPr>
            <w:tcW w:w="1703" w:type="dxa"/>
            <w:shd w:val="clear" w:color="auto" w:fill="1F3A5F"/>
          </w:tcPr>
          <w:p>
            <w:pPr>
              <w:pStyle w:val="Compact"/>
              <w:spacing w:after="40"/>
              <w:jc w:val="left"/>
            </w:pPr>
            <w:r>
              <w:rPr>
                <w:b/>
                <w:color w:val="FFFFFF"/>
                <w:sz w:val="18"/>
              </w:rPr>
              <w:t xml:space="preserve">Event or API</w:t>
            </w:r>
          </w:p>
        </w:tc>
        <w:tc>
          <w:tcPr>
            <w:tcW w:w="983" w:type="dxa"/>
            <w:shd w:val="clear" w:color="auto" w:fill="1F3A5F"/>
          </w:tcPr>
          <w:p>
            <w:pPr>
              <w:pStyle w:val="Compact"/>
              <w:spacing w:after="40"/>
              <w:jc w:val="left"/>
            </w:pPr>
            <w:r>
              <w:rPr>
                <w:b/>
                <w:color w:val="FFFFFF"/>
                <w:sz w:val="18"/>
              </w:rPr>
              <w:t xml:space="preserve">Producer → consumer(s)</w:t>
            </w:r>
          </w:p>
        </w:tc>
        <w:tc>
          <w:tcPr>
            <w:tcW w:w="1582" w:type="dxa"/>
            <w:shd w:val="clear" w:color="auto" w:fill="1F3A5F"/>
          </w:tcPr>
          <w:p>
            <w:pPr>
              <w:pStyle w:val="Compact"/>
              <w:spacing w:after="40"/>
              <w:jc w:val="left"/>
            </w:pPr>
            <w:r>
              <w:rPr>
                <w:b/>
                <w:color w:val="FFFFFF"/>
                <w:sz w:val="18"/>
              </w:rPr>
              <w:t xml:space="preserve">Trigger</w:t>
            </w:r>
          </w:p>
        </w:tc>
        <w:tc>
          <w:tcPr>
            <w:tcW w:w="2021" w:type="dxa"/>
            <w:shd w:val="clear" w:color="auto" w:fill="1F3A5F"/>
          </w:tcPr>
          <w:p>
            <w:pPr>
              <w:pStyle w:val="Compact"/>
              <w:spacing w:after="40"/>
              <w:jc w:val="left"/>
            </w:pPr>
            <w:r>
              <w:rPr>
                <w:b/>
                <w:color w:val="FFFFFF"/>
                <w:sz w:val="18"/>
              </w:rPr>
              <w:t xml:space="preserve">Key payload fields</w:t>
            </w:r>
          </w:p>
        </w:tc>
        <w:tc>
          <w:tcPr>
            <w:tcW w:w="1275" w:type="dxa"/>
            <w:shd w:val="clear" w:color="auto" w:fill="1F3A5F"/>
          </w:tcPr>
          <w:p>
            <w:pPr>
              <w:pStyle w:val="Compact"/>
              <w:spacing w:after="40"/>
              <w:jc w:val="left"/>
            </w:pPr>
            <w:r>
              <w:rPr>
                <w:b/>
                <w:color w:val="FFFFFF"/>
                <w:sz w:val="18"/>
              </w:rPr>
              <w:t xml:space="preserve">Owner</w:t>
            </w:r>
          </w:p>
        </w:tc>
        <w:tc>
          <w:tcPr>
            <w:tcW w:w="1089" w:type="dxa"/>
            <w:shd w:val="clear" w:color="auto" w:fill="1F3A5F"/>
          </w:tcPr>
          <w:p>
            <w:pPr>
              <w:pStyle w:val="Compact"/>
              <w:spacing w:after="40"/>
              <w:jc w:val="left"/>
            </w:pPr>
            <w:r>
              <w:rPr>
                <w:b/>
                <w:color w:val="FFFFFF"/>
                <w:sz w:val="18"/>
              </w:rPr>
              <w:t xml:space="preserve">Idempotency key</w:t>
            </w:r>
          </w:p>
        </w:tc>
        <w:tc>
          <w:tcPr>
            <w:tcW w:w="985" w:type="dxa"/>
            <w:shd w:val="clear" w:color="auto" w:fill="1F3A5F"/>
          </w:tcPr>
          <w:p>
            <w:pPr>
              <w:pStyle w:val="Compact"/>
              <w:spacing w:after="40"/>
              <w:jc w:val="left"/>
            </w:pPr>
            <w:r>
              <w:rPr>
                <w:b/>
                <w:color w:val="FFFFFF"/>
                <w:sz w:val="18"/>
              </w:rPr>
              <w:t xml:space="preserve">SLA</w:t>
            </w:r>
          </w:p>
        </w:tc>
      </w:tr>
      <w:tr>
        <w:tc>
          <w:tcPr>
            <w:tcW w:w="1703" w:type="dxa"/>
          </w:tcPr>
          <w:p>
            <w:pPr>
              <w:pStyle w:val="Compact"/>
              <w:spacing w:after="40"/>
              <w:jc w:val="left"/>
            </w:pPr>
            <w:r>
              <w:rPr>
                <w:rStyle w:val="VerbatimChar"/>
                <w:sz w:val="18"/>
              </w:rPr>
              <w:t xml:space="preserve">LoanDisbursed</w:t>
            </w:r>
            <w:r>
              <w:rPr>
                <w:sz w:val="18"/>
              </w:rPr>
              <w:t xml:space="preserve"> </w:t>
            </w:r>
            <w:r>
              <w:rPr>
                <w:sz w:val="18"/>
              </w:rPr>
              <w:t xml:space="preserve">(E) signed</w:t>
            </w:r>
          </w:p>
        </w:tc>
        <w:tc>
          <w:tcPr>
            <w:tcW w:w="983" w:type="dxa"/>
          </w:tcPr>
          <w:p>
            <w:pPr>
              <w:pStyle w:val="Compact"/>
              <w:spacing w:after="40"/>
              <w:jc w:val="left"/>
            </w:pPr>
            <w:r>
              <w:rPr>
                <w:sz w:val="18"/>
              </w:rPr>
              <w:t xml:space="preserve">FX → UD, CL</w:t>
            </w:r>
          </w:p>
        </w:tc>
        <w:tc>
          <w:tcPr>
            <w:tcW w:w="1582" w:type="dxa"/>
          </w:tcPr>
          <w:p>
            <w:pPr>
              <w:pStyle w:val="Compact"/>
              <w:spacing w:after="40"/>
              <w:jc w:val="left"/>
            </w:pPr>
            <w:r>
              <w:rPr>
                <w:sz w:val="18"/>
              </w:rPr>
              <w:t xml:space="preserve">Bank confirms settlement</w:t>
            </w:r>
          </w:p>
        </w:tc>
        <w:tc>
          <w:tcPr>
            <w:tcW w:w="2021" w:type="dxa"/>
          </w:tcPr>
          <w:p>
            <w:pPr>
              <w:pStyle w:val="Compact"/>
              <w:spacing w:after="40"/>
              <w:jc w:val="left"/>
            </w:pPr>
            <w:r>
              <w:rPr>
                <w:sz w:val="18"/>
              </w:rPr>
              <w:t xml:space="preserve">utr, amount, value date, beneficiary type, kind (INITIAL, TRANCHE, DRAWDOWN), cooling-off end</w:t>
            </w:r>
          </w:p>
        </w:tc>
        <w:tc>
          <w:tcPr>
            <w:tcW w:w="1275" w:type="dxa"/>
          </w:tcPr>
          <w:p>
            <w:pPr>
              <w:pStyle w:val="Compact"/>
              <w:spacing w:after="40"/>
              <w:jc w:val="left"/>
            </w:pPr>
            <w:r>
              <w:rPr>
                <w:sz w:val="18"/>
              </w:rPr>
              <w:t xml:space="preserve">FX</w:t>
            </w:r>
          </w:p>
        </w:tc>
        <w:tc>
          <w:tcPr>
            <w:tcW w:w="1089" w:type="dxa"/>
          </w:tcPr>
          <w:p>
            <w:pPr>
              <w:pStyle w:val="Compact"/>
              <w:spacing w:after="40"/>
              <w:jc w:val="left"/>
            </w:pPr>
            <w:r>
              <w:rPr>
                <w:sz w:val="18"/>
              </w:rPr>
              <w:t xml:space="preserve">(loan_id, utr)</w:t>
            </w:r>
          </w:p>
        </w:tc>
        <w:tc>
          <w:tcPr>
            <w:tcW w:w="985" w:type="dxa"/>
          </w:tcPr>
          <w:p>
            <w:pPr>
              <w:pStyle w:val="Compact"/>
              <w:spacing w:after="40"/>
              <w:jc w:val="left"/>
            </w:pPr>
            <w:r>
              <w:rPr>
                <w:sz w:val="18"/>
              </w:rPr>
              <w:t xml:space="preserve">std</w:t>
            </w:r>
          </w:p>
        </w:tc>
      </w:tr>
      <w:tr>
        <w:tc>
          <w:tcPr>
            <w:tcW w:w="1703" w:type="dxa"/>
          </w:tcPr>
          <w:p>
            <w:pPr>
              <w:pStyle w:val="Compact"/>
              <w:spacing w:after="40"/>
              <w:jc w:val="left"/>
            </w:pPr>
            <w:r>
              <w:rPr>
                <w:rStyle w:val="VerbatimChar"/>
                <w:sz w:val="18"/>
              </w:rPr>
              <w:t xml:space="preserve">DisbursementFailed</w:t>
            </w:r>
            <w:r>
              <w:rPr>
                <w:sz w:val="18"/>
              </w:rPr>
              <w:t xml:space="preserve"> </w:t>
            </w:r>
            <w:r>
              <w:rPr>
                <w:sz w:val="18"/>
              </w:rPr>
              <w:t xml:space="preserve">(E)</w:t>
            </w:r>
          </w:p>
        </w:tc>
        <w:tc>
          <w:tcPr>
            <w:tcW w:w="983" w:type="dxa"/>
          </w:tcPr>
          <w:p>
            <w:pPr>
              <w:pStyle w:val="Compact"/>
              <w:spacing w:after="40"/>
              <w:jc w:val="left"/>
            </w:pPr>
            <w:r>
              <w:rPr>
                <w:sz w:val="18"/>
              </w:rPr>
              <w:t xml:space="preserve">FX → UD</w:t>
            </w:r>
          </w:p>
        </w:tc>
        <w:tc>
          <w:tcPr>
            <w:tcW w:w="1582" w:type="dxa"/>
          </w:tcPr>
          <w:p>
            <w:pPr>
              <w:pStyle w:val="Compact"/>
              <w:spacing w:after="40"/>
              <w:jc w:val="left"/>
            </w:pPr>
            <w:r>
              <w:rPr>
                <w:sz w:val="18"/>
              </w:rPr>
              <w:t xml:space="preserve">Payout failed or returned</w:t>
            </w:r>
          </w:p>
        </w:tc>
        <w:tc>
          <w:tcPr>
            <w:tcW w:w="2021" w:type="dxa"/>
          </w:tcPr>
          <w:p>
            <w:pPr>
              <w:pStyle w:val="Compact"/>
              <w:spacing w:after="40"/>
              <w:jc w:val="left"/>
            </w:pPr>
            <w:r>
              <w:rPr>
                <w:sz w:val="18"/>
              </w:rPr>
              <w:t xml:space="preserve">attempt, reason, next step</w:t>
            </w:r>
          </w:p>
        </w:tc>
        <w:tc>
          <w:tcPr>
            <w:tcW w:w="1275" w:type="dxa"/>
          </w:tcPr>
          <w:p>
            <w:pPr>
              <w:pStyle w:val="Compact"/>
              <w:spacing w:after="40"/>
              <w:jc w:val="left"/>
            </w:pPr>
            <w:r>
              <w:rPr>
                <w:sz w:val="18"/>
              </w:rPr>
              <w:t xml:space="preserve">FX</w:t>
            </w:r>
          </w:p>
        </w:tc>
        <w:tc>
          <w:tcPr>
            <w:tcW w:w="1089" w:type="dxa"/>
          </w:tcPr>
          <w:p>
            <w:pPr>
              <w:pStyle w:val="Compact"/>
              <w:spacing w:after="40"/>
              <w:jc w:val="left"/>
            </w:pPr>
            <w:r>
              <w:rPr>
                <w:sz w:val="18"/>
              </w:rPr>
              <w:t xml:space="preserve">(loan_id, attempt)</w:t>
            </w:r>
          </w:p>
        </w:tc>
        <w:tc>
          <w:tcPr>
            <w:tcW w:w="985" w:type="dxa"/>
          </w:tcPr>
          <w:p>
            <w:pPr>
              <w:pStyle w:val="Compact"/>
              <w:spacing w:after="40"/>
              <w:jc w:val="left"/>
            </w:pPr>
            <w:r>
              <w:rPr>
                <w:sz w:val="18"/>
              </w:rPr>
              <w:t xml:space="preserve">std</w:t>
            </w:r>
          </w:p>
        </w:tc>
      </w:tr>
      <w:tr>
        <w:tc>
          <w:tcPr>
            <w:tcW w:w="1703" w:type="dxa"/>
          </w:tcPr>
          <w:p>
            <w:pPr>
              <w:pStyle w:val="Compact"/>
              <w:spacing w:after="40"/>
              <w:jc w:val="left"/>
            </w:pPr>
            <w:r>
              <w:rPr>
                <w:rStyle w:val="VerbatimChar"/>
                <w:sz w:val="18"/>
              </w:rPr>
              <w:t xml:space="preserve">DrawdownRequested</w:t>
            </w:r>
            <w:r>
              <w:rPr>
                <w:sz w:val="18"/>
              </w:rPr>
              <w:t xml:space="preserve"> </w:t>
            </w:r>
            <w:r>
              <w:rPr>
                <w:sz w:val="18"/>
              </w:rPr>
              <w:t xml:space="preserve">(N+) API</w:t>
            </w:r>
            <w:r>
              <w:rPr>
                <w:sz w:val="18"/>
              </w:rPr>
              <w:t xml:space="preserve"> </w:t>
            </w:r>
            <w:r>
              <w:rPr>
                <w:rStyle w:val="VerbatimChar"/>
                <w:sz w:val="18"/>
              </w:rPr>
              <w:t xml:space="preserve">POST /v1/facilities/{loan_id}/drawdowns</w:t>
            </w:r>
          </w:p>
        </w:tc>
        <w:tc>
          <w:tcPr>
            <w:tcW w:w="983" w:type="dxa"/>
          </w:tcPr>
          <w:p>
            <w:pPr>
              <w:pStyle w:val="Compact"/>
              <w:spacing w:after="40"/>
              <w:jc w:val="left"/>
            </w:pPr>
            <w:r>
              <w:rPr>
                <w:sz w:val="18"/>
              </w:rPr>
              <w:t xml:space="preserve">UD → FX (FAPI 2.0)</w:t>
            </w:r>
          </w:p>
        </w:tc>
        <w:tc>
          <w:tcPr>
            <w:tcW w:w="1582" w:type="dxa"/>
          </w:tcPr>
          <w:p>
            <w:pPr>
              <w:pStyle w:val="Compact"/>
              <w:spacing w:after="40"/>
              <w:jc w:val="left"/>
            </w:pPr>
            <w:r>
              <w:rPr>
                <w:sz w:val="18"/>
              </w:rPr>
              <w:t xml:space="preserve">Borrower requests a drawdown</w:t>
            </w:r>
          </w:p>
        </w:tc>
        <w:tc>
          <w:tcPr>
            <w:tcW w:w="2021" w:type="dxa"/>
          </w:tcPr>
          <w:p>
            <w:pPr>
              <w:pStyle w:val="Compact"/>
              <w:spacing w:after="40"/>
              <w:jc w:val="left"/>
            </w:pPr>
            <w:r>
              <w:rPr>
                <w:sz w:val="18"/>
              </w:rPr>
              <w:t xml:space="preserve">amount, acr, auth_time</w:t>
            </w:r>
          </w:p>
        </w:tc>
        <w:tc>
          <w:tcPr>
            <w:tcW w:w="1275" w:type="dxa"/>
          </w:tcPr>
          <w:p>
            <w:pPr>
              <w:pStyle w:val="Compact"/>
              <w:spacing w:after="40"/>
              <w:jc w:val="left"/>
            </w:pPr>
            <w:r>
              <w:rPr>
                <w:sz w:val="18"/>
              </w:rPr>
              <w:t xml:space="preserve">FX decides; executes as</w:t>
            </w:r>
            <w:r>
              <w:rPr>
                <w:sz w:val="18"/>
              </w:rPr>
              <w:t xml:space="preserve"> </w:t>
            </w:r>
            <w:r>
              <w:rPr>
                <w:rStyle w:val="VerbatimChar"/>
                <w:sz w:val="18"/>
              </w:rPr>
              <w:t xml:space="preserve">LoanDisbursed</w:t>
            </w:r>
          </w:p>
        </w:tc>
        <w:tc>
          <w:tcPr>
            <w:tcW w:w="1089" w:type="dxa"/>
          </w:tcPr>
          <w:p>
            <w:pPr>
              <w:pStyle w:val="Compact"/>
              <w:spacing w:after="40"/>
              <w:jc w:val="left"/>
            </w:pPr>
            <w:r>
              <w:rPr>
                <w:sz w:val="18"/>
              </w:rPr>
              <w:t xml:space="preserve">Idempotency-Key</w:t>
            </w:r>
          </w:p>
        </w:tc>
        <w:tc>
          <w:tcPr>
            <w:tcW w:w="985" w:type="dxa"/>
          </w:tcPr>
          <w:p>
            <w:pPr>
              <w:pStyle w:val="Compact"/>
              <w:spacing w:after="40"/>
              <w:jc w:val="left"/>
            </w:pPr>
            <w:r>
              <w:rPr>
                <w:sz w:val="18"/>
              </w:rPr>
              <w:t xml:space="preserve">Accept or reject ≤ 2 s</w:t>
            </w:r>
          </w:p>
        </w:tc>
      </w:tr>
      <w:tr>
        <w:tc>
          <w:tcPr>
            <w:tcW w:w="1703" w:type="dxa"/>
          </w:tcPr>
          <w:p>
            <w:pPr>
              <w:pStyle w:val="Compact"/>
              <w:spacing w:after="40"/>
              <w:jc w:val="left"/>
            </w:pPr>
            <w:r>
              <w:rPr>
                <w:rStyle w:val="VerbatimChar"/>
                <w:sz w:val="18"/>
              </w:rPr>
              <w:t xml:space="preserve">CoolingOffExitRequested</w:t>
            </w:r>
            <w:r>
              <w:rPr>
                <w:sz w:val="18"/>
              </w:rPr>
              <w:t xml:space="preserve"> </w:t>
            </w:r>
            <w:r>
              <w:rPr>
                <w:sz w:val="18"/>
              </w:rPr>
              <w:t xml:space="preserve">(E)</w:t>
            </w:r>
          </w:p>
        </w:tc>
        <w:tc>
          <w:tcPr>
            <w:tcW w:w="983" w:type="dxa"/>
          </w:tcPr>
          <w:p>
            <w:pPr>
              <w:pStyle w:val="Compact"/>
              <w:spacing w:after="40"/>
              <w:jc w:val="left"/>
            </w:pPr>
            <w:r>
              <w:rPr>
                <w:sz w:val="18"/>
              </w:rPr>
              <w:t xml:space="preserve">UD → FX</w:t>
            </w:r>
          </w:p>
        </w:tc>
        <w:tc>
          <w:tcPr>
            <w:tcW w:w="1582" w:type="dxa"/>
          </w:tcPr>
          <w:p>
            <w:pPr>
              <w:pStyle w:val="Compact"/>
              <w:spacing w:after="40"/>
              <w:jc w:val="left"/>
            </w:pPr>
            <w:r>
              <w:rPr>
                <w:sz w:val="18"/>
              </w:rPr>
              <w:t xml:space="preserve">Exit within cooling-off (CF para 11)</w:t>
            </w:r>
          </w:p>
        </w:tc>
        <w:tc>
          <w:tcPr>
            <w:tcW w:w="2021" w:type="dxa"/>
          </w:tcPr>
          <w:p>
            <w:pPr>
              <w:pStyle w:val="Compact"/>
              <w:spacing w:after="40"/>
              <w:jc w:val="left"/>
            </w:pPr>
            <w:r>
              <w:rPr>
                <w:sz w:val="18"/>
              </w:rPr>
              <w:t xml:space="preserve">requested_at, evidence</w:t>
            </w:r>
          </w:p>
        </w:tc>
        <w:tc>
          <w:tcPr>
            <w:tcW w:w="1275" w:type="dxa"/>
          </w:tcPr>
          <w:p>
            <w:pPr>
              <w:pStyle w:val="Compact"/>
              <w:spacing w:after="40"/>
              <w:jc w:val="left"/>
            </w:pPr>
            <w:r>
              <w:rPr>
                <w:sz w:val="18"/>
              </w:rPr>
              <w:t xml:space="preserve">UD request; FX payable</w:t>
            </w:r>
          </w:p>
        </w:tc>
        <w:tc>
          <w:tcPr>
            <w:tcW w:w="1089" w:type="dxa"/>
          </w:tcPr>
          <w:p>
            <w:pPr>
              <w:pStyle w:val="Compact"/>
              <w:spacing w:after="40"/>
              <w:jc w:val="left"/>
            </w:pPr>
            <w:r>
              <w:rPr>
                <w:sz w:val="18"/>
              </w:rPr>
              <w:t xml:space="preserve">loan_id</w:t>
            </w:r>
          </w:p>
        </w:tc>
        <w:tc>
          <w:tcPr>
            <w:tcW w:w="985" w:type="dxa"/>
          </w:tcPr>
          <w:p>
            <w:pPr>
              <w:pStyle w:val="Compact"/>
              <w:spacing w:after="40"/>
              <w:jc w:val="left"/>
            </w:pPr>
            <w:r>
              <w:rPr>
                <w:sz w:val="18"/>
              </w:rPr>
              <w:t xml:space="preserve">std</w:t>
            </w:r>
          </w:p>
        </w:tc>
      </w:tr>
      <w:tr>
        <w:tc>
          <w:tcPr>
            <w:tcW w:w="1703" w:type="dxa"/>
          </w:tcPr>
          <w:p>
            <w:pPr>
              <w:pStyle w:val="Compact"/>
              <w:spacing w:after="40"/>
              <w:jc w:val="left"/>
            </w:pPr>
            <w:r>
              <w:rPr>
                <w:rStyle w:val="VerbatimChar"/>
                <w:sz w:val="18"/>
              </w:rPr>
              <w:t xml:space="preserve">ScheduleIssued</w:t>
            </w:r>
            <w:r>
              <w:rPr>
                <w:sz w:val="18"/>
              </w:rPr>
              <w:t xml:space="preserve"> </w:t>
            </w:r>
            <w:r>
              <w:rPr>
                <w:sz w:val="18"/>
              </w:rPr>
              <w:t xml:space="preserve">(E)</w:t>
            </w:r>
          </w:p>
        </w:tc>
        <w:tc>
          <w:tcPr>
            <w:tcW w:w="983" w:type="dxa"/>
          </w:tcPr>
          <w:p>
            <w:pPr>
              <w:pStyle w:val="Compact"/>
              <w:spacing w:after="40"/>
              <w:jc w:val="left"/>
            </w:pPr>
            <w:r>
              <w:rPr>
                <w:sz w:val="18"/>
              </w:rPr>
              <w:t xml:space="preserve">FX → UD</w:t>
            </w:r>
          </w:p>
        </w:tc>
        <w:tc>
          <w:tcPr>
            <w:tcW w:w="1582" w:type="dxa"/>
          </w:tcPr>
          <w:p>
            <w:pPr>
              <w:pStyle w:val="Compact"/>
              <w:spacing w:after="40"/>
              <w:jc w:val="left"/>
            </w:pPr>
            <w:r>
              <w:rPr>
                <w:sz w:val="18"/>
              </w:rPr>
              <w:t xml:space="preserve">Loan booked</w:t>
            </w:r>
          </w:p>
        </w:tc>
        <w:tc>
          <w:tcPr>
            <w:tcW w:w="2021" w:type="dxa"/>
          </w:tcPr>
          <w:p>
            <w:pPr>
              <w:pStyle w:val="Compact"/>
              <w:spacing w:after="40"/>
              <w:jc w:val="left"/>
            </w:pPr>
            <w:r>
              <w:rPr>
                <w:sz w:val="18"/>
              </w:rPr>
              <w:t xml:space="preserve">schedule_version, instalments</w:t>
            </w:r>
          </w:p>
        </w:tc>
        <w:tc>
          <w:tcPr>
            <w:tcW w:w="1275" w:type="dxa"/>
          </w:tcPr>
          <w:p>
            <w:pPr>
              <w:pStyle w:val="Compact"/>
              <w:spacing w:after="40"/>
              <w:jc w:val="left"/>
            </w:pPr>
            <w:r>
              <w:rPr>
                <w:sz w:val="18"/>
              </w:rPr>
              <w:t xml:space="preserve">FX</w:t>
            </w:r>
          </w:p>
        </w:tc>
        <w:tc>
          <w:tcPr>
            <w:tcW w:w="1089" w:type="dxa"/>
          </w:tcPr>
          <w:p>
            <w:pPr>
              <w:pStyle w:val="Compact"/>
              <w:spacing w:after="40"/>
              <w:jc w:val="left"/>
            </w:pPr>
            <w:r>
              <w:rPr>
                <w:sz w:val="18"/>
              </w:rPr>
              <w:t xml:space="preserve">(loan_id, schedule_version)</w:t>
            </w:r>
          </w:p>
        </w:tc>
        <w:tc>
          <w:tcPr>
            <w:tcW w:w="985" w:type="dxa"/>
          </w:tcPr>
          <w:p>
            <w:pPr>
              <w:pStyle w:val="Compact"/>
              <w:spacing w:after="40"/>
              <w:jc w:val="left"/>
            </w:pPr>
            <w:r>
              <w:rPr>
                <w:sz w:val="18"/>
              </w:rPr>
              <w:t xml:space="preserve">std</w:t>
            </w:r>
          </w:p>
        </w:tc>
      </w:tr>
      <w:tr>
        <w:tc>
          <w:tcPr>
            <w:tcW w:w="1703" w:type="dxa"/>
          </w:tcPr>
          <w:p>
            <w:pPr>
              <w:pStyle w:val="Compact"/>
              <w:spacing w:after="40"/>
              <w:jc w:val="left"/>
            </w:pPr>
            <w:r>
              <w:rPr>
                <w:rStyle w:val="VerbatimChar"/>
                <w:sz w:val="18"/>
              </w:rPr>
              <w:t xml:space="preserve">ScheduleChanged</w:t>
            </w:r>
            <w:r>
              <w:rPr>
                <w:sz w:val="18"/>
              </w:rPr>
              <w:t xml:space="preserve"> </w:t>
            </w:r>
            <w:r>
              <w:rPr>
                <w:sz w:val="18"/>
              </w:rPr>
              <w:t xml:space="preserve">(E)</w:t>
            </w:r>
          </w:p>
        </w:tc>
        <w:tc>
          <w:tcPr>
            <w:tcW w:w="983" w:type="dxa"/>
          </w:tcPr>
          <w:p>
            <w:pPr>
              <w:pStyle w:val="Compact"/>
              <w:spacing w:after="40"/>
              <w:jc w:val="left"/>
            </w:pPr>
            <w:r>
              <w:rPr>
                <w:sz w:val="18"/>
              </w:rPr>
              <w:t xml:space="preserve">FX → UD, CL</w:t>
            </w:r>
          </w:p>
        </w:tc>
        <w:tc>
          <w:tcPr>
            <w:tcW w:w="1582" w:type="dxa"/>
          </w:tcPr>
          <w:p>
            <w:pPr>
              <w:pStyle w:val="Compact"/>
              <w:spacing w:after="40"/>
              <w:jc w:val="left"/>
            </w:pPr>
            <w:r>
              <w:rPr>
                <w:sz w:val="18"/>
              </w:rPr>
              <w:t xml:space="preserve">Reset, tranche, restructuring, moratorium end, settlement</w:t>
            </w:r>
          </w:p>
        </w:tc>
        <w:tc>
          <w:tcPr>
            <w:tcW w:w="2021" w:type="dxa"/>
          </w:tcPr>
          <w:p>
            <w:pPr>
              <w:pStyle w:val="Compact"/>
              <w:spacing w:after="40"/>
              <w:jc w:val="left"/>
            </w:pPr>
            <w:r>
              <w:rPr>
                <w:sz w:val="18"/>
              </w:rPr>
              <w:t xml:space="preserve">schedule_version, reason, effective date</w:t>
            </w:r>
          </w:p>
        </w:tc>
        <w:tc>
          <w:tcPr>
            <w:tcW w:w="1275" w:type="dxa"/>
          </w:tcPr>
          <w:p>
            <w:pPr>
              <w:pStyle w:val="Compact"/>
              <w:spacing w:after="40"/>
              <w:jc w:val="left"/>
            </w:pPr>
            <w:r>
              <w:rPr>
                <w:sz w:val="18"/>
              </w:rPr>
              <w:t xml:space="preserve">FX</w:t>
            </w:r>
          </w:p>
        </w:tc>
        <w:tc>
          <w:tcPr>
            <w:tcW w:w="1089" w:type="dxa"/>
          </w:tcPr>
          <w:p>
            <w:pPr>
              <w:pStyle w:val="Compact"/>
              <w:spacing w:after="40"/>
              <w:jc w:val="left"/>
            </w:pPr>
            <w:r>
              <w:rPr>
                <w:sz w:val="18"/>
              </w:rPr>
              <w:t xml:space="preserve">(loan_id, schedule_version)</w:t>
            </w:r>
          </w:p>
        </w:tc>
        <w:tc>
          <w:tcPr>
            <w:tcW w:w="985" w:type="dxa"/>
          </w:tcPr>
          <w:p>
            <w:pPr>
              <w:pStyle w:val="Compact"/>
              <w:spacing w:after="40"/>
              <w:jc w:val="left"/>
            </w:pPr>
            <w:r>
              <w:rPr>
                <w:sz w:val="18"/>
              </w:rPr>
              <w:t xml:space="preserve">std</w:t>
            </w:r>
          </w:p>
        </w:tc>
      </w:tr>
      <w:tr>
        <w:tc>
          <w:tcPr>
            <w:tcW w:w="1703" w:type="dxa"/>
          </w:tcPr>
          <w:p>
            <w:pPr>
              <w:pStyle w:val="Compact"/>
              <w:spacing w:after="40"/>
              <w:jc w:val="left"/>
            </w:pPr>
            <w:r>
              <w:rPr>
                <w:rStyle w:val="VerbatimChar"/>
                <w:sz w:val="18"/>
              </w:rPr>
              <w:t xml:space="preserve">DueReminderTrigger</w:t>
            </w:r>
            <w:r>
              <w:rPr>
                <w:sz w:val="18"/>
              </w:rPr>
              <w:t xml:space="preserve"> </w:t>
            </w:r>
            <w:r>
              <w:rPr>
                <w:sz w:val="18"/>
              </w:rPr>
              <w:t xml:space="preserve">(E)</w:t>
            </w:r>
          </w:p>
        </w:tc>
        <w:tc>
          <w:tcPr>
            <w:tcW w:w="983" w:type="dxa"/>
          </w:tcPr>
          <w:p>
            <w:pPr>
              <w:pStyle w:val="Compact"/>
              <w:spacing w:after="40"/>
              <w:jc w:val="left"/>
            </w:pPr>
            <w:r>
              <w:rPr>
                <w:sz w:val="18"/>
              </w:rPr>
              <w:t xml:space="preserve">FX → UD</w:t>
            </w:r>
          </w:p>
        </w:tc>
        <w:tc>
          <w:tcPr>
            <w:tcW w:w="1582" w:type="dxa"/>
          </w:tcPr>
          <w:p>
            <w:pPr>
              <w:pStyle w:val="Compact"/>
              <w:spacing w:after="40"/>
              <w:jc w:val="left"/>
            </w:pPr>
            <w:r>
              <w:rPr>
                <w:sz w:val="18"/>
              </w:rPr>
              <w:t xml:space="preserve">Reminder due under RE policy</w:t>
            </w:r>
          </w:p>
        </w:tc>
        <w:tc>
          <w:tcPr>
            <w:tcW w:w="2021" w:type="dxa"/>
          </w:tcPr>
          <w:p>
            <w:pPr>
              <w:pStyle w:val="Compact"/>
              <w:spacing w:after="40"/>
              <w:jc w:val="left"/>
            </w:pPr>
            <w:r>
              <w:rPr>
                <w:sz w:val="18"/>
              </w:rPr>
              <w:t xml:space="preserve">due date, amount, template_id</w:t>
            </w:r>
          </w:p>
        </w:tc>
        <w:tc>
          <w:tcPr>
            <w:tcW w:w="1275" w:type="dxa"/>
          </w:tcPr>
          <w:p>
            <w:pPr>
              <w:pStyle w:val="Compact"/>
              <w:spacing w:after="40"/>
              <w:jc w:val="left"/>
            </w:pPr>
            <w:r>
              <w:rPr>
                <w:sz w:val="18"/>
              </w:rPr>
              <w:t xml:space="preserve">FX</w:t>
            </w:r>
          </w:p>
        </w:tc>
        <w:tc>
          <w:tcPr>
            <w:tcW w:w="1089" w:type="dxa"/>
          </w:tcPr>
          <w:p>
            <w:pPr>
              <w:pStyle w:val="Compact"/>
              <w:spacing w:after="40"/>
              <w:jc w:val="left"/>
            </w:pPr>
            <w:r>
              <w:rPr>
                <w:sz w:val="18"/>
              </w:rPr>
              <w:t xml:space="preserve">(loan_id, due_date, seq)</w:t>
            </w:r>
          </w:p>
        </w:tc>
        <w:tc>
          <w:tcPr>
            <w:tcW w:w="985" w:type="dxa"/>
          </w:tcPr>
          <w:p>
            <w:pPr>
              <w:pStyle w:val="Compact"/>
              <w:spacing w:after="40"/>
              <w:jc w:val="left"/>
            </w:pPr>
            <w:r>
              <w:rPr>
                <w:sz w:val="18"/>
              </w:rPr>
              <w:t xml:space="preserve">Within contact window</w:t>
            </w:r>
          </w:p>
        </w:tc>
      </w:tr>
      <w:tr>
        <w:tc>
          <w:tcPr>
            <w:tcW w:w="1703" w:type="dxa"/>
          </w:tcPr>
          <w:p>
            <w:pPr>
              <w:pStyle w:val="Compact"/>
              <w:spacing w:after="40"/>
              <w:jc w:val="left"/>
            </w:pPr>
            <w:r>
              <w:rPr>
                <w:rStyle w:val="VerbatimChar"/>
                <w:sz w:val="18"/>
              </w:rPr>
              <w:t xml:space="preserve">DPDChanged</w:t>
            </w:r>
            <w:r>
              <w:rPr>
                <w:sz w:val="18"/>
              </w:rPr>
              <w:t xml:space="preserve"> </w:t>
            </w:r>
            <w:r>
              <w:rPr>
                <w:sz w:val="18"/>
              </w:rPr>
              <w:t xml:space="preserve">(E)</w:t>
            </w:r>
          </w:p>
        </w:tc>
        <w:tc>
          <w:tcPr>
            <w:tcW w:w="983" w:type="dxa"/>
          </w:tcPr>
          <w:p>
            <w:pPr>
              <w:pStyle w:val="Compact"/>
              <w:spacing w:after="40"/>
              <w:jc w:val="left"/>
            </w:pPr>
            <w:r>
              <w:rPr>
                <w:sz w:val="18"/>
              </w:rPr>
              <w:t xml:space="preserve">FX → UD, CL, AGY</w:t>
            </w:r>
          </w:p>
        </w:tc>
        <w:tc>
          <w:tcPr>
            <w:tcW w:w="1582" w:type="dxa"/>
          </w:tcPr>
          <w:p>
            <w:pPr>
              <w:pStyle w:val="Compact"/>
              <w:spacing w:after="40"/>
              <w:jc w:val="left"/>
            </w:pPr>
            <w:r>
              <w:rPr>
                <w:sz w:val="18"/>
              </w:rPr>
              <w:t xml:space="preserve">Day-end</w:t>
            </w:r>
          </w:p>
        </w:tc>
        <w:tc>
          <w:tcPr>
            <w:tcW w:w="2021" w:type="dxa"/>
          </w:tcPr>
          <w:p>
            <w:pPr>
              <w:pStyle w:val="Compact"/>
              <w:spacing w:after="40"/>
              <w:jc w:val="left"/>
            </w:pPr>
            <w:r>
              <w:rPr>
                <w:sz w:val="18"/>
              </w:rPr>
              <w:t xml:space="preserve">dpd, as_of</w:t>
            </w:r>
          </w:p>
        </w:tc>
        <w:tc>
          <w:tcPr>
            <w:tcW w:w="1275" w:type="dxa"/>
          </w:tcPr>
          <w:p>
            <w:pPr>
              <w:pStyle w:val="Compact"/>
              <w:spacing w:after="40"/>
              <w:jc w:val="left"/>
            </w:pPr>
            <w:r>
              <w:rPr>
                <w:sz w:val="18"/>
              </w:rPr>
              <w:t xml:space="preserve">FX</w:t>
            </w:r>
          </w:p>
        </w:tc>
        <w:tc>
          <w:tcPr>
            <w:tcW w:w="1089" w:type="dxa"/>
          </w:tcPr>
          <w:p>
            <w:pPr>
              <w:pStyle w:val="Compact"/>
              <w:spacing w:after="40"/>
              <w:jc w:val="left"/>
            </w:pPr>
            <w:r>
              <w:rPr>
                <w:sz w:val="18"/>
              </w:rPr>
              <w:t xml:space="preserve">(loan_id, as_of)</w:t>
            </w:r>
          </w:p>
        </w:tc>
        <w:tc>
          <w:tcPr>
            <w:tcW w:w="985" w:type="dxa"/>
          </w:tcPr>
          <w:p>
            <w:pPr>
              <w:pStyle w:val="Compact"/>
              <w:spacing w:after="40"/>
              <w:jc w:val="left"/>
            </w:pPr>
            <w:r>
              <w:rPr>
                <w:sz w:val="18"/>
              </w:rPr>
              <w:t xml:space="preserve">By 06:00 IST</w:t>
            </w:r>
          </w:p>
        </w:tc>
      </w:tr>
      <w:tr>
        <w:tc>
          <w:tcPr>
            <w:tcW w:w="1703" w:type="dxa"/>
          </w:tcPr>
          <w:p>
            <w:pPr>
              <w:pStyle w:val="Compact"/>
              <w:spacing w:after="40"/>
              <w:jc w:val="left"/>
            </w:pPr>
            <w:r>
              <w:rPr>
                <w:rStyle w:val="VerbatimChar"/>
                <w:sz w:val="18"/>
              </w:rPr>
              <w:t xml:space="preserve">AssetClassificationChanged</w:t>
            </w:r>
            <w:r>
              <w:rPr>
                <w:sz w:val="18"/>
              </w:rPr>
              <w:t xml:space="preserve"> </w:t>
            </w:r>
            <w:r>
              <w:rPr>
                <w:sz w:val="18"/>
              </w:rPr>
              <w:t xml:space="preserve">(E)</w:t>
            </w:r>
          </w:p>
        </w:tc>
        <w:tc>
          <w:tcPr>
            <w:tcW w:w="983" w:type="dxa"/>
          </w:tcPr>
          <w:p>
            <w:pPr>
              <w:pStyle w:val="Compact"/>
              <w:spacing w:after="40"/>
              <w:jc w:val="left"/>
            </w:pPr>
            <w:r>
              <w:rPr>
                <w:sz w:val="18"/>
              </w:rPr>
              <w:t xml:space="preserve">FX → UD, CL</w:t>
            </w:r>
          </w:p>
        </w:tc>
        <w:tc>
          <w:tcPr>
            <w:tcW w:w="1582" w:type="dxa"/>
          </w:tcPr>
          <w:p>
            <w:pPr>
              <w:pStyle w:val="Compact"/>
              <w:spacing w:after="40"/>
              <w:jc w:val="left"/>
            </w:pPr>
            <w:r>
              <w:rPr>
                <w:sz w:val="18"/>
              </w:rPr>
              <w:t xml:space="preserve">Day-end, borrower-level (IRACP para 23)</w:t>
            </w:r>
          </w:p>
        </w:tc>
        <w:tc>
          <w:tcPr>
            <w:tcW w:w="2021" w:type="dxa"/>
          </w:tcPr>
          <w:p>
            <w:pPr>
              <w:pStyle w:val="Compact"/>
              <w:spacing w:after="40"/>
              <w:jc w:val="left"/>
            </w:pPr>
            <w:r>
              <w:rPr>
                <w:sz w:val="18"/>
              </w:rPr>
              <w:t xml:space="preserve">from, to, as_of (borrower wording RE-approved)</w:t>
            </w:r>
          </w:p>
        </w:tc>
        <w:tc>
          <w:tcPr>
            <w:tcW w:w="1275" w:type="dxa"/>
          </w:tcPr>
          <w:p>
            <w:pPr>
              <w:pStyle w:val="Compact"/>
              <w:spacing w:after="40"/>
              <w:jc w:val="left"/>
            </w:pPr>
            <w:r>
              <w:rPr>
                <w:sz w:val="18"/>
              </w:rPr>
              <w:t xml:space="preserve">FX</w:t>
            </w:r>
          </w:p>
        </w:tc>
        <w:tc>
          <w:tcPr>
            <w:tcW w:w="1089" w:type="dxa"/>
          </w:tcPr>
          <w:p>
            <w:pPr>
              <w:pStyle w:val="Compact"/>
              <w:spacing w:after="40"/>
              <w:jc w:val="left"/>
            </w:pPr>
            <w:r>
              <w:rPr>
                <w:sz w:val="18"/>
              </w:rPr>
              <w:t xml:space="preserve">(loan_id, as_of)</w:t>
            </w:r>
          </w:p>
        </w:tc>
        <w:tc>
          <w:tcPr>
            <w:tcW w:w="985" w:type="dxa"/>
          </w:tcPr>
          <w:p>
            <w:pPr>
              <w:pStyle w:val="Compact"/>
              <w:spacing w:after="40"/>
              <w:jc w:val="left"/>
            </w:pPr>
            <w:r>
              <w:rPr>
                <w:sz w:val="18"/>
              </w:rPr>
              <w:t xml:space="preserve">By 06:00 IST</w:t>
            </w:r>
          </w:p>
        </w:tc>
      </w:tr>
      <w:tr>
        <w:tc>
          <w:tcPr>
            <w:tcW w:w="1703" w:type="dxa"/>
          </w:tcPr>
          <w:p>
            <w:pPr>
              <w:pStyle w:val="Compact"/>
              <w:spacing w:after="40"/>
              <w:jc w:val="left"/>
            </w:pPr>
            <w:r>
              <w:rPr>
                <w:rStyle w:val="VerbatimChar"/>
                <w:sz w:val="18"/>
              </w:rPr>
              <w:t xml:space="preserve">LoanClosed</w:t>
            </w:r>
            <w:r>
              <w:rPr>
                <w:sz w:val="18"/>
              </w:rPr>
              <w:t xml:space="preserve"> </w:t>
            </w:r>
            <w:r>
              <w:rPr>
                <w:sz w:val="18"/>
              </w:rPr>
              <w:t xml:space="preserve">(E)</w:t>
            </w:r>
          </w:p>
        </w:tc>
        <w:tc>
          <w:tcPr>
            <w:tcW w:w="983" w:type="dxa"/>
          </w:tcPr>
          <w:p>
            <w:pPr>
              <w:pStyle w:val="Compact"/>
              <w:spacing w:after="40"/>
              <w:jc w:val="left"/>
            </w:pPr>
            <w:r>
              <w:rPr>
                <w:sz w:val="18"/>
              </w:rPr>
              <w:t xml:space="preserve">FX → UD, CL</w:t>
            </w:r>
          </w:p>
        </w:tc>
        <w:tc>
          <w:tcPr>
            <w:tcW w:w="1582" w:type="dxa"/>
          </w:tcPr>
          <w:p>
            <w:pPr>
              <w:pStyle w:val="Compact"/>
              <w:spacing w:after="40"/>
              <w:jc w:val="left"/>
            </w:pPr>
            <w:r>
              <w:rPr>
                <w:sz w:val="18"/>
              </w:rPr>
              <w:t xml:space="preserve">Zero dues</w:t>
            </w:r>
          </w:p>
        </w:tc>
        <w:tc>
          <w:tcPr>
            <w:tcW w:w="2021" w:type="dxa"/>
          </w:tcPr>
          <w:p>
            <w:pPr>
              <w:pStyle w:val="Compact"/>
              <w:spacing w:after="40"/>
              <w:jc w:val="left"/>
            </w:pPr>
            <w:r>
              <w:rPr>
                <w:sz w:val="18"/>
              </w:rPr>
              <w:t xml:space="preserve">closed_on, closure type</w:t>
            </w:r>
          </w:p>
        </w:tc>
        <w:tc>
          <w:tcPr>
            <w:tcW w:w="1275" w:type="dxa"/>
          </w:tcPr>
          <w:p>
            <w:pPr>
              <w:pStyle w:val="Compact"/>
              <w:spacing w:after="40"/>
              <w:jc w:val="left"/>
            </w:pPr>
            <w:r>
              <w:rPr>
                <w:sz w:val="18"/>
              </w:rPr>
              <w:t xml:space="preserve">FX</w:t>
            </w:r>
          </w:p>
        </w:tc>
        <w:tc>
          <w:tcPr>
            <w:tcW w:w="1089" w:type="dxa"/>
          </w:tcPr>
          <w:p>
            <w:pPr>
              <w:pStyle w:val="Compact"/>
              <w:spacing w:after="40"/>
              <w:jc w:val="left"/>
            </w:pPr>
            <w:r>
              <w:rPr>
                <w:sz w:val="18"/>
              </w:rPr>
              <w:t xml:space="preserve">loan_id</w:t>
            </w:r>
          </w:p>
        </w:tc>
        <w:tc>
          <w:tcPr>
            <w:tcW w:w="985" w:type="dxa"/>
          </w:tcPr>
          <w:p>
            <w:pPr>
              <w:pStyle w:val="Compact"/>
              <w:spacing w:after="40"/>
              <w:jc w:val="left"/>
            </w:pPr>
            <w:r>
              <w:rPr>
                <w:sz w:val="18"/>
              </w:rPr>
              <w:t xml:space="preserve">std</w:t>
            </w:r>
          </w:p>
        </w:tc>
      </w:tr>
      <w:tr>
        <w:tc>
          <w:tcPr>
            <w:tcW w:w="1703" w:type="dxa"/>
          </w:tcPr>
          <w:p>
            <w:pPr>
              <w:pStyle w:val="Compact"/>
              <w:spacing w:after="40"/>
              <w:jc w:val="left"/>
            </w:pPr>
            <w:r>
              <w:rPr>
                <w:rStyle w:val="VerbatimChar"/>
                <w:sz w:val="18"/>
              </w:rPr>
              <w:t xml:space="preserve">NOCIssued</w:t>
            </w:r>
            <w:r>
              <w:rPr>
                <w:sz w:val="18"/>
              </w:rPr>
              <w:t xml:space="preserve"> </w:t>
            </w:r>
            <w:r>
              <w:rPr>
                <w:sz w:val="18"/>
              </w:rPr>
              <w:t xml:space="preserve">(E)</w:t>
            </w:r>
          </w:p>
        </w:tc>
        <w:tc>
          <w:tcPr>
            <w:tcW w:w="983" w:type="dxa"/>
          </w:tcPr>
          <w:p>
            <w:pPr>
              <w:pStyle w:val="Compact"/>
              <w:spacing w:after="40"/>
              <w:jc w:val="left"/>
            </w:pPr>
            <w:r>
              <w:rPr>
                <w:sz w:val="18"/>
              </w:rPr>
              <w:t xml:space="preserve">FX → UD</w:t>
            </w:r>
          </w:p>
        </w:tc>
        <w:tc>
          <w:tcPr>
            <w:tcW w:w="1582" w:type="dxa"/>
          </w:tcPr>
          <w:p>
            <w:pPr>
              <w:pStyle w:val="Compact"/>
              <w:spacing w:after="40"/>
              <w:jc w:val="left"/>
            </w:pPr>
            <w:r>
              <w:rPr>
                <w:sz w:val="18"/>
              </w:rPr>
              <w:t xml:space="preserve">NOC generated</w:t>
            </w:r>
          </w:p>
        </w:tc>
        <w:tc>
          <w:tcPr>
            <w:tcW w:w="2021" w:type="dxa"/>
          </w:tcPr>
          <w:p>
            <w:pPr>
              <w:pStyle w:val="Compact"/>
              <w:spacing w:after="40"/>
              <w:jc w:val="left"/>
            </w:pPr>
            <w:r>
              <w:rPr>
                <w:sz w:val="18"/>
              </w:rPr>
              <w:t xml:space="preserve">document hash, pending release actions</w:t>
            </w:r>
          </w:p>
        </w:tc>
        <w:tc>
          <w:tcPr>
            <w:tcW w:w="1275" w:type="dxa"/>
          </w:tcPr>
          <w:p>
            <w:pPr>
              <w:pStyle w:val="Compact"/>
              <w:spacing w:after="40"/>
              <w:jc w:val="left"/>
            </w:pPr>
            <w:r>
              <w:rPr>
                <w:sz w:val="18"/>
              </w:rPr>
              <w:t xml:space="preserve">FX</w:t>
            </w:r>
          </w:p>
        </w:tc>
        <w:tc>
          <w:tcPr>
            <w:tcW w:w="1089" w:type="dxa"/>
          </w:tcPr>
          <w:p>
            <w:pPr>
              <w:pStyle w:val="Compact"/>
              <w:spacing w:after="40"/>
              <w:jc w:val="left"/>
            </w:pPr>
            <w:r>
              <w:rPr>
                <w:sz w:val="18"/>
              </w:rPr>
              <w:t xml:space="preserve">loan_id</w:t>
            </w:r>
          </w:p>
        </w:tc>
        <w:tc>
          <w:tcPr>
            <w:tcW w:w="985" w:type="dxa"/>
          </w:tcPr>
          <w:p>
            <w:pPr>
              <w:pStyle w:val="Compact"/>
              <w:spacing w:after="40"/>
              <w:jc w:val="left"/>
            </w:pPr>
            <w:r>
              <w:rPr>
                <w:sz w:val="18"/>
              </w:rPr>
              <w:t xml:space="preserve">≤ 1 working day [REC]</w:t>
            </w:r>
          </w:p>
        </w:tc>
      </w:tr>
      <w:tr>
        <w:tc>
          <w:tcPr>
            <w:tcW w:w="1703" w:type="dxa"/>
          </w:tcPr>
          <w:p>
            <w:pPr>
              <w:pStyle w:val="Compact"/>
              <w:spacing w:after="40"/>
              <w:jc w:val="left"/>
            </w:pPr>
            <w:r>
              <w:rPr>
                <w:sz w:val="18"/>
              </w:rPr>
              <w:t xml:space="preserve">API</w:t>
            </w:r>
            <w:r>
              <w:rPr>
                <w:sz w:val="18"/>
              </w:rPr>
              <w:t xml:space="preserve"> </w:t>
            </w:r>
            <w:r>
              <w:rPr>
                <w:rStyle w:val="VerbatimChar"/>
                <w:sz w:val="18"/>
              </w:rPr>
              <w:t xml:space="preserve">GET /v1/facilities/{loan_id}/summary</w:t>
            </w:r>
          </w:p>
        </w:tc>
        <w:tc>
          <w:tcPr>
            <w:tcW w:w="983" w:type="dxa"/>
          </w:tcPr>
          <w:p>
            <w:pPr>
              <w:pStyle w:val="Compact"/>
              <w:spacing w:after="40"/>
              <w:jc w:val="left"/>
            </w:pPr>
            <w:r>
              <w:rPr>
                <w:sz w:val="18"/>
              </w:rPr>
              <w:t xml:space="preserve">UD → FX</w:t>
            </w:r>
          </w:p>
        </w:tc>
        <w:tc>
          <w:tcPr>
            <w:tcW w:w="1582" w:type="dxa"/>
          </w:tcPr>
          <w:p>
            <w:pPr>
              <w:pStyle w:val="Compact"/>
              <w:spacing w:after="40"/>
              <w:jc w:val="left"/>
            </w:pPr>
            <w:r>
              <w:rPr>
                <w:sz w:val="18"/>
              </w:rPr>
              <w:t xml:space="preserve">Display</w:t>
            </w:r>
          </w:p>
        </w:tc>
        <w:tc>
          <w:tcPr>
            <w:tcW w:w="2021" w:type="dxa"/>
          </w:tcPr>
          <w:p>
            <w:pPr>
              <w:pStyle w:val="Compact"/>
              <w:spacing w:after="40"/>
              <w:jc w:val="left"/>
            </w:pPr>
            <w:r>
              <w:rPr>
                <w:sz w:val="18"/>
              </w:rPr>
              <w:t xml:space="preserve">limit, utilised, DP, available, as_of</w:t>
            </w:r>
          </w:p>
        </w:tc>
        <w:tc>
          <w:tcPr>
            <w:tcW w:w="1275" w:type="dxa"/>
          </w:tcPr>
          <w:p>
            <w:pPr>
              <w:pStyle w:val="Compact"/>
              <w:spacing w:after="40"/>
              <w:jc w:val="left"/>
            </w:pPr>
            <w:r>
              <w:rPr>
                <w:sz w:val="18"/>
              </w:rPr>
              <w:t xml:space="preserve">FX</w:t>
            </w:r>
          </w:p>
        </w:tc>
        <w:tc>
          <w:tcPr>
            <w:tcW w:w="1089" w:type="dxa"/>
          </w:tcPr>
          <w:p>
            <w:pPr>
              <w:pStyle w:val="Compact"/>
              <w:spacing w:after="40"/>
              <w:jc w:val="left"/>
            </w:pPr>
            <w:r>
              <w:rPr>
                <w:sz w:val="18"/>
              </w:rPr>
              <w:t xml:space="preserve">n/a</w:t>
            </w:r>
          </w:p>
        </w:tc>
        <w:tc>
          <w:tcPr>
            <w:tcW w:w="985" w:type="dxa"/>
          </w:tcPr>
          <w:p>
            <w:pPr>
              <w:pStyle w:val="Compact"/>
              <w:spacing w:after="40"/>
              <w:jc w:val="left"/>
            </w:pPr>
            <w:r>
              <w:rPr>
                <w:sz w:val="18"/>
              </w:rPr>
              <w:t xml:space="preserve">p95 ≤ 800 ms</w:t>
            </w:r>
          </w:p>
        </w:tc>
      </w:tr>
    </w:tbl>
    <w:bookmarkEnd w:id="48"/>
    <w:bookmarkStart w:id="49" w:name="payments-and-mandates-payments"/>
    <w:p>
      <w:pPr>
        <w:pStyle w:val="Heading2"/>
      </w:pPr>
      <w:r>
        <w:t xml:space="preserve">6.4 Payments and mandates (</w:t>
      </w:r>
      <w:r>
        <w:rPr>
          <w:rStyle w:val="VerbatimChar"/>
        </w:rPr>
        <w:t xml:space="preserve">payments</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96"/>
        <w:gridCol w:w="1336"/>
        <w:gridCol w:w="1234"/>
        <w:gridCol w:w="1861"/>
        <w:gridCol w:w="887"/>
        <w:gridCol w:w="1485"/>
        <w:gridCol w:w="1539"/>
      </w:tblGrid>
      <w:tr>
        <w:trPr>
          <w:tblHeader w:val="true"/>
          <w:tblHeader w:val="true"/>
        </w:trPr>
        <w:tc>
          <w:tcPr>
            <w:tcW w:w="1296" w:type="dxa"/>
            <w:shd w:val="clear" w:color="auto" w:fill="1F3A5F"/>
          </w:tcPr>
          <w:p>
            <w:pPr>
              <w:pStyle w:val="Compact"/>
              <w:spacing w:after="40"/>
              <w:jc w:val="left"/>
            </w:pPr>
            <w:r>
              <w:rPr>
                <w:b/>
                <w:color w:val="FFFFFF"/>
                <w:sz w:val="18"/>
              </w:rPr>
              <w:t xml:space="preserve">Event or API</w:t>
            </w:r>
          </w:p>
        </w:tc>
        <w:tc>
          <w:tcPr>
            <w:tcW w:w="1336" w:type="dxa"/>
            <w:shd w:val="clear" w:color="auto" w:fill="1F3A5F"/>
          </w:tcPr>
          <w:p>
            <w:pPr>
              <w:pStyle w:val="Compact"/>
              <w:spacing w:after="40"/>
              <w:jc w:val="left"/>
            </w:pPr>
            <w:r>
              <w:rPr>
                <w:b/>
                <w:color w:val="FFFFFF"/>
                <w:sz w:val="18"/>
              </w:rPr>
              <w:t xml:space="preserve">Producer → consumer(s)</w:t>
            </w:r>
          </w:p>
        </w:tc>
        <w:tc>
          <w:tcPr>
            <w:tcW w:w="1234" w:type="dxa"/>
            <w:shd w:val="clear" w:color="auto" w:fill="1F3A5F"/>
          </w:tcPr>
          <w:p>
            <w:pPr>
              <w:pStyle w:val="Compact"/>
              <w:spacing w:after="40"/>
              <w:jc w:val="left"/>
            </w:pPr>
            <w:r>
              <w:rPr>
                <w:b/>
                <w:color w:val="FFFFFF"/>
                <w:sz w:val="18"/>
              </w:rPr>
              <w:t xml:space="preserve">Trigger</w:t>
            </w:r>
          </w:p>
        </w:tc>
        <w:tc>
          <w:tcPr>
            <w:tcW w:w="1861" w:type="dxa"/>
            <w:shd w:val="clear" w:color="auto" w:fill="1F3A5F"/>
          </w:tcPr>
          <w:p>
            <w:pPr>
              <w:pStyle w:val="Compact"/>
              <w:spacing w:after="40"/>
              <w:jc w:val="left"/>
            </w:pPr>
            <w:r>
              <w:rPr>
                <w:b/>
                <w:color w:val="FFFFFF"/>
                <w:sz w:val="18"/>
              </w:rPr>
              <w:t xml:space="preserve">Key payload fields</w:t>
            </w:r>
          </w:p>
        </w:tc>
        <w:tc>
          <w:tcPr>
            <w:tcW w:w="887" w:type="dxa"/>
            <w:shd w:val="clear" w:color="auto" w:fill="1F3A5F"/>
          </w:tcPr>
          <w:p>
            <w:pPr>
              <w:pStyle w:val="Compact"/>
              <w:spacing w:after="40"/>
              <w:jc w:val="left"/>
            </w:pPr>
            <w:r>
              <w:rPr>
                <w:b/>
                <w:color w:val="FFFFFF"/>
                <w:sz w:val="18"/>
              </w:rPr>
              <w:t xml:space="preserve">Owner</w:t>
            </w:r>
          </w:p>
        </w:tc>
        <w:tc>
          <w:tcPr>
            <w:tcW w:w="1485" w:type="dxa"/>
            <w:shd w:val="clear" w:color="auto" w:fill="1F3A5F"/>
          </w:tcPr>
          <w:p>
            <w:pPr>
              <w:pStyle w:val="Compact"/>
              <w:spacing w:after="40"/>
              <w:jc w:val="left"/>
            </w:pPr>
            <w:r>
              <w:rPr>
                <w:b/>
                <w:color w:val="FFFFFF"/>
                <w:sz w:val="18"/>
              </w:rPr>
              <w:t xml:space="preserve">Idempotency key</w:t>
            </w:r>
          </w:p>
        </w:tc>
        <w:tc>
          <w:tcPr>
            <w:tcW w:w="1539" w:type="dxa"/>
            <w:shd w:val="clear" w:color="auto" w:fill="1F3A5F"/>
          </w:tcPr>
          <w:p>
            <w:pPr>
              <w:pStyle w:val="Compact"/>
              <w:spacing w:after="40"/>
              <w:jc w:val="left"/>
            </w:pPr>
            <w:r>
              <w:rPr>
                <w:b/>
                <w:color w:val="FFFFFF"/>
                <w:sz w:val="18"/>
              </w:rPr>
              <w:t xml:space="preserve">SLA</w:t>
            </w:r>
          </w:p>
        </w:tc>
      </w:tr>
      <w:tr>
        <w:tc>
          <w:tcPr>
            <w:tcW w:w="1296" w:type="dxa"/>
          </w:tcPr>
          <w:p>
            <w:pPr>
              <w:pStyle w:val="Compact"/>
              <w:spacing w:after="40"/>
              <w:jc w:val="left"/>
            </w:pPr>
            <w:r>
              <w:rPr>
                <w:rStyle w:val="VerbatimChar"/>
                <w:sz w:val="18"/>
              </w:rPr>
              <w:t xml:space="preserve">MandateRegistered</w:t>
            </w:r>
            <w:r>
              <w:rPr>
                <w:sz w:val="18"/>
              </w:rPr>
              <w:t xml:space="preserve"> </w:t>
            </w:r>
            <w:r>
              <w:rPr>
                <w:sz w:val="18"/>
              </w:rPr>
              <w:t xml:space="preserve">(E)</w:t>
            </w:r>
          </w:p>
        </w:tc>
        <w:tc>
          <w:tcPr>
            <w:tcW w:w="1336" w:type="dxa"/>
          </w:tcPr>
          <w:p>
            <w:pPr>
              <w:pStyle w:val="Compact"/>
              <w:spacing w:after="40"/>
              <w:jc w:val="left"/>
            </w:pPr>
            <w:r>
              <w:rPr>
                <w:sz w:val="18"/>
              </w:rPr>
              <w:t xml:space="preserve">UD → FX</w:t>
            </w:r>
          </w:p>
        </w:tc>
        <w:tc>
          <w:tcPr>
            <w:tcW w:w="1234" w:type="dxa"/>
          </w:tcPr>
          <w:p>
            <w:pPr>
              <w:pStyle w:val="Compact"/>
              <w:spacing w:after="40"/>
              <w:jc w:val="left"/>
            </w:pPr>
            <w:r>
              <w:rPr>
                <w:sz w:val="18"/>
              </w:rPr>
              <w:t xml:space="preserve">Mandate confirmed</w:t>
            </w:r>
          </w:p>
        </w:tc>
        <w:tc>
          <w:tcPr>
            <w:tcW w:w="1861" w:type="dxa"/>
          </w:tcPr>
          <w:p>
            <w:pPr>
              <w:pStyle w:val="Compact"/>
              <w:spacing w:after="40"/>
              <w:jc w:val="left"/>
            </w:pPr>
            <w:r>
              <w:rPr>
                <w:sz w:val="18"/>
              </w:rPr>
              <w:t xml:space="preserve">umrn, type, sponsor bank, limits, validity, beneficiary = RE</w:t>
            </w:r>
          </w:p>
        </w:tc>
        <w:tc>
          <w:tcPr>
            <w:tcW w:w="887" w:type="dxa"/>
          </w:tcPr>
          <w:p>
            <w:pPr>
              <w:pStyle w:val="Compact"/>
              <w:spacing w:after="40"/>
              <w:jc w:val="left"/>
            </w:pPr>
            <w:r>
              <w:rPr>
                <w:sz w:val="18"/>
              </w:rPr>
              <w:t xml:space="preserve">FX; UD evidence</w:t>
            </w:r>
          </w:p>
        </w:tc>
        <w:tc>
          <w:tcPr>
            <w:tcW w:w="1485" w:type="dxa"/>
          </w:tcPr>
          <w:p>
            <w:pPr>
              <w:pStyle w:val="Compact"/>
              <w:spacing w:after="40"/>
              <w:jc w:val="left"/>
            </w:pPr>
            <w:r>
              <w:rPr>
                <w:sz w:val="18"/>
              </w:rPr>
              <w:t xml:space="preserve">umrn</w:t>
            </w:r>
          </w:p>
        </w:tc>
        <w:tc>
          <w:tcPr>
            <w:tcW w:w="1539" w:type="dxa"/>
          </w:tcPr>
          <w:p>
            <w:pPr>
              <w:pStyle w:val="Compact"/>
              <w:spacing w:after="40"/>
              <w:jc w:val="left"/>
            </w:pPr>
            <w:r>
              <w:rPr>
                <w:sz w:val="18"/>
              </w:rPr>
              <w:t xml:space="preserve">std</w:t>
            </w:r>
          </w:p>
        </w:tc>
      </w:tr>
      <w:tr>
        <w:tc>
          <w:tcPr>
            <w:tcW w:w="1296" w:type="dxa"/>
          </w:tcPr>
          <w:p>
            <w:pPr>
              <w:pStyle w:val="Compact"/>
              <w:spacing w:after="40"/>
              <w:jc w:val="left"/>
            </w:pPr>
            <w:r>
              <w:rPr>
                <w:rStyle w:val="VerbatimChar"/>
                <w:sz w:val="18"/>
              </w:rPr>
              <w:t xml:space="preserve">PaymentReceived</w:t>
            </w:r>
            <w:r>
              <w:rPr>
                <w:sz w:val="18"/>
              </w:rPr>
              <w:t xml:space="preserve"> </w:t>
            </w:r>
            <w:r>
              <w:rPr>
                <w:sz w:val="18"/>
              </w:rPr>
              <w:t xml:space="preserve">(E)</w:t>
            </w:r>
          </w:p>
        </w:tc>
        <w:tc>
          <w:tcPr>
            <w:tcW w:w="1336" w:type="dxa"/>
          </w:tcPr>
          <w:p>
            <w:pPr>
              <w:pStyle w:val="Compact"/>
              <w:spacing w:after="40"/>
              <w:jc w:val="left"/>
            </w:pPr>
            <w:r>
              <w:rPr>
                <w:sz w:val="18"/>
              </w:rPr>
              <w:t xml:space="preserve">FX → UD, CL, EQ (under settlement)</w:t>
            </w:r>
          </w:p>
        </w:tc>
        <w:tc>
          <w:tcPr>
            <w:tcW w:w="1234" w:type="dxa"/>
          </w:tcPr>
          <w:p>
            <w:pPr>
              <w:pStyle w:val="Compact"/>
              <w:spacing w:after="40"/>
              <w:jc w:val="left"/>
            </w:pPr>
            <w:r>
              <w:rPr>
                <w:sz w:val="18"/>
              </w:rPr>
              <w:t xml:space="preserve">Receipt allocated</w:t>
            </w:r>
          </w:p>
        </w:tc>
        <w:tc>
          <w:tcPr>
            <w:tcW w:w="1861" w:type="dxa"/>
          </w:tcPr>
          <w:p>
            <w:pPr>
              <w:pStyle w:val="Compact"/>
              <w:spacing w:after="40"/>
              <w:jc w:val="left"/>
            </w:pPr>
            <w:r>
              <w:rPr>
                <w:sz w:val="18"/>
              </w:rPr>
              <w:t xml:space="preserve">utr, rail, amount, allocation by component and share, collected_by</w:t>
            </w:r>
          </w:p>
        </w:tc>
        <w:tc>
          <w:tcPr>
            <w:tcW w:w="887" w:type="dxa"/>
          </w:tcPr>
          <w:p>
            <w:pPr>
              <w:pStyle w:val="Compact"/>
              <w:spacing w:after="40"/>
              <w:jc w:val="left"/>
            </w:pPr>
            <w:r>
              <w:rPr>
                <w:sz w:val="18"/>
              </w:rPr>
              <w:t xml:space="preserve">FX</w:t>
            </w:r>
          </w:p>
        </w:tc>
        <w:tc>
          <w:tcPr>
            <w:tcW w:w="1485" w:type="dxa"/>
          </w:tcPr>
          <w:p>
            <w:pPr>
              <w:pStyle w:val="Compact"/>
              <w:spacing w:after="40"/>
              <w:jc w:val="left"/>
            </w:pPr>
            <w:r>
              <w:rPr>
                <w:sz w:val="18"/>
              </w:rPr>
              <w:t xml:space="preserve">(loan_id, utr)</w:t>
            </w:r>
          </w:p>
        </w:tc>
        <w:tc>
          <w:tcPr>
            <w:tcW w:w="1539" w:type="dxa"/>
          </w:tcPr>
          <w:p>
            <w:pPr>
              <w:pStyle w:val="Compact"/>
              <w:spacing w:after="40"/>
              <w:jc w:val="left"/>
            </w:pPr>
            <w:r>
              <w:rPr>
                <w:sz w:val="18"/>
              </w:rPr>
              <w:t xml:space="preserve">Same day; agent cash same day (CF para 10(5))</w:t>
            </w:r>
          </w:p>
        </w:tc>
      </w:tr>
      <w:tr>
        <w:tc>
          <w:tcPr>
            <w:tcW w:w="1296" w:type="dxa"/>
          </w:tcPr>
          <w:p>
            <w:pPr>
              <w:pStyle w:val="Compact"/>
              <w:spacing w:after="40"/>
              <w:jc w:val="left"/>
            </w:pPr>
            <w:r>
              <w:rPr>
                <w:rStyle w:val="VerbatimChar"/>
                <w:sz w:val="18"/>
              </w:rPr>
              <w:t xml:space="preserve">PaymentBounced</w:t>
            </w:r>
            <w:r>
              <w:rPr>
                <w:sz w:val="18"/>
              </w:rPr>
              <w:t xml:space="preserve"> </w:t>
            </w:r>
            <w:r>
              <w:rPr>
                <w:sz w:val="18"/>
              </w:rPr>
              <w:t xml:space="preserve">(E)</w:t>
            </w:r>
          </w:p>
        </w:tc>
        <w:tc>
          <w:tcPr>
            <w:tcW w:w="1336" w:type="dxa"/>
          </w:tcPr>
          <w:p>
            <w:pPr>
              <w:pStyle w:val="Compact"/>
              <w:spacing w:after="40"/>
              <w:jc w:val="left"/>
            </w:pPr>
            <w:r>
              <w:rPr>
                <w:sz w:val="18"/>
              </w:rPr>
              <w:t xml:space="preserve">FX → UD, RS</w:t>
            </w:r>
          </w:p>
        </w:tc>
        <w:tc>
          <w:tcPr>
            <w:tcW w:w="1234" w:type="dxa"/>
          </w:tcPr>
          <w:p>
            <w:pPr>
              <w:pStyle w:val="Compact"/>
              <w:spacing w:after="40"/>
              <w:jc w:val="left"/>
            </w:pPr>
            <w:r>
              <w:rPr>
                <w:sz w:val="18"/>
              </w:rPr>
              <w:t xml:space="preserve">Mandate, cheque or UPI return</w:t>
            </w:r>
          </w:p>
        </w:tc>
        <w:tc>
          <w:tcPr>
            <w:tcW w:w="1861" w:type="dxa"/>
          </w:tcPr>
          <w:p>
            <w:pPr>
              <w:pStyle w:val="Compact"/>
              <w:spacing w:after="40"/>
              <w:jc w:val="left"/>
            </w:pPr>
            <w:r>
              <w:rPr>
                <w:sz w:val="18"/>
              </w:rPr>
              <w:t xml:space="preserve">instrument, return reason (feeds s.138 and s.25 PSS checks)</w:t>
            </w:r>
          </w:p>
        </w:tc>
        <w:tc>
          <w:tcPr>
            <w:tcW w:w="887" w:type="dxa"/>
          </w:tcPr>
          <w:p>
            <w:pPr>
              <w:pStyle w:val="Compact"/>
              <w:spacing w:after="40"/>
              <w:jc w:val="left"/>
            </w:pPr>
            <w:r>
              <w:rPr>
                <w:sz w:val="18"/>
              </w:rPr>
              <w:t xml:space="preserve">FX</w:t>
            </w:r>
          </w:p>
        </w:tc>
        <w:tc>
          <w:tcPr>
            <w:tcW w:w="1485" w:type="dxa"/>
          </w:tcPr>
          <w:p>
            <w:pPr>
              <w:pStyle w:val="Compact"/>
              <w:spacing w:after="40"/>
              <w:jc w:val="left"/>
            </w:pPr>
            <w:r>
              <w:rPr>
                <w:sz w:val="18"/>
              </w:rPr>
              <w:t xml:space="preserve">(loan_id, instrument_ref, presentation_no)</w:t>
            </w:r>
          </w:p>
        </w:tc>
        <w:tc>
          <w:tcPr>
            <w:tcW w:w="1539" w:type="dxa"/>
          </w:tcPr>
          <w:p>
            <w:pPr>
              <w:pStyle w:val="Compact"/>
              <w:spacing w:after="40"/>
              <w:jc w:val="left"/>
            </w:pPr>
            <w:r>
              <w:rPr>
                <w:sz w:val="18"/>
              </w:rPr>
              <w:t xml:space="preserve">≤ 1 h of return file</w:t>
            </w:r>
          </w:p>
        </w:tc>
      </w:tr>
      <w:tr>
        <w:tc>
          <w:tcPr>
            <w:tcW w:w="1296" w:type="dxa"/>
          </w:tcPr>
          <w:p>
            <w:pPr>
              <w:pStyle w:val="Compact"/>
              <w:spacing w:after="40"/>
              <w:jc w:val="left"/>
            </w:pPr>
            <w:r>
              <w:rPr>
                <w:rStyle w:val="VerbatimChar"/>
                <w:sz w:val="18"/>
              </w:rPr>
              <w:t xml:space="preserve">DailyReconciliationFile</w:t>
            </w:r>
            <w:r>
              <w:rPr>
                <w:sz w:val="18"/>
              </w:rPr>
              <w:t xml:space="preserve"> </w:t>
            </w:r>
            <w:r>
              <w:rPr>
                <w:sz w:val="18"/>
              </w:rPr>
              <w:t xml:space="preserve">(E) file</w:t>
            </w:r>
          </w:p>
        </w:tc>
        <w:tc>
          <w:tcPr>
            <w:tcW w:w="1336" w:type="dxa"/>
          </w:tcPr>
          <w:p>
            <w:pPr>
              <w:pStyle w:val="Compact"/>
              <w:spacing w:after="40"/>
              <w:jc w:val="left"/>
            </w:pPr>
            <w:r>
              <w:rPr>
                <w:sz w:val="18"/>
              </w:rPr>
              <w:t xml:space="preserve">FX ↔ UD, CL</w:t>
            </w:r>
          </w:p>
        </w:tc>
        <w:tc>
          <w:tcPr>
            <w:tcW w:w="1234" w:type="dxa"/>
          </w:tcPr>
          <w:p>
            <w:pPr>
              <w:pStyle w:val="Compact"/>
              <w:spacing w:after="40"/>
              <w:jc w:val="left"/>
            </w:pPr>
            <w:r>
              <w:rPr>
                <w:sz w:val="18"/>
              </w:rPr>
              <w:t xml:space="preserve">Day close</w:t>
            </w:r>
          </w:p>
        </w:tc>
        <w:tc>
          <w:tcPr>
            <w:tcW w:w="1861" w:type="dxa"/>
          </w:tcPr>
          <w:p>
            <w:pPr>
              <w:pStyle w:val="Compact"/>
              <w:spacing w:after="40"/>
              <w:jc w:val="left"/>
            </w:pPr>
            <w:r>
              <w:rPr>
                <w:sz w:val="18"/>
              </w:rPr>
              <w:t xml:space="preserve">all flows with control totals</w:t>
            </w:r>
          </w:p>
        </w:tc>
        <w:tc>
          <w:tcPr>
            <w:tcW w:w="887" w:type="dxa"/>
          </w:tcPr>
          <w:p>
            <w:pPr>
              <w:pStyle w:val="Compact"/>
              <w:spacing w:after="40"/>
              <w:jc w:val="left"/>
            </w:pPr>
            <w:r>
              <w:rPr>
                <w:sz w:val="18"/>
              </w:rPr>
              <w:t xml:space="preserve">Each side</w:t>
            </w:r>
          </w:p>
        </w:tc>
        <w:tc>
          <w:tcPr>
            <w:tcW w:w="1485" w:type="dxa"/>
          </w:tcPr>
          <w:p>
            <w:pPr>
              <w:pStyle w:val="Compact"/>
              <w:spacing w:after="40"/>
              <w:jc w:val="left"/>
            </w:pPr>
            <w:r>
              <w:rPr>
                <w:sz w:val="18"/>
              </w:rPr>
              <w:t xml:space="preserve">(producer, business_date)</w:t>
            </w:r>
          </w:p>
        </w:tc>
        <w:tc>
          <w:tcPr>
            <w:tcW w:w="1539" w:type="dxa"/>
          </w:tcPr>
          <w:p>
            <w:pPr>
              <w:pStyle w:val="Compact"/>
              <w:spacing w:after="40"/>
              <w:jc w:val="left"/>
            </w:pPr>
            <w:r>
              <w:rPr>
                <w:sz w:val="18"/>
              </w:rPr>
              <w:t xml:space="preserve">By 06:00 IST</w:t>
            </w:r>
          </w:p>
        </w:tc>
      </w:tr>
    </w:tbl>
    <w:bookmarkEnd w:id="49"/>
    <w:bookmarkStart w:id="50" w:name="collateral-collateral"/>
    <w:p>
      <w:pPr>
        <w:pStyle w:val="Heading2"/>
      </w:pPr>
      <w:r>
        <w:t xml:space="preserve">6.5 Collateral (</w:t>
      </w:r>
      <w:r>
        <w:rPr>
          <w:rStyle w:val="VerbatimChar"/>
        </w:rPr>
        <w:t xml:space="preserve">collateral</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07"/>
        <w:gridCol w:w="935"/>
        <w:gridCol w:w="1827"/>
        <w:gridCol w:w="1680"/>
        <w:gridCol w:w="1145"/>
        <w:gridCol w:w="1073"/>
        <w:gridCol w:w="1671"/>
      </w:tblGrid>
      <w:tr>
        <w:trPr>
          <w:tblHeader w:val="true"/>
          <w:tblHeader w:val="true"/>
        </w:trPr>
        <w:tc>
          <w:tcPr>
            <w:tcW w:w="1307" w:type="dxa"/>
            <w:shd w:val="clear" w:color="auto" w:fill="1F3A5F"/>
          </w:tcPr>
          <w:p>
            <w:pPr>
              <w:pStyle w:val="Compact"/>
              <w:spacing w:after="40"/>
              <w:jc w:val="left"/>
            </w:pPr>
            <w:r>
              <w:rPr>
                <w:b/>
                <w:color w:val="FFFFFF"/>
                <w:sz w:val="18"/>
              </w:rPr>
              <w:t xml:space="preserve">Event or API</w:t>
            </w:r>
          </w:p>
        </w:tc>
        <w:tc>
          <w:tcPr>
            <w:tcW w:w="935" w:type="dxa"/>
            <w:shd w:val="clear" w:color="auto" w:fill="1F3A5F"/>
          </w:tcPr>
          <w:p>
            <w:pPr>
              <w:pStyle w:val="Compact"/>
              <w:spacing w:after="40"/>
              <w:jc w:val="left"/>
            </w:pPr>
            <w:r>
              <w:rPr>
                <w:b/>
                <w:color w:val="FFFFFF"/>
                <w:sz w:val="18"/>
              </w:rPr>
              <w:t xml:space="preserve">Producer → consumer(s)</w:t>
            </w:r>
          </w:p>
        </w:tc>
        <w:tc>
          <w:tcPr>
            <w:tcW w:w="1827" w:type="dxa"/>
            <w:shd w:val="clear" w:color="auto" w:fill="1F3A5F"/>
          </w:tcPr>
          <w:p>
            <w:pPr>
              <w:pStyle w:val="Compact"/>
              <w:spacing w:after="40"/>
              <w:jc w:val="left"/>
            </w:pPr>
            <w:r>
              <w:rPr>
                <w:b/>
                <w:color w:val="FFFFFF"/>
                <w:sz w:val="18"/>
              </w:rPr>
              <w:t xml:space="preserve">Trigger</w:t>
            </w:r>
          </w:p>
        </w:tc>
        <w:tc>
          <w:tcPr>
            <w:tcW w:w="1680" w:type="dxa"/>
            <w:shd w:val="clear" w:color="auto" w:fill="1F3A5F"/>
          </w:tcPr>
          <w:p>
            <w:pPr>
              <w:pStyle w:val="Compact"/>
              <w:spacing w:after="40"/>
              <w:jc w:val="left"/>
            </w:pPr>
            <w:r>
              <w:rPr>
                <w:b/>
                <w:color w:val="FFFFFF"/>
                <w:sz w:val="18"/>
              </w:rPr>
              <w:t xml:space="preserve">Key payload fields</w:t>
            </w:r>
          </w:p>
        </w:tc>
        <w:tc>
          <w:tcPr>
            <w:tcW w:w="1145" w:type="dxa"/>
            <w:shd w:val="clear" w:color="auto" w:fill="1F3A5F"/>
          </w:tcPr>
          <w:p>
            <w:pPr>
              <w:pStyle w:val="Compact"/>
              <w:spacing w:after="40"/>
              <w:jc w:val="left"/>
            </w:pPr>
            <w:r>
              <w:rPr>
                <w:b/>
                <w:color w:val="FFFFFF"/>
                <w:sz w:val="18"/>
              </w:rPr>
              <w:t xml:space="preserve">Owner</w:t>
            </w:r>
          </w:p>
        </w:tc>
        <w:tc>
          <w:tcPr>
            <w:tcW w:w="1073" w:type="dxa"/>
            <w:shd w:val="clear" w:color="auto" w:fill="1F3A5F"/>
          </w:tcPr>
          <w:p>
            <w:pPr>
              <w:pStyle w:val="Compact"/>
              <w:spacing w:after="40"/>
              <w:jc w:val="left"/>
            </w:pPr>
            <w:r>
              <w:rPr>
                <w:b/>
                <w:color w:val="FFFFFF"/>
                <w:sz w:val="18"/>
              </w:rPr>
              <w:t xml:space="preserve">Idempotency key</w:t>
            </w:r>
          </w:p>
        </w:tc>
        <w:tc>
          <w:tcPr>
            <w:tcW w:w="1671" w:type="dxa"/>
            <w:shd w:val="clear" w:color="auto" w:fill="1F3A5F"/>
          </w:tcPr>
          <w:p>
            <w:pPr>
              <w:pStyle w:val="Compact"/>
              <w:spacing w:after="40"/>
              <w:jc w:val="left"/>
            </w:pPr>
            <w:r>
              <w:rPr>
                <w:b/>
                <w:color w:val="FFFFFF"/>
                <w:sz w:val="18"/>
              </w:rPr>
              <w:t xml:space="preserve">SLA</w:t>
            </w:r>
          </w:p>
        </w:tc>
      </w:tr>
      <w:tr>
        <w:tc>
          <w:tcPr>
            <w:tcW w:w="1307" w:type="dxa"/>
          </w:tcPr>
          <w:p>
            <w:pPr>
              <w:pStyle w:val="Compact"/>
              <w:spacing w:after="40"/>
              <w:jc w:val="left"/>
            </w:pPr>
            <w:r>
              <w:rPr>
                <w:rStyle w:val="VerbatimChar"/>
                <w:sz w:val="18"/>
              </w:rPr>
              <w:t xml:space="preserve">CollateralHoldingsShared</w:t>
            </w:r>
            <w:r>
              <w:rPr>
                <w:sz w:val="18"/>
              </w:rPr>
              <w:t xml:space="preserve"> </w:t>
            </w:r>
            <w:r>
              <w:rPr>
                <w:sz w:val="18"/>
              </w:rPr>
              <w:t xml:space="preserve">(N+)</w:t>
            </w:r>
          </w:p>
        </w:tc>
        <w:tc>
          <w:tcPr>
            <w:tcW w:w="935" w:type="dxa"/>
          </w:tcPr>
          <w:p>
            <w:pPr>
              <w:pStyle w:val="Compact"/>
              <w:spacing w:after="40"/>
              <w:jc w:val="left"/>
            </w:pPr>
            <w:r>
              <w:rPr>
                <w:sz w:val="18"/>
              </w:rPr>
              <w:t xml:space="preserve">UD → FX</w:t>
            </w:r>
          </w:p>
        </w:tc>
        <w:tc>
          <w:tcPr>
            <w:tcW w:w="1827" w:type="dxa"/>
          </w:tcPr>
          <w:p>
            <w:pPr>
              <w:pStyle w:val="Compact"/>
              <w:spacing w:after="40"/>
              <w:jc w:val="left"/>
            </w:pPr>
            <w:r>
              <w:rPr>
                <w:sz w:val="18"/>
              </w:rPr>
              <w:t xml:space="preserve">Holdings fetched with consent (CDSL LAS, NSDL, RTA or MF Central)</w:t>
            </w:r>
          </w:p>
        </w:tc>
        <w:tc>
          <w:tcPr>
            <w:tcW w:w="1680" w:type="dxa"/>
          </w:tcPr>
          <w:p>
            <w:pPr>
              <w:pStyle w:val="Compact"/>
              <w:spacing w:after="40"/>
              <w:jc w:val="left"/>
            </w:pPr>
            <w:r>
              <w:rPr>
                <w:sz w:val="18"/>
              </w:rPr>
              <w:t xml:space="preserve">ISIN or scheme, units, source, as_of</w:t>
            </w:r>
          </w:p>
        </w:tc>
        <w:tc>
          <w:tcPr>
            <w:tcW w:w="1145" w:type="dxa"/>
          </w:tcPr>
          <w:p>
            <w:pPr>
              <w:pStyle w:val="Compact"/>
              <w:spacing w:after="40"/>
              <w:jc w:val="left"/>
            </w:pPr>
            <w:r>
              <w:rPr>
                <w:sz w:val="18"/>
              </w:rPr>
              <w:t xml:space="preserve">Depository or RTA data; FX stores</w:t>
            </w:r>
          </w:p>
        </w:tc>
        <w:tc>
          <w:tcPr>
            <w:tcW w:w="1073" w:type="dxa"/>
          </w:tcPr>
          <w:p>
            <w:pPr>
              <w:pStyle w:val="Compact"/>
              <w:spacing w:after="40"/>
              <w:jc w:val="left"/>
            </w:pPr>
            <w:r>
              <w:rPr>
                <w:sz w:val="18"/>
              </w:rPr>
              <w:t xml:space="preserve">(application_id, snapshot_id)</w:t>
            </w:r>
          </w:p>
        </w:tc>
        <w:tc>
          <w:tcPr>
            <w:tcW w:w="1671" w:type="dxa"/>
          </w:tcPr>
          <w:p>
            <w:pPr>
              <w:pStyle w:val="Compact"/>
              <w:spacing w:after="40"/>
              <w:jc w:val="left"/>
            </w:pPr>
            <w:r>
              <w:rPr>
                <w:sz w:val="18"/>
              </w:rPr>
              <w:t xml:space="preserve">std</w:t>
            </w:r>
          </w:p>
        </w:tc>
      </w:tr>
      <w:tr>
        <w:tc>
          <w:tcPr>
            <w:tcW w:w="1307" w:type="dxa"/>
          </w:tcPr>
          <w:p>
            <w:pPr>
              <w:pStyle w:val="Compact"/>
              <w:spacing w:after="40"/>
              <w:jc w:val="left"/>
            </w:pPr>
            <w:r>
              <w:rPr>
                <w:sz w:val="18"/>
              </w:rPr>
              <w:t xml:space="preserve">API</w:t>
            </w:r>
            <w:r>
              <w:rPr>
                <w:sz w:val="18"/>
              </w:rPr>
              <w:t xml:space="preserve"> </w:t>
            </w:r>
            <w:r>
              <w:rPr>
                <w:rStyle w:val="VerbatimChar"/>
                <w:sz w:val="18"/>
              </w:rPr>
              <w:t xml:space="preserve">POST /v1/collateral/eligibility-quotes</w:t>
            </w:r>
          </w:p>
        </w:tc>
        <w:tc>
          <w:tcPr>
            <w:tcW w:w="935" w:type="dxa"/>
          </w:tcPr>
          <w:p>
            <w:pPr>
              <w:pStyle w:val="Compact"/>
              <w:spacing w:after="40"/>
              <w:jc w:val="left"/>
            </w:pPr>
            <w:r>
              <w:rPr>
                <w:sz w:val="18"/>
              </w:rPr>
              <w:t xml:space="preserve">UD → FX</w:t>
            </w:r>
          </w:p>
        </w:tc>
        <w:tc>
          <w:tcPr>
            <w:tcW w:w="1827" w:type="dxa"/>
          </w:tcPr>
          <w:p>
            <w:pPr>
              <w:pStyle w:val="Compact"/>
              <w:spacing w:after="40"/>
              <w:jc w:val="left"/>
            </w:pPr>
            <w:r>
              <w:rPr>
                <w:sz w:val="18"/>
              </w:rPr>
              <w:t xml:space="preserve">Indicative value</w:t>
            </w:r>
          </w:p>
        </w:tc>
        <w:tc>
          <w:tcPr>
            <w:tcW w:w="1680" w:type="dxa"/>
          </w:tcPr>
          <w:p>
            <w:pPr>
              <w:pStyle w:val="Compact"/>
              <w:spacing w:after="40"/>
              <w:jc w:val="left"/>
            </w:pPr>
            <w:r>
              <w:rPr>
                <w:sz w:val="18"/>
              </w:rPr>
              <w:t xml:space="preserve">returns indicative eligible value and DP</w:t>
            </w:r>
          </w:p>
        </w:tc>
        <w:tc>
          <w:tcPr>
            <w:tcW w:w="1145" w:type="dxa"/>
          </w:tcPr>
          <w:p>
            <w:pPr>
              <w:pStyle w:val="Compact"/>
              <w:spacing w:after="40"/>
              <w:jc w:val="left"/>
            </w:pPr>
            <w:r>
              <w:rPr>
                <w:sz w:val="18"/>
              </w:rPr>
              <w:t xml:space="preserve">FX</w:t>
            </w:r>
          </w:p>
        </w:tc>
        <w:tc>
          <w:tcPr>
            <w:tcW w:w="1073" w:type="dxa"/>
          </w:tcPr>
          <w:p>
            <w:pPr>
              <w:pStyle w:val="Compact"/>
              <w:spacing w:after="40"/>
              <w:jc w:val="left"/>
            </w:pPr>
            <w:r>
              <w:rPr>
                <w:sz w:val="18"/>
              </w:rPr>
              <w:t xml:space="preserve">Idempotency-Key</w:t>
            </w:r>
          </w:p>
        </w:tc>
        <w:tc>
          <w:tcPr>
            <w:tcW w:w="1671" w:type="dxa"/>
          </w:tcPr>
          <w:p>
            <w:pPr>
              <w:pStyle w:val="Compact"/>
              <w:spacing w:after="40"/>
              <w:jc w:val="left"/>
            </w:pPr>
            <w:r>
              <w:rPr>
                <w:sz w:val="18"/>
              </w:rPr>
              <w:t xml:space="preserve">≤ 2 s</w:t>
            </w:r>
          </w:p>
        </w:tc>
      </w:tr>
      <w:tr>
        <w:tc>
          <w:tcPr>
            <w:tcW w:w="1307" w:type="dxa"/>
          </w:tcPr>
          <w:p>
            <w:pPr>
              <w:pStyle w:val="Compact"/>
              <w:spacing w:after="40"/>
              <w:jc w:val="left"/>
            </w:pPr>
            <w:r>
              <w:rPr>
                <w:rStyle w:val="VerbatimChar"/>
                <w:sz w:val="18"/>
              </w:rPr>
              <w:t xml:space="preserve">CollateralPledgeRequested</w:t>
            </w:r>
            <w:r>
              <w:rPr>
                <w:sz w:val="18"/>
              </w:rPr>
              <w:t xml:space="preserve"> </w:t>
            </w:r>
            <w:r>
              <w:rPr>
                <w:sz w:val="18"/>
              </w:rPr>
              <w:t xml:space="preserve">(N)</w:t>
            </w:r>
          </w:p>
        </w:tc>
        <w:tc>
          <w:tcPr>
            <w:tcW w:w="935" w:type="dxa"/>
          </w:tcPr>
          <w:p>
            <w:pPr>
              <w:pStyle w:val="Compact"/>
              <w:spacing w:after="40"/>
              <w:jc w:val="left"/>
            </w:pPr>
            <w:r>
              <w:rPr>
                <w:sz w:val="18"/>
              </w:rPr>
              <w:t xml:space="preserve">FX → UD (or provider)</w:t>
            </w:r>
          </w:p>
        </w:tc>
        <w:tc>
          <w:tcPr>
            <w:tcW w:w="1827" w:type="dxa"/>
          </w:tcPr>
          <w:p>
            <w:pPr>
              <w:pStyle w:val="Compact"/>
              <w:spacing w:after="40"/>
              <w:jc w:val="left"/>
            </w:pPr>
            <w:r>
              <w:rPr>
                <w:sz w:val="18"/>
              </w:rPr>
              <w:t xml:space="preserve">Sanction requires pledge or lien</w:t>
            </w:r>
          </w:p>
        </w:tc>
        <w:tc>
          <w:tcPr>
            <w:tcW w:w="1680" w:type="dxa"/>
          </w:tcPr>
          <w:p>
            <w:pPr>
              <w:pStyle w:val="Compact"/>
              <w:spacing w:after="40"/>
              <w:jc w:val="left"/>
            </w:pPr>
            <w:r>
              <w:rPr>
                <w:sz w:val="18"/>
              </w:rPr>
              <w:t xml:space="preserve">securities, quantities, pledgee DP or RTA, agreement no, deadline</w:t>
            </w:r>
          </w:p>
        </w:tc>
        <w:tc>
          <w:tcPr>
            <w:tcW w:w="1145" w:type="dxa"/>
          </w:tcPr>
          <w:p>
            <w:pPr>
              <w:pStyle w:val="Compact"/>
              <w:spacing w:after="40"/>
              <w:jc w:val="left"/>
            </w:pPr>
            <w:r>
              <w:rPr>
                <w:sz w:val="18"/>
              </w:rPr>
              <w:t xml:space="preserve">FX</w:t>
            </w:r>
          </w:p>
        </w:tc>
        <w:tc>
          <w:tcPr>
            <w:tcW w:w="1073" w:type="dxa"/>
          </w:tcPr>
          <w:p>
            <w:pPr>
              <w:pStyle w:val="Compact"/>
              <w:spacing w:after="40"/>
              <w:jc w:val="left"/>
            </w:pPr>
            <w:r>
              <w:rPr>
                <w:sz w:val="18"/>
              </w:rPr>
              <w:t xml:space="preserve">pledge_request_id</w:t>
            </w:r>
          </w:p>
        </w:tc>
        <w:tc>
          <w:tcPr>
            <w:tcW w:w="1671" w:type="dxa"/>
          </w:tcPr>
          <w:p>
            <w:pPr>
              <w:pStyle w:val="Compact"/>
              <w:spacing w:after="40"/>
              <w:jc w:val="left"/>
            </w:pPr>
            <w:r>
              <w:rPr>
                <w:sz w:val="18"/>
              </w:rPr>
              <w:t xml:space="preserve">std</w:t>
            </w:r>
          </w:p>
        </w:tc>
      </w:tr>
      <w:tr>
        <w:tc>
          <w:tcPr>
            <w:tcW w:w="1307" w:type="dxa"/>
          </w:tcPr>
          <w:p>
            <w:pPr>
              <w:pStyle w:val="Compact"/>
              <w:spacing w:after="40"/>
              <w:jc w:val="left"/>
            </w:pPr>
            <w:r>
              <w:rPr>
                <w:rStyle w:val="VerbatimChar"/>
                <w:sz w:val="18"/>
              </w:rPr>
              <w:t xml:space="preserve">CollateralPledgeCreated</w:t>
            </w:r>
            <w:r>
              <w:rPr>
                <w:sz w:val="18"/>
              </w:rPr>
              <w:t xml:space="preserve"> </w:t>
            </w:r>
            <w:r>
              <w:rPr>
                <w:sz w:val="18"/>
              </w:rPr>
              <w:t xml:space="preserve">(N) signed</w:t>
            </w:r>
          </w:p>
        </w:tc>
        <w:tc>
          <w:tcPr>
            <w:tcW w:w="935" w:type="dxa"/>
          </w:tcPr>
          <w:p>
            <w:pPr>
              <w:pStyle w:val="Compact"/>
              <w:spacing w:after="40"/>
              <w:jc w:val="left"/>
            </w:pPr>
            <w:r>
              <w:rPr>
                <w:sz w:val="18"/>
              </w:rPr>
              <w:t xml:space="preserve">FX → UD, CL</w:t>
            </w:r>
          </w:p>
        </w:tc>
        <w:tc>
          <w:tcPr>
            <w:tcW w:w="1827" w:type="dxa"/>
          </w:tcPr>
          <w:p>
            <w:pPr>
              <w:pStyle w:val="Compact"/>
              <w:spacing w:after="40"/>
              <w:jc w:val="left"/>
            </w:pPr>
            <w:r>
              <w:rPr>
                <w:sz w:val="18"/>
              </w:rPr>
              <w:t xml:space="preserve">Provider confirms encumbrance (NSDL, CDSL, RTA, sealed gold packet)</w:t>
            </w:r>
          </w:p>
        </w:tc>
        <w:tc>
          <w:tcPr>
            <w:tcW w:w="1680" w:type="dxa"/>
          </w:tcPr>
          <w:p>
            <w:pPr>
              <w:pStyle w:val="Compact"/>
              <w:spacing w:after="40"/>
              <w:jc w:val="left"/>
            </w:pPr>
            <w:r>
              <w:rPr>
                <w:sz w:val="18"/>
              </w:rPr>
              <w:t xml:space="preserve">pledge_ref, units or weight, provider, evidence hash</w:t>
            </w:r>
          </w:p>
        </w:tc>
        <w:tc>
          <w:tcPr>
            <w:tcW w:w="1145" w:type="dxa"/>
          </w:tcPr>
          <w:p>
            <w:pPr>
              <w:pStyle w:val="Compact"/>
              <w:spacing w:after="40"/>
              <w:jc w:val="left"/>
            </w:pPr>
            <w:r>
              <w:rPr>
                <w:sz w:val="18"/>
              </w:rPr>
              <w:t xml:space="preserve">FX; provider is external truth</w:t>
            </w:r>
          </w:p>
        </w:tc>
        <w:tc>
          <w:tcPr>
            <w:tcW w:w="1073" w:type="dxa"/>
          </w:tcPr>
          <w:p>
            <w:pPr>
              <w:pStyle w:val="Compact"/>
              <w:spacing w:after="40"/>
              <w:jc w:val="left"/>
            </w:pPr>
            <w:r>
              <w:rPr>
                <w:sz w:val="18"/>
              </w:rPr>
              <w:t xml:space="preserve">(provider, pledge_ref)</w:t>
            </w:r>
          </w:p>
        </w:tc>
        <w:tc>
          <w:tcPr>
            <w:tcW w:w="1671" w:type="dxa"/>
          </w:tcPr>
          <w:p>
            <w:pPr>
              <w:pStyle w:val="Compact"/>
              <w:spacing w:after="40"/>
              <w:jc w:val="left"/>
            </w:pPr>
            <w:r>
              <w:rPr>
                <w:sz w:val="18"/>
              </w:rPr>
              <w:t xml:space="preserve">std; disbursement gate</w:t>
            </w:r>
          </w:p>
        </w:tc>
      </w:tr>
      <w:tr>
        <w:tc>
          <w:tcPr>
            <w:tcW w:w="1307" w:type="dxa"/>
          </w:tcPr>
          <w:p>
            <w:pPr>
              <w:pStyle w:val="Compact"/>
              <w:spacing w:after="40"/>
              <w:jc w:val="left"/>
            </w:pPr>
            <w:r>
              <w:rPr>
                <w:rStyle w:val="VerbatimChar"/>
                <w:sz w:val="18"/>
              </w:rPr>
              <w:t xml:space="preserve">CollateralPledgeFailed</w:t>
            </w:r>
            <w:r>
              <w:rPr>
                <w:sz w:val="18"/>
              </w:rPr>
              <w:t xml:space="preserve"> </w:t>
            </w:r>
            <w:r>
              <w:rPr>
                <w:sz w:val="18"/>
              </w:rPr>
              <w:t xml:space="preserve">(N+)</w:t>
            </w:r>
          </w:p>
        </w:tc>
        <w:tc>
          <w:tcPr>
            <w:tcW w:w="935" w:type="dxa"/>
          </w:tcPr>
          <w:p>
            <w:pPr>
              <w:pStyle w:val="Compact"/>
              <w:spacing w:after="40"/>
              <w:jc w:val="left"/>
            </w:pPr>
            <w:r>
              <w:rPr>
                <w:sz w:val="18"/>
              </w:rPr>
              <w:t xml:space="preserve">FX → UD</w:t>
            </w:r>
          </w:p>
        </w:tc>
        <w:tc>
          <w:tcPr>
            <w:tcW w:w="1827" w:type="dxa"/>
          </w:tcPr>
          <w:p>
            <w:pPr>
              <w:pStyle w:val="Compact"/>
              <w:spacing w:after="40"/>
              <w:jc w:val="left"/>
            </w:pPr>
            <w:r>
              <w:rPr>
                <w:sz w:val="18"/>
              </w:rPr>
              <w:t xml:space="preserve">Rejection, OTP failure, expiry</w:t>
            </w:r>
          </w:p>
        </w:tc>
        <w:tc>
          <w:tcPr>
            <w:tcW w:w="1680" w:type="dxa"/>
          </w:tcPr>
          <w:p>
            <w:pPr>
              <w:pStyle w:val="Compact"/>
              <w:spacing w:after="40"/>
              <w:jc w:val="left"/>
            </w:pPr>
            <w:r>
              <w:rPr>
                <w:sz w:val="18"/>
              </w:rPr>
              <w:t xml:space="preserve">reason, retry allowed</w:t>
            </w:r>
          </w:p>
        </w:tc>
        <w:tc>
          <w:tcPr>
            <w:tcW w:w="1145" w:type="dxa"/>
          </w:tcPr>
          <w:p>
            <w:pPr>
              <w:pStyle w:val="Compact"/>
              <w:spacing w:after="40"/>
              <w:jc w:val="left"/>
            </w:pPr>
            <w:r>
              <w:rPr>
                <w:sz w:val="18"/>
              </w:rPr>
              <w:t xml:space="preserve">FX</w:t>
            </w:r>
          </w:p>
        </w:tc>
        <w:tc>
          <w:tcPr>
            <w:tcW w:w="1073" w:type="dxa"/>
          </w:tcPr>
          <w:p>
            <w:pPr>
              <w:pStyle w:val="Compact"/>
              <w:spacing w:after="40"/>
              <w:jc w:val="left"/>
            </w:pPr>
            <w:r>
              <w:rPr>
                <w:sz w:val="18"/>
              </w:rPr>
              <w:t xml:space="preserve">(pledge_request_id, attempt)</w:t>
            </w:r>
          </w:p>
        </w:tc>
        <w:tc>
          <w:tcPr>
            <w:tcW w:w="1671" w:type="dxa"/>
          </w:tcPr>
          <w:p>
            <w:pPr>
              <w:pStyle w:val="Compact"/>
              <w:spacing w:after="40"/>
              <w:jc w:val="left"/>
            </w:pPr>
            <w:r>
              <w:rPr>
                <w:sz w:val="18"/>
              </w:rPr>
              <w:t xml:space="preserve">std</w:t>
            </w:r>
          </w:p>
        </w:tc>
      </w:tr>
      <w:tr>
        <w:tc>
          <w:tcPr>
            <w:tcW w:w="1307" w:type="dxa"/>
          </w:tcPr>
          <w:p>
            <w:pPr>
              <w:pStyle w:val="Compact"/>
              <w:spacing w:after="40"/>
              <w:jc w:val="left"/>
            </w:pPr>
            <w:r>
              <w:rPr>
                <w:rStyle w:val="VerbatimChar"/>
                <w:sz w:val="18"/>
              </w:rPr>
              <w:t xml:space="preserve">CollateralChargeRegistered</w:t>
            </w:r>
            <w:r>
              <w:rPr>
                <w:sz w:val="18"/>
              </w:rPr>
              <w:t xml:space="preserve"> </w:t>
            </w:r>
            <w:r>
              <w:rPr>
                <w:sz w:val="18"/>
              </w:rPr>
              <w:t xml:space="preserve">(N+)</w:t>
            </w:r>
          </w:p>
        </w:tc>
        <w:tc>
          <w:tcPr>
            <w:tcW w:w="935" w:type="dxa"/>
          </w:tcPr>
          <w:p>
            <w:pPr>
              <w:pStyle w:val="Compact"/>
              <w:spacing w:after="40"/>
              <w:jc w:val="left"/>
            </w:pPr>
            <w:r>
              <w:rPr>
                <w:sz w:val="18"/>
              </w:rPr>
              <w:t xml:space="preserve">FX → UD, CL</w:t>
            </w:r>
          </w:p>
        </w:tc>
        <w:tc>
          <w:tcPr>
            <w:tcW w:w="1827" w:type="dxa"/>
          </w:tcPr>
          <w:p>
            <w:pPr>
              <w:pStyle w:val="Compact"/>
              <w:spacing w:after="40"/>
              <w:jc w:val="left"/>
            </w:pPr>
            <w:r>
              <w:rPr>
                <w:sz w:val="18"/>
              </w:rPr>
              <w:t xml:space="preserve">Mortgage, hypothecation, assignment or guarantee cover registered</w:t>
            </w:r>
          </w:p>
        </w:tc>
        <w:tc>
          <w:tcPr>
            <w:tcW w:w="1680" w:type="dxa"/>
          </w:tcPr>
          <w:p>
            <w:pPr>
              <w:pStyle w:val="Compact"/>
              <w:spacing w:after="40"/>
              <w:jc w:val="left"/>
            </w:pPr>
            <w:r>
              <w:rPr>
                <w:sz w:val="18"/>
              </w:rPr>
              <w:t xml:space="preserve">charge type, registry (CERSAI, VAHAN, TREDS, CGTMSE), registry_ref</w:t>
            </w:r>
          </w:p>
        </w:tc>
        <w:tc>
          <w:tcPr>
            <w:tcW w:w="1145" w:type="dxa"/>
          </w:tcPr>
          <w:p>
            <w:pPr>
              <w:pStyle w:val="Compact"/>
              <w:spacing w:after="40"/>
              <w:jc w:val="left"/>
            </w:pPr>
            <w:r>
              <w:rPr>
                <w:sz w:val="18"/>
              </w:rPr>
              <w:t xml:space="preserve">FX; registry external</w:t>
            </w:r>
          </w:p>
        </w:tc>
        <w:tc>
          <w:tcPr>
            <w:tcW w:w="1073" w:type="dxa"/>
          </w:tcPr>
          <w:p>
            <w:pPr>
              <w:pStyle w:val="Compact"/>
              <w:spacing w:after="40"/>
              <w:jc w:val="left"/>
            </w:pPr>
            <w:r>
              <w:rPr>
                <w:sz w:val="18"/>
              </w:rPr>
              <w:t xml:space="preserve">(registry, registry_ref)</w:t>
            </w:r>
          </w:p>
        </w:tc>
        <w:tc>
          <w:tcPr>
            <w:tcW w:w="1671" w:type="dxa"/>
          </w:tcPr>
          <w:p>
            <w:pPr>
              <w:pStyle w:val="Compact"/>
              <w:spacing w:after="40"/>
              <w:jc w:val="left"/>
            </w:pPr>
            <w:r>
              <w:rPr>
                <w:sz w:val="18"/>
              </w:rPr>
              <w:t xml:space="preserve">Per SARFAESI s.23 and CERSAI Rules [VERIFY: filing window]</w:t>
            </w:r>
          </w:p>
        </w:tc>
      </w:tr>
      <w:tr>
        <w:tc>
          <w:tcPr>
            <w:tcW w:w="1307" w:type="dxa"/>
          </w:tcPr>
          <w:p>
            <w:pPr>
              <w:pStyle w:val="Compact"/>
              <w:spacing w:after="40"/>
              <w:jc w:val="left"/>
            </w:pPr>
            <w:r>
              <w:rPr>
                <w:rStyle w:val="VerbatimChar"/>
                <w:sz w:val="18"/>
              </w:rPr>
              <w:t xml:space="preserve">CollateralValuationUpdated</w:t>
            </w:r>
            <w:r>
              <w:rPr>
                <w:sz w:val="18"/>
              </w:rPr>
              <w:t xml:space="preserve"> </w:t>
            </w:r>
            <w:r>
              <w:rPr>
                <w:sz w:val="18"/>
              </w:rPr>
              <w:t xml:space="preserve">(N)</w:t>
            </w:r>
          </w:p>
        </w:tc>
        <w:tc>
          <w:tcPr>
            <w:tcW w:w="935" w:type="dxa"/>
          </w:tcPr>
          <w:p>
            <w:pPr>
              <w:pStyle w:val="Compact"/>
              <w:spacing w:after="40"/>
              <w:jc w:val="left"/>
            </w:pPr>
            <w:r>
              <w:rPr>
                <w:sz w:val="18"/>
              </w:rPr>
              <w:t xml:space="preserve">FX → UD, CL</w:t>
            </w:r>
          </w:p>
        </w:tc>
        <w:tc>
          <w:tcPr>
            <w:tcW w:w="1827" w:type="dxa"/>
          </w:tcPr>
          <w:p>
            <w:pPr>
              <w:pStyle w:val="Compact"/>
              <w:spacing w:after="40"/>
              <w:jc w:val="left"/>
            </w:pPr>
            <w:r>
              <w:rPr>
                <w:sz w:val="18"/>
              </w:rPr>
              <w:t xml:space="preserve">Valuation run, revaluation, gold assay</w:t>
            </w:r>
          </w:p>
        </w:tc>
        <w:tc>
          <w:tcPr>
            <w:tcW w:w="1680" w:type="dxa"/>
          </w:tcPr>
          <w:p>
            <w:pPr>
              <w:pStyle w:val="Compact"/>
              <w:spacing w:after="40"/>
              <w:jc w:val="left"/>
            </w:pPr>
            <w:r>
              <w:rPr>
                <w:sz w:val="18"/>
              </w:rPr>
              <w:t xml:space="preserve">value, price source and as_of, haircut version, DP, LTV, freeze flag</w:t>
            </w:r>
          </w:p>
        </w:tc>
        <w:tc>
          <w:tcPr>
            <w:tcW w:w="1145" w:type="dxa"/>
          </w:tcPr>
          <w:p>
            <w:pPr>
              <w:pStyle w:val="Compact"/>
              <w:spacing w:after="40"/>
              <w:jc w:val="left"/>
            </w:pPr>
            <w:r>
              <w:rPr>
                <w:sz w:val="18"/>
              </w:rPr>
              <w:t xml:space="preserve">FX</w:t>
            </w:r>
          </w:p>
        </w:tc>
        <w:tc>
          <w:tcPr>
            <w:tcW w:w="1073" w:type="dxa"/>
          </w:tcPr>
          <w:p>
            <w:pPr>
              <w:pStyle w:val="Compact"/>
              <w:spacing w:after="40"/>
              <w:jc w:val="left"/>
            </w:pPr>
            <w:r>
              <w:rPr>
                <w:sz w:val="18"/>
              </w:rPr>
              <w:t xml:space="preserve">(loan_id, valuation_run_id)</w:t>
            </w:r>
          </w:p>
        </w:tc>
        <w:tc>
          <w:tcPr>
            <w:tcW w:w="1671" w:type="dxa"/>
          </w:tcPr>
          <w:p>
            <w:pPr>
              <w:pStyle w:val="Compact"/>
              <w:spacing w:after="40"/>
              <w:jc w:val="left"/>
            </w:pPr>
            <w:r>
              <w:rPr>
                <w:sz w:val="18"/>
              </w:rPr>
              <w:t xml:space="preserve">LAS daily by 09:30 IST [REC]</w:t>
            </w:r>
          </w:p>
        </w:tc>
      </w:tr>
      <w:tr>
        <w:tc>
          <w:tcPr>
            <w:tcW w:w="1307" w:type="dxa"/>
          </w:tcPr>
          <w:p>
            <w:pPr>
              <w:pStyle w:val="Compact"/>
              <w:spacing w:after="40"/>
              <w:jc w:val="left"/>
            </w:pPr>
            <w:r>
              <w:rPr>
                <w:rStyle w:val="VerbatimChar"/>
                <w:sz w:val="18"/>
              </w:rPr>
              <w:t xml:space="preserve">MarginCallRaised</w:t>
            </w:r>
            <w:r>
              <w:rPr>
                <w:sz w:val="18"/>
              </w:rPr>
              <w:t xml:space="preserve"> </w:t>
            </w:r>
            <w:r>
              <w:rPr>
                <w:sz w:val="18"/>
              </w:rPr>
              <w:t xml:space="preserve">(N) signed</w:t>
            </w:r>
          </w:p>
        </w:tc>
        <w:tc>
          <w:tcPr>
            <w:tcW w:w="935" w:type="dxa"/>
          </w:tcPr>
          <w:p>
            <w:pPr>
              <w:pStyle w:val="Compact"/>
              <w:spacing w:after="40"/>
              <w:jc w:val="left"/>
            </w:pPr>
            <w:r>
              <w:rPr>
                <w:sz w:val="18"/>
              </w:rPr>
              <w:t xml:space="preserve">FX → UD</w:t>
            </w:r>
          </w:p>
        </w:tc>
        <w:tc>
          <w:tcPr>
            <w:tcW w:w="1827" w:type="dxa"/>
          </w:tcPr>
          <w:p>
            <w:pPr>
              <w:pStyle w:val="Compact"/>
              <w:spacing w:after="40"/>
              <w:jc w:val="left"/>
            </w:pPr>
            <w:r>
              <w:rPr>
                <w:sz w:val="18"/>
              </w:rPr>
              <w:t xml:space="preserve">LTV above permitted level</w:t>
            </w:r>
          </w:p>
        </w:tc>
        <w:tc>
          <w:tcPr>
            <w:tcW w:w="1680" w:type="dxa"/>
          </w:tcPr>
          <w:p>
            <w:pPr>
              <w:pStyle w:val="Compact"/>
              <w:spacing w:after="40"/>
              <w:jc w:val="left"/>
            </w:pPr>
            <w:r>
              <w:rPr>
                <w:sz w:val="18"/>
              </w:rPr>
              <w:t xml:space="preserve">LTV, shortfall, cure options, cure_deadline, basis</w:t>
            </w:r>
          </w:p>
        </w:tc>
        <w:tc>
          <w:tcPr>
            <w:tcW w:w="1145" w:type="dxa"/>
          </w:tcPr>
          <w:p>
            <w:pPr>
              <w:pStyle w:val="Compact"/>
              <w:spacing w:after="40"/>
              <w:jc w:val="left"/>
            </w:pPr>
            <w:r>
              <w:rPr>
                <w:sz w:val="18"/>
              </w:rPr>
              <w:t xml:space="preserve">FX</w:t>
            </w:r>
          </w:p>
        </w:tc>
        <w:tc>
          <w:tcPr>
            <w:tcW w:w="1073" w:type="dxa"/>
          </w:tcPr>
          <w:p>
            <w:pPr>
              <w:pStyle w:val="Compact"/>
              <w:spacing w:after="40"/>
              <w:jc w:val="left"/>
            </w:pPr>
            <w:r>
              <w:rPr>
                <w:sz w:val="18"/>
              </w:rPr>
              <w:t xml:space="preserve">margin_call_id</w:t>
            </w:r>
          </w:p>
        </w:tc>
        <w:tc>
          <w:tcPr>
            <w:tcW w:w="1671" w:type="dxa"/>
          </w:tcPr>
          <w:p>
            <w:pPr>
              <w:pStyle w:val="Compact"/>
              <w:spacing w:after="40"/>
              <w:jc w:val="left"/>
            </w:pPr>
            <w:r>
              <w:rPr>
                <w:sz w:val="18"/>
              </w:rPr>
              <w:t xml:space="preserve">≤ 15 min; borrower told same day</w:t>
            </w:r>
          </w:p>
        </w:tc>
      </w:tr>
      <w:tr>
        <w:tc>
          <w:tcPr>
            <w:tcW w:w="1307" w:type="dxa"/>
          </w:tcPr>
          <w:p>
            <w:pPr>
              <w:pStyle w:val="Compact"/>
              <w:spacing w:after="40"/>
              <w:jc w:val="left"/>
            </w:pPr>
            <w:r>
              <w:rPr>
                <w:sz w:val="18"/>
              </w:rPr>
              <w:t xml:space="preserve">API</w:t>
            </w:r>
            <w:r>
              <w:rPr>
                <w:sz w:val="18"/>
              </w:rPr>
              <w:t xml:space="preserve"> </w:t>
            </w:r>
            <w:r>
              <w:rPr>
                <w:rStyle w:val="VerbatimChar"/>
                <w:sz w:val="18"/>
              </w:rPr>
              <w:t xml:space="preserve">POST /v1/margin-calls/{id}/cure-intents</w:t>
            </w:r>
          </w:p>
        </w:tc>
        <w:tc>
          <w:tcPr>
            <w:tcW w:w="935" w:type="dxa"/>
          </w:tcPr>
          <w:p>
            <w:pPr>
              <w:pStyle w:val="Compact"/>
              <w:spacing w:after="40"/>
              <w:jc w:val="left"/>
            </w:pPr>
            <w:r>
              <w:rPr>
                <w:sz w:val="18"/>
              </w:rPr>
              <w:t xml:space="preserve">UD → FX</w:t>
            </w:r>
          </w:p>
        </w:tc>
        <w:tc>
          <w:tcPr>
            <w:tcW w:w="1827" w:type="dxa"/>
          </w:tcPr>
          <w:p>
            <w:pPr>
              <w:pStyle w:val="Compact"/>
              <w:spacing w:after="40"/>
              <w:jc w:val="left"/>
            </w:pPr>
            <w:r>
              <w:rPr>
                <w:sz w:val="18"/>
              </w:rPr>
              <w:t xml:space="preserve">Borrower chooses a cure</w:t>
            </w:r>
          </w:p>
        </w:tc>
        <w:tc>
          <w:tcPr>
            <w:tcW w:w="1680" w:type="dxa"/>
          </w:tcPr>
          <w:p>
            <w:pPr>
              <w:pStyle w:val="Compact"/>
              <w:spacing w:after="40"/>
              <w:jc w:val="left"/>
            </w:pPr>
            <w:r>
              <w:rPr>
                <w:sz w:val="18"/>
              </w:rPr>
              <w:t xml:space="preserve">top-up, part payment or sell-to-cure</w:t>
            </w:r>
          </w:p>
        </w:tc>
        <w:tc>
          <w:tcPr>
            <w:tcW w:w="1145" w:type="dxa"/>
          </w:tcPr>
          <w:p>
            <w:pPr>
              <w:pStyle w:val="Compact"/>
              <w:spacing w:after="40"/>
              <w:jc w:val="left"/>
            </w:pPr>
            <w:r>
              <w:rPr>
                <w:sz w:val="18"/>
              </w:rPr>
              <w:t xml:space="preserve">FX decides</w:t>
            </w:r>
          </w:p>
        </w:tc>
        <w:tc>
          <w:tcPr>
            <w:tcW w:w="1073" w:type="dxa"/>
          </w:tcPr>
          <w:p>
            <w:pPr>
              <w:pStyle w:val="Compact"/>
              <w:spacing w:after="40"/>
              <w:jc w:val="left"/>
            </w:pPr>
            <w:r>
              <w:rPr>
                <w:sz w:val="18"/>
              </w:rPr>
              <w:t xml:space="preserve">Idempotency-Key</w:t>
            </w:r>
          </w:p>
        </w:tc>
        <w:tc>
          <w:tcPr>
            <w:tcW w:w="1671" w:type="dxa"/>
          </w:tcPr>
          <w:p>
            <w:pPr>
              <w:pStyle w:val="Compact"/>
              <w:spacing w:after="40"/>
              <w:jc w:val="left"/>
            </w:pPr>
            <w:r>
              <w:rPr>
                <w:sz w:val="18"/>
              </w:rPr>
              <w:t xml:space="preserve">≤ 2 s</w:t>
            </w:r>
          </w:p>
        </w:tc>
      </w:tr>
      <w:tr>
        <w:tc>
          <w:tcPr>
            <w:tcW w:w="1307" w:type="dxa"/>
          </w:tcPr>
          <w:p>
            <w:pPr>
              <w:pStyle w:val="Compact"/>
              <w:spacing w:after="40"/>
              <w:jc w:val="left"/>
            </w:pPr>
            <w:r>
              <w:rPr>
                <w:rStyle w:val="VerbatimChar"/>
                <w:sz w:val="18"/>
              </w:rPr>
              <w:t xml:space="preserve">MarginCallCured</w:t>
            </w:r>
            <w:r>
              <w:rPr>
                <w:sz w:val="18"/>
              </w:rPr>
              <w:t xml:space="preserve"> </w:t>
            </w:r>
            <w:r>
              <w:rPr>
                <w:sz w:val="18"/>
              </w:rPr>
              <w:t xml:space="preserve">(N)</w:t>
            </w:r>
          </w:p>
        </w:tc>
        <w:tc>
          <w:tcPr>
            <w:tcW w:w="935" w:type="dxa"/>
          </w:tcPr>
          <w:p>
            <w:pPr>
              <w:pStyle w:val="Compact"/>
              <w:spacing w:after="40"/>
              <w:jc w:val="left"/>
            </w:pPr>
            <w:r>
              <w:rPr>
                <w:sz w:val="18"/>
              </w:rPr>
              <w:t xml:space="preserve">FX → UD</w:t>
            </w:r>
          </w:p>
        </w:tc>
        <w:tc>
          <w:tcPr>
            <w:tcW w:w="1827" w:type="dxa"/>
          </w:tcPr>
          <w:p>
            <w:pPr>
              <w:pStyle w:val="Compact"/>
              <w:spacing w:after="40"/>
              <w:jc w:val="left"/>
            </w:pPr>
            <w:r>
              <w:rPr>
                <w:sz w:val="18"/>
              </w:rPr>
              <w:t xml:space="preserve">Shortfall cleared</w:t>
            </w:r>
          </w:p>
        </w:tc>
        <w:tc>
          <w:tcPr>
            <w:tcW w:w="1680" w:type="dxa"/>
          </w:tcPr>
          <w:p>
            <w:pPr>
              <w:pStyle w:val="Compact"/>
              <w:spacing w:after="40"/>
              <w:jc w:val="left"/>
            </w:pPr>
            <w:r>
              <w:rPr>
                <w:sz w:val="18"/>
              </w:rPr>
              <w:t xml:space="preserve">method, cured_at, post-cure LTV</w:t>
            </w:r>
          </w:p>
        </w:tc>
        <w:tc>
          <w:tcPr>
            <w:tcW w:w="1145" w:type="dxa"/>
          </w:tcPr>
          <w:p>
            <w:pPr>
              <w:pStyle w:val="Compact"/>
              <w:spacing w:after="40"/>
              <w:jc w:val="left"/>
            </w:pPr>
            <w:r>
              <w:rPr>
                <w:sz w:val="18"/>
              </w:rPr>
              <w:t xml:space="preserve">FX</w:t>
            </w:r>
          </w:p>
        </w:tc>
        <w:tc>
          <w:tcPr>
            <w:tcW w:w="1073" w:type="dxa"/>
          </w:tcPr>
          <w:p>
            <w:pPr>
              <w:pStyle w:val="Compact"/>
              <w:spacing w:after="40"/>
              <w:jc w:val="left"/>
            </w:pPr>
            <w:r>
              <w:rPr>
                <w:sz w:val="18"/>
              </w:rPr>
              <w:t xml:space="preserve">margin_call_id</w:t>
            </w:r>
          </w:p>
        </w:tc>
        <w:tc>
          <w:tcPr>
            <w:tcW w:w="1671" w:type="dxa"/>
          </w:tcPr>
          <w:p>
            <w:pPr>
              <w:pStyle w:val="Compact"/>
              <w:spacing w:after="40"/>
              <w:jc w:val="left"/>
            </w:pPr>
            <w:r>
              <w:rPr>
                <w:sz w:val="18"/>
              </w:rPr>
              <w:t xml:space="preserve">≤ 15 min</w:t>
            </w:r>
          </w:p>
        </w:tc>
      </w:tr>
      <w:tr>
        <w:tc>
          <w:tcPr>
            <w:tcW w:w="1307" w:type="dxa"/>
          </w:tcPr>
          <w:p>
            <w:pPr>
              <w:pStyle w:val="Compact"/>
              <w:spacing w:after="40"/>
              <w:jc w:val="left"/>
            </w:pPr>
            <w:r>
              <w:rPr>
                <w:rStyle w:val="VerbatimChar"/>
                <w:sz w:val="18"/>
              </w:rPr>
              <w:t xml:space="preserve">MarginCallLapsed</w:t>
            </w:r>
            <w:r>
              <w:rPr>
                <w:sz w:val="18"/>
              </w:rPr>
              <w:t xml:space="preserve"> </w:t>
            </w:r>
            <w:r>
              <w:rPr>
                <w:sz w:val="18"/>
              </w:rPr>
              <w:t xml:space="preserve">(N+)</w:t>
            </w:r>
          </w:p>
        </w:tc>
        <w:tc>
          <w:tcPr>
            <w:tcW w:w="935" w:type="dxa"/>
          </w:tcPr>
          <w:p>
            <w:pPr>
              <w:pStyle w:val="Compact"/>
              <w:spacing w:after="40"/>
              <w:jc w:val="left"/>
            </w:pPr>
            <w:r>
              <w:rPr>
                <w:sz w:val="18"/>
              </w:rPr>
              <w:t xml:space="preserve">FX → UD, RS</w:t>
            </w:r>
          </w:p>
        </w:tc>
        <w:tc>
          <w:tcPr>
            <w:tcW w:w="1827" w:type="dxa"/>
          </w:tcPr>
          <w:p>
            <w:pPr>
              <w:pStyle w:val="Compact"/>
              <w:spacing w:after="40"/>
              <w:jc w:val="left"/>
            </w:pPr>
            <w:r>
              <w:rPr>
                <w:sz w:val="18"/>
              </w:rPr>
              <w:t xml:space="preserve">Deadline passed uncured</w:t>
            </w:r>
          </w:p>
        </w:tc>
        <w:tc>
          <w:tcPr>
            <w:tcW w:w="1680" w:type="dxa"/>
          </w:tcPr>
          <w:p>
            <w:pPr>
              <w:pStyle w:val="Compact"/>
              <w:spacing w:after="40"/>
              <w:jc w:val="left"/>
            </w:pPr>
            <w:r>
              <w:rPr>
                <w:sz w:val="18"/>
              </w:rPr>
              <w:t xml:space="preserve">shortfall, next step, freeze status</w:t>
            </w:r>
          </w:p>
        </w:tc>
        <w:tc>
          <w:tcPr>
            <w:tcW w:w="1145" w:type="dxa"/>
          </w:tcPr>
          <w:p>
            <w:pPr>
              <w:pStyle w:val="Compact"/>
              <w:spacing w:after="40"/>
              <w:jc w:val="left"/>
            </w:pPr>
            <w:r>
              <w:rPr>
                <w:sz w:val="18"/>
              </w:rPr>
              <w:t xml:space="preserve">FX</w:t>
            </w:r>
          </w:p>
        </w:tc>
        <w:tc>
          <w:tcPr>
            <w:tcW w:w="1073" w:type="dxa"/>
          </w:tcPr>
          <w:p>
            <w:pPr>
              <w:pStyle w:val="Compact"/>
              <w:spacing w:after="40"/>
              <w:jc w:val="left"/>
            </w:pPr>
            <w:r>
              <w:rPr>
                <w:sz w:val="18"/>
              </w:rPr>
              <w:t xml:space="preserve">margin_call_id</w:t>
            </w:r>
          </w:p>
        </w:tc>
        <w:tc>
          <w:tcPr>
            <w:tcW w:w="1671" w:type="dxa"/>
          </w:tcPr>
          <w:p>
            <w:pPr>
              <w:pStyle w:val="Compact"/>
              <w:spacing w:after="40"/>
              <w:jc w:val="left"/>
            </w:pPr>
            <w:r>
              <w:rPr>
                <w:sz w:val="18"/>
              </w:rPr>
              <w:t xml:space="preserve">At deadline</w:t>
            </w:r>
          </w:p>
        </w:tc>
      </w:tr>
      <w:tr>
        <w:tc>
          <w:tcPr>
            <w:tcW w:w="1307" w:type="dxa"/>
          </w:tcPr>
          <w:p>
            <w:pPr>
              <w:pStyle w:val="Compact"/>
              <w:spacing w:after="40"/>
              <w:jc w:val="left"/>
            </w:pPr>
            <w:r>
              <w:rPr>
                <w:rStyle w:val="VerbatimChar"/>
                <w:sz w:val="18"/>
              </w:rPr>
              <w:t xml:space="preserve">CollateralInvoked</w:t>
            </w:r>
            <w:r>
              <w:rPr>
                <w:sz w:val="18"/>
              </w:rPr>
              <w:t xml:space="preserve"> </w:t>
            </w:r>
            <w:r>
              <w:rPr>
                <w:sz w:val="18"/>
              </w:rPr>
              <w:t xml:space="preserve">(N) signed</w:t>
            </w:r>
          </w:p>
        </w:tc>
        <w:tc>
          <w:tcPr>
            <w:tcW w:w="935" w:type="dxa"/>
          </w:tcPr>
          <w:p>
            <w:pPr>
              <w:pStyle w:val="Compact"/>
              <w:spacing w:after="40"/>
              <w:jc w:val="left"/>
            </w:pPr>
            <w:r>
              <w:rPr>
                <w:sz w:val="18"/>
              </w:rPr>
              <w:t xml:space="preserve">FX → UD, CL, RS</w:t>
            </w:r>
          </w:p>
        </w:tc>
        <w:tc>
          <w:tcPr>
            <w:tcW w:w="1827" w:type="dxa"/>
          </w:tcPr>
          <w:p>
            <w:pPr>
              <w:pStyle w:val="Compact"/>
              <w:spacing w:after="40"/>
              <w:jc w:val="left"/>
            </w:pPr>
            <w:r>
              <w:rPr>
                <w:sz w:val="18"/>
              </w:rPr>
              <w:t xml:space="preserve">Pledge invoked, guarantee claimed, deposit set off</w:t>
            </w:r>
          </w:p>
        </w:tc>
        <w:tc>
          <w:tcPr>
            <w:tcW w:w="1680" w:type="dxa"/>
          </w:tcPr>
          <w:p>
            <w:pPr>
              <w:pStyle w:val="Compact"/>
              <w:spacing w:after="40"/>
              <w:jc w:val="left"/>
            </w:pPr>
            <w:r>
              <w:rPr>
                <w:sz w:val="18"/>
              </w:rPr>
              <w:t xml:space="preserve">quantity, proceeds, notice ref</w:t>
            </w:r>
          </w:p>
        </w:tc>
        <w:tc>
          <w:tcPr>
            <w:tcW w:w="1145" w:type="dxa"/>
          </w:tcPr>
          <w:p>
            <w:pPr>
              <w:pStyle w:val="Compact"/>
              <w:spacing w:after="40"/>
              <w:jc w:val="left"/>
            </w:pPr>
            <w:r>
              <w:rPr>
                <w:sz w:val="18"/>
              </w:rPr>
              <w:t xml:space="preserve">FX</w:t>
            </w:r>
          </w:p>
        </w:tc>
        <w:tc>
          <w:tcPr>
            <w:tcW w:w="1073" w:type="dxa"/>
          </w:tcPr>
          <w:p>
            <w:pPr>
              <w:pStyle w:val="Compact"/>
              <w:spacing w:after="40"/>
              <w:jc w:val="left"/>
            </w:pPr>
            <w:r>
              <w:rPr>
                <w:sz w:val="18"/>
              </w:rPr>
              <w:t xml:space="preserve">(provider, invocation_ref)</w:t>
            </w:r>
          </w:p>
        </w:tc>
        <w:tc>
          <w:tcPr>
            <w:tcW w:w="1671" w:type="dxa"/>
          </w:tcPr>
          <w:p>
            <w:pPr>
              <w:pStyle w:val="Compact"/>
              <w:spacing w:after="40"/>
              <w:jc w:val="left"/>
            </w:pPr>
            <w:r>
              <w:rPr>
                <w:sz w:val="18"/>
              </w:rPr>
              <w:t xml:space="preserve">std</w:t>
            </w:r>
          </w:p>
        </w:tc>
      </w:tr>
      <w:tr>
        <w:tc>
          <w:tcPr>
            <w:tcW w:w="1307" w:type="dxa"/>
          </w:tcPr>
          <w:p>
            <w:pPr>
              <w:pStyle w:val="Compact"/>
              <w:spacing w:after="40"/>
              <w:jc w:val="left"/>
            </w:pPr>
            <w:r>
              <w:rPr>
                <w:rStyle w:val="VerbatimChar"/>
                <w:sz w:val="18"/>
              </w:rPr>
              <w:t xml:space="preserve">CollateralReleased</w:t>
            </w:r>
            <w:r>
              <w:rPr>
                <w:sz w:val="18"/>
              </w:rPr>
              <w:t xml:space="preserve"> </w:t>
            </w:r>
            <w:r>
              <w:rPr>
                <w:sz w:val="18"/>
              </w:rPr>
              <w:t xml:space="preserve">(N) signed</w:t>
            </w:r>
          </w:p>
        </w:tc>
        <w:tc>
          <w:tcPr>
            <w:tcW w:w="935" w:type="dxa"/>
          </w:tcPr>
          <w:p>
            <w:pPr>
              <w:pStyle w:val="Compact"/>
              <w:spacing w:after="40"/>
              <w:jc w:val="left"/>
            </w:pPr>
            <w:r>
              <w:rPr>
                <w:sz w:val="18"/>
              </w:rPr>
              <w:t xml:space="preserve">FX → UD, CL</w:t>
            </w:r>
          </w:p>
        </w:tc>
        <w:tc>
          <w:tcPr>
            <w:tcW w:w="1827" w:type="dxa"/>
          </w:tcPr>
          <w:p>
            <w:pPr>
              <w:pStyle w:val="Compact"/>
              <w:spacing w:after="40"/>
              <w:jc w:val="left"/>
            </w:pPr>
            <w:r>
              <w:rPr>
                <w:sz w:val="18"/>
              </w:rPr>
              <w:t xml:space="preserve">Pledge closed, lien revoked, CERSAI satisfied, Vahan NOC, gold or documents returned</w:t>
            </w:r>
          </w:p>
        </w:tc>
        <w:tc>
          <w:tcPr>
            <w:tcW w:w="1680" w:type="dxa"/>
          </w:tcPr>
          <w:p>
            <w:pPr>
              <w:pStyle w:val="Compact"/>
              <w:spacing w:after="40"/>
              <w:jc w:val="left"/>
            </w:pPr>
            <w:r>
              <w:rPr>
                <w:sz w:val="18"/>
              </w:rPr>
              <w:t xml:space="preserve">release type, registry_ref, delay days, compensation (RBC paras 39, 69)</w:t>
            </w:r>
          </w:p>
        </w:tc>
        <w:tc>
          <w:tcPr>
            <w:tcW w:w="1145" w:type="dxa"/>
          </w:tcPr>
          <w:p>
            <w:pPr>
              <w:pStyle w:val="Compact"/>
              <w:spacing w:after="40"/>
              <w:jc w:val="left"/>
            </w:pPr>
            <w:r>
              <w:rPr>
                <w:sz w:val="18"/>
              </w:rPr>
              <w:t xml:space="preserve">FX</w:t>
            </w:r>
          </w:p>
        </w:tc>
        <w:tc>
          <w:tcPr>
            <w:tcW w:w="1073" w:type="dxa"/>
          </w:tcPr>
          <w:p>
            <w:pPr>
              <w:pStyle w:val="Compact"/>
              <w:spacing w:after="40"/>
              <w:jc w:val="left"/>
            </w:pPr>
            <w:r>
              <w:rPr>
                <w:sz w:val="18"/>
              </w:rPr>
              <w:t xml:space="preserve">(collateral_id, release_ref)</w:t>
            </w:r>
          </w:p>
        </w:tc>
        <w:tc>
          <w:tcPr>
            <w:tcW w:w="1671" w:type="dxa"/>
          </w:tcPr>
          <w:p>
            <w:pPr>
              <w:pStyle w:val="Compact"/>
              <w:spacing w:after="40"/>
              <w:jc w:val="left"/>
            </w:pPr>
            <w:r>
              <w:rPr>
                <w:sz w:val="18"/>
              </w:rPr>
              <w:t xml:space="preserve">Gold ≤ 7 working days (RBC para 58); documents ≤ 30 days (RBC para 35)</w:t>
            </w:r>
          </w:p>
        </w:tc>
      </w:tr>
    </w:tbl>
    <w:bookmarkEnd w:id="50"/>
    <w:bookmarkStart w:id="51" w:name="Xa113b96d0010c006073536ac6712a14d2f55dc0"/>
    <w:p>
      <w:pPr>
        <w:pStyle w:val="Heading2"/>
      </w:pPr>
      <w:r>
        <w:t xml:space="preserve">6.6 Co-lending, transfers and consortium (</w:t>
      </w:r>
      <w:r>
        <w:rPr>
          <w:rStyle w:val="VerbatimChar"/>
        </w:rPr>
        <w:t xml:space="preserve">colending</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37"/>
        <w:gridCol w:w="1514"/>
        <w:gridCol w:w="1555"/>
        <w:gridCol w:w="1815"/>
        <w:gridCol w:w="935"/>
        <w:gridCol w:w="1021"/>
        <w:gridCol w:w="1661"/>
      </w:tblGrid>
      <w:tr>
        <w:trPr>
          <w:tblHeader w:val="true"/>
          <w:tblHeader w:val="true"/>
        </w:trPr>
        <w:tc>
          <w:tcPr>
            <w:tcW w:w="1137" w:type="dxa"/>
            <w:shd w:val="clear" w:color="auto" w:fill="1F3A5F"/>
          </w:tcPr>
          <w:p>
            <w:pPr>
              <w:pStyle w:val="Compact"/>
              <w:spacing w:after="40"/>
              <w:jc w:val="left"/>
            </w:pPr>
            <w:r>
              <w:rPr>
                <w:b/>
                <w:color w:val="FFFFFF"/>
                <w:sz w:val="18"/>
              </w:rPr>
              <w:t xml:space="preserve">Event or API</w:t>
            </w:r>
          </w:p>
        </w:tc>
        <w:tc>
          <w:tcPr>
            <w:tcW w:w="1514" w:type="dxa"/>
            <w:shd w:val="clear" w:color="auto" w:fill="1F3A5F"/>
          </w:tcPr>
          <w:p>
            <w:pPr>
              <w:pStyle w:val="Compact"/>
              <w:spacing w:after="40"/>
              <w:jc w:val="left"/>
            </w:pPr>
            <w:r>
              <w:rPr>
                <w:b/>
                <w:color w:val="FFFFFF"/>
                <w:sz w:val="18"/>
              </w:rPr>
              <w:t xml:space="preserve">Producer → consumer(s)</w:t>
            </w:r>
          </w:p>
        </w:tc>
        <w:tc>
          <w:tcPr>
            <w:tcW w:w="1555" w:type="dxa"/>
            <w:shd w:val="clear" w:color="auto" w:fill="1F3A5F"/>
          </w:tcPr>
          <w:p>
            <w:pPr>
              <w:pStyle w:val="Compact"/>
              <w:spacing w:after="40"/>
              <w:jc w:val="left"/>
            </w:pPr>
            <w:r>
              <w:rPr>
                <w:b/>
                <w:color w:val="FFFFFF"/>
                <w:sz w:val="18"/>
              </w:rPr>
              <w:t xml:space="preserve">Trigger</w:t>
            </w:r>
          </w:p>
        </w:tc>
        <w:tc>
          <w:tcPr>
            <w:tcW w:w="1815" w:type="dxa"/>
            <w:shd w:val="clear" w:color="auto" w:fill="1F3A5F"/>
          </w:tcPr>
          <w:p>
            <w:pPr>
              <w:pStyle w:val="Compact"/>
              <w:spacing w:after="40"/>
              <w:jc w:val="left"/>
            </w:pPr>
            <w:r>
              <w:rPr>
                <w:b/>
                <w:color w:val="FFFFFF"/>
                <w:sz w:val="18"/>
              </w:rPr>
              <w:t xml:space="preserve">Key payload fields</w:t>
            </w:r>
          </w:p>
        </w:tc>
        <w:tc>
          <w:tcPr>
            <w:tcW w:w="935" w:type="dxa"/>
            <w:shd w:val="clear" w:color="auto" w:fill="1F3A5F"/>
          </w:tcPr>
          <w:p>
            <w:pPr>
              <w:pStyle w:val="Compact"/>
              <w:spacing w:after="40"/>
              <w:jc w:val="left"/>
            </w:pPr>
            <w:r>
              <w:rPr>
                <w:b/>
                <w:color w:val="FFFFFF"/>
                <w:sz w:val="18"/>
              </w:rPr>
              <w:t xml:space="preserve">Owner</w:t>
            </w:r>
          </w:p>
        </w:tc>
        <w:tc>
          <w:tcPr>
            <w:tcW w:w="1021" w:type="dxa"/>
            <w:shd w:val="clear" w:color="auto" w:fill="1F3A5F"/>
          </w:tcPr>
          <w:p>
            <w:pPr>
              <w:pStyle w:val="Compact"/>
              <w:spacing w:after="40"/>
              <w:jc w:val="left"/>
            </w:pPr>
            <w:r>
              <w:rPr>
                <w:b/>
                <w:color w:val="FFFFFF"/>
                <w:sz w:val="18"/>
              </w:rPr>
              <w:t xml:space="preserve">Idempotency key</w:t>
            </w:r>
          </w:p>
        </w:tc>
        <w:tc>
          <w:tcPr>
            <w:tcW w:w="1661" w:type="dxa"/>
            <w:shd w:val="clear" w:color="auto" w:fill="1F3A5F"/>
          </w:tcPr>
          <w:p>
            <w:pPr>
              <w:pStyle w:val="Compact"/>
              <w:spacing w:after="40"/>
              <w:jc w:val="left"/>
            </w:pPr>
            <w:r>
              <w:rPr>
                <w:b/>
                <w:color w:val="FFFFFF"/>
                <w:sz w:val="18"/>
              </w:rPr>
              <w:t xml:space="preserve">SLA</w:t>
            </w:r>
          </w:p>
        </w:tc>
      </w:tr>
      <w:tr>
        <w:tc>
          <w:tcPr>
            <w:tcW w:w="1137" w:type="dxa"/>
          </w:tcPr>
          <w:p>
            <w:pPr>
              <w:pStyle w:val="Compact"/>
              <w:spacing w:after="40"/>
              <w:jc w:val="left"/>
            </w:pPr>
            <w:r>
              <w:rPr>
                <w:rStyle w:val="VerbatimChar"/>
                <w:sz w:val="18"/>
              </w:rPr>
              <w:t xml:space="preserve">CoLendingSplitConfirmed</w:t>
            </w:r>
            <w:r>
              <w:rPr>
                <w:sz w:val="18"/>
              </w:rPr>
              <w:t xml:space="preserve"> </w:t>
            </w:r>
            <w:r>
              <w:rPr>
                <w:sz w:val="18"/>
              </w:rPr>
              <w:t xml:space="preserve">(N)</w:t>
            </w:r>
          </w:p>
        </w:tc>
        <w:tc>
          <w:tcPr>
            <w:tcW w:w="1514" w:type="dxa"/>
          </w:tcPr>
          <w:p>
            <w:pPr>
              <w:pStyle w:val="Compact"/>
              <w:spacing w:after="40"/>
              <w:jc w:val="left"/>
            </w:pPr>
            <w:r>
              <w:rPr>
                <w:sz w:val="18"/>
              </w:rPr>
              <w:t xml:space="preserve">CL partner → originator</w:t>
            </w:r>
          </w:p>
        </w:tc>
        <w:tc>
          <w:tcPr>
            <w:tcW w:w="1555" w:type="dxa"/>
          </w:tcPr>
          <w:p>
            <w:pPr>
              <w:pStyle w:val="Compact"/>
              <w:spacing w:after="40"/>
              <w:jc w:val="left"/>
            </w:pPr>
            <w:r>
              <w:rPr>
                <w:sz w:val="18"/>
              </w:rPr>
              <w:t xml:space="preserve">Partner books its share</w:t>
            </w:r>
          </w:p>
        </w:tc>
        <w:tc>
          <w:tcPr>
            <w:tcW w:w="1815" w:type="dxa"/>
          </w:tcPr>
          <w:p>
            <w:pPr>
              <w:pStyle w:val="Compact"/>
              <w:spacing w:after="40"/>
              <w:jc w:val="left"/>
            </w:pPr>
            <w:r>
              <w:rPr>
                <w:sz w:val="18"/>
              </w:rPr>
              <w:t xml:space="preserve">share_pct, booked_on</w:t>
            </w:r>
          </w:p>
        </w:tc>
        <w:tc>
          <w:tcPr>
            <w:tcW w:w="935" w:type="dxa"/>
          </w:tcPr>
          <w:p>
            <w:pPr>
              <w:pStyle w:val="Compact"/>
              <w:spacing w:after="40"/>
              <w:jc w:val="left"/>
            </w:pPr>
            <w:r>
              <w:rPr>
                <w:sz w:val="18"/>
              </w:rPr>
              <w:t xml:space="preserve">Each RE for its share</w:t>
            </w:r>
          </w:p>
        </w:tc>
        <w:tc>
          <w:tcPr>
            <w:tcW w:w="1021" w:type="dxa"/>
          </w:tcPr>
          <w:p>
            <w:pPr>
              <w:pStyle w:val="Compact"/>
              <w:spacing w:after="40"/>
              <w:jc w:val="left"/>
            </w:pPr>
            <w:r>
              <w:rPr>
                <w:sz w:val="18"/>
              </w:rPr>
              <w:t xml:space="preserve">(cla_id, loan_id)</w:t>
            </w:r>
          </w:p>
        </w:tc>
        <w:tc>
          <w:tcPr>
            <w:tcW w:w="1661" w:type="dxa"/>
          </w:tcPr>
          <w:p>
            <w:pPr>
              <w:pStyle w:val="Compact"/>
              <w:spacing w:after="40"/>
              <w:jc w:val="left"/>
            </w:pPr>
            <w:r>
              <w:rPr>
                <w:sz w:val="18"/>
              </w:rPr>
              <w:t xml:space="preserve">≤ 15 calendar days of disbursement (TDCR paras 113, 115)</w:t>
            </w:r>
          </w:p>
        </w:tc>
      </w:tr>
      <w:tr>
        <w:tc>
          <w:tcPr>
            <w:tcW w:w="1137" w:type="dxa"/>
          </w:tcPr>
          <w:p>
            <w:pPr>
              <w:pStyle w:val="Compact"/>
              <w:spacing w:after="40"/>
              <w:jc w:val="left"/>
            </w:pPr>
            <w:r>
              <w:rPr>
                <w:rStyle w:val="VerbatimChar"/>
                <w:sz w:val="18"/>
              </w:rPr>
              <w:t xml:space="preserve">CoLendingReceiptAllocated</w:t>
            </w:r>
            <w:r>
              <w:rPr>
                <w:sz w:val="18"/>
              </w:rPr>
              <w:t xml:space="preserve"> </w:t>
            </w:r>
            <w:r>
              <w:rPr>
                <w:sz w:val="18"/>
              </w:rPr>
              <w:t xml:space="preserve">(N+)</w:t>
            </w:r>
          </w:p>
        </w:tc>
        <w:tc>
          <w:tcPr>
            <w:tcW w:w="1514" w:type="dxa"/>
          </w:tcPr>
          <w:p>
            <w:pPr>
              <w:pStyle w:val="Compact"/>
              <w:spacing w:after="40"/>
              <w:jc w:val="left"/>
            </w:pPr>
            <w:r>
              <w:rPr>
                <w:sz w:val="18"/>
              </w:rPr>
              <w:t xml:space="preserve">Escrow-managing RE → other CL</w:t>
            </w:r>
          </w:p>
        </w:tc>
        <w:tc>
          <w:tcPr>
            <w:tcW w:w="1555" w:type="dxa"/>
          </w:tcPr>
          <w:p>
            <w:pPr>
              <w:pStyle w:val="Compact"/>
              <w:spacing w:after="40"/>
              <w:jc w:val="left"/>
            </w:pPr>
            <w:r>
              <w:rPr>
                <w:sz w:val="18"/>
              </w:rPr>
              <w:t xml:space="preserve">Escrow receipt appropriated</w:t>
            </w:r>
          </w:p>
        </w:tc>
        <w:tc>
          <w:tcPr>
            <w:tcW w:w="1815" w:type="dxa"/>
          </w:tcPr>
          <w:p>
            <w:pPr>
              <w:pStyle w:val="Compact"/>
              <w:spacing w:after="40"/>
              <w:jc w:val="left"/>
            </w:pPr>
            <w:r>
              <w:rPr>
                <w:sz w:val="18"/>
              </w:rPr>
              <w:t xml:space="preserve">utr, allocation by component and share</w:t>
            </w:r>
          </w:p>
        </w:tc>
        <w:tc>
          <w:tcPr>
            <w:tcW w:w="935" w:type="dxa"/>
          </w:tcPr>
          <w:p>
            <w:pPr>
              <w:pStyle w:val="Compact"/>
              <w:spacing w:after="40"/>
              <w:jc w:val="left"/>
            </w:pPr>
            <w:r>
              <w:rPr>
                <w:sz w:val="18"/>
              </w:rPr>
              <w:t xml:space="preserve">Escrow-managing RE</w:t>
            </w:r>
          </w:p>
        </w:tc>
        <w:tc>
          <w:tcPr>
            <w:tcW w:w="1021" w:type="dxa"/>
          </w:tcPr>
          <w:p>
            <w:pPr>
              <w:pStyle w:val="Compact"/>
              <w:spacing w:after="40"/>
              <w:jc w:val="left"/>
            </w:pPr>
            <w:r>
              <w:rPr>
                <w:sz w:val="18"/>
              </w:rPr>
              <w:t xml:space="preserve">(cla_id, utr)</w:t>
            </w:r>
          </w:p>
        </w:tc>
        <w:tc>
          <w:tcPr>
            <w:tcW w:w="1661" w:type="dxa"/>
          </w:tcPr>
          <w:p>
            <w:pPr>
              <w:pStyle w:val="Compact"/>
              <w:spacing w:after="40"/>
              <w:jc w:val="left"/>
            </w:pPr>
            <w:r>
              <w:rPr>
                <w:sz w:val="18"/>
              </w:rPr>
              <w:t xml:space="preserve">Same day [REC]; escrow routing and appropriation per TDCR para 117</w:t>
            </w:r>
          </w:p>
        </w:tc>
      </w:tr>
      <w:tr>
        <w:tc>
          <w:tcPr>
            <w:tcW w:w="1137" w:type="dxa"/>
          </w:tcPr>
          <w:p>
            <w:pPr>
              <w:pStyle w:val="Compact"/>
              <w:spacing w:after="40"/>
              <w:jc w:val="left"/>
            </w:pPr>
            <w:r>
              <w:rPr>
                <w:rStyle w:val="VerbatimChar"/>
                <w:sz w:val="18"/>
              </w:rPr>
              <w:t xml:space="preserve">ClassificationSynced</w:t>
            </w:r>
            <w:r>
              <w:rPr>
                <w:sz w:val="18"/>
              </w:rPr>
              <w:t xml:space="preserve"> </w:t>
            </w:r>
            <w:r>
              <w:rPr>
                <w:sz w:val="18"/>
              </w:rPr>
              <w:t xml:space="preserve">(N) signed</w:t>
            </w:r>
          </w:p>
        </w:tc>
        <w:tc>
          <w:tcPr>
            <w:tcW w:w="1514" w:type="dxa"/>
          </w:tcPr>
          <w:p>
            <w:pPr>
              <w:pStyle w:val="Compact"/>
              <w:spacing w:after="40"/>
              <w:jc w:val="left"/>
            </w:pPr>
            <w:r>
              <w:rPr>
                <w:sz w:val="18"/>
              </w:rPr>
              <w:t xml:space="preserve">Either CL → other</w:t>
            </w:r>
          </w:p>
        </w:tc>
        <w:tc>
          <w:tcPr>
            <w:tcW w:w="1555" w:type="dxa"/>
          </w:tcPr>
          <w:p>
            <w:pPr>
              <w:pStyle w:val="Compact"/>
              <w:spacing w:after="40"/>
              <w:jc w:val="left"/>
            </w:pPr>
            <w:r>
              <w:rPr>
                <w:sz w:val="18"/>
              </w:rPr>
              <w:t xml:space="preserve">CLA exposure moves to SMA or NPA, or upgrades</w:t>
            </w:r>
          </w:p>
        </w:tc>
        <w:tc>
          <w:tcPr>
            <w:tcW w:w="1815" w:type="dxa"/>
          </w:tcPr>
          <w:p>
            <w:pPr>
              <w:pStyle w:val="Compact"/>
              <w:spacing w:after="40"/>
              <w:jc w:val="left"/>
            </w:pPr>
            <w:r>
              <w:rPr>
                <w:sz w:val="18"/>
              </w:rPr>
              <w:t xml:space="preserve">borrower ref, class, as_of, dpd, reason</w:t>
            </w:r>
          </w:p>
        </w:tc>
        <w:tc>
          <w:tcPr>
            <w:tcW w:w="935" w:type="dxa"/>
          </w:tcPr>
          <w:p>
            <w:pPr>
              <w:pStyle w:val="Compact"/>
              <w:spacing w:after="40"/>
              <w:jc w:val="left"/>
            </w:pPr>
            <w:r>
              <w:rPr>
                <w:sz w:val="18"/>
              </w:rPr>
              <w:t xml:space="preserve">Classifying RE</w:t>
            </w:r>
          </w:p>
        </w:tc>
        <w:tc>
          <w:tcPr>
            <w:tcW w:w="1021" w:type="dxa"/>
          </w:tcPr>
          <w:p>
            <w:pPr>
              <w:pStyle w:val="Compact"/>
              <w:spacing w:after="40"/>
              <w:jc w:val="left"/>
            </w:pPr>
            <w:r>
              <w:rPr>
                <w:sz w:val="18"/>
              </w:rPr>
              <w:t xml:space="preserve">(cla_id, borrower, as_of)</w:t>
            </w:r>
          </w:p>
        </w:tc>
        <w:tc>
          <w:tcPr>
            <w:tcW w:w="1661" w:type="dxa"/>
          </w:tcPr>
          <w:p>
            <w:pPr>
              <w:pStyle w:val="Compact"/>
              <w:spacing w:after="40"/>
              <w:jc w:val="left"/>
            </w:pPr>
            <w:r>
              <w:rPr>
                <w:sz w:val="18"/>
              </w:rPr>
              <w:t xml:space="preserve">By 23:59 IST next working day (TDCR para 124)</w:t>
            </w:r>
          </w:p>
        </w:tc>
      </w:tr>
      <w:tr>
        <w:tc>
          <w:tcPr>
            <w:tcW w:w="1137" w:type="dxa"/>
          </w:tcPr>
          <w:p>
            <w:pPr>
              <w:pStyle w:val="Compact"/>
              <w:spacing w:after="40"/>
              <w:jc w:val="left"/>
            </w:pPr>
            <w:r>
              <w:rPr>
                <w:rStyle w:val="VerbatimChar"/>
                <w:sz w:val="18"/>
              </w:rPr>
              <w:t xml:space="preserve">LoanTransferred</w:t>
            </w:r>
            <w:r>
              <w:rPr>
                <w:sz w:val="18"/>
              </w:rPr>
              <w:t xml:space="preserve"> </w:t>
            </w:r>
            <w:r>
              <w:rPr>
                <w:sz w:val="18"/>
              </w:rPr>
              <w:t xml:space="preserve">(N)</w:t>
            </w:r>
          </w:p>
        </w:tc>
        <w:tc>
          <w:tcPr>
            <w:tcW w:w="1514" w:type="dxa"/>
          </w:tcPr>
          <w:p>
            <w:pPr>
              <w:pStyle w:val="Compact"/>
              <w:spacing w:after="40"/>
              <w:jc w:val="left"/>
            </w:pPr>
            <w:r>
              <w:rPr>
                <w:sz w:val="18"/>
              </w:rPr>
              <w:t xml:space="preserve">FX → transferee, UD (if servicing or mirroring), RS, EQ</w:t>
            </w:r>
          </w:p>
        </w:tc>
        <w:tc>
          <w:tcPr>
            <w:tcW w:w="1555" w:type="dxa"/>
          </w:tcPr>
          <w:p>
            <w:pPr>
              <w:pStyle w:val="Compact"/>
              <w:spacing w:after="40"/>
              <w:jc w:val="left"/>
            </w:pPr>
            <w:r>
              <w:rPr>
                <w:sz w:val="18"/>
              </w:rPr>
              <w:t xml:space="preserve">Transfer effective</w:t>
            </w:r>
          </w:p>
        </w:tc>
        <w:tc>
          <w:tcPr>
            <w:tcW w:w="1815" w:type="dxa"/>
          </w:tcPr>
          <w:p>
            <w:pPr>
              <w:pStyle w:val="Compact"/>
              <w:spacing w:after="40"/>
              <w:jc w:val="left"/>
            </w:pPr>
            <w:r>
              <w:rPr>
                <w:sz w:val="18"/>
              </w:rPr>
              <w:t xml:space="preserve">mode, transferee, share, servicer, payment instructions, notice ref (TPA s.131)</w:t>
            </w:r>
          </w:p>
        </w:tc>
        <w:tc>
          <w:tcPr>
            <w:tcW w:w="935" w:type="dxa"/>
          </w:tcPr>
          <w:p>
            <w:pPr>
              <w:pStyle w:val="Compact"/>
              <w:spacing w:after="40"/>
              <w:jc w:val="left"/>
            </w:pPr>
            <w:r>
              <w:rPr>
                <w:sz w:val="18"/>
              </w:rPr>
              <w:t xml:space="preserve">Transferor</w:t>
            </w:r>
          </w:p>
        </w:tc>
        <w:tc>
          <w:tcPr>
            <w:tcW w:w="1021" w:type="dxa"/>
          </w:tcPr>
          <w:p>
            <w:pPr>
              <w:pStyle w:val="Compact"/>
              <w:spacing w:after="40"/>
              <w:jc w:val="left"/>
            </w:pPr>
            <w:r>
              <w:rPr>
                <w:sz w:val="18"/>
              </w:rPr>
              <w:t xml:space="preserve">(loan_id, transfer_id)</w:t>
            </w:r>
          </w:p>
        </w:tc>
        <w:tc>
          <w:tcPr>
            <w:tcW w:w="1661" w:type="dxa"/>
          </w:tcPr>
          <w:p>
            <w:pPr>
              <w:pStyle w:val="Compact"/>
              <w:spacing w:after="40"/>
              <w:jc w:val="left"/>
            </w:pPr>
            <w:r>
              <w:rPr>
                <w:sz w:val="18"/>
              </w:rPr>
              <w:t xml:space="preserve">≤ 1 working day</w:t>
            </w:r>
          </w:p>
        </w:tc>
      </w:tr>
      <w:tr>
        <w:tc>
          <w:tcPr>
            <w:tcW w:w="1137" w:type="dxa"/>
          </w:tcPr>
          <w:p>
            <w:pPr>
              <w:pStyle w:val="Compact"/>
              <w:spacing w:after="40"/>
              <w:jc w:val="left"/>
            </w:pPr>
            <w:r>
              <w:rPr>
                <w:rStyle w:val="VerbatimChar"/>
                <w:sz w:val="18"/>
              </w:rPr>
              <w:t xml:space="preserve">ServicerChanged</w:t>
            </w:r>
            <w:r>
              <w:rPr>
                <w:sz w:val="18"/>
              </w:rPr>
              <w:t xml:space="preserve"> </w:t>
            </w:r>
            <w:r>
              <w:rPr>
                <w:sz w:val="18"/>
              </w:rPr>
              <w:t xml:space="preserve">(N)</w:t>
            </w:r>
          </w:p>
        </w:tc>
        <w:tc>
          <w:tcPr>
            <w:tcW w:w="1514" w:type="dxa"/>
          </w:tcPr>
          <w:p>
            <w:pPr>
              <w:pStyle w:val="Compact"/>
              <w:spacing w:after="40"/>
              <w:jc w:val="left"/>
            </w:pPr>
            <w:r>
              <w:rPr>
                <w:sz w:val="18"/>
              </w:rPr>
              <w:t xml:space="preserve">FX → UD, CL, transferee</w:t>
            </w:r>
          </w:p>
        </w:tc>
        <w:tc>
          <w:tcPr>
            <w:tcW w:w="1555" w:type="dxa"/>
          </w:tcPr>
          <w:p>
            <w:pPr>
              <w:pStyle w:val="Compact"/>
              <w:spacing w:after="40"/>
              <w:jc w:val="left"/>
            </w:pPr>
            <w:r>
              <w:rPr>
                <w:sz w:val="18"/>
              </w:rPr>
              <w:t xml:space="preserve">Servicer appointed or replaced (TDCR para 30; SEC para 70)</w:t>
            </w:r>
          </w:p>
        </w:tc>
        <w:tc>
          <w:tcPr>
            <w:tcW w:w="1815" w:type="dxa"/>
          </w:tcPr>
          <w:p>
            <w:pPr>
              <w:pStyle w:val="Compact"/>
              <w:spacing w:after="40"/>
              <w:jc w:val="left"/>
            </w:pPr>
            <w:r>
              <w:rPr>
                <w:sz w:val="18"/>
              </w:rPr>
              <w:t xml:space="preserve">new servicer, date, borrower notice ref</w:t>
            </w:r>
          </w:p>
        </w:tc>
        <w:tc>
          <w:tcPr>
            <w:tcW w:w="935" w:type="dxa"/>
          </w:tcPr>
          <w:p>
            <w:pPr>
              <w:pStyle w:val="Compact"/>
              <w:spacing w:after="40"/>
              <w:jc w:val="left"/>
            </w:pPr>
            <w:r>
              <w:rPr>
                <w:sz w:val="18"/>
              </w:rPr>
              <w:t xml:space="preserve">Transferor or SPE</w:t>
            </w:r>
          </w:p>
        </w:tc>
        <w:tc>
          <w:tcPr>
            <w:tcW w:w="1021" w:type="dxa"/>
          </w:tcPr>
          <w:p>
            <w:pPr>
              <w:pStyle w:val="Compact"/>
              <w:spacing w:after="40"/>
              <w:jc w:val="left"/>
            </w:pPr>
            <w:r>
              <w:rPr>
                <w:sz w:val="18"/>
              </w:rPr>
              <w:t xml:space="preserve">(loan_id, change_id)</w:t>
            </w:r>
          </w:p>
        </w:tc>
        <w:tc>
          <w:tcPr>
            <w:tcW w:w="1661" w:type="dxa"/>
          </w:tcPr>
          <w:p>
            <w:pPr>
              <w:pStyle w:val="Compact"/>
              <w:spacing w:after="40"/>
              <w:jc w:val="left"/>
            </w:pPr>
            <w:r>
              <w:rPr>
                <w:sz w:val="18"/>
              </w:rPr>
              <w:t xml:space="preserve">Borrower told before effect [REC]</w:t>
            </w:r>
          </w:p>
        </w:tc>
      </w:tr>
      <w:tr>
        <w:tc>
          <w:tcPr>
            <w:tcW w:w="1137" w:type="dxa"/>
          </w:tcPr>
          <w:p>
            <w:pPr>
              <w:pStyle w:val="Compact"/>
              <w:spacing w:after="40"/>
              <w:jc w:val="left"/>
            </w:pPr>
            <w:r>
              <w:rPr>
                <w:sz w:val="18"/>
              </w:rPr>
              <w:t xml:space="preserve">API</w:t>
            </w:r>
            <w:r>
              <w:rPr>
                <w:sz w:val="18"/>
              </w:rPr>
              <w:t xml:space="preserve"> </w:t>
            </w:r>
            <w:r>
              <w:rPr>
                <w:rStyle w:val="VerbatimChar"/>
                <w:sz w:val="18"/>
              </w:rPr>
              <w:t xml:space="preserve">POST /v1/ica/{ica_id}/votes</w:t>
            </w:r>
          </w:p>
        </w:tc>
        <w:tc>
          <w:tcPr>
            <w:tcW w:w="1514" w:type="dxa"/>
          </w:tcPr>
          <w:p>
            <w:pPr>
              <w:pStyle w:val="Compact"/>
              <w:spacing w:after="40"/>
              <w:jc w:val="left"/>
            </w:pPr>
            <w:r>
              <w:rPr>
                <w:sz w:val="18"/>
              </w:rPr>
              <w:t xml:space="preserve">Lenders → ICA lead</w:t>
            </w:r>
          </w:p>
        </w:tc>
        <w:tc>
          <w:tcPr>
            <w:tcW w:w="1555" w:type="dxa"/>
          </w:tcPr>
          <w:p>
            <w:pPr>
              <w:pStyle w:val="Compact"/>
              <w:spacing w:after="40"/>
              <w:jc w:val="left"/>
            </w:pPr>
            <w:r>
              <w:rPr>
                <w:sz w:val="18"/>
              </w:rPr>
              <w:t xml:space="preserve">ICA decision</w:t>
            </w:r>
          </w:p>
        </w:tc>
        <w:tc>
          <w:tcPr>
            <w:tcW w:w="1815" w:type="dxa"/>
          </w:tcPr>
          <w:p>
            <w:pPr>
              <w:pStyle w:val="Compact"/>
              <w:spacing w:after="40"/>
              <w:jc w:val="left"/>
            </w:pPr>
            <w:r>
              <w:rPr>
                <w:sz w:val="18"/>
              </w:rPr>
              <w:t xml:space="preserve">resolution id, lender, value, vote</w:t>
            </w:r>
          </w:p>
        </w:tc>
        <w:tc>
          <w:tcPr>
            <w:tcW w:w="935" w:type="dxa"/>
          </w:tcPr>
          <w:p>
            <w:pPr>
              <w:pStyle w:val="Compact"/>
              <w:spacing w:after="40"/>
              <w:jc w:val="left"/>
            </w:pPr>
            <w:r>
              <w:rPr>
                <w:sz w:val="18"/>
              </w:rPr>
              <w:t xml:space="preserve">ICA lead</w:t>
            </w:r>
          </w:p>
        </w:tc>
        <w:tc>
          <w:tcPr>
            <w:tcW w:w="1021" w:type="dxa"/>
          </w:tcPr>
          <w:p>
            <w:pPr>
              <w:pStyle w:val="Compact"/>
              <w:spacing w:after="40"/>
              <w:jc w:val="left"/>
            </w:pPr>
            <w:r>
              <w:rPr>
                <w:sz w:val="18"/>
              </w:rPr>
              <w:t xml:space="preserve">Idempotency-Key</w:t>
            </w:r>
          </w:p>
        </w:tc>
        <w:tc>
          <w:tcPr>
            <w:tcW w:w="1661" w:type="dxa"/>
          </w:tcPr>
          <w:p>
            <w:pPr>
              <w:pStyle w:val="Compact"/>
              <w:spacing w:after="40"/>
              <w:jc w:val="left"/>
            </w:pPr>
            <w:r>
              <w:rPr>
                <w:sz w:val="18"/>
              </w:rPr>
              <w:t xml:space="preserve">Passes at 75% by value and 60% by number (RSA para 32)</w:t>
            </w:r>
          </w:p>
        </w:tc>
      </w:tr>
    </w:tbl>
    <w:bookmarkEnd w:id="51"/>
    <w:bookmarkStart w:id="52" w:name="collections-collections"/>
    <w:p>
      <w:pPr>
        <w:pStyle w:val="Heading2"/>
      </w:pPr>
      <w:r>
        <w:t xml:space="preserve">6.7 Collections (</w:t>
      </w:r>
      <w:r>
        <w:rPr>
          <w:rStyle w:val="VerbatimChar"/>
        </w:rPr>
        <w:t xml:space="preserve">collections</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72"/>
        <w:gridCol w:w="1128"/>
        <w:gridCol w:w="1700"/>
        <w:gridCol w:w="1666"/>
        <w:gridCol w:w="931"/>
        <w:gridCol w:w="1202"/>
        <w:gridCol w:w="1739"/>
      </w:tblGrid>
      <w:tr>
        <w:trPr>
          <w:tblHeader w:val="true"/>
          <w:tblHeader w:val="true"/>
        </w:trPr>
        <w:tc>
          <w:tcPr>
            <w:tcW w:w="1272" w:type="dxa"/>
            <w:shd w:val="clear" w:color="auto" w:fill="1F3A5F"/>
          </w:tcPr>
          <w:p>
            <w:pPr>
              <w:pStyle w:val="Compact"/>
              <w:spacing w:after="40"/>
              <w:jc w:val="left"/>
            </w:pPr>
            <w:r>
              <w:rPr>
                <w:b/>
                <w:color w:val="FFFFFF"/>
                <w:sz w:val="18"/>
              </w:rPr>
              <w:t xml:space="preserve">Event or API</w:t>
            </w:r>
          </w:p>
        </w:tc>
        <w:tc>
          <w:tcPr>
            <w:tcW w:w="1128" w:type="dxa"/>
            <w:shd w:val="clear" w:color="auto" w:fill="1F3A5F"/>
          </w:tcPr>
          <w:p>
            <w:pPr>
              <w:pStyle w:val="Compact"/>
              <w:spacing w:after="40"/>
              <w:jc w:val="left"/>
            </w:pPr>
            <w:r>
              <w:rPr>
                <w:b/>
                <w:color w:val="FFFFFF"/>
                <w:sz w:val="18"/>
              </w:rPr>
              <w:t xml:space="preserve">Producer → consumer(s)</w:t>
            </w:r>
          </w:p>
        </w:tc>
        <w:tc>
          <w:tcPr>
            <w:tcW w:w="1700" w:type="dxa"/>
            <w:shd w:val="clear" w:color="auto" w:fill="1F3A5F"/>
          </w:tcPr>
          <w:p>
            <w:pPr>
              <w:pStyle w:val="Compact"/>
              <w:spacing w:after="40"/>
              <w:jc w:val="left"/>
            </w:pPr>
            <w:r>
              <w:rPr>
                <w:b/>
                <w:color w:val="FFFFFF"/>
                <w:sz w:val="18"/>
              </w:rPr>
              <w:t xml:space="preserve">Trigger</w:t>
            </w:r>
          </w:p>
        </w:tc>
        <w:tc>
          <w:tcPr>
            <w:tcW w:w="1666" w:type="dxa"/>
            <w:shd w:val="clear" w:color="auto" w:fill="1F3A5F"/>
          </w:tcPr>
          <w:p>
            <w:pPr>
              <w:pStyle w:val="Compact"/>
              <w:spacing w:after="40"/>
              <w:jc w:val="left"/>
            </w:pPr>
            <w:r>
              <w:rPr>
                <w:b/>
                <w:color w:val="FFFFFF"/>
                <w:sz w:val="18"/>
              </w:rPr>
              <w:t xml:space="preserve">Key payload fields</w:t>
            </w:r>
          </w:p>
        </w:tc>
        <w:tc>
          <w:tcPr>
            <w:tcW w:w="931" w:type="dxa"/>
            <w:shd w:val="clear" w:color="auto" w:fill="1F3A5F"/>
          </w:tcPr>
          <w:p>
            <w:pPr>
              <w:pStyle w:val="Compact"/>
              <w:spacing w:after="40"/>
              <w:jc w:val="left"/>
            </w:pPr>
            <w:r>
              <w:rPr>
                <w:b/>
                <w:color w:val="FFFFFF"/>
                <w:sz w:val="18"/>
              </w:rPr>
              <w:t xml:space="preserve">Owner</w:t>
            </w:r>
          </w:p>
        </w:tc>
        <w:tc>
          <w:tcPr>
            <w:tcW w:w="1202" w:type="dxa"/>
            <w:shd w:val="clear" w:color="auto" w:fill="1F3A5F"/>
          </w:tcPr>
          <w:p>
            <w:pPr>
              <w:pStyle w:val="Compact"/>
              <w:spacing w:after="40"/>
              <w:jc w:val="left"/>
            </w:pPr>
            <w:r>
              <w:rPr>
                <w:b/>
                <w:color w:val="FFFFFF"/>
                <w:sz w:val="18"/>
              </w:rPr>
              <w:t xml:space="preserve">Idempotency key</w:t>
            </w:r>
          </w:p>
        </w:tc>
        <w:tc>
          <w:tcPr>
            <w:tcW w:w="1739" w:type="dxa"/>
            <w:shd w:val="clear" w:color="auto" w:fill="1F3A5F"/>
          </w:tcPr>
          <w:p>
            <w:pPr>
              <w:pStyle w:val="Compact"/>
              <w:spacing w:after="40"/>
              <w:jc w:val="left"/>
            </w:pPr>
            <w:r>
              <w:rPr>
                <w:b/>
                <w:color w:val="FFFFFF"/>
                <w:sz w:val="18"/>
              </w:rPr>
              <w:t xml:space="preserve">SLA</w:t>
            </w:r>
          </w:p>
        </w:tc>
      </w:tr>
      <w:tr>
        <w:tc>
          <w:tcPr>
            <w:tcW w:w="1272" w:type="dxa"/>
          </w:tcPr>
          <w:p>
            <w:pPr>
              <w:pStyle w:val="Compact"/>
              <w:spacing w:after="40"/>
              <w:jc w:val="left"/>
            </w:pPr>
            <w:r>
              <w:rPr>
                <w:rStyle w:val="VerbatimChar"/>
                <w:sz w:val="18"/>
              </w:rPr>
              <w:t xml:space="preserve">CollectionAllocated</w:t>
            </w:r>
            <w:r>
              <w:rPr>
                <w:sz w:val="18"/>
              </w:rPr>
              <w:t xml:space="preserve"> </w:t>
            </w:r>
            <w:r>
              <w:rPr>
                <w:sz w:val="18"/>
              </w:rPr>
              <w:t xml:space="preserve">(E)</w:t>
            </w:r>
          </w:p>
        </w:tc>
        <w:tc>
          <w:tcPr>
            <w:tcW w:w="1128" w:type="dxa"/>
          </w:tcPr>
          <w:p>
            <w:pPr>
              <w:pStyle w:val="Compact"/>
              <w:spacing w:after="40"/>
              <w:jc w:val="left"/>
            </w:pPr>
            <w:r>
              <w:rPr>
                <w:sz w:val="18"/>
              </w:rPr>
              <w:t xml:space="preserve">FX → UD, AGY</w:t>
            </w:r>
          </w:p>
        </w:tc>
        <w:tc>
          <w:tcPr>
            <w:tcW w:w="1700" w:type="dxa"/>
          </w:tcPr>
          <w:p>
            <w:pPr>
              <w:pStyle w:val="Compact"/>
              <w:spacing w:after="40"/>
              <w:jc w:val="left"/>
            </w:pPr>
            <w:r>
              <w:rPr>
                <w:sz w:val="18"/>
              </w:rPr>
              <w:t xml:space="preserve">Allocation under an active appointment</w:t>
            </w:r>
          </w:p>
        </w:tc>
        <w:tc>
          <w:tcPr>
            <w:tcW w:w="1666" w:type="dxa"/>
          </w:tcPr>
          <w:p>
            <w:pPr>
              <w:pStyle w:val="Compact"/>
              <w:spacing w:after="40"/>
              <w:jc w:val="left"/>
            </w:pPr>
            <w:r>
              <w:rPr>
                <w:sz w:val="18"/>
              </w:rPr>
              <w:t xml:space="preserve">bucket, contact rules, agents, territory</w:t>
            </w:r>
          </w:p>
        </w:tc>
        <w:tc>
          <w:tcPr>
            <w:tcW w:w="931" w:type="dxa"/>
          </w:tcPr>
          <w:p>
            <w:pPr>
              <w:pStyle w:val="Compact"/>
              <w:spacing w:after="40"/>
              <w:jc w:val="left"/>
            </w:pPr>
            <w:r>
              <w:rPr>
                <w:sz w:val="18"/>
              </w:rPr>
              <w:t xml:space="preserve">FX</w:t>
            </w:r>
          </w:p>
        </w:tc>
        <w:tc>
          <w:tcPr>
            <w:tcW w:w="1202" w:type="dxa"/>
          </w:tcPr>
          <w:p>
            <w:pPr>
              <w:pStyle w:val="Compact"/>
              <w:spacing w:after="40"/>
              <w:jc w:val="left"/>
            </w:pPr>
            <w:r>
              <w:rPr>
                <w:sz w:val="18"/>
              </w:rPr>
              <w:t xml:space="preserve">allocation_id</w:t>
            </w:r>
          </w:p>
        </w:tc>
        <w:tc>
          <w:tcPr>
            <w:tcW w:w="1739" w:type="dxa"/>
          </w:tcPr>
          <w:p>
            <w:pPr>
              <w:pStyle w:val="Compact"/>
              <w:spacing w:after="40"/>
              <w:jc w:val="left"/>
            </w:pPr>
            <w:r>
              <w:rPr>
                <w:sz w:val="18"/>
              </w:rPr>
              <w:t xml:space="preserve">Receiver rejects without matching appointment</w:t>
            </w:r>
          </w:p>
        </w:tc>
      </w:tr>
      <w:tr>
        <w:tc>
          <w:tcPr>
            <w:tcW w:w="1272" w:type="dxa"/>
          </w:tcPr>
          <w:p>
            <w:pPr>
              <w:pStyle w:val="Compact"/>
              <w:spacing w:after="40"/>
              <w:jc w:val="left"/>
            </w:pPr>
            <w:r>
              <w:rPr>
                <w:rStyle w:val="VerbatimChar"/>
                <w:sz w:val="18"/>
              </w:rPr>
              <w:t xml:space="preserve">CollectionDeallocated</w:t>
            </w:r>
            <w:r>
              <w:rPr>
                <w:sz w:val="18"/>
              </w:rPr>
              <w:t xml:space="preserve"> </w:t>
            </w:r>
            <w:r>
              <w:rPr>
                <w:sz w:val="18"/>
              </w:rPr>
              <w:t xml:space="preserve">(E)</w:t>
            </w:r>
          </w:p>
        </w:tc>
        <w:tc>
          <w:tcPr>
            <w:tcW w:w="1128" w:type="dxa"/>
          </w:tcPr>
          <w:p>
            <w:pPr>
              <w:pStyle w:val="Compact"/>
              <w:spacing w:after="40"/>
              <w:jc w:val="left"/>
            </w:pPr>
            <w:r>
              <w:rPr>
                <w:sz w:val="18"/>
              </w:rPr>
              <w:t xml:space="preserve">FX → UD, AGY</w:t>
            </w:r>
          </w:p>
        </w:tc>
        <w:tc>
          <w:tcPr>
            <w:tcW w:w="1700" w:type="dxa"/>
          </w:tcPr>
          <w:p>
            <w:pPr>
              <w:pStyle w:val="Compact"/>
              <w:spacing w:after="40"/>
              <w:jc w:val="left"/>
            </w:pPr>
            <w:r>
              <w:rPr>
                <w:sz w:val="18"/>
              </w:rPr>
              <w:t xml:space="preserve">Recall, cure, settlement, hold, appointment end</w:t>
            </w:r>
          </w:p>
        </w:tc>
        <w:tc>
          <w:tcPr>
            <w:tcW w:w="1666" w:type="dxa"/>
          </w:tcPr>
          <w:p>
            <w:pPr>
              <w:pStyle w:val="Compact"/>
              <w:spacing w:after="40"/>
              <w:jc w:val="left"/>
            </w:pPr>
            <w:r>
              <w:rPr>
                <w:sz w:val="18"/>
              </w:rPr>
              <w:t xml:space="preserve">reason</w:t>
            </w:r>
          </w:p>
        </w:tc>
        <w:tc>
          <w:tcPr>
            <w:tcW w:w="931" w:type="dxa"/>
          </w:tcPr>
          <w:p>
            <w:pPr>
              <w:pStyle w:val="Compact"/>
              <w:spacing w:after="40"/>
              <w:jc w:val="left"/>
            </w:pPr>
            <w:r>
              <w:rPr>
                <w:sz w:val="18"/>
              </w:rPr>
              <w:t xml:space="preserve">FX</w:t>
            </w:r>
          </w:p>
        </w:tc>
        <w:tc>
          <w:tcPr>
            <w:tcW w:w="1202" w:type="dxa"/>
          </w:tcPr>
          <w:p>
            <w:pPr>
              <w:pStyle w:val="Compact"/>
              <w:spacing w:after="40"/>
              <w:jc w:val="left"/>
            </w:pPr>
            <w:r>
              <w:rPr>
                <w:sz w:val="18"/>
              </w:rPr>
              <w:t xml:space="preserve">allocation_id</w:t>
            </w:r>
          </w:p>
        </w:tc>
        <w:tc>
          <w:tcPr>
            <w:tcW w:w="1739" w:type="dxa"/>
          </w:tcPr>
          <w:p>
            <w:pPr>
              <w:pStyle w:val="Compact"/>
              <w:spacing w:after="40"/>
              <w:jc w:val="left"/>
            </w:pPr>
            <w:r>
              <w:rPr>
                <w:sz w:val="18"/>
              </w:rPr>
              <w:t xml:space="preserve">Contact stops immediately</w:t>
            </w:r>
          </w:p>
        </w:tc>
      </w:tr>
      <w:tr>
        <w:tc>
          <w:tcPr>
            <w:tcW w:w="1272" w:type="dxa"/>
          </w:tcPr>
          <w:p>
            <w:pPr>
              <w:pStyle w:val="Compact"/>
              <w:spacing w:after="40"/>
              <w:jc w:val="left"/>
            </w:pPr>
            <w:r>
              <w:rPr>
                <w:rStyle w:val="VerbatimChar"/>
                <w:sz w:val="18"/>
              </w:rPr>
              <w:t xml:space="preserve">RecoveryAgentNoticeSent</w:t>
            </w:r>
            <w:r>
              <w:rPr>
                <w:sz w:val="18"/>
              </w:rPr>
              <w:t xml:space="preserve"> </w:t>
            </w:r>
            <w:r>
              <w:rPr>
                <w:sz w:val="18"/>
              </w:rPr>
              <w:t xml:space="preserve">(N+)</w:t>
            </w:r>
          </w:p>
        </w:tc>
        <w:tc>
          <w:tcPr>
            <w:tcW w:w="1128" w:type="dxa"/>
          </w:tcPr>
          <w:p>
            <w:pPr>
              <w:pStyle w:val="Compact"/>
              <w:spacing w:after="40"/>
              <w:jc w:val="left"/>
            </w:pPr>
            <w:r>
              <w:rPr>
                <w:sz w:val="18"/>
              </w:rPr>
              <w:t xml:space="preserve">FX → UD, AGY</w:t>
            </w:r>
          </w:p>
        </w:tc>
        <w:tc>
          <w:tcPr>
            <w:tcW w:w="1700" w:type="dxa"/>
          </w:tcPr>
          <w:p>
            <w:pPr>
              <w:pStyle w:val="Compact"/>
              <w:spacing w:after="40"/>
              <w:jc w:val="left"/>
            </w:pPr>
            <w:r>
              <w:rPr>
                <w:sz w:val="18"/>
              </w:rPr>
              <w:t xml:space="preserve">Agent particulars sent to borrower by email or SMS</w:t>
            </w:r>
          </w:p>
        </w:tc>
        <w:tc>
          <w:tcPr>
            <w:tcW w:w="1666" w:type="dxa"/>
          </w:tcPr>
          <w:p>
            <w:pPr>
              <w:pStyle w:val="Compact"/>
              <w:spacing w:after="40"/>
              <w:jc w:val="left"/>
            </w:pPr>
            <w:r>
              <w:rPr>
                <w:sz w:val="18"/>
              </w:rPr>
              <w:t xml:space="preserve">agent details, delivery evidence</w:t>
            </w:r>
          </w:p>
        </w:tc>
        <w:tc>
          <w:tcPr>
            <w:tcW w:w="931" w:type="dxa"/>
          </w:tcPr>
          <w:p>
            <w:pPr>
              <w:pStyle w:val="Compact"/>
              <w:spacing w:after="40"/>
              <w:jc w:val="left"/>
            </w:pPr>
            <w:r>
              <w:rPr>
                <w:sz w:val="18"/>
              </w:rPr>
              <w:t xml:space="preserve">FX</w:t>
            </w:r>
          </w:p>
        </w:tc>
        <w:tc>
          <w:tcPr>
            <w:tcW w:w="1202" w:type="dxa"/>
          </w:tcPr>
          <w:p>
            <w:pPr>
              <w:pStyle w:val="Compact"/>
              <w:spacing w:after="40"/>
              <w:jc w:val="left"/>
            </w:pPr>
            <w:r>
              <w:rPr>
                <w:sz w:val="18"/>
              </w:rPr>
              <w:t xml:space="preserve">(allocation_id, borrower)</w:t>
            </w:r>
          </w:p>
        </w:tc>
        <w:tc>
          <w:tcPr>
            <w:tcW w:w="1739" w:type="dxa"/>
          </w:tcPr>
          <w:p>
            <w:pPr>
              <w:pStyle w:val="Compact"/>
              <w:spacing w:after="40"/>
              <w:jc w:val="left"/>
            </w:pPr>
            <w:r>
              <w:rPr>
                <w:sz w:val="18"/>
              </w:rPr>
              <w:t xml:space="preserve">Before first contact (CF para 9(6); RBC paras 95–96)</w:t>
            </w:r>
          </w:p>
        </w:tc>
      </w:tr>
      <w:tr>
        <w:tc>
          <w:tcPr>
            <w:tcW w:w="1272" w:type="dxa"/>
          </w:tcPr>
          <w:p>
            <w:pPr>
              <w:pStyle w:val="Compact"/>
              <w:spacing w:after="40"/>
              <w:jc w:val="left"/>
            </w:pPr>
            <w:r>
              <w:rPr>
                <w:rStyle w:val="VerbatimChar"/>
                <w:sz w:val="18"/>
              </w:rPr>
              <w:t xml:space="preserve">CollectionActivityLogged</w:t>
            </w:r>
            <w:r>
              <w:rPr>
                <w:sz w:val="18"/>
              </w:rPr>
              <w:t xml:space="preserve"> </w:t>
            </w:r>
            <w:r>
              <w:rPr>
                <w:sz w:val="18"/>
              </w:rPr>
              <w:t xml:space="preserve">(E)</w:t>
            </w:r>
          </w:p>
        </w:tc>
        <w:tc>
          <w:tcPr>
            <w:tcW w:w="1128" w:type="dxa"/>
          </w:tcPr>
          <w:p>
            <w:pPr>
              <w:pStyle w:val="Compact"/>
              <w:spacing w:after="40"/>
              <w:jc w:val="left"/>
            </w:pPr>
            <w:r>
              <w:rPr>
                <w:sz w:val="18"/>
              </w:rPr>
              <w:t xml:space="preserve">UD, AGY → FX</w:t>
            </w:r>
          </w:p>
        </w:tc>
        <w:tc>
          <w:tcPr>
            <w:tcW w:w="1700" w:type="dxa"/>
          </w:tcPr>
          <w:p>
            <w:pPr>
              <w:pStyle w:val="Compact"/>
              <w:spacing w:after="40"/>
              <w:jc w:val="left"/>
            </w:pPr>
            <w:r>
              <w:rPr>
                <w:sz w:val="18"/>
              </w:rPr>
              <w:t xml:space="preserve">Call, message or visit attempt</w:t>
            </w:r>
          </w:p>
        </w:tc>
        <w:tc>
          <w:tcPr>
            <w:tcW w:w="1666" w:type="dxa"/>
          </w:tcPr>
          <w:p>
            <w:pPr>
              <w:pStyle w:val="Compact"/>
              <w:spacing w:after="40"/>
              <w:jc w:val="left"/>
            </w:pPr>
            <w:r>
              <w:rPr>
                <w:sz w:val="18"/>
              </w:rPr>
              <w:t xml:space="preserve">channel, outcome, recording ref, policy check id</w:t>
            </w:r>
          </w:p>
        </w:tc>
        <w:tc>
          <w:tcPr>
            <w:tcW w:w="931" w:type="dxa"/>
          </w:tcPr>
          <w:p>
            <w:pPr>
              <w:pStyle w:val="Compact"/>
              <w:spacing w:after="40"/>
              <w:jc w:val="left"/>
            </w:pPr>
            <w:r>
              <w:rPr>
                <w:sz w:val="18"/>
              </w:rPr>
              <w:t xml:space="preserve">UD or AGY</w:t>
            </w:r>
          </w:p>
        </w:tc>
        <w:tc>
          <w:tcPr>
            <w:tcW w:w="1202" w:type="dxa"/>
          </w:tcPr>
          <w:p>
            <w:pPr>
              <w:pStyle w:val="Compact"/>
              <w:spacing w:after="40"/>
              <w:jc w:val="left"/>
            </w:pPr>
            <w:r>
              <w:rPr>
                <w:sz w:val="18"/>
              </w:rPr>
              <w:t xml:space="preserve">attempt_id</w:t>
            </w:r>
          </w:p>
        </w:tc>
        <w:tc>
          <w:tcPr>
            <w:tcW w:w="1739" w:type="dxa"/>
          </w:tcPr>
          <w:p>
            <w:pPr>
              <w:pStyle w:val="Compact"/>
              <w:spacing w:after="40"/>
              <w:jc w:val="left"/>
            </w:pPr>
            <w:r>
              <w:rPr>
                <w:sz w:val="18"/>
              </w:rPr>
              <w:t xml:space="preserve">≤ 15 min</w:t>
            </w:r>
          </w:p>
        </w:tc>
      </w:tr>
      <w:tr>
        <w:tc>
          <w:tcPr>
            <w:tcW w:w="1272" w:type="dxa"/>
          </w:tcPr>
          <w:p>
            <w:pPr>
              <w:pStyle w:val="Compact"/>
              <w:spacing w:after="40"/>
              <w:jc w:val="left"/>
            </w:pPr>
            <w:r>
              <w:rPr>
                <w:rStyle w:val="VerbatimChar"/>
                <w:sz w:val="18"/>
              </w:rPr>
              <w:t xml:space="preserve">PTPCaptured</w:t>
            </w:r>
            <w:r>
              <w:rPr>
                <w:sz w:val="18"/>
              </w:rPr>
              <w:t xml:space="preserve"> </w:t>
            </w:r>
            <w:r>
              <w:rPr>
                <w:sz w:val="18"/>
              </w:rPr>
              <w:t xml:space="preserve">(E)</w:t>
            </w:r>
          </w:p>
        </w:tc>
        <w:tc>
          <w:tcPr>
            <w:tcW w:w="1128" w:type="dxa"/>
          </w:tcPr>
          <w:p>
            <w:pPr>
              <w:pStyle w:val="Compact"/>
              <w:spacing w:after="40"/>
              <w:jc w:val="left"/>
            </w:pPr>
            <w:r>
              <w:rPr>
                <w:sz w:val="18"/>
              </w:rPr>
              <w:t xml:space="preserve">UD, AGY → FX</w:t>
            </w:r>
          </w:p>
        </w:tc>
        <w:tc>
          <w:tcPr>
            <w:tcW w:w="1700" w:type="dxa"/>
          </w:tcPr>
          <w:p>
            <w:pPr>
              <w:pStyle w:val="Compact"/>
              <w:spacing w:after="40"/>
              <w:jc w:val="left"/>
            </w:pPr>
            <w:r>
              <w:rPr>
                <w:sz w:val="18"/>
              </w:rPr>
              <w:t xml:space="preserve">Promise to pay</w:t>
            </w:r>
          </w:p>
        </w:tc>
        <w:tc>
          <w:tcPr>
            <w:tcW w:w="1666" w:type="dxa"/>
          </w:tcPr>
          <w:p>
            <w:pPr>
              <w:pStyle w:val="Compact"/>
              <w:spacing w:after="40"/>
              <w:jc w:val="left"/>
            </w:pPr>
            <w:r>
              <w:rPr>
                <w:sz w:val="18"/>
              </w:rPr>
              <w:t xml:space="preserve">amount, date, evidence</w:t>
            </w:r>
          </w:p>
        </w:tc>
        <w:tc>
          <w:tcPr>
            <w:tcW w:w="931" w:type="dxa"/>
          </w:tcPr>
          <w:p>
            <w:pPr>
              <w:pStyle w:val="Compact"/>
              <w:spacing w:after="40"/>
              <w:jc w:val="left"/>
            </w:pPr>
            <w:r>
              <w:rPr>
                <w:sz w:val="18"/>
              </w:rPr>
              <w:t xml:space="preserve">UD or AGY</w:t>
            </w:r>
          </w:p>
        </w:tc>
        <w:tc>
          <w:tcPr>
            <w:tcW w:w="1202" w:type="dxa"/>
          </w:tcPr>
          <w:p>
            <w:pPr>
              <w:pStyle w:val="Compact"/>
              <w:spacing w:after="40"/>
              <w:jc w:val="left"/>
            </w:pPr>
            <w:r>
              <w:rPr>
                <w:sz w:val="18"/>
              </w:rPr>
              <w:t xml:space="preserve">ptp_id</w:t>
            </w:r>
          </w:p>
        </w:tc>
        <w:tc>
          <w:tcPr>
            <w:tcW w:w="1739" w:type="dxa"/>
          </w:tcPr>
          <w:p>
            <w:pPr>
              <w:pStyle w:val="Compact"/>
              <w:spacing w:after="40"/>
              <w:jc w:val="left"/>
            </w:pPr>
            <w:r>
              <w:rPr>
                <w:sz w:val="18"/>
              </w:rPr>
              <w:t xml:space="preserve">≤ 15 min</w:t>
            </w:r>
          </w:p>
        </w:tc>
      </w:tr>
      <w:tr>
        <w:tc>
          <w:tcPr>
            <w:tcW w:w="1272" w:type="dxa"/>
          </w:tcPr>
          <w:p>
            <w:pPr>
              <w:pStyle w:val="Compact"/>
              <w:spacing w:after="40"/>
              <w:jc w:val="left"/>
            </w:pPr>
            <w:r>
              <w:rPr>
                <w:rStyle w:val="VerbatimChar"/>
                <w:sz w:val="18"/>
              </w:rPr>
              <w:t xml:space="preserve">FieldVisitLogged</w:t>
            </w:r>
            <w:r>
              <w:rPr>
                <w:sz w:val="18"/>
              </w:rPr>
              <w:t xml:space="preserve"> </w:t>
            </w:r>
            <w:r>
              <w:rPr>
                <w:sz w:val="18"/>
              </w:rPr>
              <w:t xml:space="preserve">(E)</w:t>
            </w:r>
          </w:p>
        </w:tc>
        <w:tc>
          <w:tcPr>
            <w:tcW w:w="1128" w:type="dxa"/>
          </w:tcPr>
          <w:p>
            <w:pPr>
              <w:pStyle w:val="Compact"/>
              <w:spacing w:after="40"/>
              <w:jc w:val="left"/>
            </w:pPr>
            <w:r>
              <w:rPr>
                <w:sz w:val="18"/>
              </w:rPr>
              <w:t xml:space="preserve">UD, AGY, FIA → FX</w:t>
            </w:r>
          </w:p>
        </w:tc>
        <w:tc>
          <w:tcPr>
            <w:tcW w:w="1700" w:type="dxa"/>
          </w:tcPr>
          <w:p>
            <w:pPr>
              <w:pStyle w:val="Compact"/>
              <w:spacing w:after="40"/>
              <w:jc w:val="left"/>
            </w:pPr>
            <w:r>
              <w:rPr>
                <w:sz w:val="18"/>
              </w:rPr>
              <w:t xml:space="preserve">Field visit</w:t>
            </w:r>
          </w:p>
        </w:tc>
        <w:tc>
          <w:tcPr>
            <w:tcW w:w="1666" w:type="dxa"/>
          </w:tcPr>
          <w:p>
            <w:pPr>
              <w:pStyle w:val="Compact"/>
              <w:spacing w:after="40"/>
              <w:jc w:val="left"/>
            </w:pPr>
            <w:r>
              <w:rPr>
                <w:sz w:val="18"/>
              </w:rPr>
              <w:t xml:space="preserve">geo, time, premises photo, outcome</w:t>
            </w:r>
          </w:p>
        </w:tc>
        <w:tc>
          <w:tcPr>
            <w:tcW w:w="931" w:type="dxa"/>
          </w:tcPr>
          <w:p>
            <w:pPr>
              <w:pStyle w:val="Compact"/>
              <w:spacing w:after="40"/>
              <w:jc w:val="left"/>
            </w:pPr>
            <w:r>
              <w:rPr>
                <w:sz w:val="18"/>
              </w:rPr>
              <w:t xml:space="preserve">Visiting system</w:t>
            </w:r>
          </w:p>
        </w:tc>
        <w:tc>
          <w:tcPr>
            <w:tcW w:w="1202" w:type="dxa"/>
          </w:tcPr>
          <w:p>
            <w:pPr>
              <w:pStyle w:val="Compact"/>
              <w:spacing w:after="40"/>
              <w:jc w:val="left"/>
            </w:pPr>
            <w:r>
              <w:rPr>
                <w:sz w:val="18"/>
              </w:rPr>
              <w:t xml:space="preserve">visit_id</w:t>
            </w:r>
          </w:p>
        </w:tc>
        <w:tc>
          <w:tcPr>
            <w:tcW w:w="1739" w:type="dxa"/>
          </w:tcPr>
          <w:p>
            <w:pPr>
              <w:pStyle w:val="Compact"/>
              <w:spacing w:after="40"/>
              <w:jc w:val="left"/>
            </w:pPr>
            <w:r>
              <w:rPr>
                <w:sz w:val="18"/>
              </w:rPr>
              <w:t xml:space="preserve">≤ 15 min</w:t>
            </w:r>
          </w:p>
        </w:tc>
      </w:tr>
      <w:tr>
        <w:tc>
          <w:tcPr>
            <w:tcW w:w="1272" w:type="dxa"/>
          </w:tcPr>
          <w:p>
            <w:pPr>
              <w:pStyle w:val="Compact"/>
              <w:spacing w:after="40"/>
              <w:jc w:val="left"/>
            </w:pPr>
            <w:r>
              <w:rPr>
                <w:rStyle w:val="VerbatimChar"/>
                <w:sz w:val="18"/>
              </w:rPr>
              <w:t xml:space="preserve">ReceiptIssued</w:t>
            </w:r>
            <w:r>
              <w:rPr>
                <w:sz w:val="18"/>
              </w:rPr>
              <w:t xml:space="preserve"> </w:t>
            </w:r>
            <w:r>
              <w:rPr>
                <w:sz w:val="18"/>
              </w:rPr>
              <w:t xml:space="preserve">(E)</w:t>
            </w:r>
          </w:p>
        </w:tc>
        <w:tc>
          <w:tcPr>
            <w:tcW w:w="1128" w:type="dxa"/>
          </w:tcPr>
          <w:p>
            <w:pPr>
              <w:pStyle w:val="Compact"/>
              <w:spacing w:after="40"/>
              <w:jc w:val="left"/>
            </w:pPr>
            <w:r>
              <w:rPr>
                <w:sz w:val="18"/>
              </w:rPr>
              <w:t xml:space="preserve">UD, AGY → FX</w:t>
            </w:r>
          </w:p>
        </w:tc>
        <w:tc>
          <w:tcPr>
            <w:tcW w:w="1700" w:type="dxa"/>
          </w:tcPr>
          <w:p>
            <w:pPr>
              <w:pStyle w:val="Compact"/>
              <w:spacing w:after="40"/>
              <w:jc w:val="left"/>
            </w:pPr>
            <w:r>
              <w:rPr>
                <w:sz w:val="18"/>
              </w:rPr>
              <w:t xml:space="preserve">Cash or instrument collected by appointed agent</w:t>
            </w:r>
          </w:p>
        </w:tc>
        <w:tc>
          <w:tcPr>
            <w:tcW w:w="1666" w:type="dxa"/>
          </w:tcPr>
          <w:p>
            <w:pPr>
              <w:pStyle w:val="Compact"/>
              <w:spacing w:after="40"/>
              <w:jc w:val="left"/>
            </w:pPr>
            <w:r>
              <w:rPr>
                <w:sz w:val="18"/>
              </w:rPr>
              <w:t xml:space="preserve">receipt_no, amount, deposit ref into RE account</w:t>
            </w:r>
          </w:p>
        </w:tc>
        <w:tc>
          <w:tcPr>
            <w:tcW w:w="931" w:type="dxa"/>
          </w:tcPr>
          <w:p>
            <w:pPr>
              <w:pStyle w:val="Compact"/>
              <w:spacing w:after="40"/>
              <w:jc w:val="left"/>
            </w:pPr>
            <w:r>
              <w:rPr>
                <w:sz w:val="18"/>
              </w:rPr>
              <w:t xml:space="preserve">FX posting</w:t>
            </w:r>
          </w:p>
        </w:tc>
        <w:tc>
          <w:tcPr>
            <w:tcW w:w="1202" w:type="dxa"/>
          </w:tcPr>
          <w:p>
            <w:pPr>
              <w:pStyle w:val="Compact"/>
              <w:spacing w:after="40"/>
              <w:jc w:val="left"/>
            </w:pPr>
            <w:r>
              <w:rPr>
                <w:sz w:val="18"/>
              </w:rPr>
              <w:t xml:space="preserve">receipt_no</w:t>
            </w:r>
          </w:p>
        </w:tc>
        <w:tc>
          <w:tcPr>
            <w:tcW w:w="1739" w:type="dxa"/>
          </w:tcPr>
          <w:p>
            <w:pPr>
              <w:pStyle w:val="Compact"/>
              <w:spacing w:after="40"/>
              <w:jc w:val="left"/>
            </w:pPr>
            <w:r>
              <w:rPr>
                <w:sz w:val="18"/>
              </w:rPr>
              <w:t xml:space="preserve">Posted same day, no fee deducted (CF para 10(5))</w:t>
            </w:r>
          </w:p>
        </w:tc>
      </w:tr>
    </w:tbl>
    <w:bookmarkEnd w:id="52"/>
    <w:bookmarkStart w:id="53" w:name="recovery-recovery"/>
    <w:p>
      <w:pPr>
        <w:pStyle w:val="Heading2"/>
      </w:pPr>
      <w:r>
        <w:t xml:space="preserve">6.8 Recovery (</w:t>
      </w:r>
      <w:r>
        <w:rPr>
          <w:rStyle w:val="VerbatimChar"/>
        </w:rPr>
        <w:t xml:space="preserve">recovery</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39"/>
        <w:gridCol w:w="1675"/>
        <w:gridCol w:w="1224"/>
        <w:gridCol w:w="1925"/>
        <w:gridCol w:w="873"/>
        <w:gridCol w:w="1119"/>
        <w:gridCol w:w="1383"/>
      </w:tblGrid>
      <w:tr>
        <w:trPr>
          <w:tblHeader w:val="true"/>
          <w:tblHeader w:val="true"/>
        </w:trPr>
        <w:tc>
          <w:tcPr>
            <w:tcW w:w="1439" w:type="dxa"/>
            <w:shd w:val="clear" w:color="auto" w:fill="1F3A5F"/>
          </w:tcPr>
          <w:p>
            <w:pPr>
              <w:pStyle w:val="Compact"/>
              <w:spacing w:after="40"/>
              <w:jc w:val="left"/>
            </w:pPr>
            <w:r>
              <w:rPr>
                <w:b/>
                <w:color w:val="FFFFFF"/>
                <w:sz w:val="18"/>
              </w:rPr>
              <w:t xml:space="preserve">Event or API</w:t>
            </w:r>
          </w:p>
        </w:tc>
        <w:tc>
          <w:tcPr>
            <w:tcW w:w="1675" w:type="dxa"/>
            <w:shd w:val="clear" w:color="auto" w:fill="1F3A5F"/>
          </w:tcPr>
          <w:p>
            <w:pPr>
              <w:pStyle w:val="Compact"/>
              <w:spacing w:after="40"/>
              <w:jc w:val="left"/>
            </w:pPr>
            <w:r>
              <w:rPr>
                <w:b/>
                <w:color w:val="FFFFFF"/>
                <w:sz w:val="18"/>
              </w:rPr>
              <w:t xml:space="preserve">Producer → consumer(s)</w:t>
            </w:r>
          </w:p>
        </w:tc>
        <w:tc>
          <w:tcPr>
            <w:tcW w:w="1224" w:type="dxa"/>
            <w:shd w:val="clear" w:color="auto" w:fill="1F3A5F"/>
          </w:tcPr>
          <w:p>
            <w:pPr>
              <w:pStyle w:val="Compact"/>
              <w:spacing w:after="40"/>
              <w:jc w:val="left"/>
            </w:pPr>
            <w:r>
              <w:rPr>
                <w:b/>
                <w:color w:val="FFFFFF"/>
                <w:sz w:val="18"/>
              </w:rPr>
              <w:t xml:space="preserve">Trigger</w:t>
            </w:r>
          </w:p>
        </w:tc>
        <w:tc>
          <w:tcPr>
            <w:tcW w:w="1925" w:type="dxa"/>
            <w:shd w:val="clear" w:color="auto" w:fill="1F3A5F"/>
          </w:tcPr>
          <w:p>
            <w:pPr>
              <w:pStyle w:val="Compact"/>
              <w:spacing w:after="40"/>
              <w:jc w:val="left"/>
            </w:pPr>
            <w:r>
              <w:rPr>
                <w:b/>
                <w:color w:val="FFFFFF"/>
                <w:sz w:val="18"/>
              </w:rPr>
              <w:t xml:space="preserve">Key payload fields</w:t>
            </w:r>
          </w:p>
        </w:tc>
        <w:tc>
          <w:tcPr>
            <w:tcW w:w="873" w:type="dxa"/>
            <w:shd w:val="clear" w:color="auto" w:fill="1F3A5F"/>
          </w:tcPr>
          <w:p>
            <w:pPr>
              <w:pStyle w:val="Compact"/>
              <w:spacing w:after="40"/>
              <w:jc w:val="left"/>
            </w:pPr>
            <w:r>
              <w:rPr>
                <w:b/>
                <w:color w:val="FFFFFF"/>
                <w:sz w:val="18"/>
              </w:rPr>
              <w:t xml:space="preserve">Owner</w:t>
            </w:r>
          </w:p>
        </w:tc>
        <w:tc>
          <w:tcPr>
            <w:tcW w:w="1119" w:type="dxa"/>
            <w:shd w:val="clear" w:color="auto" w:fill="1F3A5F"/>
          </w:tcPr>
          <w:p>
            <w:pPr>
              <w:pStyle w:val="Compact"/>
              <w:spacing w:after="40"/>
              <w:jc w:val="left"/>
            </w:pPr>
            <w:r>
              <w:rPr>
                <w:b/>
                <w:color w:val="FFFFFF"/>
                <w:sz w:val="18"/>
              </w:rPr>
              <w:t xml:space="preserve">Idempotency key</w:t>
            </w:r>
          </w:p>
        </w:tc>
        <w:tc>
          <w:tcPr>
            <w:tcW w:w="1383" w:type="dxa"/>
            <w:shd w:val="clear" w:color="auto" w:fill="1F3A5F"/>
          </w:tcPr>
          <w:p>
            <w:pPr>
              <w:pStyle w:val="Compact"/>
              <w:spacing w:after="40"/>
              <w:jc w:val="left"/>
            </w:pPr>
            <w:r>
              <w:rPr>
                <w:b/>
                <w:color w:val="FFFFFF"/>
                <w:sz w:val="18"/>
              </w:rPr>
              <w:t xml:space="preserve">SLA</w:t>
            </w:r>
          </w:p>
        </w:tc>
      </w:tr>
      <w:tr>
        <w:tc>
          <w:tcPr>
            <w:tcW w:w="1439" w:type="dxa"/>
          </w:tcPr>
          <w:p>
            <w:pPr>
              <w:pStyle w:val="Compact"/>
              <w:spacing w:after="40"/>
              <w:jc w:val="left"/>
            </w:pPr>
            <w:r>
              <w:rPr>
                <w:rStyle w:val="VerbatimChar"/>
                <w:sz w:val="18"/>
              </w:rPr>
              <w:t xml:space="preserve">RecoveryCaseOpened</w:t>
            </w:r>
            <w:r>
              <w:rPr>
                <w:sz w:val="18"/>
              </w:rPr>
              <w:t xml:space="preserve"> </w:t>
            </w:r>
            <w:r>
              <w:rPr>
                <w:sz w:val="18"/>
              </w:rPr>
              <w:t xml:space="preserve">(N)</w:t>
            </w:r>
          </w:p>
        </w:tc>
        <w:tc>
          <w:tcPr>
            <w:tcW w:w="1675" w:type="dxa"/>
          </w:tcPr>
          <w:p>
            <w:pPr>
              <w:pStyle w:val="Compact"/>
              <w:spacing w:after="40"/>
              <w:jc w:val="left"/>
            </w:pPr>
            <w:r>
              <w:rPr>
                <w:sz w:val="18"/>
              </w:rPr>
              <w:t xml:space="preserve">RS → UD (projection), LDC</w:t>
            </w:r>
          </w:p>
        </w:tc>
        <w:tc>
          <w:tcPr>
            <w:tcW w:w="1224" w:type="dxa"/>
          </w:tcPr>
          <w:p>
            <w:pPr>
              <w:pStyle w:val="Compact"/>
              <w:spacing w:after="40"/>
              <w:jc w:val="left"/>
            </w:pPr>
            <w:r>
              <w:rPr>
                <w:sz w:val="18"/>
              </w:rPr>
              <w:t xml:space="preserve">Rule trigger (DPD, NPA, bounce, fraud, death) or manual</w:t>
            </w:r>
          </w:p>
        </w:tc>
        <w:tc>
          <w:tcPr>
            <w:tcW w:w="1925" w:type="dxa"/>
          </w:tcPr>
          <w:p>
            <w:pPr>
              <w:pStyle w:val="Compact"/>
              <w:spacing w:after="40"/>
              <w:jc w:val="left"/>
            </w:pPr>
            <w:r>
              <w:rPr>
                <w:sz w:val="18"/>
              </w:rPr>
              <w:t xml:space="preserve">trigger, permitted and blocked mechanisms, limitation dates, legal_stage</w:t>
            </w:r>
          </w:p>
        </w:tc>
        <w:tc>
          <w:tcPr>
            <w:tcW w:w="873" w:type="dxa"/>
          </w:tcPr>
          <w:p>
            <w:pPr>
              <w:pStyle w:val="Compact"/>
              <w:spacing w:after="40"/>
              <w:jc w:val="left"/>
            </w:pPr>
            <w:r>
              <w:rPr>
                <w:sz w:val="18"/>
              </w:rPr>
              <w:t xml:space="preserve">RS</w:t>
            </w:r>
          </w:p>
        </w:tc>
        <w:tc>
          <w:tcPr>
            <w:tcW w:w="1119" w:type="dxa"/>
          </w:tcPr>
          <w:p>
            <w:pPr>
              <w:pStyle w:val="Compact"/>
              <w:spacing w:after="40"/>
              <w:jc w:val="left"/>
            </w:pPr>
            <w:r>
              <w:rPr>
                <w:sz w:val="18"/>
              </w:rPr>
              <w:t xml:space="preserve">recovery_case_id</w:t>
            </w:r>
          </w:p>
        </w:tc>
        <w:tc>
          <w:tcPr>
            <w:tcW w:w="1383" w:type="dxa"/>
          </w:tcPr>
          <w:p>
            <w:pPr>
              <w:pStyle w:val="Compact"/>
              <w:spacing w:after="40"/>
              <w:jc w:val="left"/>
            </w:pPr>
            <w:r>
              <w:rPr>
                <w:sz w:val="18"/>
              </w:rPr>
              <w:t xml:space="preserve">≤ 15 min</w:t>
            </w:r>
          </w:p>
        </w:tc>
      </w:tr>
      <w:tr>
        <w:tc>
          <w:tcPr>
            <w:tcW w:w="1439" w:type="dxa"/>
          </w:tcPr>
          <w:p>
            <w:pPr>
              <w:pStyle w:val="Compact"/>
              <w:spacing w:after="40"/>
              <w:jc w:val="left"/>
            </w:pPr>
            <w:r>
              <w:rPr>
                <w:rStyle w:val="VerbatimChar"/>
                <w:sz w:val="18"/>
              </w:rPr>
              <w:t xml:space="preserve">RecoveryStrategyChanged</w:t>
            </w:r>
            <w:r>
              <w:rPr>
                <w:sz w:val="18"/>
              </w:rPr>
              <w:t xml:space="preserve"> </w:t>
            </w:r>
            <w:r>
              <w:rPr>
                <w:sz w:val="18"/>
              </w:rPr>
              <w:t xml:space="preserve">(N)</w:t>
            </w:r>
          </w:p>
        </w:tc>
        <w:tc>
          <w:tcPr>
            <w:tcW w:w="1675" w:type="dxa"/>
          </w:tcPr>
          <w:p>
            <w:pPr>
              <w:pStyle w:val="Compact"/>
              <w:spacing w:after="40"/>
              <w:jc w:val="left"/>
            </w:pPr>
            <w:r>
              <w:rPr>
                <w:sz w:val="18"/>
              </w:rPr>
              <w:t xml:space="preserve">RS → UD (projection), AGY</w:t>
            </w:r>
          </w:p>
        </w:tc>
        <w:tc>
          <w:tcPr>
            <w:tcW w:w="1224" w:type="dxa"/>
          </w:tcPr>
          <w:p>
            <w:pPr>
              <w:pStyle w:val="Compact"/>
              <w:spacing w:after="40"/>
              <w:jc w:val="left"/>
            </w:pPr>
            <w:r>
              <w:rPr>
                <w:sz w:val="18"/>
              </w:rPr>
              <w:t xml:space="preserve">Re-evaluation on a material event</w:t>
            </w:r>
          </w:p>
        </w:tc>
        <w:tc>
          <w:tcPr>
            <w:tcW w:w="1925" w:type="dxa"/>
          </w:tcPr>
          <w:p>
            <w:pPr>
              <w:pStyle w:val="Compact"/>
              <w:spacing w:after="40"/>
              <w:jc w:val="left"/>
            </w:pPr>
            <w:r>
              <w:rPr>
                <w:sz w:val="18"/>
              </w:rPr>
              <w:t xml:space="preserve">mechanisms, rule version, approver, legal_stage</w:t>
            </w:r>
          </w:p>
        </w:tc>
        <w:tc>
          <w:tcPr>
            <w:tcW w:w="873" w:type="dxa"/>
          </w:tcPr>
          <w:p>
            <w:pPr>
              <w:pStyle w:val="Compact"/>
              <w:spacing w:after="40"/>
              <w:jc w:val="left"/>
            </w:pPr>
            <w:r>
              <w:rPr>
                <w:sz w:val="18"/>
              </w:rPr>
              <w:t xml:space="preserve">RS</w:t>
            </w:r>
          </w:p>
        </w:tc>
        <w:tc>
          <w:tcPr>
            <w:tcW w:w="1119" w:type="dxa"/>
          </w:tcPr>
          <w:p>
            <w:pPr>
              <w:pStyle w:val="Compact"/>
              <w:spacing w:after="40"/>
              <w:jc w:val="left"/>
            </w:pPr>
            <w:r>
              <w:rPr>
                <w:sz w:val="18"/>
              </w:rPr>
              <w:t xml:space="preserve">(case_id, strategy_version)</w:t>
            </w:r>
          </w:p>
        </w:tc>
        <w:tc>
          <w:tcPr>
            <w:tcW w:w="1383" w:type="dxa"/>
          </w:tcPr>
          <w:p>
            <w:pPr>
              <w:pStyle w:val="Compact"/>
              <w:spacing w:after="40"/>
              <w:jc w:val="left"/>
            </w:pPr>
            <w:r>
              <w:rPr>
                <w:sz w:val="18"/>
              </w:rPr>
              <w:t xml:space="preserve">≤ 15 min</w:t>
            </w:r>
          </w:p>
        </w:tc>
      </w:tr>
      <w:tr>
        <w:tc>
          <w:tcPr>
            <w:tcW w:w="1439" w:type="dxa"/>
          </w:tcPr>
          <w:p>
            <w:pPr>
              <w:pStyle w:val="Compact"/>
              <w:spacing w:after="40"/>
              <w:jc w:val="left"/>
            </w:pPr>
            <w:r>
              <w:rPr>
                <w:rStyle w:val="VerbatimChar"/>
                <w:sz w:val="18"/>
              </w:rPr>
              <w:t xml:space="preserve">LegalNoticeIssued</w:t>
            </w:r>
            <w:r>
              <w:rPr>
                <w:sz w:val="18"/>
              </w:rPr>
              <w:t xml:space="preserve"> </w:t>
            </w:r>
            <w:r>
              <w:rPr>
                <w:sz w:val="18"/>
              </w:rPr>
              <w:t xml:space="preserve">(N) signed</w:t>
            </w:r>
          </w:p>
        </w:tc>
        <w:tc>
          <w:tcPr>
            <w:tcW w:w="1675" w:type="dxa"/>
          </w:tcPr>
          <w:p>
            <w:pPr>
              <w:pStyle w:val="Compact"/>
              <w:spacing w:after="40"/>
              <w:jc w:val="left"/>
            </w:pPr>
            <w:r>
              <w:rPr>
                <w:sz w:val="18"/>
              </w:rPr>
              <w:t xml:space="preserve">RS → DSP, UD (copy if permitted), EQ (ADR notices)</w:t>
            </w:r>
          </w:p>
        </w:tc>
        <w:tc>
          <w:tcPr>
            <w:tcW w:w="1224" w:type="dxa"/>
          </w:tcPr>
          <w:p>
            <w:pPr>
              <w:pStyle w:val="Compact"/>
              <w:spacing w:after="40"/>
              <w:jc w:val="left"/>
            </w:pPr>
            <w:r>
              <w:rPr>
                <w:sz w:val="18"/>
              </w:rPr>
              <w:t xml:space="preserve">Notice approved and signed</w:t>
            </w:r>
          </w:p>
        </w:tc>
        <w:tc>
          <w:tcPr>
            <w:tcW w:w="1925" w:type="dxa"/>
          </w:tcPr>
          <w:p>
            <w:pPr>
              <w:pStyle w:val="Compact"/>
              <w:spacing w:after="40"/>
              <w:jc w:val="left"/>
            </w:pPr>
            <w:r>
              <w:rPr>
                <w:sz w:val="18"/>
              </w:rPr>
              <w:t xml:space="preserve">instrument, statute ref, template version, addressees, dues, document hash, signer</w:t>
            </w:r>
          </w:p>
        </w:tc>
        <w:tc>
          <w:tcPr>
            <w:tcW w:w="873" w:type="dxa"/>
          </w:tcPr>
          <w:p>
            <w:pPr>
              <w:pStyle w:val="Compact"/>
              <w:spacing w:after="40"/>
              <w:jc w:val="left"/>
            </w:pPr>
            <w:r>
              <w:rPr>
                <w:sz w:val="18"/>
              </w:rPr>
              <w:t xml:space="preserve">RS</w:t>
            </w:r>
          </w:p>
        </w:tc>
        <w:tc>
          <w:tcPr>
            <w:tcW w:w="1119" w:type="dxa"/>
          </w:tcPr>
          <w:p>
            <w:pPr>
              <w:pStyle w:val="Compact"/>
              <w:spacing w:after="40"/>
              <w:jc w:val="left"/>
            </w:pPr>
            <w:r>
              <w:rPr>
                <w:sz w:val="18"/>
              </w:rPr>
              <w:t xml:space="preserve">notice_id</w:t>
            </w:r>
          </w:p>
        </w:tc>
        <w:tc>
          <w:tcPr>
            <w:tcW w:w="1383" w:type="dxa"/>
          </w:tcPr>
          <w:p>
            <w:pPr>
              <w:pStyle w:val="Compact"/>
              <w:spacing w:after="40"/>
              <w:jc w:val="left"/>
            </w:pPr>
            <w:r>
              <w:rPr>
                <w:sz w:val="18"/>
              </w:rPr>
              <w:t xml:space="preserve">Dispatch same day [REC]</w:t>
            </w:r>
          </w:p>
        </w:tc>
      </w:tr>
      <w:tr>
        <w:tc>
          <w:tcPr>
            <w:tcW w:w="1439" w:type="dxa"/>
          </w:tcPr>
          <w:p>
            <w:pPr>
              <w:pStyle w:val="Compact"/>
              <w:spacing w:after="40"/>
              <w:jc w:val="left"/>
            </w:pPr>
            <w:r>
              <w:rPr>
                <w:rStyle w:val="VerbatimChar"/>
                <w:sz w:val="18"/>
              </w:rPr>
              <w:t xml:space="preserve">NoticeServiceUpdated</w:t>
            </w:r>
            <w:r>
              <w:rPr>
                <w:sz w:val="18"/>
              </w:rPr>
              <w:t xml:space="preserve"> </w:t>
            </w:r>
            <w:r>
              <w:rPr>
                <w:sz w:val="18"/>
              </w:rPr>
              <w:t xml:space="preserve">(N)</w:t>
            </w:r>
          </w:p>
        </w:tc>
        <w:tc>
          <w:tcPr>
            <w:tcW w:w="1675" w:type="dxa"/>
          </w:tcPr>
          <w:p>
            <w:pPr>
              <w:pStyle w:val="Compact"/>
              <w:spacing w:after="40"/>
              <w:jc w:val="left"/>
            </w:pPr>
            <w:r>
              <w:rPr>
                <w:sz w:val="18"/>
              </w:rPr>
              <w:t xml:space="preserve">DSP, EQ, UD (own in-app, SMS-link or email delivery only) → RS; RS → UD (projection, if the RE permits)</w:t>
            </w:r>
          </w:p>
        </w:tc>
        <w:tc>
          <w:tcPr>
            <w:tcW w:w="1224" w:type="dxa"/>
          </w:tcPr>
          <w:p>
            <w:pPr>
              <w:pStyle w:val="Compact"/>
              <w:spacing w:after="40"/>
              <w:jc w:val="left"/>
            </w:pPr>
            <w:r>
              <w:rPr>
                <w:sz w:val="18"/>
              </w:rPr>
              <w:t xml:space="preserve">Delivery event per party per mode</w:t>
            </w:r>
          </w:p>
        </w:tc>
        <w:tc>
          <w:tcPr>
            <w:tcW w:w="1925" w:type="dxa"/>
          </w:tcPr>
          <w:p>
            <w:pPr>
              <w:pStyle w:val="Compact"/>
              <w:spacing w:after="40"/>
              <w:jc w:val="left"/>
            </w:pPr>
            <w:r>
              <w:rPr>
                <w:sz w:val="18"/>
              </w:rPr>
              <w:t xml:space="preserve">channel (dispatch mode, EQUATOR or UDOFIN_APP), status, evidence, deemed service date (never set from a UD channel event), deadlines</w:t>
            </w:r>
          </w:p>
        </w:tc>
        <w:tc>
          <w:tcPr>
            <w:tcW w:w="873" w:type="dxa"/>
          </w:tcPr>
          <w:p>
            <w:pPr>
              <w:pStyle w:val="Compact"/>
              <w:spacing w:after="40"/>
              <w:jc w:val="left"/>
            </w:pPr>
            <w:r>
              <w:rPr>
                <w:sz w:val="18"/>
              </w:rPr>
              <w:t xml:space="preserve">Provider event; RS register</w:t>
            </w:r>
          </w:p>
        </w:tc>
        <w:tc>
          <w:tcPr>
            <w:tcW w:w="1119" w:type="dxa"/>
          </w:tcPr>
          <w:p>
            <w:pPr>
              <w:pStyle w:val="Compact"/>
              <w:spacing w:after="40"/>
              <w:jc w:val="left"/>
            </w:pPr>
            <w:r>
              <w:rPr>
                <w:sz w:val="18"/>
              </w:rPr>
              <w:t xml:space="preserve">(notice_id, party_id, mode, provider_event_id)</w:t>
            </w:r>
          </w:p>
        </w:tc>
        <w:tc>
          <w:tcPr>
            <w:tcW w:w="1383" w:type="dxa"/>
          </w:tcPr>
          <w:p>
            <w:pPr>
              <w:pStyle w:val="Compact"/>
              <w:spacing w:after="40"/>
              <w:jc w:val="left"/>
            </w:pPr>
            <w:r>
              <w:rPr>
                <w:sz w:val="18"/>
              </w:rPr>
              <w:t xml:space="preserve">≤ 1 h</w:t>
            </w:r>
          </w:p>
        </w:tc>
      </w:tr>
      <w:tr>
        <w:tc>
          <w:tcPr>
            <w:tcW w:w="1439" w:type="dxa"/>
          </w:tcPr>
          <w:p>
            <w:pPr>
              <w:pStyle w:val="Compact"/>
              <w:spacing w:after="40"/>
              <w:jc w:val="left"/>
            </w:pPr>
            <w:r>
              <w:rPr>
                <w:rStyle w:val="VerbatimChar"/>
                <w:sz w:val="18"/>
              </w:rPr>
              <w:t xml:space="preserve">SettlementRequested</w:t>
            </w:r>
            <w:r>
              <w:rPr>
                <w:sz w:val="18"/>
              </w:rPr>
              <w:t xml:space="preserve"> </w:t>
            </w:r>
            <w:r>
              <w:rPr>
                <w:sz w:val="18"/>
              </w:rPr>
              <w:t xml:space="preserve">(A) API</w:t>
            </w:r>
            <w:r>
              <w:rPr>
                <w:sz w:val="18"/>
              </w:rPr>
              <w:t xml:space="preserve"> </w:t>
            </w:r>
            <w:r>
              <w:rPr>
                <w:rStyle w:val="VerbatimChar"/>
                <w:sz w:val="18"/>
              </w:rPr>
              <w:t xml:space="preserve">POST /v1/recovery-cases/{id}/settlement-requests</w:t>
            </w:r>
          </w:p>
        </w:tc>
        <w:tc>
          <w:tcPr>
            <w:tcW w:w="1675" w:type="dxa"/>
          </w:tcPr>
          <w:p>
            <w:pPr>
              <w:pStyle w:val="Compact"/>
              <w:spacing w:after="40"/>
              <w:jc w:val="left"/>
            </w:pPr>
            <w:r>
              <w:rPr>
                <w:sz w:val="18"/>
              </w:rPr>
              <w:t xml:space="preserve">UD, borrower portal → RS</w:t>
            </w:r>
          </w:p>
        </w:tc>
        <w:tc>
          <w:tcPr>
            <w:tcW w:w="1224" w:type="dxa"/>
          </w:tcPr>
          <w:p>
            <w:pPr>
              <w:pStyle w:val="Compact"/>
              <w:spacing w:after="40"/>
              <w:jc w:val="left"/>
            </w:pPr>
            <w:r>
              <w:rPr>
                <w:sz w:val="18"/>
              </w:rPr>
              <w:t xml:space="preserve">Borrower asks to settle</w:t>
            </w:r>
          </w:p>
        </w:tc>
        <w:tc>
          <w:tcPr>
            <w:tcW w:w="1925" w:type="dxa"/>
          </w:tcPr>
          <w:p>
            <w:pPr>
              <w:pStyle w:val="Compact"/>
              <w:spacing w:after="40"/>
              <w:jc w:val="left"/>
            </w:pPr>
            <w:r>
              <w:rPr>
                <w:sz w:val="18"/>
              </w:rPr>
              <w:t xml:space="preserve">proposal, reason, documents</w:t>
            </w:r>
          </w:p>
        </w:tc>
        <w:tc>
          <w:tcPr>
            <w:tcW w:w="873" w:type="dxa"/>
          </w:tcPr>
          <w:p>
            <w:pPr>
              <w:pStyle w:val="Compact"/>
              <w:spacing w:after="40"/>
              <w:jc w:val="left"/>
            </w:pPr>
            <w:r>
              <w:rPr>
                <w:sz w:val="18"/>
              </w:rPr>
              <w:t xml:space="preserve">UD request; RS decision</w:t>
            </w:r>
          </w:p>
        </w:tc>
        <w:tc>
          <w:tcPr>
            <w:tcW w:w="1119" w:type="dxa"/>
          </w:tcPr>
          <w:p>
            <w:pPr>
              <w:pStyle w:val="Compact"/>
              <w:spacing w:after="40"/>
              <w:jc w:val="left"/>
            </w:pPr>
            <w:r>
              <w:rPr>
                <w:sz w:val="18"/>
              </w:rPr>
              <w:t xml:space="preserve">request_id</w:t>
            </w:r>
          </w:p>
        </w:tc>
        <w:tc>
          <w:tcPr>
            <w:tcW w:w="1383" w:type="dxa"/>
          </w:tcPr>
          <w:p>
            <w:pPr>
              <w:pStyle w:val="Compact"/>
              <w:spacing w:after="40"/>
              <w:jc w:val="left"/>
            </w:pPr>
            <w:r>
              <w:rPr>
                <w:sz w:val="18"/>
              </w:rPr>
              <w:t xml:space="preserve">Ack ≤ 1 working day [REC]</w:t>
            </w:r>
          </w:p>
        </w:tc>
      </w:tr>
      <w:tr>
        <w:tc>
          <w:tcPr>
            <w:tcW w:w="1439" w:type="dxa"/>
          </w:tcPr>
          <w:p>
            <w:pPr>
              <w:pStyle w:val="Compact"/>
              <w:spacing w:after="40"/>
              <w:jc w:val="left"/>
            </w:pPr>
            <w:r>
              <w:rPr>
                <w:rStyle w:val="VerbatimChar"/>
                <w:sz w:val="18"/>
              </w:rPr>
              <w:t xml:space="preserve">SettlementApproved</w:t>
            </w:r>
            <w:r>
              <w:rPr>
                <w:sz w:val="18"/>
              </w:rPr>
              <w:t xml:space="preserve"> </w:t>
            </w:r>
            <w:r>
              <w:rPr>
                <w:sz w:val="18"/>
              </w:rPr>
              <w:t xml:space="preserve">(N) signed</w:t>
            </w:r>
          </w:p>
        </w:tc>
        <w:tc>
          <w:tcPr>
            <w:tcW w:w="1675" w:type="dxa"/>
          </w:tcPr>
          <w:p>
            <w:pPr>
              <w:pStyle w:val="Compact"/>
              <w:spacing w:after="40"/>
              <w:jc w:val="left"/>
            </w:pPr>
            <w:r>
              <w:rPr>
                <w:sz w:val="18"/>
              </w:rPr>
              <w:t xml:space="preserve">RS → UD (projection), EQ</w:t>
            </w:r>
          </w:p>
        </w:tc>
        <w:tc>
          <w:tcPr>
            <w:tcW w:w="1224" w:type="dxa"/>
          </w:tcPr>
          <w:p>
            <w:pPr>
              <w:pStyle w:val="Compact"/>
              <w:spacing w:after="40"/>
              <w:jc w:val="left"/>
            </w:pPr>
            <w:r>
              <w:rPr>
                <w:sz w:val="18"/>
              </w:rPr>
              <w:t xml:space="preserve">Approval at required level</w:t>
            </w:r>
          </w:p>
        </w:tc>
        <w:tc>
          <w:tcPr>
            <w:tcW w:w="1925" w:type="dxa"/>
          </w:tcPr>
          <w:p>
            <w:pPr>
              <w:pStyle w:val="Compact"/>
              <w:spacing w:after="40"/>
              <w:jc w:val="left"/>
            </w:pPr>
            <w:r>
              <w:rPr>
                <w:sz w:val="18"/>
              </w:rPr>
              <w:t xml:space="preserve">terms, approver level (RSA para 16(5)), Board ref (fraud, WD), restructuring (para 89), consent decree (para 100), cooling end (para 95)</w:t>
            </w:r>
          </w:p>
        </w:tc>
        <w:tc>
          <w:tcPr>
            <w:tcW w:w="873" w:type="dxa"/>
          </w:tcPr>
          <w:p>
            <w:pPr>
              <w:pStyle w:val="Compact"/>
              <w:spacing w:after="40"/>
              <w:jc w:val="left"/>
            </w:pPr>
            <w:r>
              <w:rPr>
                <w:sz w:val="18"/>
              </w:rPr>
              <w:t xml:space="preserve">RS</w:t>
            </w:r>
          </w:p>
        </w:tc>
        <w:tc>
          <w:tcPr>
            <w:tcW w:w="1119" w:type="dxa"/>
          </w:tcPr>
          <w:p>
            <w:pPr>
              <w:pStyle w:val="Compact"/>
              <w:spacing w:after="40"/>
              <w:jc w:val="left"/>
            </w:pPr>
            <w:r>
              <w:rPr>
                <w:sz w:val="18"/>
              </w:rPr>
              <w:t xml:space="preserve">(settlement_id, approval_version)</w:t>
            </w:r>
          </w:p>
        </w:tc>
        <w:tc>
          <w:tcPr>
            <w:tcW w:w="1383" w:type="dxa"/>
          </w:tcPr>
          <w:p>
            <w:pPr>
              <w:pStyle w:val="Compact"/>
              <w:spacing w:after="40"/>
              <w:jc w:val="left"/>
            </w:pPr>
            <w:r>
              <w:rPr>
                <w:sz w:val="18"/>
              </w:rPr>
              <w:t xml:space="preserve">≤ 15 min</w:t>
            </w:r>
          </w:p>
        </w:tc>
      </w:tr>
      <w:tr>
        <w:tc>
          <w:tcPr>
            <w:tcW w:w="1439" w:type="dxa"/>
          </w:tcPr>
          <w:p>
            <w:pPr>
              <w:pStyle w:val="Compact"/>
              <w:spacing w:after="40"/>
              <w:jc w:val="left"/>
            </w:pPr>
            <w:r>
              <w:rPr>
                <w:rStyle w:val="VerbatimChar"/>
                <w:sz w:val="18"/>
              </w:rPr>
              <w:t xml:space="preserve">SettlementOfferIssued</w:t>
            </w:r>
            <w:r>
              <w:rPr>
                <w:sz w:val="18"/>
              </w:rPr>
              <w:t xml:space="preserve"> </w:t>
            </w:r>
            <w:r>
              <w:rPr>
                <w:sz w:val="18"/>
              </w:rPr>
              <w:t xml:space="preserve">(N) signed</w:t>
            </w:r>
          </w:p>
        </w:tc>
        <w:tc>
          <w:tcPr>
            <w:tcW w:w="1675" w:type="dxa"/>
          </w:tcPr>
          <w:p>
            <w:pPr>
              <w:pStyle w:val="Compact"/>
              <w:spacing w:after="40"/>
              <w:jc w:val="left"/>
            </w:pPr>
            <w:r>
              <w:rPr>
                <w:sz w:val="18"/>
              </w:rPr>
              <w:t xml:space="preserve">RS → UD, EQ</w:t>
            </w:r>
          </w:p>
        </w:tc>
        <w:tc>
          <w:tcPr>
            <w:tcW w:w="1224" w:type="dxa"/>
          </w:tcPr>
          <w:p>
            <w:pPr>
              <w:pStyle w:val="Compact"/>
              <w:spacing w:after="40"/>
              <w:jc w:val="left"/>
            </w:pPr>
            <w:r>
              <w:rPr>
                <w:sz w:val="18"/>
              </w:rPr>
              <w:t xml:space="preserve">Offer within approval or approved band</w:t>
            </w:r>
          </w:p>
        </w:tc>
        <w:tc>
          <w:tcPr>
            <w:tcW w:w="1925" w:type="dxa"/>
          </w:tcPr>
          <w:p>
            <w:pPr>
              <w:pStyle w:val="Compact"/>
              <w:spacing w:after="40"/>
              <w:jc w:val="left"/>
            </w:pPr>
            <w:r>
              <w:rPr>
                <w:sz w:val="18"/>
              </w:rPr>
              <w:t xml:space="preserve">document, validity, RE-account payment instructions</w:t>
            </w:r>
          </w:p>
        </w:tc>
        <w:tc>
          <w:tcPr>
            <w:tcW w:w="873" w:type="dxa"/>
          </w:tcPr>
          <w:p>
            <w:pPr>
              <w:pStyle w:val="Compact"/>
              <w:spacing w:after="40"/>
              <w:jc w:val="left"/>
            </w:pPr>
            <w:r>
              <w:rPr>
                <w:sz w:val="18"/>
              </w:rPr>
              <w:t xml:space="preserve">RS</w:t>
            </w:r>
          </w:p>
        </w:tc>
        <w:tc>
          <w:tcPr>
            <w:tcW w:w="1119" w:type="dxa"/>
          </w:tcPr>
          <w:p>
            <w:pPr>
              <w:pStyle w:val="Compact"/>
              <w:spacing w:after="40"/>
              <w:jc w:val="left"/>
            </w:pPr>
            <w:r>
              <w:rPr>
                <w:sz w:val="18"/>
              </w:rPr>
              <w:t xml:space="preserve">(settlement_id, offer_version)</w:t>
            </w:r>
          </w:p>
        </w:tc>
        <w:tc>
          <w:tcPr>
            <w:tcW w:w="1383" w:type="dxa"/>
          </w:tcPr>
          <w:p>
            <w:pPr>
              <w:pStyle w:val="Compact"/>
              <w:spacing w:after="40"/>
              <w:jc w:val="left"/>
            </w:pPr>
            <w:r>
              <w:rPr>
                <w:sz w:val="18"/>
              </w:rPr>
              <w:t xml:space="preserve">≤ 15 min</w:t>
            </w:r>
          </w:p>
        </w:tc>
      </w:tr>
      <w:tr>
        <w:tc>
          <w:tcPr>
            <w:tcW w:w="1439" w:type="dxa"/>
          </w:tcPr>
          <w:p>
            <w:pPr>
              <w:pStyle w:val="Compact"/>
              <w:spacing w:after="40"/>
              <w:jc w:val="left"/>
            </w:pPr>
            <w:r>
              <w:rPr>
                <w:rStyle w:val="VerbatimChar"/>
                <w:sz w:val="18"/>
              </w:rPr>
              <w:t xml:space="preserve">SettlementOfferAccepted</w:t>
            </w:r>
            <w:r>
              <w:rPr>
                <w:sz w:val="18"/>
              </w:rPr>
              <w:t xml:space="preserve"> </w:t>
            </w:r>
            <w:r>
              <w:rPr>
                <w:sz w:val="18"/>
              </w:rPr>
              <w:t xml:space="preserve">(N+)</w:t>
            </w:r>
          </w:p>
        </w:tc>
        <w:tc>
          <w:tcPr>
            <w:tcW w:w="1675" w:type="dxa"/>
          </w:tcPr>
          <w:p>
            <w:pPr>
              <w:pStyle w:val="Compact"/>
              <w:spacing w:after="40"/>
              <w:jc w:val="left"/>
            </w:pPr>
            <w:r>
              <w:rPr>
                <w:sz w:val="18"/>
              </w:rPr>
              <w:t xml:space="preserve">UD, EQ, portal → RS</w:t>
            </w:r>
          </w:p>
        </w:tc>
        <w:tc>
          <w:tcPr>
            <w:tcW w:w="1224" w:type="dxa"/>
          </w:tcPr>
          <w:p>
            <w:pPr>
              <w:pStyle w:val="Compact"/>
              <w:spacing w:after="40"/>
              <w:jc w:val="left"/>
            </w:pPr>
            <w:r>
              <w:rPr>
                <w:sz w:val="18"/>
              </w:rPr>
              <w:t xml:space="preserve">Borrower accepts by eSign or OTP</w:t>
            </w:r>
          </w:p>
        </w:tc>
        <w:tc>
          <w:tcPr>
            <w:tcW w:w="1925" w:type="dxa"/>
          </w:tcPr>
          <w:p>
            <w:pPr>
              <w:pStyle w:val="Compact"/>
              <w:spacing w:after="40"/>
              <w:jc w:val="left"/>
            </w:pPr>
            <w:r>
              <w:rPr>
                <w:sz w:val="18"/>
              </w:rPr>
              <w:t xml:space="preserve">acceptance evidence</w:t>
            </w:r>
          </w:p>
        </w:tc>
        <w:tc>
          <w:tcPr>
            <w:tcW w:w="873" w:type="dxa"/>
          </w:tcPr>
          <w:p>
            <w:pPr>
              <w:pStyle w:val="Compact"/>
              <w:spacing w:after="40"/>
              <w:jc w:val="left"/>
            </w:pPr>
            <w:r>
              <w:rPr>
                <w:sz w:val="18"/>
              </w:rPr>
              <w:t xml:space="preserve">Capturer evidence; RS record</w:t>
            </w:r>
          </w:p>
        </w:tc>
        <w:tc>
          <w:tcPr>
            <w:tcW w:w="1119" w:type="dxa"/>
          </w:tcPr>
          <w:p>
            <w:pPr>
              <w:pStyle w:val="Compact"/>
              <w:spacing w:after="40"/>
              <w:jc w:val="left"/>
            </w:pPr>
            <w:r>
              <w:rPr>
                <w:sz w:val="18"/>
              </w:rPr>
              <w:t xml:space="preserve">(settlement_id, offer_version)</w:t>
            </w:r>
          </w:p>
        </w:tc>
        <w:tc>
          <w:tcPr>
            <w:tcW w:w="1383" w:type="dxa"/>
          </w:tcPr>
          <w:p>
            <w:pPr>
              <w:pStyle w:val="Compact"/>
              <w:spacing w:after="40"/>
              <w:jc w:val="left"/>
            </w:pPr>
            <w:r>
              <w:rPr>
                <w:sz w:val="18"/>
              </w:rPr>
              <w:t xml:space="preserve">std</w:t>
            </w:r>
          </w:p>
        </w:tc>
      </w:tr>
      <w:tr>
        <w:tc>
          <w:tcPr>
            <w:tcW w:w="1439" w:type="dxa"/>
          </w:tcPr>
          <w:p>
            <w:pPr>
              <w:pStyle w:val="Compact"/>
              <w:spacing w:after="40"/>
              <w:jc w:val="left"/>
            </w:pPr>
            <w:r>
              <w:rPr>
                <w:rStyle w:val="VerbatimChar"/>
                <w:sz w:val="18"/>
              </w:rPr>
              <w:t xml:space="preserve">SettlementBreached</w:t>
            </w:r>
            <w:r>
              <w:rPr>
                <w:sz w:val="18"/>
              </w:rPr>
              <w:t xml:space="preserve"> </w:t>
            </w:r>
            <w:r>
              <w:rPr>
                <w:sz w:val="18"/>
              </w:rPr>
              <w:t xml:space="preserve">(N)</w:t>
            </w:r>
          </w:p>
        </w:tc>
        <w:tc>
          <w:tcPr>
            <w:tcW w:w="1675" w:type="dxa"/>
          </w:tcPr>
          <w:p>
            <w:pPr>
              <w:pStyle w:val="Compact"/>
              <w:spacing w:after="40"/>
              <w:jc w:val="left"/>
            </w:pPr>
            <w:r>
              <w:rPr>
                <w:sz w:val="18"/>
              </w:rPr>
              <w:t xml:space="preserve">RS → UD, EQ</w:t>
            </w:r>
          </w:p>
        </w:tc>
        <w:tc>
          <w:tcPr>
            <w:tcW w:w="1224" w:type="dxa"/>
          </w:tcPr>
          <w:p>
            <w:pPr>
              <w:pStyle w:val="Compact"/>
              <w:spacing w:after="40"/>
              <w:jc w:val="left"/>
            </w:pPr>
            <w:r>
              <w:rPr>
                <w:sz w:val="18"/>
              </w:rPr>
              <w:t xml:space="preserve">Instalment unpaid beyond grace</w:t>
            </w:r>
          </w:p>
        </w:tc>
        <w:tc>
          <w:tcPr>
            <w:tcW w:w="1925" w:type="dxa"/>
          </w:tcPr>
          <w:p>
            <w:pPr>
              <w:pStyle w:val="Compact"/>
              <w:spacing w:after="40"/>
              <w:jc w:val="left"/>
            </w:pPr>
            <w:r>
              <w:rPr>
                <w:sz w:val="18"/>
              </w:rPr>
              <w:t xml:space="preserve">breach details, consequence</w:t>
            </w:r>
          </w:p>
        </w:tc>
        <w:tc>
          <w:tcPr>
            <w:tcW w:w="873" w:type="dxa"/>
          </w:tcPr>
          <w:p>
            <w:pPr>
              <w:pStyle w:val="Compact"/>
              <w:spacing w:after="40"/>
              <w:jc w:val="left"/>
            </w:pPr>
            <w:r>
              <w:rPr>
                <w:sz w:val="18"/>
              </w:rPr>
              <w:t xml:space="preserve">RS</w:t>
            </w:r>
          </w:p>
        </w:tc>
        <w:tc>
          <w:tcPr>
            <w:tcW w:w="1119" w:type="dxa"/>
          </w:tcPr>
          <w:p>
            <w:pPr>
              <w:pStyle w:val="Compact"/>
              <w:spacing w:after="40"/>
              <w:jc w:val="left"/>
            </w:pPr>
            <w:r>
              <w:rPr>
                <w:sz w:val="18"/>
              </w:rPr>
              <w:t xml:space="preserve">(settlement_id, breach_seq)</w:t>
            </w:r>
          </w:p>
        </w:tc>
        <w:tc>
          <w:tcPr>
            <w:tcW w:w="1383" w:type="dxa"/>
          </w:tcPr>
          <w:p>
            <w:pPr>
              <w:pStyle w:val="Compact"/>
              <w:spacing w:after="40"/>
              <w:jc w:val="left"/>
            </w:pPr>
            <w:r>
              <w:rPr>
                <w:sz w:val="18"/>
              </w:rPr>
              <w:t xml:space="preserve">≤ 1 working day</w:t>
            </w:r>
          </w:p>
        </w:tc>
      </w:tr>
      <w:tr>
        <w:tc>
          <w:tcPr>
            <w:tcW w:w="1439" w:type="dxa"/>
          </w:tcPr>
          <w:p>
            <w:pPr>
              <w:pStyle w:val="Compact"/>
              <w:spacing w:after="40"/>
              <w:jc w:val="left"/>
            </w:pPr>
            <w:r>
              <w:rPr>
                <w:rStyle w:val="VerbatimChar"/>
                <w:sz w:val="18"/>
              </w:rPr>
              <w:t xml:space="preserve">AssetRepossessed</w:t>
            </w:r>
            <w:r>
              <w:rPr>
                <w:sz w:val="18"/>
              </w:rPr>
              <w:t xml:space="preserve"> </w:t>
            </w:r>
            <w:r>
              <w:rPr>
                <w:sz w:val="18"/>
              </w:rPr>
              <w:t xml:space="preserve">(N)</w:t>
            </w:r>
          </w:p>
        </w:tc>
        <w:tc>
          <w:tcPr>
            <w:tcW w:w="1675" w:type="dxa"/>
          </w:tcPr>
          <w:p>
            <w:pPr>
              <w:pStyle w:val="Compact"/>
              <w:spacing w:after="40"/>
              <w:jc w:val="left"/>
            </w:pPr>
            <w:r>
              <w:rPr>
                <w:sz w:val="18"/>
              </w:rPr>
              <w:t xml:space="preserve">RS → UD (projection)</w:t>
            </w:r>
          </w:p>
        </w:tc>
        <w:tc>
          <w:tcPr>
            <w:tcW w:w="1224" w:type="dxa"/>
          </w:tcPr>
          <w:p>
            <w:pPr>
              <w:pStyle w:val="Compact"/>
              <w:spacing w:after="40"/>
              <w:jc w:val="left"/>
            </w:pPr>
            <w:r>
              <w:rPr>
                <w:sz w:val="18"/>
              </w:rPr>
              <w:t xml:space="preserve">Repossession or SARFAESI possession</w:t>
            </w:r>
          </w:p>
        </w:tc>
        <w:tc>
          <w:tcPr>
            <w:tcW w:w="1925" w:type="dxa"/>
          </w:tcPr>
          <w:p>
            <w:pPr>
              <w:pStyle w:val="Compact"/>
              <w:spacing w:after="40"/>
              <w:jc w:val="left"/>
            </w:pPr>
            <w:r>
              <w:rPr>
                <w:sz w:val="18"/>
              </w:rPr>
              <w:t xml:space="preserve">mode, date, possession memo or panchnama, inventory</w:t>
            </w:r>
          </w:p>
        </w:tc>
        <w:tc>
          <w:tcPr>
            <w:tcW w:w="873" w:type="dxa"/>
          </w:tcPr>
          <w:p>
            <w:pPr>
              <w:pStyle w:val="Compact"/>
              <w:spacing w:after="40"/>
              <w:jc w:val="left"/>
            </w:pPr>
            <w:r>
              <w:rPr>
                <w:sz w:val="18"/>
              </w:rPr>
              <w:t xml:space="preserve">RS</w:t>
            </w:r>
          </w:p>
        </w:tc>
        <w:tc>
          <w:tcPr>
            <w:tcW w:w="1119" w:type="dxa"/>
          </w:tcPr>
          <w:p>
            <w:pPr>
              <w:pStyle w:val="Compact"/>
              <w:spacing w:after="40"/>
              <w:jc w:val="left"/>
            </w:pPr>
            <w:r>
              <w:rPr>
                <w:sz w:val="18"/>
              </w:rPr>
              <w:t xml:space="preserve">(collateral_id, repossession_id)</w:t>
            </w:r>
          </w:p>
        </w:tc>
        <w:tc>
          <w:tcPr>
            <w:tcW w:w="1383" w:type="dxa"/>
          </w:tcPr>
          <w:p>
            <w:pPr>
              <w:pStyle w:val="Compact"/>
              <w:spacing w:after="40"/>
              <w:jc w:val="left"/>
            </w:pPr>
            <w:r>
              <w:rPr>
                <w:sz w:val="18"/>
              </w:rPr>
              <w:t xml:space="preserve">≤ 1 h</w:t>
            </w:r>
          </w:p>
        </w:tc>
      </w:tr>
      <w:tr>
        <w:tc>
          <w:tcPr>
            <w:tcW w:w="1439" w:type="dxa"/>
          </w:tcPr>
          <w:p>
            <w:pPr>
              <w:pStyle w:val="Compact"/>
              <w:spacing w:after="40"/>
              <w:jc w:val="left"/>
            </w:pPr>
            <w:r>
              <w:rPr>
                <w:rStyle w:val="VerbatimChar"/>
                <w:sz w:val="18"/>
              </w:rPr>
              <w:t xml:space="preserve">AuctionScheduled</w:t>
            </w:r>
            <w:r>
              <w:rPr>
                <w:sz w:val="18"/>
              </w:rPr>
              <w:t xml:space="preserve"> </w:t>
            </w:r>
            <w:r>
              <w:rPr>
                <w:sz w:val="18"/>
              </w:rPr>
              <w:t xml:space="preserve">(N)</w:t>
            </w:r>
          </w:p>
        </w:tc>
        <w:tc>
          <w:tcPr>
            <w:tcW w:w="1675" w:type="dxa"/>
          </w:tcPr>
          <w:p>
            <w:pPr>
              <w:pStyle w:val="Compact"/>
              <w:spacing w:after="40"/>
              <w:jc w:val="left"/>
            </w:pPr>
            <w:r>
              <w:rPr>
                <w:sz w:val="18"/>
              </w:rPr>
              <w:t xml:space="preserve">RS → UD (projection), auction adapter</w:t>
            </w:r>
          </w:p>
        </w:tc>
        <w:tc>
          <w:tcPr>
            <w:tcW w:w="1224" w:type="dxa"/>
          </w:tcPr>
          <w:p>
            <w:pPr>
              <w:pStyle w:val="Compact"/>
              <w:spacing w:after="40"/>
              <w:jc w:val="left"/>
            </w:pPr>
            <w:r>
              <w:rPr>
                <w:sz w:val="18"/>
              </w:rPr>
              <w:t xml:space="preserve">Sale notice published</w:t>
            </w:r>
          </w:p>
        </w:tc>
        <w:tc>
          <w:tcPr>
            <w:tcW w:w="1925" w:type="dxa"/>
          </w:tcPr>
          <w:p>
            <w:pPr>
              <w:pStyle w:val="Compact"/>
              <w:spacing w:after="40"/>
              <w:jc w:val="left"/>
            </w:pPr>
            <w:r>
              <w:rPr>
                <w:sz w:val="18"/>
              </w:rPr>
              <w:t xml:space="preserve">platform, reserve, date, notice refs</w:t>
            </w:r>
          </w:p>
        </w:tc>
        <w:tc>
          <w:tcPr>
            <w:tcW w:w="873" w:type="dxa"/>
          </w:tcPr>
          <w:p>
            <w:pPr>
              <w:pStyle w:val="Compact"/>
              <w:spacing w:after="40"/>
              <w:jc w:val="left"/>
            </w:pPr>
            <w:r>
              <w:rPr>
                <w:sz w:val="18"/>
              </w:rPr>
              <w:t xml:space="preserve">RS</w:t>
            </w:r>
          </w:p>
        </w:tc>
        <w:tc>
          <w:tcPr>
            <w:tcW w:w="1119" w:type="dxa"/>
          </w:tcPr>
          <w:p>
            <w:pPr>
              <w:pStyle w:val="Compact"/>
              <w:spacing w:after="40"/>
              <w:jc w:val="left"/>
            </w:pPr>
            <w:r>
              <w:rPr>
                <w:sz w:val="18"/>
              </w:rPr>
              <w:t xml:space="preserve">(asset_sale_id, attempt)</w:t>
            </w:r>
          </w:p>
        </w:tc>
        <w:tc>
          <w:tcPr>
            <w:tcW w:w="1383" w:type="dxa"/>
          </w:tcPr>
          <w:p>
            <w:pPr>
              <w:pStyle w:val="Compact"/>
              <w:spacing w:after="40"/>
              <w:jc w:val="left"/>
            </w:pPr>
            <w:r>
              <w:rPr>
                <w:sz w:val="18"/>
              </w:rPr>
              <w:t xml:space="preserve">≥ 30 days after sale notice (SARFAESI Rule 9(1)); gold RBC paras 60–66</w:t>
            </w:r>
          </w:p>
        </w:tc>
      </w:tr>
      <w:tr>
        <w:tc>
          <w:tcPr>
            <w:tcW w:w="1439" w:type="dxa"/>
          </w:tcPr>
          <w:p>
            <w:pPr>
              <w:pStyle w:val="Compact"/>
              <w:spacing w:after="40"/>
              <w:jc w:val="left"/>
            </w:pPr>
            <w:r>
              <w:rPr>
                <w:rStyle w:val="VerbatimChar"/>
                <w:sz w:val="18"/>
              </w:rPr>
              <w:t xml:space="preserve">AuctionConcluded</w:t>
            </w:r>
            <w:r>
              <w:rPr>
                <w:sz w:val="18"/>
              </w:rPr>
              <w:t xml:space="preserve"> </w:t>
            </w:r>
            <w:r>
              <w:rPr>
                <w:sz w:val="18"/>
              </w:rPr>
              <w:t xml:space="preserve">(N)</w:t>
            </w:r>
          </w:p>
        </w:tc>
        <w:tc>
          <w:tcPr>
            <w:tcW w:w="1675" w:type="dxa"/>
          </w:tcPr>
          <w:p>
            <w:pPr>
              <w:pStyle w:val="Compact"/>
              <w:spacing w:after="40"/>
              <w:jc w:val="left"/>
            </w:pPr>
            <w:r>
              <w:rPr>
                <w:sz w:val="18"/>
              </w:rPr>
              <w:t xml:space="preserve">RS, auction adapter → UD (projection)</w:t>
            </w:r>
          </w:p>
        </w:tc>
        <w:tc>
          <w:tcPr>
            <w:tcW w:w="1224" w:type="dxa"/>
          </w:tcPr>
          <w:p>
            <w:pPr>
              <w:pStyle w:val="Compact"/>
              <w:spacing w:after="40"/>
              <w:jc w:val="left"/>
            </w:pPr>
            <w:r>
              <w:rPr>
                <w:sz w:val="18"/>
              </w:rPr>
              <w:t xml:space="preserve">Auction closed</w:t>
            </w:r>
          </w:p>
        </w:tc>
        <w:tc>
          <w:tcPr>
            <w:tcW w:w="1925" w:type="dxa"/>
          </w:tcPr>
          <w:p>
            <w:pPr>
              <w:pStyle w:val="Compact"/>
              <w:spacing w:after="40"/>
              <w:jc w:val="left"/>
            </w:pPr>
            <w:r>
              <w:rPr>
                <w:sz w:val="18"/>
              </w:rPr>
              <w:t xml:space="preserve">result, price, deposit and balance dates</w:t>
            </w:r>
          </w:p>
        </w:tc>
        <w:tc>
          <w:tcPr>
            <w:tcW w:w="873" w:type="dxa"/>
          </w:tcPr>
          <w:p>
            <w:pPr>
              <w:pStyle w:val="Compact"/>
              <w:spacing w:after="40"/>
              <w:jc w:val="left"/>
            </w:pPr>
            <w:r>
              <w:rPr>
                <w:sz w:val="18"/>
              </w:rPr>
              <w:t xml:space="preserve">RS</w:t>
            </w:r>
          </w:p>
        </w:tc>
        <w:tc>
          <w:tcPr>
            <w:tcW w:w="1119" w:type="dxa"/>
          </w:tcPr>
          <w:p>
            <w:pPr>
              <w:pStyle w:val="Compact"/>
              <w:spacing w:after="40"/>
              <w:jc w:val="left"/>
            </w:pPr>
            <w:r>
              <w:rPr>
                <w:sz w:val="18"/>
              </w:rPr>
              <w:t xml:space="preserve">(asset_sale_id, attempt)</w:t>
            </w:r>
          </w:p>
        </w:tc>
        <w:tc>
          <w:tcPr>
            <w:tcW w:w="1383" w:type="dxa"/>
          </w:tcPr>
          <w:p>
            <w:pPr>
              <w:pStyle w:val="Compact"/>
              <w:spacing w:after="40"/>
              <w:jc w:val="left"/>
            </w:pPr>
            <w:r>
              <w:rPr>
                <w:sz w:val="18"/>
              </w:rPr>
              <w:t xml:space="preserve">25% by next working day; balance ≤ 15 days (Rule 9(3)–(4))</w:t>
            </w:r>
          </w:p>
        </w:tc>
      </w:tr>
      <w:tr>
        <w:tc>
          <w:tcPr>
            <w:tcW w:w="1439" w:type="dxa"/>
          </w:tcPr>
          <w:p>
            <w:pPr>
              <w:pStyle w:val="Compact"/>
              <w:spacing w:after="40"/>
              <w:jc w:val="left"/>
            </w:pPr>
            <w:r>
              <w:rPr>
                <w:rStyle w:val="VerbatimChar"/>
                <w:sz w:val="18"/>
              </w:rPr>
              <w:t xml:space="preserve">RecoveryReceiptPosted</w:t>
            </w:r>
            <w:r>
              <w:rPr>
                <w:sz w:val="18"/>
              </w:rPr>
              <w:t xml:space="preserve"> </w:t>
            </w:r>
            <w:r>
              <w:rPr>
                <w:sz w:val="18"/>
              </w:rPr>
              <w:t xml:space="preserve">(N) signed</w:t>
            </w:r>
          </w:p>
        </w:tc>
        <w:tc>
          <w:tcPr>
            <w:tcW w:w="1675" w:type="dxa"/>
          </w:tcPr>
          <w:p>
            <w:pPr>
              <w:pStyle w:val="Compact"/>
              <w:spacing w:after="40"/>
              <w:jc w:val="left"/>
            </w:pPr>
            <w:r>
              <w:rPr>
                <w:sz w:val="18"/>
              </w:rPr>
              <w:t xml:space="preserve">RS (FX ledger) → UD, EQ, CL, DLG provider</w:t>
            </w:r>
          </w:p>
        </w:tc>
        <w:tc>
          <w:tcPr>
            <w:tcW w:w="1224" w:type="dxa"/>
          </w:tcPr>
          <w:p>
            <w:pPr>
              <w:pStyle w:val="Compact"/>
              <w:spacing w:after="40"/>
              <w:jc w:val="left"/>
            </w:pPr>
            <w:r>
              <w:rPr>
                <w:sz w:val="18"/>
              </w:rPr>
              <w:t xml:space="preserve">Recovery receipt appropriated</w:t>
            </w:r>
          </w:p>
        </w:tc>
        <w:tc>
          <w:tcPr>
            <w:tcW w:w="1925" w:type="dxa"/>
          </w:tcPr>
          <w:p>
            <w:pPr>
              <w:pStyle w:val="Compact"/>
              <w:spacing w:after="40"/>
              <w:jc w:val="left"/>
            </w:pPr>
            <w:r>
              <w:rPr>
                <w:sz w:val="18"/>
              </w:rPr>
              <w:t xml:space="preserve">source, amount, appropriation (s.13(7) for SARFAESI), shares</w:t>
            </w:r>
          </w:p>
        </w:tc>
        <w:tc>
          <w:tcPr>
            <w:tcW w:w="873" w:type="dxa"/>
          </w:tcPr>
          <w:p>
            <w:pPr>
              <w:pStyle w:val="Compact"/>
              <w:spacing w:after="40"/>
              <w:jc w:val="left"/>
            </w:pPr>
            <w:r>
              <w:rPr>
                <w:sz w:val="18"/>
              </w:rPr>
              <w:t xml:space="preserve">FX</w:t>
            </w:r>
          </w:p>
        </w:tc>
        <w:tc>
          <w:tcPr>
            <w:tcW w:w="1119" w:type="dxa"/>
          </w:tcPr>
          <w:p>
            <w:pPr>
              <w:pStyle w:val="Compact"/>
              <w:spacing w:after="40"/>
              <w:jc w:val="left"/>
            </w:pPr>
            <w:r>
              <w:rPr>
                <w:sz w:val="18"/>
              </w:rPr>
              <w:t xml:space="preserve">(loan_id, receipt_ref)</w:t>
            </w:r>
          </w:p>
        </w:tc>
        <w:tc>
          <w:tcPr>
            <w:tcW w:w="1383" w:type="dxa"/>
          </w:tcPr>
          <w:p>
            <w:pPr>
              <w:pStyle w:val="Compact"/>
              <w:spacing w:after="40"/>
              <w:jc w:val="left"/>
            </w:pPr>
            <w:r>
              <w:rPr>
                <w:sz w:val="18"/>
              </w:rPr>
              <w:t xml:space="preserve">Same day</w:t>
            </w:r>
          </w:p>
        </w:tc>
      </w:tr>
      <w:tr>
        <w:tc>
          <w:tcPr>
            <w:tcW w:w="1439" w:type="dxa"/>
          </w:tcPr>
          <w:p>
            <w:pPr>
              <w:pStyle w:val="Compact"/>
              <w:spacing w:after="40"/>
              <w:jc w:val="left"/>
            </w:pPr>
            <w:r>
              <w:rPr>
                <w:rStyle w:val="VerbatimChar"/>
                <w:sz w:val="18"/>
              </w:rPr>
              <w:t xml:space="preserve">SurplusRefunded</w:t>
            </w:r>
            <w:r>
              <w:rPr>
                <w:sz w:val="18"/>
              </w:rPr>
              <w:t xml:space="preserve"> </w:t>
            </w:r>
            <w:r>
              <w:rPr>
                <w:sz w:val="18"/>
              </w:rPr>
              <w:t xml:space="preserve">(N+)</w:t>
            </w:r>
          </w:p>
        </w:tc>
        <w:tc>
          <w:tcPr>
            <w:tcW w:w="1675" w:type="dxa"/>
          </w:tcPr>
          <w:p>
            <w:pPr>
              <w:pStyle w:val="Compact"/>
              <w:spacing w:after="40"/>
              <w:jc w:val="left"/>
            </w:pPr>
            <w:r>
              <w:rPr>
                <w:sz w:val="18"/>
              </w:rPr>
              <w:t xml:space="preserve">RS → UD</w:t>
            </w:r>
          </w:p>
        </w:tc>
        <w:tc>
          <w:tcPr>
            <w:tcW w:w="1224" w:type="dxa"/>
          </w:tcPr>
          <w:p>
            <w:pPr>
              <w:pStyle w:val="Compact"/>
              <w:spacing w:after="40"/>
              <w:jc w:val="left"/>
            </w:pPr>
            <w:r>
              <w:rPr>
                <w:sz w:val="18"/>
              </w:rPr>
              <w:t xml:space="preserve">Surplus paid to borrower or persons entitled</w:t>
            </w:r>
          </w:p>
        </w:tc>
        <w:tc>
          <w:tcPr>
            <w:tcW w:w="1925" w:type="dxa"/>
          </w:tcPr>
          <w:p>
            <w:pPr>
              <w:pStyle w:val="Compact"/>
              <w:spacing w:after="40"/>
              <w:jc w:val="left"/>
            </w:pPr>
            <w:r>
              <w:rPr>
                <w:sz w:val="18"/>
              </w:rPr>
              <w:t xml:space="preserve">amount, utr, days from receipt</w:t>
            </w:r>
          </w:p>
        </w:tc>
        <w:tc>
          <w:tcPr>
            <w:tcW w:w="873" w:type="dxa"/>
          </w:tcPr>
          <w:p>
            <w:pPr>
              <w:pStyle w:val="Compact"/>
              <w:spacing w:after="40"/>
              <w:jc w:val="left"/>
            </w:pPr>
            <w:r>
              <w:rPr>
                <w:sz w:val="18"/>
              </w:rPr>
              <w:t xml:space="preserve">RS</w:t>
            </w:r>
          </w:p>
        </w:tc>
        <w:tc>
          <w:tcPr>
            <w:tcW w:w="1119" w:type="dxa"/>
          </w:tcPr>
          <w:p>
            <w:pPr>
              <w:pStyle w:val="Compact"/>
              <w:spacing w:after="40"/>
              <w:jc w:val="left"/>
            </w:pPr>
            <w:r>
              <w:rPr>
                <w:sz w:val="18"/>
              </w:rPr>
              <w:t xml:space="preserve">asset_sale_id</w:t>
            </w:r>
          </w:p>
        </w:tc>
        <w:tc>
          <w:tcPr>
            <w:tcW w:w="1383" w:type="dxa"/>
          </w:tcPr>
          <w:p>
            <w:pPr>
              <w:pStyle w:val="Compact"/>
              <w:spacing w:after="40"/>
              <w:jc w:val="left"/>
            </w:pPr>
            <w:r>
              <w:rPr>
                <w:sz w:val="18"/>
              </w:rPr>
              <w:t xml:space="preserve">Gold ≤ 7 working days (RBC para 66)</w:t>
            </w:r>
          </w:p>
        </w:tc>
      </w:tr>
      <w:tr>
        <w:tc>
          <w:tcPr>
            <w:tcW w:w="1439" w:type="dxa"/>
          </w:tcPr>
          <w:p>
            <w:pPr>
              <w:pStyle w:val="Compact"/>
              <w:spacing w:after="40"/>
              <w:jc w:val="left"/>
            </w:pPr>
            <w:r>
              <w:rPr>
                <w:rStyle w:val="VerbatimChar"/>
                <w:sz w:val="18"/>
              </w:rPr>
              <w:t xml:space="preserve">RecoveryCaseClosed</w:t>
            </w:r>
            <w:r>
              <w:rPr>
                <w:sz w:val="18"/>
              </w:rPr>
              <w:t xml:space="preserve"> </w:t>
            </w:r>
            <w:r>
              <w:rPr>
                <w:sz w:val="18"/>
              </w:rPr>
              <w:t xml:space="preserve">(N)</w:t>
            </w:r>
          </w:p>
        </w:tc>
        <w:tc>
          <w:tcPr>
            <w:tcW w:w="1675" w:type="dxa"/>
          </w:tcPr>
          <w:p>
            <w:pPr>
              <w:pStyle w:val="Compact"/>
              <w:spacing w:after="40"/>
              <w:jc w:val="left"/>
            </w:pPr>
            <w:r>
              <w:rPr>
                <w:sz w:val="18"/>
              </w:rPr>
              <w:t xml:space="preserve">RS → UD, LDC</w:t>
            </w:r>
          </w:p>
        </w:tc>
        <w:tc>
          <w:tcPr>
            <w:tcW w:w="1224" w:type="dxa"/>
          </w:tcPr>
          <w:p>
            <w:pPr>
              <w:pStyle w:val="Compact"/>
              <w:spacing w:after="40"/>
              <w:jc w:val="left"/>
            </w:pPr>
            <w:r>
              <w:rPr>
                <w:sz w:val="18"/>
              </w:rPr>
              <w:t xml:space="preserve">Case ends</w:t>
            </w:r>
          </w:p>
        </w:tc>
        <w:tc>
          <w:tcPr>
            <w:tcW w:w="1925" w:type="dxa"/>
          </w:tcPr>
          <w:p>
            <w:pPr>
              <w:pStyle w:val="Compact"/>
              <w:spacing w:after="40"/>
              <w:jc w:val="left"/>
            </w:pPr>
            <w:r>
              <w:rPr>
                <w:sz w:val="18"/>
              </w:rPr>
              <w:t xml:space="preserve">closure reason</w:t>
            </w:r>
          </w:p>
        </w:tc>
        <w:tc>
          <w:tcPr>
            <w:tcW w:w="873" w:type="dxa"/>
          </w:tcPr>
          <w:p>
            <w:pPr>
              <w:pStyle w:val="Compact"/>
              <w:spacing w:after="40"/>
              <w:jc w:val="left"/>
            </w:pPr>
            <w:r>
              <w:rPr>
                <w:sz w:val="18"/>
              </w:rPr>
              <w:t xml:space="preserve">RS</w:t>
            </w:r>
          </w:p>
        </w:tc>
        <w:tc>
          <w:tcPr>
            <w:tcW w:w="1119" w:type="dxa"/>
          </w:tcPr>
          <w:p>
            <w:pPr>
              <w:pStyle w:val="Compact"/>
              <w:spacing w:after="40"/>
              <w:jc w:val="left"/>
            </w:pPr>
            <w:r>
              <w:rPr>
                <w:sz w:val="18"/>
              </w:rPr>
              <w:t xml:space="preserve">recovery_case_id</w:t>
            </w:r>
          </w:p>
        </w:tc>
        <w:tc>
          <w:tcPr>
            <w:tcW w:w="1383" w:type="dxa"/>
          </w:tcPr>
          <w:p>
            <w:pPr>
              <w:pStyle w:val="Compact"/>
              <w:spacing w:after="40"/>
              <w:jc w:val="left"/>
            </w:pPr>
            <w:r>
              <w:rPr>
                <w:sz w:val="18"/>
              </w:rPr>
              <w:t xml:space="preserve">≤ 15 min</w:t>
            </w:r>
          </w:p>
        </w:tc>
      </w:tr>
      <w:tr>
        <w:tc>
          <w:tcPr>
            <w:tcW w:w="1439" w:type="dxa"/>
          </w:tcPr>
          <w:p>
            <w:pPr>
              <w:pStyle w:val="Compact"/>
              <w:spacing w:after="40"/>
              <w:jc w:val="left"/>
            </w:pPr>
            <w:r>
              <w:rPr>
                <w:sz w:val="18"/>
              </w:rPr>
              <w:t xml:space="preserve">API</w:t>
            </w:r>
            <w:r>
              <w:rPr>
                <w:sz w:val="18"/>
              </w:rPr>
              <w:t xml:space="preserve"> </w:t>
            </w:r>
            <w:r>
              <w:rPr>
                <w:rStyle w:val="VerbatimChar"/>
                <w:sz w:val="18"/>
              </w:rPr>
              <w:t xml:space="preserve">GET /v1/recovery-cases/{id}</w:t>
            </w:r>
          </w:p>
        </w:tc>
        <w:tc>
          <w:tcPr>
            <w:tcW w:w="1675" w:type="dxa"/>
          </w:tcPr>
          <w:p>
            <w:pPr>
              <w:pStyle w:val="Compact"/>
              <w:spacing w:after="40"/>
              <w:jc w:val="left"/>
            </w:pPr>
            <w:r>
              <w:rPr>
                <w:sz w:val="18"/>
              </w:rPr>
              <w:t xml:space="preserve">UD, EQ → RS</w:t>
            </w:r>
          </w:p>
        </w:tc>
        <w:tc>
          <w:tcPr>
            <w:tcW w:w="1224" w:type="dxa"/>
          </w:tcPr>
          <w:p>
            <w:pPr>
              <w:pStyle w:val="Compact"/>
              <w:spacing w:after="40"/>
              <w:jc w:val="left"/>
            </w:pPr>
            <w:r>
              <w:rPr>
                <w:sz w:val="18"/>
              </w:rPr>
              <w:t xml:space="preserve">Display or referral</w:t>
            </w:r>
          </w:p>
        </w:tc>
        <w:tc>
          <w:tcPr>
            <w:tcW w:w="1925" w:type="dxa"/>
          </w:tcPr>
          <w:p>
            <w:pPr>
              <w:pStyle w:val="Compact"/>
              <w:spacing w:after="40"/>
              <w:jc w:val="left"/>
            </w:pPr>
            <w:r>
              <w:rPr>
                <w:sz w:val="18"/>
              </w:rPr>
              <w:t xml:space="preserve">projection by scope</w:t>
            </w:r>
          </w:p>
        </w:tc>
        <w:tc>
          <w:tcPr>
            <w:tcW w:w="873" w:type="dxa"/>
          </w:tcPr>
          <w:p>
            <w:pPr>
              <w:pStyle w:val="Compact"/>
              <w:spacing w:after="40"/>
              <w:jc w:val="left"/>
            </w:pPr>
            <w:r>
              <w:rPr>
                <w:sz w:val="18"/>
              </w:rPr>
              <w:t xml:space="preserve">RS</w:t>
            </w:r>
          </w:p>
        </w:tc>
        <w:tc>
          <w:tcPr>
            <w:tcW w:w="1119" w:type="dxa"/>
          </w:tcPr>
          <w:p>
            <w:pPr>
              <w:pStyle w:val="Compact"/>
              <w:spacing w:after="40"/>
              <w:jc w:val="left"/>
            </w:pPr>
            <w:r>
              <w:rPr>
                <w:sz w:val="18"/>
              </w:rPr>
              <w:t xml:space="preserve">n/a</w:t>
            </w:r>
          </w:p>
        </w:tc>
        <w:tc>
          <w:tcPr>
            <w:tcW w:w="1383" w:type="dxa"/>
          </w:tcPr>
          <w:p>
            <w:pPr>
              <w:pStyle w:val="Compact"/>
              <w:spacing w:after="40"/>
              <w:jc w:val="left"/>
            </w:pPr>
            <w:r>
              <w:rPr>
                <w:sz w:val="18"/>
              </w:rPr>
              <w:t xml:space="preserve">p95 ≤ 800 ms</w:t>
            </w:r>
          </w:p>
        </w:tc>
      </w:tr>
    </w:tbl>
    <w:bookmarkEnd w:id="53"/>
    <w:bookmarkStart w:id="54" w:name="adr-equator-or-another-provider-adr"/>
    <w:p>
      <w:pPr>
        <w:pStyle w:val="Heading2"/>
      </w:pPr>
      <w:r>
        <w:t xml:space="preserve">6.9 ADR — Equator or another provider (</w:t>
      </w:r>
      <w:r>
        <w:rPr>
          <w:rStyle w:val="VerbatimChar"/>
        </w:rPr>
        <w:t xml:space="preserve">adr</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536"/>
        <w:gridCol w:w="1042"/>
        <w:gridCol w:w="1572"/>
        <w:gridCol w:w="1816"/>
        <w:gridCol w:w="1042"/>
        <w:gridCol w:w="1177"/>
        <w:gridCol w:w="1453"/>
      </w:tblGrid>
      <w:tr>
        <w:trPr>
          <w:tblHeader w:val="true"/>
          <w:tblHeader w:val="true"/>
        </w:trPr>
        <w:tc>
          <w:tcPr>
            <w:tcW w:w="1536" w:type="dxa"/>
            <w:shd w:val="clear" w:color="auto" w:fill="1F3A5F"/>
          </w:tcPr>
          <w:p>
            <w:pPr>
              <w:pStyle w:val="Compact"/>
              <w:spacing w:after="40"/>
              <w:jc w:val="left"/>
            </w:pPr>
            <w:r>
              <w:rPr>
                <w:b/>
                <w:color w:val="FFFFFF"/>
                <w:sz w:val="18"/>
              </w:rPr>
              <w:t xml:space="preserve">Event or API</w:t>
            </w:r>
          </w:p>
        </w:tc>
        <w:tc>
          <w:tcPr>
            <w:tcW w:w="1042" w:type="dxa"/>
            <w:shd w:val="clear" w:color="auto" w:fill="1F3A5F"/>
          </w:tcPr>
          <w:p>
            <w:pPr>
              <w:pStyle w:val="Compact"/>
              <w:spacing w:after="40"/>
              <w:jc w:val="left"/>
            </w:pPr>
            <w:r>
              <w:rPr>
                <w:b/>
                <w:color w:val="FFFFFF"/>
                <w:sz w:val="18"/>
              </w:rPr>
              <w:t xml:space="preserve">Producer → consumer(s)</w:t>
            </w:r>
          </w:p>
        </w:tc>
        <w:tc>
          <w:tcPr>
            <w:tcW w:w="1572" w:type="dxa"/>
            <w:shd w:val="clear" w:color="auto" w:fill="1F3A5F"/>
          </w:tcPr>
          <w:p>
            <w:pPr>
              <w:pStyle w:val="Compact"/>
              <w:spacing w:after="40"/>
              <w:jc w:val="left"/>
            </w:pPr>
            <w:r>
              <w:rPr>
                <w:b/>
                <w:color w:val="FFFFFF"/>
                <w:sz w:val="18"/>
              </w:rPr>
              <w:t xml:space="preserve">Trigger</w:t>
            </w:r>
          </w:p>
        </w:tc>
        <w:tc>
          <w:tcPr>
            <w:tcW w:w="1816" w:type="dxa"/>
            <w:shd w:val="clear" w:color="auto" w:fill="1F3A5F"/>
          </w:tcPr>
          <w:p>
            <w:pPr>
              <w:pStyle w:val="Compact"/>
              <w:spacing w:after="40"/>
              <w:jc w:val="left"/>
            </w:pPr>
            <w:r>
              <w:rPr>
                <w:b/>
                <w:color w:val="FFFFFF"/>
                <w:sz w:val="18"/>
              </w:rPr>
              <w:t xml:space="preserve">Key payload fields</w:t>
            </w:r>
          </w:p>
        </w:tc>
        <w:tc>
          <w:tcPr>
            <w:tcW w:w="1042" w:type="dxa"/>
            <w:shd w:val="clear" w:color="auto" w:fill="1F3A5F"/>
          </w:tcPr>
          <w:p>
            <w:pPr>
              <w:pStyle w:val="Compact"/>
              <w:spacing w:after="40"/>
              <w:jc w:val="left"/>
            </w:pPr>
            <w:r>
              <w:rPr>
                <w:b/>
                <w:color w:val="FFFFFF"/>
                <w:sz w:val="18"/>
              </w:rPr>
              <w:t xml:space="preserve">Owner</w:t>
            </w:r>
          </w:p>
        </w:tc>
        <w:tc>
          <w:tcPr>
            <w:tcW w:w="1177" w:type="dxa"/>
            <w:shd w:val="clear" w:color="auto" w:fill="1F3A5F"/>
          </w:tcPr>
          <w:p>
            <w:pPr>
              <w:pStyle w:val="Compact"/>
              <w:spacing w:after="40"/>
              <w:jc w:val="left"/>
            </w:pPr>
            <w:r>
              <w:rPr>
                <w:b/>
                <w:color w:val="FFFFFF"/>
                <w:sz w:val="18"/>
              </w:rPr>
              <w:t xml:space="preserve">Idempotency key</w:t>
            </w:r>
          </w:p>
        </w:tc>
        <w:tc>
          <w:tcPr>
            <w:tcW w:w="1453" w:type="dxa"/>
            <w:shd w:val="clear" w:color="auto" w:fill="1F3A5F"/>
          </w:tcPr>
          <w:p>
            <w:pPr>
              <w:pStyle w:val="Compact"/>
              <w:spacing w:after="40"/>
              <w:jc w:val="left"/>
            </w:pPr>
            <w:r>
              <w:rPr>
                <w:b/>
                <w:color w:val="FFFFFF"/>
                <w:sz w:val="18"/>
              </w:rPr>
              <w:t xml:space="preserve">SLA</w:t>
            </w:r>
          </w:p>
        </w:tc>
      </w:tr>
      <w:tr>
        <w:tc>
          <w:tcPr>
            <w:tcW w:w="1536" w:type="dxa"/>
          </w:tcPr>
          <w:p>
            <w:pPr>
              <w:pStyle w:val="Compact"/>
              <w:spacing w:after="40"/>
              <w:jc w:val="left"/>
            </w:pPr>
            <w:r>
              <w:rPr>
                <w:rStyle w:val="VerbatimChar"/>
                <w:sz w:val="18"/>
              </w:rPr>
              <w:t xml:space="preserve">ADRReferralCreated</w:t>
            </w:r>
            <w:r>
              <w:rPr>
                <w:sz w:val="18"/>
              </w:rPr>
              <w:t xml:space="preserve"> </w:t>
            </w:r>
            <w:r>
              <w:rPr>
                <w:sz w:val="18"/>
              </w:rPr>
              <w:t xml:space="preserve">(N) signed; API</w:t>
            </w:r>
            <w:r>
              <w:rPr>
                <w:sz w:val="18"/>
              </w:rPr>
              <w:t xml:space="preserve"> </w:t>
            </w:r>
            <w:r>
              <w:rPr>
                <w:rStyle w:val="VerbatimChar"/>
                <w:sz w:val="18"/>
              </w:rPr>
              <w:t xml:space="preserve">POST /v1/adr/referrals</w:t>
            </w:r>
            <w:r>
              <w:rPr>
                <w:sz w:val="18"/>
              </w:rPr>
              <w:t xml:space="preserve"> </w:t>
            </w:r>
            <w:r>
              <w:rPr>
                <w:sz w:val="18"/>
              </w:rPr>
              <w:t xml:space="preserve">at EQ</w:t>
            </w:r>
          </w:p>
        </w:tc>
        <w:tc>
          <w:tcPr>
            <w:tcW w:w="1042" w:type="dxa"/>
          </w:tcPr>
          <w:p>
            <w:pPr>
              <w:pStyle w:val="Compact"/>
              <w:spacing w:after="40"/>
              <w:jc w:val="left"/>
            </w:pPr>
            <w:r>
              <w:rPr>
                <w:sz w:val="18"/>
              </w:rPr>
              <w:t xml:space="preserve">RS → EQ, UD (projection), LDC</w:t>
            </w:r>
          </w:p>
        </w:tc>
        <w:tc>
          <w:tcPr>
            <w:tcW w:w="1572" w:type="dxa"/>
          </w:tcPr>
          <w:p>
            <w:pPr>
              <w:pStyle w:val="Compact"/>
              <w:spacing w:after="40"/>
              <w:jc w:val="left"/>
            </w:pPr>
            <w:r>
              <w:rPr>
                <w:sz w:val="18"/>
              </w:rPr>
              <w:t xml:space="preserve">RE referral after Part 8.2 gates</w:t>
            </w:r>
          </w:p>
        </w:tc>
        <w:tc>
          <w:tcPr>
            <w:tcW w:w="1816" w:type="dxa"/>
          </w:tcPr>
          <w:p>
            <w:pPr>
              <w:pStyle w:val="Compact"/>
              <w:spacing w:after="40"/>
              <w:jc w:val="left"/>
            </w:pPr>
            <w:r>
              <w:rPr>
                <w:sz w:val="18"/>
              </w:rPr>
              <w:t xml:space="preserve">process, basis, clause ref, stamp proof, claim, parties, pack hashes, sealed mandate ref</w:t>
            </w:r>
          </w:p>
        </w:tc>
        <w:tc>
          <w:tcPr>
            <w:tcW w:w="1042" w:type="dxa"/>
          </w:tcPr>
          <w:p>
            <w:pPr>
              <w:pStyle w:val="Compact"/>
              <w:spacing w:after="40"/>
              <w:jc w:val="left"/>
            </w:pPr>
            <w:r>
              <w:rPr>
                <w:sz w:val="18"/>
              </w:rPr>
              <w:t xml:space="preserve">RS referral; EQ docket</w:t>
            </w:r>
          </w:p>
        </w:tc>
        <w:tc>
          <w:tcPr>
            <w:tcW w:w="1177" w:type="dxa"/>
          </w:tcPr>
          <w:p>
            <w:pPr>
              <w:pStyle w:val="Compact"/>
              <w:spacing w:after="40"/>
              <w:jc w:val="left"/>
            </w:pPr>
            <w:r>
              <w:rPr>
                <w:sz w:val="18"/>
              </w:rPr>
              <w:t xml:space="preserve">referral_id</w:t>
            </w:r>
          </w:p>
        </w:tc>
        <w:tc>
          <w:tcPr>
            <w:tcW w:w="1453" w:type="dxa"/>
          </w:tcPr>
          <w:p>
            <w:pPr>
              <w:pStyle w:val="Compact"/>
              <w:spacing w:after="40"/>
              <w:jc w:val="left"/>
            </w:pPr>
            <w:r>
              <w:rPr>
                <w:sz w:val="18"/>
              </w:rPr>
              <w:t xml:space="preserve">Sync ack; screening ≤ 2 business days</w:t>
            </w:r>
          </w:p>
        </w:tc>
      </w:tr>
      <w:tr>
        <w:tc>
          <w:tcPr>
            <w:tcW w:w="1536" w:type="dxa"/>
          </w:tcPr>
          <w:p>
            <w:pPr>
              <w:pStyle w:val="Compact"/>
              <w:spacing w:after="40"/>
              <w:jc w:val="left"/>
            </w:pPr>
            <w:r>
              <w:rPr>
                <w:rStyle w:val="VerbatimChar"/>
                <w:sz w:val="18"/>
              </w:rPr>
              <w:t xml:space="preserve">ADRConsentRecorded</w:t>
            </w:r>
            <w:r>
              <w:rPr>
                <w:sz w:val="18"/>
              </w:rPr>
              <w:t xml:space="preserve"> </w:t>
            </w:r>
            <w:r>
              <w:rPr>
                <w:sz w:val="18"/>
              </w:rPr>
              <w:t xml:space="preserve">(N) signed</w:t>
            </w:r>
          </w:p>
        </w:tc>
        <w:tc>
          <w:tcPr>
            <w:tcW w:w="1042" w:type="dxa"/>
          </w:tcPr>
          <w:p>
            <w:pPr>
              <w:pStyle w:val="Compact"/>
              <w:spacing w:after="40"/>
              <w:jc w:val="left"/>
            </w:pPr>
            <w:r>
              <w:rPr>
                <w:sz w:val="18"/>
              </w:rPr>
              <w:t xml:space="preserve">EQ (or RS) → RS, UD</w:t>
            </w:r>
          </w:p>
        </w:tc>
        <w:tc>
          <w:tcPr>
            <w:tcW w:w="1572" w:type="dxa"/>
          </w:tcPr>
          <w:p>
            <w:pPr>
              <w:pStyle w:val="Compact"/>
              <w:spacing w:after="40"/>
              <w:jc w:val="left"/>
            </w:pPr>
            <w:r>
              <w:rPr>
                <w:sz w:val="18"/>
              </w:rPr>
              <w:t xml:space="preserve">Consent, decline or deemed decline</w:t>
            </w:r>
          </w:p>
        </w:tc>
        <w:tc>
          <w:tcPr>
            <w:tcW w:w="1816" w:type="dxa"/>
          </w:tcPr>
          <w:p>
            <w:pPr>
              <w:pStyle w:val="Compact"/>
              <w:spacing w:after="40"/>
              <w:jc w:val="left"/>
            </w:pPr>
            <w:r>
              <w:rPr>
                <w:sz w:val="18"/>
              </w:rPr>
              <w:t xml:space="preserve">consent type, decision, method, evidence hash</w:t>
            </w:r>
          </w:p>
        </w:tc>
        <w:tc>
          <w:tcPr>
            <w:tcW w:w="1042" w:type="dxa"/>
          </w:tcPr>
          <w:p>
            <w:pPr>
              <w:pStyle w:val="Compact"/>
              <w:spacing w:after="40"/>
              <w:jc w:val="left"/>
            </w:pPr>
            <w:r>
              <w:rPr>
                <w:sz w:val="18"/>
              </w:rPr>
              <w:t xml:space="preserve">Capturer</w:t>
            </w:r>
          </w:p>
        </w:tc>
        <w:tc>
          <w:tcPr>
            <w:tcW w:w="1177" w:type="dxa"/>
          </w:tcPr>
          <w:p>
            <w:pPr>
              <w:pStyle w:val="Compact"/>
              <w:spacing w:after="40"/>
              <w:jc w:val="left"/>
            </w:pPr>
            <w:r>
              <w:rPr>
                <w:sz w:val="18"/>
              </w:rPr>
              <w:t xml:space="preserve">(adr_case_id, party_id, consent_type)</w:t>
            </w:r>
          </w:p>
        </w:tc>
        <w:tc>
          <w:tcPr>
            <w:tcW w:w="1453" w:type="dxa"/>
          </w:tcPr>
          <w:p>
            <w:pPr>
              <w:pStyle w:val="Compact"/>
              <w:spacing w:after="40"/>
              <w:jc w:val="left"/>
            </w:pPr>
            <w:r>
              <w:rPr>
                <w:sz w:val="18"/>
              </w:rPr>
              <w:t xml:space="preserve">std</w:t>
            </w:r>
          </w:p>
        </w:tc>
      </w:tr>
      <w:tr>
        <w:tc>
          <w:tcPr>
            <w:tcW w:w="1536" w:type="dxa"/>
          </w:tcPr>
          <w:p>
            <w:pPr>
              <w:pStyle w:val="Compact"/>
              <w:spacing w:after="40"/>
              <w:jc w:val="left"/>
            </w:pPr>
            <w:r>
              <w:rPr>
                <w:rStyle w:val="VerbatimChar"/>
                <w:sz w:val="18"/>
              </w:rPr>
              <w:t xml:space="preserve">ADRNeutralAppointed</w:t>
            </w:r>
            <w:r>
              <w:rPr>
                <w:sz w:val="18"/>
              </w:rPr>
              <w:t xml:space="preserve"> </w:t>
            </w:r>
            <w:r>
              <w:rPr>
                <w:sz w:val="18"/>
              </w:rPr>
              <w:t xml:space="preserve">(N)</w:t>
            </w:r>
          </w:p>
        </w:tc>
        <w:tc>
          <w:tcPr>
            <w:tcW w:w="1042" w:type="dxa"/>
          </w:tcPr>
          <w:p>
            <w:pPr>
              <w:pStyle w:val="Compact"/>
              <w:spacing w:after="40"/>
              <w:jc w:val="left"/>
            </w:pPr>
            <w:r>
              <w:rPr>
                <w:sz w:val="18"/>
              </w:rPr>
              <w:t xml:space="preserve">EQ → RS, UD (name only)</w:t>
            </w:r>
          </w:p>
        </w:tc>
        <w:tc>
          <w:tcPr>
            <w:tcW w:w="1572" w:type="dxa"/>
          </w:tcPr>
          <w:p>
            <w:pPr>
              <w:pStyle w:val="Compact"/>
              <w:spacing w:after="40"/>
              <w:jc w:val="left"/>
            </w:pPr>
            <w:r>
              <w:rPr>
                <w:sz w:val="18"/>
              </w:rPr>
              <w:t xml:space="preserve">Appointment accepted after disclosure</w:t>
            </w:r>
          </w:p>
        </w:tc>
        <w:tc>
          <w:tcPr>
            <w:tcW w:w="1816" w:type="dxa"/>
          </w:tcPr>
          <w:p>
            <w:pPr>
              <w:pStyle w:val="Compact"/>
              <w:spacing w:after="40"/>
              <w:jc w:val="left"/>
            </w:pPr>
            <w:r>
              <w:rPr>
                <w:sz w:val="18"/>
              </w:rPr>
              <w:t xml:space="preserve">neutral, selection-log ref, Sixth Schedule disclosure, challenge end</w:t>
            </w:r>
          </w:p>
        </w:tc>
        <w:tc>
          <w:tcPr>
            <w:tcW w:w="1042" w:type="dxa"/>
          </w:tcPr>
          <w:p>
            <w:pPr>
              <w:pStyle w:val="Compact"/>
              <w:spacing w:after="40"/>
              <w:jc w:val="left"/>
            </w:pPr>
            <w:r>
              <w:rPr>
                <w:sz w:val="18"/>
              </w:rPr>
              <w:t xml:space="preserve">EQ</w:t>
            </w:r>
          </w:p>
        </w:tc>
        <w:tc>
          <w:tcPr>
            <w:tcW w:w="1177" w:type="dxa"/>
          </w:tcPr>
          <w:p>
            <w:pPr>
              <w:pStyle w:val="Compact"/>
              <w:spacing w:after="40"/>
              <w:jc w:val="left"/>
            </w:pPr>
            <w:r>
              <w:rPr>
                <w:sz w:val="18"/>
              </w:rPr>
              <w:t xml:space="preserve">(adr_case_id, appointment_seq)</w:t>
            </w:r>
          </w:p>
        </w:tc>
        <w:tc>
          <w:tcPr>
            <w:tcW w:w="1453" w:type="dxa"/>
          </w:tcPr>
          <w:p>
            <w:pPr>
              <w:pStyle w:val="Compact"/>
              <w:spacing w:after="40"/>
              <w:jc w:val="left"/>
            </w:pPr>
            <w:r>
              <w:rPr>
                <w:sz w:val="18"/>
              </w:rPr>
              <w:t xml:space="preserve">≤ 7 days [REC]</w:t>
            </w:r>
          </w:p>
        </w:tc>
      </w:tr>
      <w:tr>
        <w:tc>
          <w:tcPr>
            <w:tcW w:w="1536" w:type="dxa"/>
          </w:tcPr>
          <w:p>
            <w:pPr>
              <w:pStyle w:val="Compact"/>
              <w:spacing w:after="40"/>
              <w:jc w:val="left"/>
            </w:pPr>
            <w:r>
              <w:rPr>
                <w:rStyle w:val="VerbatimChar"/>
                <w:sz w:val="18"/>
              </w:rPr>
              <w:t xml:space="preserve">ADRHearingScheduled</w:t>
            </w:r>
            <w:r>
              <w:rPr>
                <w:sz w:val="18"/>
              </w:rPr>
              <w:t xml:space="preserve"> </w:t>
            </w:r>
            <w:r>
              <w:rPr>
                <w:sz w:val="18"/>
              </w:rPr>
              <w:t xml:space="preserve">(N)</w:t>
            </w:r>
          </w:p>
        </w:tc>
        <w:tc>
          <w:tcPr>
            <w:tcW w:w="1042" w:type="dxa"/>
          </w:tcPr>
          <w:p>
            <w:pPr>
              <w:pStyle w:val="Compact"/>
              <w:spacing w:after="40"/>
              <w:jc w:val="left"/>
            </w:pPr>
            <w:r>
              <w:rPr>
                <w:sz w:val="18"/>
              </w:rPr>
              <w:t xml:space="preserve">EQ → RS, UD</w:t>
            </w:r>
          </w:p>
        </w:tc>
        <w:tc>
          <w:tcPr>
            <w:tcW w:w="1572" w:type="dxa"/>
          </w:tcPr>
          <w:p>
            <w:pPr>
              <w:pStyle w:val="Compact"/>
              <w:spacing w:after="40"/>
              <w:jc w:val="left"/>
            </w:pPr>
            <w:r>
              <w:rPr>
                <w:sz w:val="18"/>
              </w:rPr>
              <w:t xml:space="preserve">Hearing or session fixed</w:t>
            </w:r>
          </w:p>
        </w:tc>
        <w:tc>
          <w:tcPr>
            <w:tcW w:w="1816" w:type="dxa"/>
          </w:tcPr>
          <w:p>
            <w:pPr>
              <w:pStyle w:val="Compact"/>
              <w:spacing w:after="40"/>
              <w:jc w:val="left"/>
            </w:pPr>
            <w:r>
              <w:rPr>
                <w:sz w:val="18"/>
              </w:rPr>
              <w:t xml:space="preserve">date, mode; party link via launch flow (4.4)</w:t>
            </w:r>
          </w:p>
        </w:tc>
        <w:tc>
          <w:tcPr>
            <w:tcW w:w="1042" w:type="dxa"/>
          </w:tcPr>
          <w:p>
            <w:pPr>
              <w:pStyle w:val="Compact"/>
              <w:spacing w:after="40"/>
              <w:jc w:val="left"/>
            </w:pPr>
            <w:r>
              <w:rPr>
                <w:sz w:val="18"/>
              </w:rPr>
              <w:t xml:space="preserve">EQ</w:t>
            </w:r>
          </w:p>
        </w:tc>
        <w:tc>
          <w:tcPr>
            <w:tcW w:w="1177" w:type="dxa"/>
          </w:tcPr>
          <w:p>
            <w:pPr>
              <w:pStyle w:val="Compact"/>
              <w:spacing w:after="40"/>
              <w:jc w:val="left"/>
            </w:pPr>
            <w:r>
              <w:rPr>
                <w:sz w:val="18"/>
              </w:rPr>
              <w:t xml:space="preserve">(adr_case_id, hearing_id)</w:t>
            </w:r>
          </w:p>
        </w:tc>
        <w:tc>
          <w:tcPr>
            <w:tcW w:w="1453" w:type="dxa"/>
          </w:tcPr>
          <w:p>
            <w:pPr>
              <w:pStyle w:val="Compact"/>
              <w:spacing w:after="40"/>
              <w:jc w:val="left"/>
            </w:pPr>
            <w:r>
              <w:rPr>
                <w:sz w:val="18"/>
              </w:rPr>
              <w:t xml:space="preserve">≥ 3 days before [REC]</w:t>
            </w:r>
          </w:p>
        </w:tc>
      </w:tr>
      <w:tr>
        <w:tc>
          <w:tcPr>
            <w:tcW w:w="1536" w:type="dxa"/>
          </w:tcPr>
          <w:p>
            <w:pPr>
              <w:pStyle w:val="Compact"/>
              <w:spacing w:after="40"/>
              <w:jc w:val="left"/>
            </w:pPr>
            <w:r>
              <w:rPr>
                <w:rStyle w:val="VerbatimChar"/>
                <w:sz w:val="18"/>
              </w:rPr>
              <w:t xml:space="preserve">ADRCaseStatusChanged</w:t>
            </w:r>
            <w:r>
              <w:rPr>
                <w:sz w:val="18"/>
              </w:rPr>
              <w:t xml:space="preserve"> </w:t>
            </w:r>
            <w:r>
              <w:rPr>
                <w:sz w:val="18"/>
              </w:rPr>
              <w:t xml:space="preserve">(N)</w:t>
            </w:r>
          </w:p>
        </w:tc>
        <w:tc>
          <w:tcPr>
            <w:tcW w:w="1042" w:type="dxa"/>
          </w:tcPr>
          <w:p>
            <w:pPr>
              <w:pStyle w:val="Compact"/>
              <w:spacing w:after="40"/>
              <w:jc w:val="left"/>
            </w:pPr>
            <w:r>
              <w:rPr>
                <w:sz w:val="18"/>
              </w:rPr>
              <w:t xml:space="preserve">EQ → RS, UD (projection)</w:t>
            </w:r>
          </w:p>
        </w:tc>
        <w:tc>
          <w:tcPr>
            <w:tcW w:w="1572" w:type="dxa"/>
          </w:tcPr>
          <w:p>
            <w:pPr>
              <w:pStyle w:val="Compact"/>
              <w:spacing w:after="40"/>
              <w:jc w:val="left"/>
            </w:pPr>
            <w:r>
              <w:rPr>
                <w:sz w:val="18"/>
              </w:rPr>
              <w:t xml:space="preserve">Transition (Part 8.3)</w:t>
            </w:r>
          </w:p>
        </w:tc>
        <w:tc>
          <w:tcPr>
            <w:tcW w:w="1816" w:type="dxa"/>
          </w:tcPr>
          <w:p>
            <w:pPr>
              <w:pStyle w:val="Compact"/>
              <w:spacing w:after="40"/>
              <w:jc w:val="left"/>
            </w:pPr>
            <w:r>
              <w:rPr>
                <w:sz w:val="18"/>
              </w:rPr>
              <w:t xml:space="preserve">from, to, reason, clocks, borrower_action_required</w:t>
            </w:r>
          </w:p>
        </w:tc>
        <w:tc>
          <w:tcPr>
            <w:tcW w:w="1042" w:type="dxa"/>
          </w:tcPr>
          <w:p>
            <w:pPr>
              <w:pStyle w:val="Compact"/>
              <w:spacing w:after="40"/>
              <w:jc w:val="left"/>
            </w:pPr>
            <w:r>
              <w:rPr>
                <w:sz w:val="18"/>
              </w:rPr>
              <w:t xml:space="preserve">EQ</w:t>
            </w:r>
          </w:p>
        </w:tc>
        <w:tc>
          <w:tcPr>
            <w:tcW w:w="1177" w:type="dxa"/>
          </w:tcPr>
          <w:p>
            <w:pPr>
              <w:pStyle w:val="Compact"/>
              <w:spacing w:after="40"/>
              <w:jc w:val="left"/>
            </w:pPr>
            <w:r>
              <w:rPr>
                <w:sz w:val="18"/>
              </w:rPr>
              <w:t xml:space="preserve">(adr_case_id, seq)</w:t>
            </w:r>
          </w:p>
        </w:tc>
        <w:tc>
          <w:tcPr>
            <w:tcW w:w="1453" w:type="dxa"/>
          </w:tcPr>
          <w:p>
            <w:pPr>
              <w:pStyle w:val="Compact"/>
              <w:spacing w:after="40"/>
              <w:jc w:val="left"/>
            </w:pPr>
            <w:r>
              <w:rPr>
                <w:sz w:val="18"/>
              </w:rPr>
              <w:t xml:space="preserve">std</w:t>
            </w:r>
          </w:p>
        </w:tc>
      </w:tr>
      <w:tr>
        <w:tc>
          <w:tcPr>
            <w:tcW w:w="1536" w:type="dxa"/>
          </w:tcPr>
          <w:p>
            <w:pPr>
              <w:pStyle w:val="Compact"/>
              <w:spacing w:after="40"/>
              <w:jc w:val="left"/>
            </w:pPr>
            <w:r>
              <w:rPr>
                <w:rStyle w:val="VerbatimChar"/>
                <w:sz w:val="18"/>
              </w:rPr>
              <w:t xml:space="preserve">ADROutcomeRecorded</w:t>
            </w:r>
            <w:r>
              <w:rPr>
                <w:sz w:val="18"/>
              </w:rPr>
              <w:t xml:space="preserve"> </w:t>
            </w:r>
            <w:r>
              <w:rPr>
                <w:sz w:val="18"/>
              </w:rPr>
              <w:t xml:space="preserve">(N) signed</w:t>
            </w:r>
          </w:p>
        </w:tc>
        <w:tc>
          <w:tcPr>
            <w:tcW w:w="1042" w:type="dxa"/>
          </w:tcPr>
          <w:p>
            <w:pPr>
              <w:pStyle w:val="Compact"/>
              <w:spacing w:after="40"/>
              <w:jc w:val="left"/>
            </w:pPr>
            <w:r>
              <w:rPr>
                <w:sz w:val="18"/>
              </w:rPr>
              <w:t xml:space="preserve">EQ → RS, UD (summary)</w:t>
            </w:r>
          </w:p>
        </w:tc>
        <w:tc>
          <w:tcPr>
            <w:tcW w:w="1572" w:type="dxa"/>
          </w:tcPr>
          <w:p>
            <w:pPr>
              <w:pStyle w:val="Compact"/>
              <w:spacing w:after="40"/>
              <w:jc w:val="left"/>
            </w:pPr>
            <w:r>
              <w:rPr>
                <w:sz w:val="18"/>
              </w:rPr>
              <w:t xml:space="preserve">Award or settlement signed and stamped; non-settlement; withdrawal</w:t>
            </w:r>
          </w:p>
        </w:tc>
        <w:tc>
          <w:tcPr>
            <w:tcW w:w="1816" w:type="dxa"/>
          </w:tcPr>
          <w:p>
            <w:pPr>
              <w:pStyle w:val="Compact"/>
              <w:spacing w:after="40"/>
              <w:jc w:val="left"/>
            </w:pPr>
            <w:r>
              <w:rPr>
                <w:sz w:val="18"/>
              </w:rPr>
              <w:t xml:space="preserve">outcome type, terms, document hash, e-stamp, served_at, s.34 window</w:t>
            </w:r>
          </w:p>
        </w:tc>
        <w:tc>
          <w:tcPr>
            <w:tcW w:w="1042" w:type="dxa"/>
          </w:tcPr>
          <w:p>
            <w:pPr>
              <w:pStyle w:val="Compact"/>
              <w:spacing w:after="40"/>
              <w:jc w:val="left"/>
            </w:pPr>
            <w:r>
              <w:rPr>
                <w:sz w:val="18"/>
              </w:rPr>
              <w:t xml:space="preserve">EQ instrument; RS loan effect</w:t>
            </w:r>
          </w:p>
        </w:tc>
        <w:tc>
          <w:tcPr>
            <w:tcW w:w="1177" w:type="dxa"/>
          </w:tcPr>
          <w:p>
            <w:pPr>
              <w:pStyle w:val="Compact"/>
              <w:spacing w:after="40"/>
              <w:jc w:val="left"/>
            </w:pPr>
            <w:r>
              <w:rPr>
                <w:sz w:val="18"/>
              </w:rPr>
              <w:t xml:space="preserve">(adr_case_id, outcome_seq)</w:t>
            </w:r>
          </w:p>
        </w:tc>
        <w:tc>
          <w:tcPr>
            <w:tcW w:w="1453" w:type="dxa"/>
          </w:tcPr>
          <w:p>
            <w:pPr>
              <w:pStyle w:val="Compact"/>
              <w:spacing w:after="40"/>
              <w:jc w:val="left"/>
            </w:pPr>
            <w:r>
              <w:rPr>
                <w:sz w:val="18"/>
              </w:rPr>
              <w:t xml:space="preserve">Stamp at signing; certified copy ≤ 2 business days [REC]</w:t>
            </w:r>
          </w:p>
        </w:tc>
      </w:tr>
      <w:tr>
        <w:tc>
          <w:tcPr>
            <w:tcW w:w="1536" w:type="dxa"/>
          </w:tcPr>
          <w:p>
            <w:pPr>
              <w:pStyle w:val="Compact"/>
              <w:spacing w:after="40"/>
              <w:jc w:val="left"/>
            </w:pPr>
            <w:r>
              <w:rPr>
                <w:rStyle w:val="VerbatimChar"/>
                <w:sz w:val="18"/>
              </w:rPr>
              <w:t xml:space="preserve">ADROutcomeComplianceUpdated</w:t>
            </w:r>
            <w:r>
              <w:rPr>
                <w:sz w:val="18"/>
              </w:rPr>
              <w:t xml:space="preserve"> </w:t>
            </w:r>
            <w:r>
              <w:rPr>
                <w:sz w:val="18"/>
              </w:rPr>
              <w:t xml:space="preserve">(N)</w:t>
            </w:r>
          </w:p>
        </w:tc>
        <w:tc>
          <w:tcPr>
            <w:tcW w:w="1042" w:type="dxa"/>
          </w:tcPr>
          <w:p>
            <w:pPr>
              <w:pStyle w:val="Compact"/>
              <w:spacing w:after="40"/>
              <w:jc w:val="left"/>
            </w:pPr>
            <w:r>
              <w:rPr>
                <w:sz w:val="18"/>
              </w:rPr>
              <w:t xml:space="preserve">RS → EQ, UD</w:t>
            </w:r>
          </w:p>
        </w:tc>
        <w:tc>
          <w:tcPr>
            <w:tcW w:w="1572" w:type="dxa"/>
          </w:tcPr>
          <w:p>
            <w:pPr>
              <w:pStyle w:val="Compact"/>
              <w:spacing w:after="40"/>
              <w:jc w:val="left"/>
            </w:pPr>
            <w:r>
              <w:rPr>
                <w:sz w:val="18"/>
              </w:rPr>
              <w:t xml:space="preserve">Payment or breach against schedule</w:t>
            </w:r>
          </w:p>
        </w:tc>
        <w:tc>
          <w:tcPr>
            <w:tcW w:w="1816" w:type="dxa"/>
          </w:tcPr>
          <w:p>
            <w:pPr>
              <w:pStyle w:val="Compact"/>
              <w:spacing w:after="40"/>
              <w:jc w:val="left"/>
            </w:pPr>
            <w:r>
              <w:rPr>
                <w:sz w:val="18"/>
              </w:rPr>
              <w:t xml:space="preserve">status, amounts</w:t>
            </w:r>
          </w:p>
        </w:tc>
        <w:tc>
          <w:tcPr>
            <w:tcW w:w="1042" w:type="dxa"/>
          </w:tcPr>
          <w:p>
            <w:pPr>
              <w:pStyle w:val="Compact"/>
              <w:spacing w:after="40"/>
              <w:jc w:val="left"/>
            </w:pPr>
            <w:r>
              <w:rPr>
                <w:sz w:val="18"/>
              </w:rPr>
              <w:t xml:space="preserve">RS</w:t>
            </w:r>
          </w:p>
        </w:tc>
        <w:tc>
          <w:tcPr>
            <w:tcW w:w="1177" w:type="dxa"/>
          </w:tcPr>
          <w:p>
            <w:pPr>
              <w:pStyle w:val="Compact"/>
              <w:spacing w:after="40"/>
              <w:jc w:val="left"/>
            </w:pPr>
            <w:r>
              <w:rPr>
                <w:sz w:val="18"/>
              </w:rPr>
              <w:t xml:space="preserve">(adr_case_id, compliance_seq)</w:t>
            </w:r>
          </w:p>
        </w:tc>
        <w:tc>
          <w:tcPr>
            <w:tcW w:w="1453" w:type="dxa"/>
          </w:tcPr>
          <w:p>
            <w:pPr>
              <w:pStyle w:val="Compact"/>
              <w:spacing w:after="40"/>
              <w:jc w:val="left"/>
            </w:pPr>
            <w:r>
              <w:rPr>
                <w:sz w:val="18"/>
              </w:rPr>
              <w:t xml:space="preserve">≤ 1 working day</w:t>
            </w:r>
          </w:p>
        </w:tc>
      </w:tr>
      <w:tr>
        <w:tc>
          <w:tcPr>
            <w:tcW w:w="1536" w:type="dxa"/>
          </w:tcPr>
          <w:p>
            <w:pPr>
              <w:pStyle w:val="Compact"/>
              <w:spacing w:after="40"/>
              <w:jc w:val="left"/>
            </w:pPr>
            <w:r>
              <w:rPr>
                <w:sz w:val="18"/>
              </w:rPr>
              <w:t xml:space="preserve">API</w:t>
            </w:r>
            <w:r>
              <w:rPr>
                <w:sz w:val="18"/>
              </w:rPr>
              <w:t xml:space="preserve"> </w:t>
            </w:r>
            <w:r>
              <w:rPr>
                <w:rStyle w:val="VerbatimChar"/>
                <w:sz w:val="18"/>
              </w:rPr>
              <w:t xml:space="preserve">PUT /v1/adr/cases/{id}/settlement-mandate</w:t>
            </w:r>
          </w:p>
        </w:tc>
        <w:tc>
          <w:tcPr>
            <w:tcW w:w="1042" w:type="dxa"/>
          </w:tcPr>
          <w:p>
            <w:pPr>
              <w:pStyle w:val="Compact"/>
              <w:spacing w:after="40"/>
              <w:jc w:val="left"/>
            </w:pPr>
            <w:r>
              <w:rPr>
                <w:sz w:val="18"/>
              </w:rPr>
              <w:t xml:space="preserve">RS → EQ</w:t>
            </w:r>
          </w:p>
        </w:tc>
        <w:tc>
          <w:tcPr>
            <w:tcW w:w="1572" w:type="dxa"/>
          </w:tcPr>
          <w:p>
            <w:pPr>
              <w:pStyle w:val="Compact"/>
              <w:spacing w:after="40"/>
              <w:jc w:val="left"/>
            </w:pPr>
            <w:r>
              <w:rPr>
                <w:sz w:val="18"/>
              </w:rPr>
              <w:t xml:space="preserve">Set or change settlement band</w:t>
            </w:r>
          </w:p>
        </w:tc>
        <w:tc>
          <w:tcPr>
            <w:tcW w:w="1816" w:type="dxa"/>
          </w:tcPr>
          <w:p>
            <w:pPr>
              <w:pStyle w:val="Compact"/>
              <w:spacing w:after="40"/>
              <w:jc w:val="left"/>
            </w:pPr>
            <w:r>
              <w:rPr>
                <w:sz w:val="18"/>
              </w:rPr>
              <w:t xml:space="preserve">floor, tenor, waiver limit, approver, expiry</w:t>
            </w:r>
          </w:p>
        </w:tc>
        <w:tc>
          <w:tcPr>
            <w:tcW w:w="1042" w:type="dxa"/>
          </w:tcPr>
          <w:p>
            <w:pPr>
              <w:pStyle w:val="Compact"/>
              <w:spacing w:after="40"/>
              <w:jc w:val="left"/>
            </w:pPr>
            <w:r>
              <w:rPr>
                <w:sz w:val="18"/>
              </w:rPr>
              <w:t xml:space="preserve">RS</w:t>
            </w:r>
          </w:p>
        </w:tc>
        <w:tc>
          <w:tcPr>
            <w:tcW w:w="1177" w:type="dxa"/>
          </w:tcPr>
          <w:p>
            <w:pPr>
              <w:pStyle w:val="Compact"/>
              <w:spacing w:after="40"/>
              <w:jc w:val="left"/>
            </w:pPr>
            <w:r>
              <w:rPr>
                <w:sz w:val="18"/>
              </w:rPr>
              <w:t xml:space="preserve">Idempotency-Key</w:t>
            </w:r>
          </w:p>
        </w:tc>
        <w:tc>
          <w:tcPr>
            <w:tcW w:w="1453" w:type="dxa"/>
          </w:tcPr>
          <w:p>
            <w:pPr>
              <w:pStyle w:val="Compact"/>
              <w:spacing w:after="40"/>
              <w:jc w:val="left"/>
            </w:pPr>
            <w:r>
              <w:rPr>
                <w:sz w:val="18"/>
              </w:rPr>
              <w:t xml:space="preserve">Never visible to borrower or UD</w:t>
            </w:r>
          </w:p>
        </w:tc>
      </w:tr>
      <w:tr>
        <w:tc>
          <w:tcPr>
            <w:tcW w:w="1536" w:type="dxa"/>
          </w:tcPr>
          <w:p>
            <w:pPr>
              <w:pStyle w:val="Compact"/>
              <w:spacing w:after="40"/>
              <w:jc w:val="left"/>
            </w:pPr>
            <w:r>
              <w:rPr>
                <w:sz w:val="18"/>
              </w:rPr>
              <w:t xml:space="preserve">API</w:t>
            </w:r>
            <w:r>
              <w:rPr>
                <w:sz w:val="18"/>
              </w:rPr>
              <w:t xml:space="preserve"> </w:t>
            </w:r>
            <w:r>
              <w:rPr>
                <w:rStyle w:val="VerbatimChar"/>
                <w:sz w:val="18"/>
              </w:rPr>
              <w:t xml:space="preserve">POST /v1/adr/cases/{id}/withdrawal</w:t>
            </w:r>
          </w:p>
        </w:tc>
        <w:tc>
          <w:tcPr>
            <w:tcW w:w="1042" w:type="dxa"/>
          </w:tcPr>
          <w:p>
            <w:pPr>
              <w:pStyle w:val="Compact"/>
              <w:spacing w:after="40"/>
              <w:jc w:val="left"/>
            </w:pPr>
            <w:r>
              <w:rPr>
                <w:sz w:val="18"/>
              </w:rPr>
              <w:t xml:space="preserve">RS → EQ</w:t>
            </w:r>
          </w:p>
        </w:tc>
        <w:tc>
          <w:tcPr>
            <w:tcW w:w="1572" w:type="dxa"/>
          </w:tcPr>
          <w:p>
            <w:pPr>
              <w:pStyle w:val="Compact"/>
              <w:spacing w:after="40"/>
              <w:jc w:val="left"/>
            </w:pPr>
            <w:r>
              <w:rPr>
                <w:sz w:val="18"/>
              </w:rPr>
              <w:t xml:space="preserve">RE withdraws</w:t>
            </w:r>
          </w:p>
        </w:tc>
        <w:tc>
          <w:tcPr>
            <w:tcW w:w="1816" w:type="dxa"/>
          </w:tcPr>
          <w:p>
            <w:pPr>
              <w:pStyle w:val="Compact"/>
              <w:spacing w:after="40"/>
              <w:jc w:val="left"/>
            </w:pPr>
            <w:r>
              <w:rPr>
                <w:sz w:val="18"/>
              </w:rPr>
              <w:t xml:space="preserve">reason</w:t>
            </w:r>
          </w:p>
        </w:tc>
        <w:tc>
          <w:tcPr>
            <w:tcW w:w="1042" w:type="dxa"/>
          </w:tcPr>
          <w:p>
            <w:pPr>
              <w:pStyle w:val="Compact"/>
              <w:spacing w:after="40"/>
              <w:jc w:val="left"/>
            </w:pPr>
            <w:r>
              <w:rPr>
                <w:sz w:val="18"/>
              </w:rPr>
              <w:t xml:space="preserve">RS</w:t>
            </w:r>
          </w:p>
        </w:tc>
        <w:tc>
          <w:tcPr>
            <w:tcW w:w="1177" w:type="dxa"/>
          </w:tcPr>
          <w:p>
            <w:pPr>
              <w:pStyle w:val="Compact"/>
              <w:spacing w:after="40"/>
              <w:jc w:val="left"/>
            </w:pPr>
            <w:r>
              <w:rPr>
                <w:sz w:val="18"/>
              </w:rPr>
              <w:t xml:space="preserve">Idempotency-Key</w:t>
            </w:r>
          </w:p>
        </w:tc>
        <w:tc>
          <w:tcPr>
            <w:tcW w:w="1453" w:type="dxa"/>
          </w:tcPr>
          <w:p>
            <w:pPr>
              <w:pStyle w:val="Compact"/>
              <w:spacing w:after="40"/>
              <w:jc w:val="left"/>
            </w:pPr>
            <w:r>
              <w:rPr>
                <w:sz w:val="18"/>
              </w:rPr>
              <w:t xml:space="preserve">≤ 1 working day</w:t>
            </w:r>
          </w:p>
        </w:tc>
      </w:tr>
    </w:tbl>
    <w:bookmarkEnd w:id="54"/>
    <w:bookmarkStart w:id="55" w:name="litigation-litigation"/>
    <w:p>
      <w:pPr>
        <w:pStyle w:val="Heading2"/>
      </w:pPr>
      <w:r>
        <w:t xml:space="preserve">6.10 Litigation (</w:t>
      </w:r>
      <w:r>
        <w:rPr>
          <w:rStyle w:val="VerbatimChar"/>
        </w:rPr>
        <w:t xml:space="preserve">litigation</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94"/>
        <w:gridCol w:w="1654"/>
        <w:gridCol w:w="2136"/>
        <w:gridCol w:w="1722"/>
        <w:gridCol w:w="811"/>
        <w:gridCol w:w="1194"/>
        <w:gridCol w:w="927"/>
      </w:tblGrid>
      <w:tr>
        <w:trPr>
          <w:tblHeader w:val="true"/>
          <w:tblHeader w:val="true"/>
        </w:trPr>
        <w:tc>
          <w:tcPr>
            <w:tcW w:w="1194" w:type="dxa"/>
            <w:shd w:val="clear" w:color="auto" w:fill="1F3A5F"/>
          </w:tcPr>
          <w:p>
            <w:pPr>
              <w:pStyle w:val="Compact"/>
              <w:spacing w:after="40"/>
              <w:jc w:val="left"/>
            </w:pPr>
            <w:r>
              <w:rPr>
                <w:b/>
                <w:color w:val="FFFFFF"/>
                <w:sz w:val="18"/>
              </w:rPr>
              <w:t xml:space="preserve">Event or API</w:t>
            </w:r>
          </w:p>
        </w:tc>
        <w:tc>
          <w:tcPr>
            <w:tcW w:w="1654" w:type="dxa"/>
            <w:shd w:val="clear" w:color="auto" w:fill="1F3A5F"/>
          </w:tcPr>
          <w:p>
            <w:pPr>
              <w:pStyle w:val="Compact"/>
              <w:spacing w:after="40"/>
              <w:jc w:val="left"/>
            </w:pPr>
            <w:r>
              <w:rPr>
                <w:b/>
                <w:color w:val="FFFFFF"/>
                <w:sz w:val="18"/>
              </w:rPr>
              <w:t xml:space="preserve">Producer → consumer(s)</w:t>
            </w:r>
          </w:p>
        </w:tc>
        <w:tc>
          <w:tcPr>
            <w:tcW w:w="2136" w:type="dxa"/>
            <w:shd w:val="clear" w:color="auto" w:fill="1F3A5F"/>
          </w:tcPr>
          <w:p>
            <w:pPr>
              <w:pStyle w:val="Compact"/>
              <w:spacing w:after="40"/>
              <w:jc w:val="left"/>
            </w:pPr>
            <w:r>
              <w:rPr>
                <w:b/>
                <w:color w:val="FFFFFF"/>
                <w:sz w:val="18"/>
              </w:rPr>
              <w:t xml:space="preserve">Trigger</w:t>
            </w:r>
          </w:p>
        </w:tc>
        <w:tc>
          <w:tcPr>
            <w:tcW w:w="1722" w:type="dxa"/>
            <w:shd w:val="clear" w:color="auto" w:fill="1F3A5F"/>
          </w:tcPr>
          <w:p>
            <w:pPr>
              <w:pStyle w:val="Compact"/>
              <w:spacing w:after="40"/>
              <w:jc w:val="left"/>
            </w:pPr>
            <w:r>
              <w:rPr>
                <w:b/>
                <w:color w:val="FFFFFF"/>
                <w:sz w:val="18"/>
              </w:rPr>
              <w:t xml:space="preserve">Key payload fields</w:t>
            </w:r>
          </w:p>
        </w:tc>
        <w:tc>
          <w:tcPr>
            <w:tcW w:w="811" w:type="dxa"/>
            <w:shd w:val="clear" w:color="auto" w:fill="1F3A5F"/>
          </w:tcPr>
          <w:p>
            <w:pPr>
              <w:pStyle w:val="Compact"/>
              <w:spacing w:after="40"/>
              <w:jc w:val="left"/>
            </w:pPr>
            <w:r>
              <w:rPr>
                <w:b/>
                <w:color w:val="FFFFFF"/>
                <w:sz w:val="18"/>
              </w:rPr>
              <w:t xml:space="preserve">Owner</w:t>
            </w:r>
          </w:p>
        </w:tc>
        <w:tc>
          <w:tcPr>
            <w:tcW w:w="1194" w:type="dxa"/>
            <w:shd w:val="clear" w:color="auto" w:fill="1F3A5F"/>
          </w:tcPr>
          <w:p>
            <w:pPr>
              <w:pStyle w:val="Compact"/>
              <w:spacing w:after="40"/>
              <w:jc w:val="left"/>
            </w:pPr>
            <w:r>
              <w:rPr>
                <w:b/>
                <w:color w:val="FFFFFF"/>
                <w:sz w:val="18"/>
              </w:rPr>
              <w:t xml:space="preserve">Idempotency key</w:t>
            </w:r>
          </w:p>
        </w:tc>
        <w:tc>
          <w:tcPr>
            <w:tcW w:w="927" w:type="dxa"/>
            <w:shd w:val="clear" w:color="auto" w:fill="1F3A5F"/>
          </w:tcPr>
          <w:p>
            <w:pPr>
              <w:pStyle w:val="Compact"/>
              <w:spacing w:after="40"/>
              <w:jc w:val="left"/>
            </w:pPr>
            <w:r>
              <w:rPr>
                <w:b/>
                <w:color w:val="FFFFFF"/>
                <w:sz w:val="18"/>
              </w:rPr>
              <w:t xml:space="preserve">SLA</w:t>
            </w:r>
          </w:p>
        </w:tc>
      </w:tr>
      <w:tr>
        <w:tc>
          <w:tcPr>
            <w:tcW w:w="1194" w:type="dxa"/>
          </w:tcPr>
          <w:p>
            <w:pPr>
              <w:pStyle w:val="Compact"/>
              <w:spacing w:after="40"/>
              <w:jc w:val="left"/>
            </w:pPr>
            <w:r>
              <w:rPr>
                <w:rStyle w:val="VerbatimChar"/>
                <w:sz w:val="18"/>
              </w:rPr>
              <w:t xml:space="preserve">LitigationCaseOpened</w:t>
            </w:r>
            <w:r>
              <w:rPr>
                <w:sz w:val="18"/>
              </w:rPr>
              <w:t xml:space="preserve"> </w:t>
            </w:r>
            <w:r>
              <w:rPr>
                <w:sz w:val="18"/>
              </w:rPr>
              <w:t xml:space="preserve">(N)</w:t>
            </w:r>
          </w:p>
        </w:tc>
        <w:tc>
          <w:tcPr>
            <w:tcW w:w="1654" w:type="dxa"/>
          </w:tcPr>
          <w:p>
            <w:pPr>
              <w:pStyle w:val="Compact"/>
              <w:spacing w:after="40"/>
              <w:jc w:val="left"/>
            </w:pPr>
            <w:r>
              <w:rPr>
                <w:sz w:val="18"/>
              </w:rPr>
              <w:t xml:space="preserve">RS → LDC, UD (if permitted)</w:t>
            </w:r>
          </w:p>
        </w:tc>
        <w:tc>
          <w:tcPr>
            <w:tcW w:w="2136" w:type="dxa"/>
          </w:tcPr>
          <w:p>
            <w:pPr>
              <w:pStyle w:val="Compact"/>
              <w:spacing w:after="40"/>
              <w:jc w:val="left"/>
            </w:pPr>
            <w:r>
              <w:rPr>
                <w:sz w:val="18"/>
              </w:rPr>
              <w:t xml:space="preserve">RE filing, or borrower-initiated proceeding received (s.17, consumer, writ, PLA)</w:t>
            </w:r>
          </w:p>
        </w:tc>
        <w:tc>
          <w:tcPr>
            <w:tcW w:w="1722" w:type="dxa"/>
          </w:tcPr>
          <w:p>
            <w:pPr>
              <w:pStyle w:val="Compact"/>
              <w:spacing w:after="40"/>
              <w:jc w:val="left"/>
            </w:pPr>
            <w:r>
              <w:rPr>
                <w:sz w:val="18"/>
              </w:rPr>
              <w:t xml:space="preserve">role, mechanism, forum, CNR, claim, linked ids</w:t>
            </w:r>
          </w:p>
        </w:tc>
        <w:tc>
          <w:tcPr>
            <w:tcW w:w="811" w:type="dxa"/>
          </w:tcPr>
          <w:p>
            <w:pPr>
              <w:pStyle w:val="Compact"/>
              <w:spacing w:after="40"/>
              <w:jc w:val="left"/>
            </w:pPr>
            <w:r>
              <w:rPr>
                <w:sz w:val="18"/>
              </w:rPr>
              <w:t xml:space="preserve">RS</w:t>
            </w:r>
          </w:p>
        </w:tc>
        <w:tc>
          <w:tcPr>
            <w:tcW w:w="1194" w:type="dxa"/>
          </w:tcPr>
          <w:p>
            <w:pPr>
              <w:pStyle w:val="Compact"/>
              <w:spacing w:after="40"/>
              <w:jc w:val="left"/>
            </w:pPr>
            <w:r>
              <w:rPr>
                <w:sz w:val="18"/>
              </w:rPr>
              <w:t xml:space="preserve">lit_case_id</w:t>
            </w:r>
          </w:p>
        </w:tc>
        <w:tc>
          <w:tcPr>
            <w:tcW w:w="927" w:type="dxa"/>
          </w:tcPr>
          <w:p>
            <w:pPr>
              <w:pStyle w:val="Compact"/>
              <w:spacing w:after="40"/>
              <w:jc w:val="left"/>
            </w:pPr>
            <w:r>
              <w:rPr>
                <w:sz w:val="18"/>
              </w:rPr>
              <w:t xml:space="preserve">≤ 1 working day</w:t>
            </w:r>
          </w:p>
        </w:tc>
      </w:tr>
      <w:tr>
        <w:tc>
          <w:tcPr>
            <w:tcW w:w="1194" w:type="dxa"/>
          </w:tcPr>
          <w:p>
            <w:pPr>
              <w:pStyle w:val="Compact"/>
              <w:spacing w:after="40"/>
              <w:jc w:val="left"/>
            </w:pPr>
            <w:r>
              <w:rPr>
                <w:rStyle w:val="VerbatimChar"/>
                <w:sz w:val="18"/>
              </w:rPr>
              <w:t xml:space="preserve">LitigationCaseUpdated</w:t>
            </w:r>
            <w:r>
              <w:rPr>
                <w:sz w:val="18"/>
              </w:rPr>
              <w:t xml:space="preserve"> </w:t>
            </w:r>
            <w:r>
              <w:rPr>
                <w:sz w:val="18"/>
              </w:rPr>
              <w:t xml:space="preserve">(N)</w:t>
            </w:r>
          </w:p>
        </w:tc>
        <w:tc>
          <w:tcPr>
            <w:tcW w:w="1654" w:type="dxa"/>
          </w:tcPr>
          <w:p>
            <w:pPr>
              <w:pStyle w:val="Compact"/>
              <w:spacing w:after="40"/>
              <w:jc w:val="left"/>
            </w:pPr>
            <w:r>
              <w:rPr>
                <w:sz w:val="18"/>
              </w:rPr>
              <w:t xml:space="preserve">RS (from CDA and counsel) → LDC, UD (projection)</w:t>
            </w:r>
          </w:p>
        </w:tc>
        <w:tc>
          <w:tcPr>
            <w:tcW w:w="2136" w:type="dxa"/>
          </w:tcPr>
          <w:p>
            <w:pPr>
              <w:pStyle w:val="Compact"/>
              <w:spacing w:after="40"/>
              <w:jc w:val="left"/>
            </w:pPr>
            <w:r>
              <w:rPr>
                <w:sz w:val="18"/>
              </w:rPr>
              <w:t xml:space="preserve">Stage, stay, substitution, counsel change</w:t>
            </w:r>
          </w:p>
        </w:tc>
        <w:tc>
          <w:tcPr>
            <w:tcW w:w="1722" w:type="dxa"/>
          </w:tcPr>
          <w:p>
            <w:pPr>
              <w:pStyle w:val="Compact"/>
              <w:spacing w:after="40"/>
              <w:jc w:val="left"/>
            </w:pPr>
            <w:r>
              <w:rPr>
                <w:sz w:val="18"/>
              </w:rPr>
              <w:t xml:space="preserve">stage, stay, substitution, legal_stage</w:t>
            </w:r>
          </w:p>
        </w:tc>
        <w:tc>
          <w:tcPr>
            <w:tcW w:w="811" w:type="dxa"/>
          </w:tcPr>
          <w:p>
            <w:pPr>
              <w:pStyle w:val="Compact"/>
              <w:spacing w:after="40"/>
              <w:jc w:val="left"/>
            </w:pPr>
            <w:r>
              <w:rPr>
                <w:sz w:val="18"/>
              </w:rPr>
              <w:t xml:space="preserve">RS</w:t>
            </w:r>
          </w:p>
        </w:tc>
        <w:tc>
          <w:tcPr>
            <w:tcW w:w="1194" w:type="dxa"/>
          </w:tcPr>
          <w:p>
            <w:pPr>
              <w:pStyle w:val="Compact"/>
              <w:spacing w:after="40"/>
              <w:jc w:val="left"/>
            </w:pPr>
            <w:r>
              <w:rPr>
                <w:sz w:val="18"/>
              </w:rPr>
              <w:t xml:space="preserve">(lit_case_id, seq)</w:t>
            </w:r>
          </w:p>
        </w:tc>
        <w:tc>
          <w:tcPr>
            <w:tcW w:w="927" w:type="dxa"/>
          </w:tcPr>
          <w:p>
            <w:pPr>
              <w:pStyle w:val="Compact"/>
              <w:spacing w:after="40"/>
              <w:jc w:val="left"/>
            </w:pPr>
            <w:r>
              <w:rPr>
                <w:sz w:val="18"/>
              </w:rPr>
              <w:t xml:space="preserve">≤ 1 working day</w:t>
            </w:r>
          </w:p>
        </w:tc>
      </w:tr>
      <w:tr>
        <w:tc>
          <w:tcPr>
            <w:tcW w:w="1194" w:type="dxa"/>
          </w:tcPr>
          <w:p>
            <w:pPr>
              <w:pStyle w:val="Compact"/>
              <w:spacing w:after="40"/>
              <w:jc w:val="left"/>
            </w:pPr>
            <w:r>
              <w:rPr>
                <w:rStyle w:val="VerbatimChar"/>
                <w:sz w:val="18"/>
              </w:rPr>
              <w:t xml:space="preserve">HearingScheduled</w:t>
            </w:r>
            <w:r>
              <w:rPr>
                <w:sz w:val="18"/>
              </w:rPr>
              <w:t xml:space="preserve"> </w:t>
            </w:r>
            <w:r>
              <w:rPr>
                <w:sz w:val="18"/>
              </w:rPr>
              <w:t xml:space="preserve">(N)</w:t>
            </w:r>
          </w:p>
        </w:tc>
        <w:tc>
          <w:tcPr>
            <w:tcW w:w="1654" w:type="dxa"/>
          </w:tcPr>
          <w:p>
            <w:pPr>
              <w:pStyle w:val="Compact"/>
              <w:spacing w:after="40"/>
              <w:jc w:val="left"/>
            </w:pPr>
            <w:r>
              <w:rPr>
                <w:sz w:val="18"/>
              </w:rPr>
              <w:t xml:space="preserve">RS → counsel portal, LDC, UD (date only)</w:t>
            </w:r>
          </w:p>
        </w:tc>
        <w:tc>
          <w:tcPr>
            <w:tcW w:w="2136" w:type="dxa"/>
          </w:tcPr>
          <w:p>
            <w:pPr>
              <w:pStyle w:val="Compact"/>
              <w:spacing w:after="40"/>
              <w:jc w:val="left"/>
            </w:pPr>
            <w:r>
              <w:rPr>
                <w:sz w:val="18"/>
              </w:rPr>
              <w:t xml:space="preserve">Next date or cause-list match</w:t>
            </w:r>
          </w:p>
        </w:tc>
        <w:tc>
          <w:tcPr>
            <w:tcW w:w="1722" w:type="dxa"/>
          </w:tcPr>
          <w:p>
            <w:pPr>
              <w:pStyle w:val="Compact"/>
              <w:spacing w:after="40"/>
              <w:jc w:val="left"/>
            </w:pPr>
            <w:r>
              <w:rPr>
                <w:sz w:val="18"/>
              </w:rPr>
              <w:t xml:space="preserve">date, bench, item, purpose</w:t>
            </w:r>
          </w:p>
        </w:tc>
        <w:tc>
          <w:tcPr>
            <w:tcW w:w="811" w:type="dxa"/>
          </w:tcPr>
          <w:p>
            <w:pPr>
              <w:pStyle w:val="Compact"/>
              <w:spacing w:after="40"/>
              <w:jc w:val="left"/>
            </w:pPr>
            <w:r>
              <w:rPr>
                <w:sz w:val="18"/>
              </w:rPr>
              <w:t xml:space="preserve">RS</w:t>
            </w:r>
          </w:p>
        </w:tc>
        <w:tc>
          <w:tcPr>
            <w:tcW w:w="1194" w:type="dxa"/>
          </w:tcPr>
          <w:p>
            <w:pPr>
              <w:pStyle w:val="Compact"/>
              <w:spacing w:after="40"/>
              <w:jc w:val="left"/>
            </w:pPr>
            <w:r>
              <w:rPr>
                <w:sz w:val="18"/>
              </w:rPr>
              <w:t xml:space="preserve">(lit_case_id, date, item)</w:t>
            </w:r>
          </w:p>
        </w:tc>
        <w:tc>
          <w:tcPr>
            <w:tcW w:w="927" w:type="dxa"/>
          </w:tcPr>
          <w:p>
            <w:pPr>
              <w:pStyle w:val="Compact"/>
              <w:spacing w:after="40"/>
              <w:jc w:val="left"/>
            </w:pPr>
            <w:r>
              <w:rPr>
                <w:sz w:val="18"/>
              </w:rPr>
              <w:t xml:space="preserve">Same day</w:t>
            </w:r>
          </w:p>
        </w:tc>
      </w:tr>
      <w:tr>
        <w:tc>
          <w:tcPr>
            <w:tcW w:w="1194" w:type="dxa"/>
          </w:tcPr>
          <w:p>
            <w:pPr>
              <w:pStyle w:val="Compact"/>
              <w:spacing w:after="40"/>
              <w:jc w:val="left"/>
            </w:pPr>
            <w:r>
              <w:rPr>
                <w:rStyle w:val="VerbatimChar"/>
                <w:sz w:val="18"/>
              </w:rPr>
              <w:t xml:space="preserve">OrderRecorded</w:t>
            </w:r>
            <w:r>
              <w:rPr>
                <w:sz w:val="18"/>
              </w:rPr>
              <w:t xml:space="preserve"> </w:t>
            </w:r>
            <w:r>
              <w:rPr>
                <w:sz w:val="18"/>
              </w:rPr>
              <w:t xml:space="preserve">(N) signed</w:t>
            </w:r>
          </w:p>
        </w:tc>
        <w:tc>
          <w:tcPr>
            <w:tcW w:w="1654" w:type="dxa"/>
          </w:tcPr>
          <w:p>
            <w:pPr>
              <w:pStyle w:val="Compact"/>
              <w:spacing w:after="40"/>
              <w:jc w:val="left"/>
            </w:pPr>
            <w:r>
              <w:rPr>
                <w:sz w:val="18"/>
              </w:rPr>
              <w:t xml:space="preserve">RS → LDC</w:t>
            </w:r>
          </w:p>
        </w:tc>
        <w:tc>
          <w:tcPr>
            <w:tcW w:w="2136" w:type="dxa"/>
          </w:tcPr>
          <w:p>
            <w:pPr>
              <w:pStyle w:val="Compact"/>
              <w:spacing w:after="40"/>
              <w:jc w:val="left"/>
            </w:pPr>
            <w:r>
              <w:rPr>
                <w:sz w:val="18"/>
              </w:rPr>
              <w:t xml:space="preserve">Order or decree verified</w:t>
            </w:r>
          </w:p>
        </w:tc>
        <w:tc>
          <w:tcPr>
            <w:tcW w:w="1722" w:type="dxa"/>
          </w:tcPr>
          <w:p>
            <w:pPr>
              <w:pStyle w:val="Compact"/>
              <w:spacing w:after="40"/>
              <w:jc w:val="left"/>
            </w:pPr>
            <w:r>
              <w:rPr>
                <w:sz w:val="18"/>
              </w:rPr>
              <w:t xml:space="preserve">order type, directions with due dates, document hash</w:t>
            </w:r>
          </w:p>
        </w:tc>
        <w:tc>
          <w:tcPr>
            <w:tcW w:w="811" w:type="dxa"/>
          </w:tcPr>
          <w:p>
            <w:pPr>
              <w:pStyle w:val="Compact"/>
              <w:spacing w:after="40"/>
              <w:jc w:val="left"/>
            </w:pPr>
            <w:r>
              <w:rPr>
                <w:sz w:val="18"/>
              </w:rPr>
              <w:t xml:space="preserve">RS</w:t>
            </w:r>
          </w:p>
        </w:tc>
        <w:tc>
          <w:tcPr>
            <w:tcW w:w="1194" w:type="dxa"/>
          </w:tcPr>
          <w:p>
            <w:pPr>
              <w:pStyle w:val="Compact"/>
              <w:spacing w:after="40"/>
              <w:jc w:val="left"/>
            </w:pPr>
            <w:r>
              <w:rPr>
                <w:sz w:val="18"/>
              </w:rPr>
              <w:t xml:space="preserve">(lit_case_id, order_id)</w:t>
            </w:r>
          </w:p>
        </w:tc>
        <w:tc>
          <w:tcPr>
            <w:tcW w:w="927" w:type="dxa"/>
          </w:tcPr>
          <w:p>
            <w:pPr>
              <w:pStyle w:val="Compact"/>
              <w:spacing w:after="40"/>
              <w:jc w:val="left"/>
            </w:pPr>
            <w:r>
              <w:rPr>
                <w:sz w:val="18"/>
              </w:rPr>
              <w:t xml:space="preserve">≤ 1 working day</w:t>
            </w:r>
          </w:p>
        </w:tc>
      </w:tr>
      <w:tr>
        <w:tc>
          <w:tcPr>
            <w:tcW w:w="1194" w:type="dxa"/>
          </w:tcPr>
          <w:p>
            <w:pPr>
              <w:pStyle w:val="Compact"/>
              <w:spacing w:after="40"/>
              <w:jc w:val="left"/>
            </w:pPr>
            <w:r>
              <w:rPr>
                <w:rStyle w:val="VerbatimChar"/>
                <w:sz w:val="18"/>
              </w:rPr>
              <w:t xml:space="preserve">LitigationCaseClosed</w:t>
            </w:r>
            <w:r>
              <w:rPr>
                <w:sz w:val="18"/>
              </w:rPr>
              <w:t xml:space="preserve"> </w:t>
            </w:r>
            <w:r>
              <w:rPr>
                <w:sz w:val="18"/>
              </w:rPr>
              <w:t xml:space="preserve">(N)</w:t>
            </w:r>
          </w:p>
        </w:tc>
        <w:tc>
          <w:tcPr>
            <w:tcW w:w="1654" w:type="dxa"/>
          </w:tcPr>
          <w:p>
            <w:pPr>
              <w:pStyle w:val="Compact"/>
              <w:spacing w:after="40"/>
              <w:jc w:val="left"/>
            </w:pPr>
            <w:r>
              <w:rPr>
                <w:sz w:val="18"/>
              </w:rPr>
              <w:t xml:space="preserve">RS → LDC, UD</w:t>
            </w:r>
          </w:p>
        </w:tc>
        <w:tc>
          <w:tcPr>
            <w:tcW w:w="2136" w:type="dxa"/>
          </w:tcPr>
          <w:p>
            <w:pPr>
              <w:pStyle w:val="Compact"/>
              <w:spacing w:after="40"/>
              <w:jc w:val="left"/>
            </w:pPr>
            <w:r>
              <w:rPr>
                <w:sz w:val="18"/>
              </w:rPr>
              <w:t xml:space="preserve">Disposal, withdrawal, consent decree</w:t>
            </w:r>
          </w:p>
        </w:tc>
        <w:tc>
          <w:tcPr>
            <w:tcW w:w="1722" w:type="dxa"/>
          </w:tcPr>
          <w:p>
            <w:pPr>
              <w:pStyle w:val="Compact"/>
              <w:spacing w:after="40"/>
              <w:jc w:val="left"/>
            </w:pPr>
            <w:r>
              <w:rPr>
                <w:sz w:val="18"/>
              </w:rPr>
              <w:t xml:space="preserve">outcome, amount, date</w:t>
            </w:r>
          </w:p>
        </w:tc>
        <w:tc>
          <w:tcPr>
            <w:tcW w:w="811" w:type="dxa"/>
          </w:tcPr>
          <w:p>
            <w:pPr>
              <w:pStyle w:val="Compact"/>
              <w:spacing w:after="40"/>
              <w:jc w:val="left"/>
            </w:pPr>
            <w:r>
              <w:rPr>
                <w:sz w:val="18"/>
              </w:rPr>
              <w:t xml:space="preserve">RS</w:t>
            </w:r>
          </w:p>
        </w:tc>
        <w:tc>
          <w:tcPr>
            <w:tcW w:w="1194" w:type="dxa"/>
          </w:tcPr>
          <w:p>
            <w:pPr>
              <w:pStyle w:val="Compact"/>
              <w:spacing w:after="40"/>
              <w:jc w:val="left"/>
            </w:pPr>
            <w:r>
              <w:rPr>
                <w:sz w:val="18"/>
              </w:rPr>
              <w:t xml:space="preserve">lit_case_id</w:t>
            </w:r>
          </w:p>
        </w:tc>
        <w:tc>
          <w:tcPr>
            <w:tcW w:w="927" w:type="dxa"/>
          </w:tcPr>
          <w:p>
            <w:pPr>
              <w:pStyle w:val="Compact"/>
              <w:spacing w:after="40"/>
              <w:jc w:val="left"/>
            </w:pPr>
            <w:r>
              <w:rPr>
                <w:sz w:val="18"/>
              </w:rPr>
              <w:t xml:space="preserve">≤ 1 working day</w:t>
            </w:r>
          </w:p>
        </w:tc>
      </w:tr>
    </w:tbl>
    <w:bookmarkEnd w:id="55"/>
    <w:bookmarkStart w:id="56" w:name="dlg-dlg"/>
    <w:p>
      <w:pPr>
        <w:pStyle w:val="Heading2"/>
      </w:pPr>
      <w:r>
        <w:t xml:space="preserve">6.11 DLG (</w:t>
      </w:r>
      <w:r>
        <w:rPr>
          <w:rStyle w:val="VerbatimChar"/>
        </w:rPr>
        <w:t xml:space="preserve">dlg</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47"/>
        <w:gridCol w:w="1017"/>
        <w:gridCol w:w="2124"/>
        <w:gridCol w:w="1865"/>
        <w:gridCol w:w="1084"/>
        <w:gridCol w:w="993"/>
        <w:gridCol w:w="1408"/>
      </w:tblGrid>
      <w:tr>
        <w:trPr>
          <w:tblHeader w:val="true"/>
          <w:tblHeader w:val="true"/>
        </w:trPr>
        <w:tc>
          <w:tcPr>
            <w:tcW w:w="1147" w:type="dxa"/>
            <w:shd w:val="clear" w:color="auto" w:fill="1F3A5F"/>
          </w:tcPr>
          <w:p>
            <w:pPr>
              <w:pStyle w:val="Compact"/>
              <w:spacing w:after="40"/>
              <w:jc w:val="left"/>
            </w:pPr>
            <w:r>
              <w:rPr>
                <w:b/>
                <w:color w:val="FFFFFF"/>
                <w:sz w:val="18"/>
              </w:rPr>
              <w:t xml:space="preserve">Event or API</w:t>
            </w:r>
          </w:p>
        </w:tc>
        <w:tc>
          <w:tcPr>
            <w:tcW w:w="1017" w:type="dxa"/>
            <w:shd w:val="clear" w:color="auto" w:fill="1F3A5F"/>
          </w:tcPr>
          <w:p>
            <w:pPr>
              <w:pStyle w:val="Compact"/>
              <w:spacing w:after="40"/>
              <w:jc w:val="left"/>
            </w:pPr>
            <w:r>
              <w:rPr>
                <w:b/>
                <w:color w:val="FFFFFF"/>
                <w:sz w:val="18"/>
              </w:rPr>
              <w:t xml:space="preserve">Producer → consumer(s)</w:t>
            </w:r>
          </w:p>
        </w:tc>
        <w:tc>
          <w:tcPr>
            <w:tcW w:w="2124" w:type="dxa"/>
            <w:shd w:val="clear" w:color="auto" w:fill="1F3A5F"/>
          </w:tcPr>
          <w:p>
            <w:pPr>
              <w:pStyle w:val="Compact"/>
              <w:spacing w:after="40"/>
              <w:jc w:val="left"/>
            </w:pPr>
            <w:r>
              <w:rPr>
                <w:b/>
                <w:color w:val="FFFFFF"/>
                <w:sz w:val="18"/>
              </w:rPr>
              <w:t xml:space="preserve">Trigger</w:t>
            </w:r>
          </w:p>
        </w:tc>
        <w:tc>
          <w:tcPr>
            <w:tcW w:w="1865" w:type="dxa"/>
            <w:shd w:val="clear" w:color="auto" w:fill="1F3A5F"/>
          </w:tcPr>
          <w:p>
            <w:pPr>
              <w:pStyle w:val="Compact"/>
              <w:spacing w:after="40"/>
              <w:jc w:val="left"/>
            </w:pPr>
            <w:r>
              <w:rPr>
                <w:b/>
                <w:color w:val="FFFFFF"/>
                <w:sz w:val="18"/>
              </w:rPr>
              <w:t xml:space="preserve">Key payload fields</w:t>
            </w:r>
          </w:p>
        </w:tc>
        <w:tc>
          <w:tcPr>
            <w:tcW w:w="1084" w:type="dxa"/>
            <w:shd w:val="clear" w:color="auto" w:fill="1F3A5F"/>
          </w:tcPr>
          <w:p>
            <w:pPr>
              <w:pStyle w:val="Compact"/>
              <w:spacing w:after="40"/>
              <w:jc w:val="left"/>
            </w:pPr>
            <w:r>
              <w:rPr>
                <w:b/>
                <w:color w:val="FFFFFF"/>
                <w:sz w:val="18"/>
              </w:rPr>
              <w:t xml:space="preserve">Owner</w:t>
            </w:r>
          </w:p>
        </w:tc>
        <w:tc>
          <w:tcPr>
            <w:tcW w:w="993" w:type="dxa"/>
            <w:shd w:val="clear" w:color="auto" w:fill="1F3A5F"/>
          </w:tcPr>
          <w:p>
            <w:pPr>
              <w:pStyle w:val="Compact"/>
              <w:spacing w:after="40"/>
              <w:jc w:val="left"/>
            </w:pPr>
            <w:r>
              <w:rPr>
                <w:b/>
                <w:color w:val="FFFFFF"/>
                <w:sz w:val="18"/>
              </w:rPr>
              <w:t xml:space="preserve">Idempotency key</w:t>
            </w:r>
          </w:p>
        </w:tc>
        <w:tc>
          <w:tcPr>
            <w:tcW w:w="1408" w:type="dxa"/>
            <w:shd w:val="clear" w:color="auto" w:fill="1F3A5F"/>
          </w:tcPr>
          <w:p>
            <w:pPr>
              <w:pStyle w:val="Compact"/>
              <w:spacing w:after="40"/>
              <w:jc w:val="left"/>
            </w:pPr>
            <w:r>
              <w:rPr>
                <w:b/>
                <w:color w:val="FFFFFF"/>
                <w:sz w:val="18"/>
              </w:rPr>
              <w:t xml:space="preserve">SLA</w:t>
            </w:r>
          </w:p>
        </w:tc>
      </w:tr>
      <w:tr>
        <w:tc>
          <w:tcPr>
            <w:tcW w:w="1147" w:type="dxa"/>
          </w:tcPr>
          <w:p>
            <w:pPr>
              <w:pStyle w:val="Compact"/>
              <w:spacing w:after="40"/>
              <w:jc w:val="left"/>
            </w:pPr>
            <w:r>
              <w:rPr>
                <w:rStyle w:val="VerbatimChar"/>
                <w:sz w:val="18"/>
              </w:rPr>
              <w:t xml:space="preserve">DLGArrangementRegistered</w:t>
            </w:r>
            <w:r>
              <w:rPr>
                <w:sz w:val="18"/>
              </w:rPr>
              <w:t xml:space="preserve"> </w:t>
            </w:r>
            <w:r>
              <w:rPr>
                <w:sz w:val="18"/>
              </w:rPr>
              <w:t xml:space="preserve">(E)</w:t>
            </w:r>
          </w:p>
        </w:tc>
        <w:tc>
          <w:tcPr>
            <w:tcW w:w="1017" w:type="dxa"/>
          </w:tcPr>
          <w:p>
            <w:pPr>
              <w:pStyle w:val="Compact"/>
              <w:spacing w:after="40"/>
              <w:jc w:val="left"/>
            </w:pPr>
            <w:r>
              <w:rPr>
                <w:sz w:val="18"/>
              </w:rPr>
              <w:t xml:space="preserve">FX ↔ UD</w:t>
            </w:r>
          </w:p>
        </w:tc>
        <w:tc>
          <w:tcPr>
            <w:tcW w:w="2124" w:type="dxa"/>
          </w:tcPr>
          <w:p>
            <w:pPr>
              <w:pStyle w:val="Compact"/>
              <w:spacing w:after="40"/>
              <w:jc w:val="left"/>
            </w:pPr>
            <w:r>
              <w:rPr>
                <w:sz w:val="18"/>
              </w:rPr>
              <w:t xml:space="preserve">Entered or renewed</w:t>
            </w:r>
          </w:p>
        </w:tc>
        <w:tc>
          <w:tcPr>
            <w:tcW w:w="1865" w:type="dxa"/>
          </w:tcPr>
          <w:p>
            <w:pPr>
              <w:pStyle w:val="Compact"/>
              <w:spacing w:after="40"/>
              <w:jc w:val="left"/>
            </w:pPr>
            <w:r>
              <w:rPr>
                <w:sz w:val="18"/>
              </w:rPr>
              <w:t xml:space="preserve">form (CF para 23), fixed set, cap, tenor, auditor declaration (para 20(3))</w:t>
            </w:r>
          </w:p>
        </w:tc>
        <w:tc>
          <w:tcPr>
            <w:tcW w:w="1084" w:type="dxa"/>
          </w:tcPr>
          <w:p>
            <w:pPr>
              <w:pStyle w:val="Compact"/>
              <w:spacing w:after="40"/>
              <w:jc w:val="left"/>
            </w:pPr>
            <w:r>
              <w:rPr>
                <w:sz w:val="18"/>
              </w:rPr>
              <w:t xml:space="preserve">FX ledger; UD own records</w:t>
            </w:r>
          </w:p>
        </w:tc>
        <w:tc>
          <w:tcPr>
            <w:tcW w:w="993" w:type="dxa"/>
          </w:tcPr>
          <w:p>
            <w:pPr>
              <w:pStyle w:val="Compact"/>
              <w:spacing w:after="40"/>
              <w:jc w:val="left"/>
            </w:pPr>
            <w:r>
              <w:rPr>
                <w:sz w:val="18"/>
              </w:rPr>
              <w:t xml:space="preserve">(dlg_id, version)</w:t>
            </w:r>
          </w:p>
        </w:tc>
        <w:tc>
          <w:tcPr>
            <w:tcW w:w="1408" w:type="dxa"/>
          </w:tcPr>
          <w:p>
            <w:pPr>
              <w:pStyle w:val="Compact"/>
              <w:spacing w:after="40"/>
              <w:jc w:val="left"/>
            </w:pPr>
            <w:r>
              <w:rPr>
                <w:sz w:val="18"/>
              </w:rPr>
              <w:t xml:space="preserve">Before reliance</w:t>
            </w:r>
          </w:p>
        </w:tc>
      </w:tr>
      <w:tr>
        <w:tc>
          <w:tcPr>
            <w:tcW w:w="1147" w:type="dxa"/>
          </w:tcPr>
          <w:p>
            <w:pPr>
              <w:pStyle w:val="Compact"/>
              <w:spacing w:after="40"/>
              <w:jc w:val="left"/>
            </w:pPr>
            <w:r>
              <w:rPr>
                <w:rStyle w:val="VerbatimChar"/>
                <w:sz w:val="18"/>
              </w:rPr>
              <w:t xml:space="preserve">DLGInvocationRaised</w:t>
            </w:r>
            <w:r>
              <w:rPr>
                <w:sz w:val="18"/>
              </w:rPr>
              <w:t xml:space="preserve"> </w:t>
            </w:r>
            <w:r>
              <w:rPr>
                <w:sz w:val="18"/>
              </w:rPr>
              <w:t xml:space="preserve">(E)</w:t>
            </w:r>
          </w:p>
        </w:tc>
        <w:tc>
          <w:tcPr>
            <w:tcW w:w="1017" w:type="dxa"/>
          </w:tcPr>
          <w:p>
            <w:pPr>
              <w:pStyle w:val="Compact"/>
              <w:spacing w:after="40"/>
              <w:jc w:val="left"/>
            </w:pPr>
            <w:r>
              <w:rPr>
                <w:sz w:val="18"/>
              </w:rPr>
              <w:t xml:space="preserve">FX → UD</w:t>
            </w:r>
          </w:p>
        </w:tc>
        <w:tc>
          <w:tcPr>
            <w:tcW w:w="2124" w:type="dxa"/>
          </w:tcPr>
          <w:p>
            <w:pPr>
              <w:pStyle w:val="Compact"/>
              <w:spacing w:after="40"/>
              <w:jc w:val="left"/>
            </w:pPr>
            <w:r>
              <w:rPr>
                <w:sz w:val="18"/>
              </w:rPr>
              <w:t xml:space="preserve">RE invokes</w:t>
            </w:r>
          </w:p>
        </w:tc>
        <w:tc>
          <w:tcPr>
            <w:tcW w:w="1865" w:type="dxa"/>
          </w:tcPr>
          <w:p>
            <w:pPr>
              <w:pStyle w:val="Compact"/>
              <w:spacing w:after="40"/>
              <w:jc w:val="left"/>
            </w:pPr>
            <w:r>
              <w:rPr>
                <w:sz w:val="18"/>
              </w:rPr>
              <w:t xml:space="preserve">loans, amount, overdue days</w:t>
            </w:r>
          </w:p>
        </w:tc>
        <w:tc>
          <w:tcPr>
            <w:tcW w:w="1084" w:type="dxa"/>
          </w:tcPr>
          <w:p>
            <w:pPr>
              <w:pStyle w:val="Compact"/>
              <w:spacing w:after="40"/>
              <w:jc w:val="left"/>
            </w:pPr>
            <w:r>
              <w:rPr>
                <w:sz w:val="18"/>
              </w:rPr>
              <w:t xml:space="preserve">FX</w:t>
            </w:r>
          </w:p>
        </w:tc>
        <w:tc>
          <w:tcPr>
            <w:tcW w:w="993" w:type="dxa"/>
          </w:tcPr>
          <w:p>
            <w:pPr>
              <w:pStyle w:val="Compact"/>
              <w:spacing w:after="40"/>
              <w:jc w:val="left"/>
            </w:pPr>
            <w:r>
              <w:rPr>
                <w:sz w:val="18"/>
              </w:rPr>
              <w:t xml:space="preserve">invocation_id</w:t>
            </w:r>
          </w:p>
        </w:tc>
        <w:tc>
          <w:tcPr>
            <w:tcW w:w="1408" w:type="dxa"/>
          </w:tcPr>
          <w:p>
            <w:pPr>
              <w:pStyle w:val="Compact"/>
              <w:spacing w:after="40"/>
              <w:jc w:val="left"/>
            </w:pPr>
            <w:r>
              <w:rPr>
                <w:sz w:val="18"/>
              </w:rPr>
              <w:t xml:space="preserve">Within 120 days overdue (CF para 27(1))</w:t>
            </w:r>
          </w:p>
        </w:tc>
      </w:tr>
      <w:tr>
        <w:tc>
          <w:tcPr>
            <w:tcW w:w="1147" w:type="dxa"/>
          </w:tcPr>
          <w:p>
            <w:pPr>
              <w:pStyle w:val="Compact"/>
              <w:spacing w:after="40"/>
              <w:jc w:val="left"/>
            </w:pPr>
            <w:r>
              <w:rPr>
                <w:rStyle w:val="VerbatimChar"/>
                <w:sz w:val="18"/>
              </w:rPr>
              <w:t xml:space="preserve">DLGInvocationSettled</w:t>
            </w:r>
            <w:r>
              <w:rPr>
                <w:sz w:val="18"/>
              </w:rPr>
              <w:t xml:space="preserve"> </w:t>
            </w:r>
            <w:r>
              <w:rPr>
                <w:sz w:val="18"/>
              </w:rPr>
              <w:t xml:space="preserve">(E)</w:t>
            </w:r>
          </w:p>
        </w:tc>
        <w:tc>
          <w:tcPr>
            <w:tcW w:w="1017" w:type="dxa"/>
          </w:tcPr>
          <w:p>
            <w:pPr>
              <w:pStyle w:val="Compact"/>
              <w:spacing w:after="40"/>
              <w:jc w:val="left"/>
            </w:pPr>
            <w:r>
              <w:rPr>
                <w:sz w:val="18"/>
              </w:rPr>
              <w:t xml:space="preserve">FX ↔ UD</w:t>
            </w:r>
          </w:p>
        </w:tc>
        <w:tc>
          <w:tcPr>
            <w:tcW w:w="2124" w:type="dxa"/>
          </w:tcPr>
          <w:p>
            <w:pPr>
              <w:pStyle w:val="Compact"/>
              <w:spacing w:after="40"/>
              <w:jc w:val="left"/>
            </w:pPr>
            <w:r>
              <w:rPr>
                <w:sz w:val="18"/>
              </w:rPr>
              <w:t xml:space="preserve">Cover appropriated</w:t>
            </w:r>
          </w:p>
        </w:tc>
        <w:tc>
          <w:tcPr>
            <w:tcW w:w="1865" w:type="dxa"/>
          </w:tcPr>
          <w:p>
            <w:pPr>
              <w:pStyle w:val="Compact"/>
              <w:spacing w:after="40"/>
              <w:jc w:val="left"/>
            </w:pPr>
            <w:r>
              <w:rPr>
                <w:sz w:val="18"/>
              </w:rPr>
              <w:t xml:space="preserve">amount, method</w:t>
            </w:r>
          </w:p>
        </w:tc>
        <w:tc>
          <w:tcPr>
            <w:tcW w:w="1084" w:type="dxa"/>
          </w:tcPr>
          <w:p>
            <w:pPr>
              <w:pStyle w:val="Compact"/>
              <w:spacing w:after="40"/>
              <w:jc w:val="left"/>
            </w:pPr>
            <w:r>
              <w:rPr>
                <w:sz w:val="18"/>
              </w:rPr>
              <w:t xml:space="preserve">FX</w:t>
            </w:r>
          </w:p>
        </w:tc>
        <w:tc>
          <w:tcPr>
            <w:tcW w:w="993" w:type="dxa"/>
          </w:tcPr>
          <w:p>
            <w:pPr>
              <w:pStyle w:val="Compact"/>
              <w:spacing w:after="40"/>
              <w:jc w:val="left"/>
            </w:pPr>
            <w:r>
              <w:rPr>
                <w:sz w:val="18"/>
              </w:rPr>
              <w:t xml:space="preserve">invocation_id</w:t>
            </w:r>
          </w:p>
        </w:tc>
        <w:tc>
          <w:tcPr>
            <w:tcW w:w="1408" w:type="dxa"/>
          </w:tcPr>
          <w:p>
            <w:pPr>
              <w:pStyle w:val="Compact"/>
              <w:spacing w:after="40"/>
              <w:jc w:val="left"/>
            </w:pPr>
            <w:r>
              <w:rPr>
                <w:sz w:val="18"/>
              </w:rPr>
              <w:t xml:space="preserve">≤ 1 working day</w:t>
            </w:r>
          </w:p>
        </w:tc>
      </w:tr>
      <w:tr>
        <w:tc>
          <w:tcPr>
            <w:tcW w:w="1147" w:type="dxa"/>
          </w:tcPr>
          <w:p>
            <w:pPr>
              <w:pStyle w:val="Compact"/>
              <w:spacing w:after="40"/>
              <w:jc w:val="left"/>
            </w:pPr>
            <w:r>
              <w:rPr>
                <w:rStyle w:val="VerbatimChar"/>
                <w:sz w:val="18"/>
              </w:rPr>
              <w:t xml:space="preserve">DLGPortfolioCoverage</w:t>
            </w:r>
            <w:r>
              <w:rPr>
                <w:sz w:val="18"/>
              </w:rPr>
              <w:t xml:space="preserve"> </w:t>
            </w:r>
            <w:r>
              <w:rPr>
                <w:sz w:val="18"/>
              </w:rPr>
              <w:t xml:space="preserve">(E)</w:t>
            </w:r>
          </w:p>
        </w:tc>
        <w:tc>
          <w:tcPr>
            <w:tcW w:w="1017" w:type="dxa"/>
          </w:tcPr>
          <w:p>
            <w:pPr>
              <w:pStyle w:val="Compact"/>
              <w:spacing w:after="40"/>
              <w:jc w:val="left"/>
            </w:pPr>
            <w:r>
              <w:rPr>
                <w:sz w:val="18"/>
              </w:rPr>
              <w:t xml:space="preserve">FX → UD</w:t>
            </w:r>
          </w:p>
        </w:tc>
        <w:tc>
          <w:tcPr>
            <w:tcW w:w="2124" w:type="dxa"/>
          </w:tcPr>
          <w:p>
            <w:pPr>
              <w:pStyle w:val="Compact"/>
              <w:spacing w:after="40"/>
              <w:jc w:val="left"/>
            </w:pPr>
            <w:r>
              <w:rPr>
                <w:sz w:val="18"/>
              </w:rPr>
              <w:t xml:space="preserve">Month end</w:t>
            </w:r>
          </w:p>
        </w:tc>
        <w:tc>
          <w:tcPr>
            <w:tcW w:w="1865" w:type="dxa"/>
          </w:tcPr>
          <w:p>
            <w:pPr>
              <w:pStyle w:val="Compact"/>
              <w:spacing w:after="40"/>
              <w:jc w:val="left"/>
            </w:pPr>
            <w:r>
              <w:rPr>
                <w:sz w:val="18"/>
              </w:rPr>
              <w:t xml:space="preserve">disbursed, cap, cover, invoked, remaining</w:t>
            </w:r>
          </w:p>
        </w:tc>
        <w:tc>
          <w:tcPr>
            <w:tcW w:w="1084" w:type="dxa"/>
          </w:tcPr>
          <w:p>
            <w:pPr>
              <w:pStyle w:val="Compact"/>
              <w:spacing w:after="40"/>
              <w:jc w:val="left"/>
            </w:pPr>
            <w:r>
              <w:rPr>
                <w:sz w:val="18"/>
              </w:rPr>
              <w:t xml:space="preserve">FX</w:t>
            </w:r>
          </w:p>
        </w:tc>
        <w:tc>
          <w:tcPr>
            <w:tcW w:w="993" w:type="dxa"/>
          </w:tcPr>
          <w:p>
            <w:pPr>
              <w:pStyle w:val="Compact"/>
              <w:spacing w:after="40"/>
              <w:jc w:val="left"/>
            </w:pPr>
            <w:r>
              <w:rPr>
                <w:sz w:val="18"/>
              </w:rPr>
              <w:t xml:space="preserve">(dlg_set_id, month)</w:t>
            </w:r>
          </w:p>
        </w:tc>
        <w:tc>
          <w:tcPr>
            <w:tcW w:w="1408" w:type="dxa"/>
          </w:tcPr>
          <w:p>
            <w:pPr>
              <w:pStyle w:val="Compact"/>
              <w:spacing w:after="40"/>
              <w:jc w:val="left"/>
            </w:pPr>
            <w:r>
              <w:rPr>
                <w:sz w:val="18"/>
              </w:rPr>
              <w:t xml:space="preserve">≤ 3 working days</w:t>
            </w:r>
          </w:p>
        </w:tc>
      </w:tr>
      <w:tr>
        <w:tc>
          <w:tcPr>
            <w:tcW w:w="1147" w:type="dxa"/>
          </w:tcPr>
          <w:p>
            <w:pPr>
              <w:pStyle w:val="Compact"/>
              <w:spacing w:after="40"/>
              <w:jc w:val="left"/>
            </w:pPr>
            <w:r>
              <w:rPr>
                <w:rStyle w:val="VerbatimChar"/>
                <w:sz w:val="18"/>
              </w:rPr>
              <w:t xml:space="preserve">DLGDisclosurePublished</w:t>
            </w:r>
            <w:r>
              <w:rPr>
                <w:sz w:val="18"/>
              </w:rPr>
              <w:t xml:space="preserve"> </w:t>
            </w:r>
            <w:r>
              <w:rPr>
                <w:sz w:val="18"/>
              </w:rPr>
              <w:t xml:space="preserve">(A)</w:t>
            </w:r>
          </w:p>
        </w:tc>
        <w:tc>
          <w:tcPr>
            <w:tcW w:w="1017" w:type="dxa"/>
          </w:tcPr>
          <w:p>
            <w:pPr>
              <w:pStyle w:val="Compact"/>
              <w:spacing w:after="40"/>
              <w:jc w:val="left"/>
            </w:pPr>
            <w:r>
              <w:rPr>
                <w:sz w:val="18"/>
              </w:rPr>
              <w:t xml:space="preserve">UD → FX, LDC</w:t>
            </w:r>
          </w:p>
        </w:tc>
        <w:tc>
          <w:tcPr>
            <w:tcW w:w="2124" w:type="dxa"/>
          </w:tcPr>
          <w:p>
            <w:pPr>
              <w:pStyle w:val="Compact"/>
              <w:spacing w:after="40"/>
              <w:jc w:val="left"/>
            </w:pPr>
            <w:r>
              <w:rPr>
                <w:sz w:val="18"/>
              </w:rPr>
              <w:t xml:space="preserve">Monthly disclosure published</w:t>
            </w:r>
          </w:p>
        </w:tc>
        <w:tc>
          <w:tcPr>
            <w:tcW w:w="1865" w:type="dxa"/>
          </w:tcPr>
          <w:p>
            <w:pPr>
              <w:pStyle w:val="Compact"/>
              <w:spacing w:after="40"/>
              <w:jc w:val="left"/>
            </w:pPr>
            <w:r>
              <w:rPr>
                <w:sz w:val="18"/>
              </w:rPr>
              <w:t xml:space="preserve">month, URL, document hash</w:t>
            </w:r>
          </w:p>
        </w:tc>
        <w:tc>
          <w:tcPr>
            <w:tcW w:w="1084" w:type="dxa"/>
          </w:tcPr>
          <w:p>
            <w:pPr>
              <w:pStyle w:val="Compact"/>
              <w:spacing w:after="40"/>
              <w:jc w:val="left"/>
            </w:pPr>
            <w:r>
              <w:rPr>
                <w:sz w:val="18"/>
              </w:rPr>
              <w:t xml:space="preserve">UD</w:t>
            </w:r>
          </w:p>
        </w:tc>
        <w:tc>
          <w:tcPr>
            <w:tcW w:w="993" w:type="dxa"/>
          </w:tcPr>
          <w:p>
            <w:pPr>
              <w:pStyle w:val="Compact"/>
              <w:spacing w:after="40"/>
              <w:jc w:val="left"/>
            </w:pPr>
            <w:r>
              <w:rPr>
                <w:sz w:val="18"/>
              </w:rPr>
              <w:t xml:space="preserve">(lsp_id, month)</w:t>
            </w:r>
          </w:p>
        </w:tc>
        <w:tc>
          <w:tcPr>
            <w:tcW w:w="1408" w:type="dxa"/>
          </w:tcPr>
          <w:p>
            <w:pPr>
              <w:pStyle w:val="Compact"/>
              <w:spacing w:after="40"/>
              <w:jc w:val="left"/>
            </w:pPr>
            <w:r>
              <w:rPr>
                <w:sz w:val="18"/>
              </w:rPr>
              <w:t xml:space="preserve">≤ 7 working days of month end (CF para 28)</w:t>
            </w:r>
          </w:p>
        </w:tc>
      </w:tr>
      <w:tr>
        <w:tc>
          <w:tcPr>
            <w:tcW w:w="1147" w:type="dxa"/>
          </w:tcPr>
          <w:p>
            <w:pPr>
              <w:pStyle w:val="Compact"/>
              <w:spacing w:after="40"/>
              <w:jc w:val="left"/>
            </w:pPr>
            <w:r>
              <w:rPr>
                <w:rStyle w:val="VerbatimChar"/>
                <w:sz w:val="18"/>
              </w:rPr>
              <w:t xml:space="preserve">DLGRecoveryShared</w:t>
            </w:r>
            <w:r>
              <w:rPr>
                <w:sz w:val="18"/>
              </w:rPr>
              <w:t xml:space="preserve"> </w:t>
            </w:r>
            <w:r>
              <w:rPr>
                <w:sz w:val="18"/>
              </w:rPr>
              <w:t xml:space="preserve">(N+)</w:t>
            </w:r>
          </w:p>
        </w:tc>
        <w:tc>
          <w:tcPr>
            <w:tcW w:w="1017" w:type="dxa"/>
          </w:tcPr>
          <w:p>
            <w:pPr>
              <w:pStyle w:val="Compact"/>
              <w:spacing w:after="40"/>
              <w:jc w:val="left"/>
            </w:pPr>
            <w:r>
              <w:rPr>
                <w:sz w:val="18"/>
              </w:rPr>
              <w:t xml:space="preserve">FX → UD</w:t>
            </w:r>
          </w:p>
        </w:tc>
        <w:tc>
          <w:tcPr>
            <w:tcW w:w="2124" w:type="dxa"/>
          </w:tcPr>
          <w:p>
            <w:pPr>
              <w:pStyle w:val="Compact"/>
              <w:spacing w:after="40"/>
              <w:jc w:val="left"/>
            </w:pPr>
            <w:r>
              <w:rPr>
                <w:sz w:val="18"/>
              </w:rPr>
              <w:t xml:space="preserve">Post-invocation recovery shared per contract (CF para 25(3)); never credited to the loan (25(2))</w:t>
            </w:r>
          </w:p>
        </w:tc>
        <w:tc>
          <w:tcPr>
            <w:tcW w:w="1865" w:type="dxa"/>
          </w:tcPr>
          <w:p>
            <w:pPr>
              <w:pStyle w:val="Compact"/>
              <w:spacing w:after="40"/>
              <w:jc w:val="left"/>
            </w:pPr>
            <w:r>
              <w:rPr>
                <w:sz w:val="18"/>
              </w:rPr>
              <w:t xml:space="preserve">loan, receipt_ref, share</w:t>
            </w:r>
          </w:p>
        </w:tc>
        <w:tc>
          <w:tcPr>
            <w:tcW w:w="1084" w:type="dxa"/>
          </w:tcPr>
          <w:p>
            <w:pPr>
              <w:pStyle w:val="Compact"/>
              <w:spacing w:after="40"/>
              <w:jc w:val="left"/>
            </w:pPr>
            <w:r>
              <w:rPr>
                <w:sz w:val="18"/>
              </w:rPr>
              <w:t xml:space="preserve">FX</w:t>
            </w:r>
          </w:p>
        </w:tc>
        <w:tc>
          <w:tcPr>
            <w:tcW w:w="993" w:type="dxa"/>
          </w:tcPr>
          <w:p>
            <w:pPr>
              <w:pStyle w:val="Compact"/>
              <w:spacing w:after="40"/>
              <w:jc w:val="left"/>
            </w:pPr>
            <w:r>
              <w:rPr>
                <w:sz w:val="18"/>
              </w:rPr>
              <w:t xml:space="preserve">(dlg_id, receipt_ref)</w:t>
            </w:r>
          </w:p>
        </w:tc>
        <w:tc>
          <w:tcPr>
            <w:tcW w:w="1408" w:type="dxa"/>
          </w:tcPr>
          <w:p>
            <w:pPr>
              <w:pStyle w:val="Compact"/>
              <w:spacing w:after="40"/>
              <w:jc w:val="left"/>
            </w:pPr>
            <w:r>
              <w:rPr>
                <w:sz w:val="18"/>
              </w:rPr>
              <w:t xml:space="preserve">Per contract</w:t>
            </w:r>
          </w:p>
        </w:tc>
      </w:tr>
    </w:tbl>
    <w:bookmarkEnd w:id="56"/>
    <w:bookmarkStart w:id="57" w:name="grievance-grievance"/>
    <w:p>
      <w:pPr>
        <w:pStyle w:val="Heading2"/>
      </w:pPr>
      <w:r>
        <w:t xml:space="preserve">6.12 Grievance (</w:t>
      </w:r>
      <w:r>
        <w:rPr>
          <w:rStyle w:val="VerbatimChar"/>
        </w:rPr>
        <w:t xml:space="preserve">grievance</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14"/>
        <w:gridCol w:w="1234"/>
        <w:gridCol w:w="1745"/>
        <w:gridCol w:w="1745"/>
        <w:gridCol w:w="1385"/>
        <w:gridCol w:w="1088"/>
        <w:gridCol w:w="1327"/>
      </w:tblGrid>
      <w:tr>
        <w:trPr>
          <w:tblHeader w:val="true"/>
          <w:tblHeader w:val="true"/>
        </w:trPr>
        <w:tc>
          <w:tcPr>
            <w:tcW w:w="1114" w:type="dxa"/>
            <w:shd w:val="clear" w:color="auto" w:fill="1F3A5F"/>
          </w:tcPr>
          <w:p>
            <w:pPr>
              <w:pStyle w:val="Compact"/>
              <w:spacing w:after="40"/>
              <w:jc w:val="left"/>
            </w:pPr>
            <w:r>
              <w:rPr>
                <w:b/>
                <w:color w:val="FFFFFF"/>
                <w:sz w:val="18"/>
              </w:rPr>
              <w:t xml:space="preserve">Event or API</w:t>
            </w:r>
          </w:p>
        </w:tc>
        <w:tc>
          <w:tcPr>
            <w:tcW w:w="1234" w:type="dxa"/>
            <w:shd w:val="clear" w:color="auto" w:fill="1F3A5F"/>
          </w:tcPr>
          <w:p>
            <w:pPr>
              <w:pStyle w:val="Compact"/>
              <w:spacing w:after="40"/>
              <w:jc w:val="left"/>
            </w:pPr>
            <w:r>
              <w:rPr>
                <w:b/>
                <w:color w:val="FFFFFF"/>
                <w:sz w:val="18"/>
              </w:rPr>
              <w:t xml:space="preserve">Producer → consumer(s)</w:t>
            </w:r>
          </w:p>
        </w:tc>
        <w:tc>
          <w:tcPr>
            <w:tcW w:w="1745" w:type="dxa"/>
            <w:shd w:val="clear" w:color="auto" w:fill="1F3A5F"/>
          </w:tcPr>
          <w:p>
            <w:pPr>
              <w:pStyle w:val="Compact"/>
              <w:spacing w:after="40"/>
              <w:jc w:val="left"/>
            </w:pPr>
            <w:r>
              <w:rPr>
                <w:b/>
                <w:color w:val="FFFFFF"/>
                <w:sz w:val="18"/>
              </w:rPr>
              <w:t xml:space="preserve">Trigger</w:t>
            </w:r>
          </w:p>
        </w:tc>
        <w:tc>
          <w:tcPr>
            <w:tcW w:w="1745" w:type="dxa"/>
            <w:shd w:val="clear" w:color="auto" w:fill="1F3A5F"/>
          </w:tcPr>
          <w:p>
            <w:pPr>
              <w:pStyle w:val="Compact"/>
              <w:spacing w:after="40"/>
              <w:jc w:val="left"/>
            </w:pPr>
            <w:r>
              <w:rPr>
                <w:b/>
                <w:color w:val="FFFFFF"/>
                <w:sz w:val="18"/>
              </w:rPr>
              <w:t xml:space="preserve">Key payload fields</w:t>
            </w:r>
          </w:p>
        </w:tc>
        <w:tc>
          <w:tcPr>
            <w:tcW w:w="1385" w:type="dxa"/>
            <w:shd w:val="clear" w:color="auto" w:fill="1F3A5F"/>
          </w:tcPr>
          <w:p>
            <w:pPr>
              <w:pStyle w:val="Compact"/>
              <w:spacing w:after="40"/>
              <w:jc w:val="left"/>
            </w:pPr>
            <w:r>
              <w:rPr>
                <w:b/>
                <w:color w:val="FFFFFF"/>
                <w:sz w:val="18"/>
              </w:rPr>
              <w:t xml:space="preserve">Owner</w:t>
            </w:r>
          </w:p>
        </w:tc>
        <w:tc>
          <w:tcPr>
            <w:tcW w:w="1088" w:type="dxa"/>
            <w:shd w:val="clear" w:color="auto" w:fill="1F3A5F"/>
          </w:tcPr>
          <w:p>
            <w:pPr>
              <w:pStyle w:val="Compact"/>
              <w:spacing w:after="40"/>
              <w:jc w:val="left"/>
            </w:pPr>
            <w:r>
              <w:rPr>
                <w:b/>
                <w:color w:val="FFFFFF"/>
                <w:sz w:val="18"/>
              </w:rPr>
              <w:t xml:space="preserve">Idempotency key</w:t>
            </w:r>
          </w:p>
        </w:tc>
        <w:tc>
          <w:tcPr>
            <w:tcW w:w="1327" w:type="dxa"/>
            <w:shd w:val="clear" w:color="auto" w:fill="1F3A5F"/>
          </w:tcPr>
          <w:p>
            <w:pPr>
              <w:pStyle w:val="Compact"/>
              <w:spacing w:after="40"/>
              <w:jc w:val="left"/>
            </w:pPr>
            <w:r>
              <w:rPr>
                <w:b/>
                <w:color w:val="FFFFFF"/>
                <w:sz w:val="18"/>
              </w:rPr>
              <w:t xml:space="preserve">SLA</w:t>
            </w:r>
          </w:p>
        </w:tc>
      </w:tr>
      <w:tr>
        <w:tc>
          <w:tcPr>
            <w:tcW w:w="1114" w:type="dxa"/>
          </w:tcPr>
          <w:p>
            <w:pPr>
              <w:pStyle w:val="Compact"/>
              <w:spacing w:after="40"/>
              <w:jc w:val="left"/>
            </w:pPr>
            <w:r>
              <w:rPr>
                <w:rStyle w:val="VerbatimChar"/>
                <w:sz w:val="18"/>
              </w:rPr>
              <w:t xml:space="preserve">GrievanceRaised</w:t>
            </w:r>
            <w:r>
              <w:rPr>
                <w:sz w:val="18"/>
              </w:rPr>
              <w:t xml:space="preserve"> </w:t>
            </w:r>
            <w:r>
              <w:rPr>
                <w:sz w:val="18"/>
              </w:rPr>
              <w:t xml:space="preserve">(E)</w:t>
            </w:r>
          </w:p>
        </w:tc>
        <w:tc>
          <w:tcPr>
            <w:tcW w:w="1234" w:type="dxa"/>
          </w:tcPr>
          <w:p>
            <w:pPr>
              <w:pStyle w:val="Compact"/>
              <w:spacing w:after="40"/>
              <w:jc w:val="left"/>
            </w:pPr>
            <w:r>
              <w:rPr>
                <w:sz w:val="18"/>
              </w:rPr>
              <w:t xml:space="preserve">UD, FX, EQ → grievance host</w:t>
            </w:r>
          </w:p>
        </w:tc>
        <w:tc>
          <w:tcPr>
            <w:tcW w:w="1745" w:type="dxa"/>
          </w:tcPr>
          <w:p>
            <w:pPr>
              <w:pStyle w:val="Compact"/>
              <w:spacing w:after="40"/>
              <w:jc w:val="left"/>
            </w:pPr>
            <w:r>
              <w:rPr>
                <w:sz w:val="18"/>
              </w:rPr>
              <w:t xml:space="preserve">Complaint on any channel</w:t>
            </w:r>
          </w:p>
        </w:tc>
        <w:tc>
          <w:tcPr>
            <w:tcW w:w="1745" w:type="dxa"/>
          </w:tcPr>
          <w:p>
            <w:pPr>
              <w:pStyle w:val="Compact"/>
              <w:spacing w:after="40"/>
              <w:jc w:val="left"/>
            </w:pPr>
            <w:r>
              <w:rPr>
                <w:sz w:val="18"/>
              </w:rPr>
              <w:t xml:space="preserve">channel, category, description, attachments</w:t>
            </w:r>
          </w:p>
        </w:tc>
        <w:tc>
          <w:tcPr>
            <w:tcW w:w="1385" w:type="dxa"/>
          </w:tcPr>
          <w:p>
            <w:pPr>
              <w:pStyle w:val="Compact"/>
              <w:spacing w:after="40"/>
              <w:jc w:val="left"/>
            </w:pPr>
            <w:r>
              <w:rPr>
                <w:sz w:val="18"/>
              </w:rPr>
              <w:t xml:space="preserve">Host (FX, UD lender portal or LDC)</w:t>
            </w:r>
          </w:p>
        </w:tc>
        <w:tc>
          <w:tcPr>
            <w:tcW w:w="1088" w:type="dxa"/>
          </w:tcPr>
          <w:p>
            <w:pPr>
              <w:pStyle w:val="Compact"/>
              <w:spacing w:after="40"/>
              <w:jc w:val="left"/>
            </w:pPr>
            <w:r>
              <w:rPr>
                <w:sz w:val="18"/>
              </w:rPr>
              <w:t xml:space="preserve">grievance_id</w:t>
            </w:r>
          </w:p>
        </w:tc>
        <w:tc>
          <w:tcPr>
            <w:tcW w:w="1327" w:type="dxa"/>
          </w:tcPr>
          <w:p>
            <w:pPr>
              <w:pStyle w:val="Compact"/>
              <w:spacing w:after="40"/>
              <w:jc w:val="left"/>
            </w:pPr>
            <w:r>
              <w:rPr>
                <w:sz w:val="18"/>
              </w:rPr>
              <w:t xml:space="preserve">Ack same day</w:t>
            </w:r>
          </w:p>
        </w:tc>
      </w:tr>
      <w:tr>
        <w:tc>
          <w:tcPr>
            <w:tcW w:w="1114" w:type="dxa"/>
          </w:tcPr>
          <w:p>
            <w:pPr>
              <w:pStyle w:val="Compact"/>
              <w:spacing w:after="40"/>
              <w:jc w:val="left"/>
            </w:pPr>
            <w:r>
              <w:rPr>
                <w:rStyle w:val="VerbatimChar"/>
                <w:sz w:val="18"/>
              </w:rPr>
              <w:t xml:space="preserve">GrievanceUpdated</w:t>
            </w:r>
            <w:r>
              <w:rPr>
                <w:sz w:val="18"/>
              </w:rPr>
              <w:t xml:space="preserve"> </w:t>
            </w:r>
            <w:r>
              <w:rPr>
                <w:sz w:val="18"/>
              </w:rPr>
              <w:t xml:space="preserve">(E)</w:t>
            </w:r>
          </w:p>
        </w:tc>
        <w:tc>
          <w:tcPr>
            <w:tcW w:w="1234" w:type="dxa"/>
          </w:tcPr>
          <w:p>
            <w:pPr>
              <w:pStyle w:val="Compact"/>
              <w:spacing w:after="40"/>
              <w:jc w:val="left"/>
            </w:pPr>
            <w:r>
              <w:rPr>
                <w:sz w:val="18"/>
              </w:rPr>
              <w:t xml:space="preserve">Host → UD, FX</w:t>
            </w:r>
          </w:p>
        </w:tc>
        <w:tc>
          <w:tcPr>
            <w:tcW w:w="1745" w:type="dxa"/>
          </w:tcPr>
          <w:p>
            <w:pPr>
              <w:pStyle w:val="Compact"/>
              <w:spacing w:after="40"/>
              <w:jc w:val="left"/>
            </w:pPr>
            <w:r>
              <w:rPr>
                <w:sz w:val="18"/>
              </w:rPr>
              <w:t xml:space="preserve">Status or response</w:t>
            </w:r>
          </w:p>
        </w:tc>
        <w:tc>
          <w:tcPr>
            <w:tcW w:w="1745" w:type="dxa"/>
          </w:tcPr>
          <w:p>
            <w:pPr>
              <w:pStyle w:val="Compact"/>
              <w:spacing w:after="40"/>
              <w:jc w:val="left"/>
            </w:pPr>
            <w:r>
              <w:rPr>
                <w:sz w:val="18"/>
              </w:rPr>
              <w:t xml:space="preserve">status, response</w:t>
            </w:r>
          </w:p>
        </w:tc>
        <w:tc>
          <w:tcPr>
            <w:tcW w:w="1385" w:type="dxa"/>
          </w:tcPr>
          <w:p>
            <w:pPr>
              <w:pStyle w:val="Compact"/>
              <w:spacing w:after="40"/>
              <w:jc w:val="left"/>
            </w:pPr>
            <w:r>
              <w:rPr>
                <w:sz w:val="18"/>
              </w:rPr>
              <w:t xml:space="preserve">Host</w:t>
            </w:r>
          </w:p>
        </w:tc>
        <w:tc>
          <w:tcPr>
            <w:tcW w:w="1088" w:type="dxa"/>
          </w:tcPr>
          <w:p>
            <w:pPr>
              <w:pStyle w:val="Compact"/>
              <w:spacing w:after="40"/>
              <w:jc w:val="left"/>
            </w:pPr>
            <w:r>
              <w:rPr>
                <w:sz w:val="18"/>
              </w:rPr>
              <w:t xml:space="preserve">(grievance_id, seq)</w:t>
            </w:r>
          </w:p>
        </w:tc>
        <w:tc>
          <w:tcPr>
            <w:tcW w:w="1327" w:type="dxa"/>
          </w:tcPr>
          <w:p>
            <w:pPr>
              <w:pStyle w:val="Compact"/>
              <w:spacing w:after="40"/>
              <w:jc w:val="left"/>
            </w:pPr>
            <w:r>
              <w:rPr>
                <w:sz w:val="18"/>
              </w:rPr>
              <w:t xml:space="preserve">RE clock (CF para 12; IO rules)</w:t>
            </w:r>
          </w:p>
        </w:tc>
      </w:tr>
      <w:tr>
        <w:tc>
          <w:tcPr>
            <w:tcW w:w="1114" w:type="dxa"/>
          </w:tcPr>
          <w:p>
            <w:pPr>
              <w:pStyle w:val="Compact"/>
              <w:spacing w:after="40"/>
              <w:jc w:val="left"/>
            </w:pPr>
            <w:r>
              <w:rPr>
                <w:rStyle w:val="VerbatimChar"/>
                <w:sz w:val="18"/>
              </w:rPr>
              <w:t xml:space="preserve">GrievanceEscalated</w:t>
            </w:r>
            <w:r>
              <w:rPr>
                <w:sz w:val="18"/>
              </w:rPr>
              <w:t xml:space="preserve"> </w:t>
            </w:r>
            <w:r>
              <w:rPr>
                <w:sz w:val="18"/>
              </w:rPr>
              <w:t xml:space="preserve">(E)</w:t>
            </w:r>
          </w:p>
        </w:tc>
        <w:tc>
          <w:tcPr>
            <w:tcW w:w="1234" w:type="dxa"/>
          </w:tcPr>
          <w:p>
            <w:pPr>
              <w:pStyle w:val="Compact"/>
              <w:spacing w:after="40"/>
              <w:jc w:val="left"/>
            </w:pPr>
            <w:r>
              <w:rPr>
                <w:sz w:val="18"/>
              </w:rPr>
              <w:t xml:space="preserve">Host → UD, FX</w:t>
            </w:r>
          </w:p>
        </w:tc>
        <w:tc>
          <w:tcPr>
            <w:tcW w:w="1745" w:type="dxa"/>
          </w:tcPr>
          <w:p>
            <w:pPr>
              <w:pStyle w:val="Compact"/>
              <w:spacing w:after="40"/>
              <w:jc w:val="left"/>
            </w:pPr>
            <w:r>
              <w:rPr>
                <w:sz w:val="18"/>
              </w:rPr>
              <w:t xml:space="preserve">Escalation to IO, RB-IOS information, or ADR suggested</w:t>
            </w:r>
          </w:p>
        </w:tc>
        <w:tc>
          <w:tcPr>
            <w:tcW w:w="1745" w:type="dxa"/>
          </w:tcPr>
          <w:p>
            <w:pPr>
              <w:pStyle w:val="Compact"/>
              <w:spacing w:after="40"/>
              <w:jc w:val="left"/>
            </w:pPr>
            <w:r>
              <w:rPr>
                <w:sz w:val="18"/>
              </w:rPr>
              <w:t xml:space="preserve">level, reason, ADR-suggested flag (only the RE refers)</w:t>
            </w:r>
          </w:p>
        </w:tc>
        <w:tc>
          <w:tcPr>
            <w:tcW w:w="1385" w:type="dxa"/>
          </w:tcPr>
          <w:p>
            <w:pPr>
              <w:pStyle w:val="Compact"/>
              <w:spacing w:after="40"/>
              <w:jc w:val="left"/>
            </w:pPr>
            <w:r>
              <w:rPr>
                <w:sz w:val="18"/>
              </w:rPr>
              <w:t xml:space="preserve">Host</w:t>
            </w:r>
          </w:p>
        </w:tc>
        <w:tc>
          <w:tcPr>
            <w:tcW w:w="1088" w:type="dxa"/>
          </w:tcPr>
          <w:p>
            <w:pPr>
              <w:pStyle w:val="Compact"/>
              <w:spacing w:after="40"/>
              <w:jc w:val="left"/>
            </w:pPr>
            <w:r>
              <w:rPr>
                <w:sz w:val="18"/>
              </w:rPr>
              <w:t xml:space="preserve">(grievance_id, level)</w:t>
            </w:r>
          </w:p>
        </w:tc>
        <w:tc>
          <w:tcPr>
            <w:tcW w:w="1327" w:type="dxa"/>
          </w:tcPr>
          <w:p>
            <w:pPr>
              <w:pStyle w:val="Compact"/>
              <w:spacing w:after="40"/>
              <w:jc w:val="left"/>
            </w:pPr>
            <w:r>
              <w:rPr>
                <w:sz w:val="18"/>
              </w:rPr>
              <w:t xml:space="preserve">Per IO and RB-IOS rules</w:t>
            </w:r>
          </w:p>
        </w:tc>
      </w:tr>
    </w:tbl>
    <w:bookmarkEnd w:id="57"/>
    <w:bookmarkStart w:id="58" w:name="documents-documents"/>
    <w:p>
      <w:pPr>
        <w:pStyle w:val="Heading2"/>
      </w:pPr>
      <w:r>
        <w:t xml:space="preserve">6.13 Documents (</w:t>
      </w:r>
      <w:r>
        <w:rPr>
          <w:rStyle w:val="VerbatimChar"/>
        </w:rPr>
        <w:t xml:space="preserve">documents</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67"/>
        <w:gridCol w:w="1409"/>
        <w:gridCol w:w="1380"/>
        <w:gridCol w:w="2055"/>
        <w:gridCol w:w="978"/>
        <w:gridCol w:w="1349"/>
        <w:gridCol w:w="1000"/>
      </w:tblGrid>
      <w:tr>
        <w:trPr>
          <w:tblHeader w:val="true"/>
          <w:tblHeader w:val="true"/>
        </w:trPr>
        <w:tc>
          <w:tcPr>
            <w:tcW w:w="1467" w:type="dxa"/>
            <w:shd w:val="clear" w:color="auto" w:fill="1F3A5F"/>
          </w:tcPr>
          <w:p>
            <w:pPr>
              <w:pStyle w:val="Compact"/>
              <w:spacing w:after="40"/>
              <w:jc w:val="left"/>
            </w:pPr>
            <w:r>
              <w:rPr>
                <w:b/>
                <w:color w:val="FFFFFF"/>
                <w:sz w:val="18"/>
              </w:rPr>
              <w:t xml:space="preserve">Event or API</w:t>
            </w:r>
          </w:p>
        </w:tc>
        <w:tc>
          <w:tcPr>
            <w:tcW w:w="1409" w:type="dxa"/>
            <w:shd w:val="clear" w:color="auto" w:fill="1F3A5F"/>
          </w:tcPr>
          <w:p>
            <w:pPr>
              <w:pStyle w:val="Compact"/>
              <w:spacing w:after="40"/>
              <w:jc w:val="left"/>
            </w:pPr>
            <w:r>
              <w:rPr>
                <w:b/>
                <w:color w:val="FFFFFF"/>
                <w:sz w:val="18"/>
              </w:rPr>
              <w:t xml:space="preserve">Producer → consumer(s)</w:t>
            </w:r>
          </w:p>
        </w:tc>
        <w:tc>
          <w:tcPr>
            <w:tcW w:w="1380" w:type="dxa"/>
            <w:shd w:val="clear" w:color="auto" w:fill="1F3A5F"/>
          </w:tcPr>
          <w:p>
            <w:pPr>
              <w:pStyle w:val="Compact"/>
              <w:spacing w:after="40"/>
              <w:jc w:val="left"/>
            </w:pPr>
            <w:r>
              <w:rPr>
                <w:b/>
                <w:color w:val="FFFFFF"/>
                <w:sz w:val="18"/>
              </w:rPr>
              <w:t xml:space="preserve">Trigger</w:t>
            </w:r>
          </w:p>
        </w:tc>
        <w:tc>
          <w:tcPr>
            <w:tcW w:w="2055" w:type="dxa"/>
            <w:shd w:val="clear" w:color="auto" w:fill="1F3A5F"/>
          </w:tcPr>
          <w:p>
            <w:pPr>
              <w:pStyle w:val="Compact"/>
              <w:spacing w:after="40"/>
              <w:jc w:val="left"/>
            </w:pPr>
            <w:r>
              <w:rPr>
                <w:b/>
                <w:color w:val="FFFFFF"/>
                <w:sz w:val="18"/>
              </w:rPr>
              <w:t xml:space="preserve">Key payload fields</w:t>
            </w:r>
          </w:p>
        </w:tc>
        <w:tc>
          <w:tcPr>
            <w:tcW w:w="978" w:type="dxa"/>
            <w:shd w:val="clear" w:color="auto" w:fill="1F3A5F"/>
          </w:tcPr>
          <w:p>
            <w:pPr>
              <w:pStyle w:val="Compact"/>
              <w:spacing w:after="40"/>
              <w:jc w:val="left"/>
            </w:pPr>
            <w:r>
              <w:rPr>
                <w:b/>
                <w:color w:val="FFFFFF"/>
                <w:sz w:val="18"/>
              </w:rPr>
              <w:t xml:space="preserve">Owner</w:t>
            </w:r>
          </w:p>
        </w:tc>
        <w:tc>
          <w:tcPr>
            <w:tcW w:w="1349" w:type="dxa"/>
            <w:shd w:val="clear" w:color="auto" w:fill="1F3A5F"/>
          </w:tcPr>
          <w:p>
            <w:pPr>
              <w:pStyle w:val="Compact"/>
              <w:spacing w:after="40"/>
              <w:jc w:val="left"/>
            </w:pPr>
            <w:r>
              <w:rPr>
                <w:b/>
                <w:color w:val="FFFFFF"/>
                <w:sz w:val="18"/>
              </w:rPr>
              <w:t xml:space="preserve">Idempotency key</w:t>
            </w:r>
          </w:p>
        </w:tc>
        <w:tc>
          <w:tcPr>
            <w:tcW w:w="1000" w:type="dxa"/>
            <w:shd w:val="clear" w:color="auto" w:fill="1F3A5F"/>
          </w:tcPr>
          <w:p>
            <w:pPr>
              <w:pStyle w:val="Compact"/>
              <w:spacing w:after="40"/>
              <w:jc w:val="left"/>
            </w:pPr>
            <w:r>
              <w:rPr>
                <w:b/>
                <w:color w:val="FFFFFF"/>
                <w:sz w:val="18"/>
              </w:rPr>
              <w:t xml:space="preserve">SLA</w:t>
            </w:r>
          </w:p>
        </w:tc>
      </w:tr>
      <w:tr>
        <w:tc>
          <w:tcPr>
            <w:tcW w:w="1467" w:type="dxa"/>
          </w:tcPr>
          <w:p>
            <w:pPr>
              <w:pStyle w:val="Compact"/>
              <w:spacing w:after="40"/>
              <w:jc w:val="left"/>
            </w:pPr>
            <w:r>
              <w:rPr>
                <w:rStyle w:val="VerbatimChar"/>
                <w:sz w:val="18"/>
              </w:rPr>
              <w:t xml:space="preserve">DocumentShared</w:t>
            </w:r>
            <w:r>
              <w:rPr>
                <w:sz w:val="18"/>
              </w:rPr>
              <w:t xml:space="preserve"> </w:t>
            </w:r>
            <w:r>
              <w:rPr>
                <w:sz w:val="18"/>
              </w:rPr>
              <w:t xml:space="preserve">(N+)</w:t>
            </w:r>
          </w:p>
        </w:tc>
        <w:tc>
          <w:tcPr>
            <w:tcW w:w="1409" w:type="dxa"/>
          </w:tcPr>
          <w:p>
            <w:pPr>
              <w:pStyle w:val="Compact"/>
              <w:spacing w:after="40"/>
              <w:jc w:val="left"/>
            </w:pPr>
            <w:r>
              <w:rPr>
                <w:sz w:val="18"/>
              </w:rPr>
              <w:t xml:space="preserve">Any → permitted consumer</w:t>
            </w:r>
          </w:p>
        </w:tc>
        <w:tc>
          <w:tcPr>
            <w:tcW w:w="1380" w:type="dxa"/>
          </w:tcPr>
          <w:p>
            <w:pPr>
              <w:pStyle w:val="Compact"/>
              <w:spacing w:after="40"/>
              <w:jc w:val="left"/>
            </w:pPr>
            <w:r>
              <w:rPr>
                <w:sz w:val="18"/>
              </w:rPr>
              <w:t xml:space="preserve">Document made available</w:t>
            </w:r>
          </w:p>
        </w:tc>
        <w:tc>
          <w:tcPr>
            <w:tcW w:w="2055" w:type="dxa"/>
          </w:tcPr>
          <w:p>
            <w:pPr>
              <w:pStyle w:val="Compact"/>
              <w:spacing w:after="40"/>
              <w:jc w:val="left"/>
            </w:pPr>
            <w:r>
              <w:rPr>
                <w:sz w:val="18"/>
              </w:rPr>
              <w:t xml:space="preserve">type, sha256, JWS, retention class, legal hold</w:t>
            </w:r>
          </w:p>
        </w:tc>
        <w:tc>
          <w:tcPr>
            <w:tcW w:w="978" w:type="dxa"/>
          </w:tcPr>
          <w:p>
            <w:pPr>
              <w:pStyle w:val="Compact"/>
              <w:spacing w:after="40"/>
              <w:jc w:val="left"/>
            </w:pPr>
            <w:r>
              <w:rPr>
                <w:sz w:val="18"/>
              </w:rPr>
              <w:t xml:space="preserve">Producer</w:t>
            </w:r>
          </w:p>
        </w:tc>
        <w:tc>
          <w:tcPr>
            <w:tcW w:w="1349" w:type="dxa"/>
          </w:tcPr>
          <w:p>
            <w:pPr>
              <w:pStyle w:val="Compact"/>
              <w:spacing w:after="40"/>
              <w:jc w:val="left"/>
            </w:pPr>
            <w:r>
              <w:rPr>
                <w:sz w:val="18"/>
              </w:rPr>
              <w:t xml:space="preserve">(document_id, version)</w:t>
            </w:r>
          </w:p>
        </w:tc>
        <w:tc>
          <w:tcPr>
            <w:tcW w:w="1000" w:type="dxa"/>
          </w:tcPr>
          <w:p>
            <w:pPr>
              <w:pStyle w:val="Compact"/>
              <w:spacing w:after="40"/>
              <w:jc w:val="left"/>
            </w:pPr>
            <w:r>
              <w:rPr>
                <w:sz w:val="18"/>
              </w:rPr>
              <w:t xml:space="preserve">std</w:t>
            </w:r>
          </w:p>
        </w:tc>
      </w:tr>
      <w:tr>
        <w:tc>
          <w:tcPr>
            <w:tcW w:w="1467" w:type="dxa"/>
          </w:tcPr>
          <w:p>
            <w:pPr>
              <w:pStyle w:val="Compact"/>
              <w:spacing w:after="40"/>
              <w:jc w:val="left"/>
            </w:pPr>
            <w:r>
              <w:rPr>
                <w:sz w:val="18"/>
              </w:rPr>
              <w:t xml:space="preserve">API</w:t>
            </w:r>
            <w:r>
              <w:rPr>
                <w:sz w:val="18"/>
              </w:rPr>
              <w:t xml:space="preserve"> </w:t>
            </w:r>
            <w:r>
              <w:rPr>
                <w:rStyle w:val="VerbatimChar"/>
                <w:sz w:val="18"/>
              </w:rPr>
              <w:t xml:space="preserve">GET /v1/documents/{id}</w:t>
            </w:r>
          </w:p>
        </w:tc>
        <w:tc>
          <w:tcPr>
            <w:tcW w:w="1409" w:type="dxa"/>
          </w:tcPr>
          <w:p>
            <w:pPr>
              <w:pStyle w:val="Compact"/>
              <w:spacing w:after="40"/>
              <w:jc w:val="left"/>
            </w:pPr>
            <w:r>
              <w:rPr>
                <w:sz w:val="18"/>
              </w:rPr>
              <w:t xml:space="preserve">Consumer → producer</w:t>
            </w:r>
          </w:p>
        </w:tc>
        <w:tc>
          <w:tcPr>
            <w:tcW w:w="1380" w:type="dxa"/>
          </w:tcPr>
          <w:p>
            <w:pPr>
              <w:pStyle w:val="Compact"/>
              <w:spacing w:after="40"/>
              <w:jc w:val="left"/>
            </w:pPr>
            <w:r>
              <w:rPr>
                <w:sz w:val="18"/>
              </w:rPr>
              <w:t xml:space="preserve">Retrieve</w:t>
            </w:r>
          </w:p>
        </w:tc>
        <w:tc>
          <w:tcPr>
            <w:tcW w:w="2055" w:type="dxa"/>
          </w:tcPr>
          <w:p>
            <w:pPr>
              <w:pStyle w:val="Compact"/>
              <w:spacing w:after="40"/>
              <w:jc w:val="left"/>
            </w:pPr>
            <w:r>
              <w:rPr>
                <w:sz w:val="18"/>
              </w:rPr>
              <w:t xml:space="preserve">signed India-hosted URL valid ≤ 15 min, sha256, JWS</w:t>
            </w:r>
          </w:p>
        </w:tc>
        <w:tc>
          <w:tcPr>
            <w:tcW w:w="978" w:type="dxa"/>
          </w:tcPr>
          <w:p>
            <w:pPr>
              <w:pStyle w:val="Compact"/>
              <w:spacing w:after="40"/>
              <w:jc w:val="left"/>
            </w:pPr>
            <w:r>
              <w:rPr>
                <w:sz w:val="18"/>
              </w:rPr>
              <w:t xml:space="preserve">Producer</w:t>
            </w:r>
          </w:p>
        </w:tc>
        <w:tc>
          <w:tcPr>
            <w:tcW w:w="1349" w:type="dxa"/>
          </w:tcPr>
          <w:p>
            <w:pPr>
              <w:pStyle w:val="Compact"/>
              <w:spacing w:after="40"/>
              <w:jc w:val="left"/>
            </w:pPr>
            <w:r>
              <w:rPr>
                <w:sz w:val="18"/>
              </w:rPr>
              <w:t xml:space="preserve">n/a</w:t>
            </w:r>
          </w:p>
        </w:tc>
        <w:tc>
          <w:tcPr>
            <w:tcW w:w="1000" w:type="dxa"/>
          </w:tcPr>
          <w:p>
            <w:pPr>
              <w:pStyle w:val="Compact"/>
              <w:spacing w:after="40"/>
              <w:jc w:val="left"/>
            </w:pPr>
            <w:r>
              <w:rPr>
                <w:sz w:val="18"/>
              </w:rPr>
              <w:t xml:space="preserve">p95 ≤ 800 ms</w:t>
            </w:r>
          </w:p>
        </w:tc>
      </w:tr>
    </w:tbl>
    <w:bookmarkEnd w:id="58"/>
    <w:bookmarkStart w:id="59" w:name="consent-and-privacy-privacy"/>
    <w:p>
      <w:pPr>
        <w:pStyle w:val="Heading2"/>
      </w:pPr>
      <w:r>
        <w:t xml:space="preserve">6.14 Consent and privacy (</w:t>
      </w:r>
      <w:r>
        <w:rPr>
          <w:rStyle w:val="VerbatimChar"/>
        </w:rPr>
        <w:t xml:space="preserve">privacy</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00"/>
        <w:gridCol w:w="1166"/>
        <w:gridCol w:w="1768"/>
        <w:gridCol w:w="1739"/>
        <w:gridCol w:w="978"/>
        <w:gridCol w:w="1145"/>
        <w:gridCol w:w="1742"/>
      </w:tblGrid>
      <w:tr>
        <w:trPr>
          <w:tblHeader w:val="true"/>
          <w:tblHeader w:val="true"/>
        </w:trPr>
        <w:tc>
          <w:tcPr>
            <w:tcW w:w="1100" w:type="dxa"/>
            <w:shd w:val="clear" w:color="auto" w:fill="1F3A5F"/>
          </w:tcPr>
          <w:p>
            <w:pPr>
              <w:pStyle w:val="Compact"/>
              <w:spacing w:after="40"/>
              <w:jc w:val="left"/>
            </w:pPr>
            <w:r>
              <w:rPr>
                <w:b/>
                <w:color w:val="FFFFFF"/>
                <w:sz w:val="18"/>
              </w:rPr>
              <w:t xml:space="preserve">Event or API</w:t>
            </w:r>
          </w:p>
        </w:tc>
        <w:tc>
          <w:tcPr>
            <w:tcW w:w="1166" w:type="dxa"/>
            <w:shd w:val="clear" w:color="auto" w:fill="1F3A5F"/>
          </w:tcPr>
          <w:p>
            <w:pPr>
              <w:pStyle w:val="Compact"/>
              <w:spacing w:after="40"/>
              <w:jc w:val="left"/>
            </w:pPr>
            <w:r>
              <w:rPr>
                <w:b/>
                <w:color w:val="FFFFFF"/>
                <w:sz w:val="18"/>
              </w:rPr>
              <w:t xml:space="preserve">Producer → consumer(s)</w:t>
            </w:r>
          </w:p>
        </w:tc>
        <w:tc>
          <w:tcPr>
            <w:tcW w:w="1768" w:type="dxa"/>
            <w:shd w:val="clear" w:color="auto" w:fill="1F3A5F"/>
          </w:tcPr>
          <w:p>
            <w:pPr>
              <w:pStyle w:val="Compact"/>
              <w:spacing w:after="40"/>
              <w:jc w:val="left"/>
            </w:pPr>
            <w:r>
              <w:rPr>
                <w:b/>
                <w:color w:val="FFFFFF"/>
                <w:sz w:val="18"/>
              </w:rPr>
              <w:t xml:space="preserve">Trigger</w:t>
            </w:r>
          </w:p>
        </w:tc>
        <w:tc>
          <w:tcPr>
            <w:tcW w:w="1739" w:type="dxa"/>
            <w:shd w:val="clear" w:color="auto" w:fill="1F3A5F"/>
          </w:tcPr>
          <w:p>
            <w:pPr>
              <w:pStyle w:val="Compact"/>
              <w:spacing w:after="40"/>
              <w:jc w:val="left"/>
            </w:pPr>
            <w:r>
              <w:rPr>
                <w:b/>
                <w:color w:val="FFFFFF"/>
                <w:sz w:val="18"/>
              </w:rPr>
              <w:t xml:space="preserve">Key payload fields</w:t>
            </w:r>
          </w:p>
        </w:tc>
        <w:tc>
          <w:tcPr>
            <w:tcW w:w="978" w:type="dxa"/>
            <w:shd w:val="clear" w:color="auto" w:fill="1F3A5F"/>
          </w:tcPr>
          <w:p>
            <w:pPr>
              <w:pStyle w:val="Compact"/>
              <w:spacing w:after="40"/>
              <w:jc w:val="left"/>
            </w:pPr>
            <w:r>
              <w:rPr>
                <w:b/>
                <w:color w:val="FFFFFF"/>
                <w:sz w:val="18"/>
              </w:rPr>
              <w:t xml:space="preserve">Owner</w:t>
            </w:r>
          </w:p>
        </w:tc>
        <w:tc>
          <w:tcPr>
            <w:tcW w:w="1145" w:type="dxa"/>
            <w:shd w:val="clear" w:color="auto" w:fill="1F3A5F"/>
          </w:tcPr>
          <w:p>
            <w:pPr>
              <w:pStyle w:val="Compact"/>
              <w:spacing w:after="40"/>
              <w:jc w:val="left"/>
            </w:pPr>
            <w:r>
              <w:rPr>
                <w:b/>
                <w:color w:val="FFFFFF"/>
                <w:sz w:val="18"/>
              </w:rPr>
              <w:t xml:space="preserve">Idempotency key</w:t>
            </w:r>
          </w:p>
        </w:tc>
        <w:tc>
          <w:tcPr>
            <w:tcW w:w="1742" w:type="dxa"/>
            <w:shd w:val="clear" w:color="auto" w:fill="1F3A5F"/>
          </w:tcPr>
          <w:p>
            <w:pPr>
              <w:pStyle w:val="Compact"/>
              <w:spacing w:after="40"/>
              <w:jc w:val="left"/>
            </w:pPr>
            <w:r>
              <w:rPr>
                <w:b/>
                <w:color w:val="FFFFFF"/>
                <w:sz w:val="18"/>
              </w:rPr>
              <w:t xml:space="preserve">SLA</w:t>
            </w:r>
          </w:p>
        </w:tc>
      </w:tr>
      <w:tr>
        <w:tc>
          <w:tcPr>
            <w:tcW w:w="1100" w:type="dxa"/>
          </w:tcPr>
          <w:p>
            <w:pPr>
              <w:pStyle w:val="Compact"/>
              <w:spacing w:after="40"/>
              <w:jc w:val="left"/>
            </w:pPr>
            <w:r>
              <w:rPr>
                <w:rStyle w:val="VerbatimChar"/>
                <w:sz w:val="18"/>
              </w:rPr>
              <w:t xml:space="preserve">ConsentRecorded</w:t>
            </w:r>
            <w:r>
              <w:rPr>
                <w:sz w:val="18"/>
              </w:rPr>
              <w:t xml:space="preserve"> </w:t>
            </w:r>
            <w:r>
              <w:rPr>
                <w:sz w:val="18"/>
              </w:rPr>
              <w:t xml:space="preserve">(N+)</w:t>
            </w:r>
          </w:p>
        </w:tc>
        <w:tc>
          <w:tcPr>
            <w:tcW w:w="1166" w:type="dxa"/>
          </w:tcPr>
          <w:p>
            <w:pPr>
              <w:pStyle w:val="Compact"/>
              <w:spacing w:after="40"/>
              <w:jc w:val="left"/>
            </w:pPr>
            <w:r>
              <w:rPr>
                <w:sz w:val="18"/>
              </w:rPr>
              <w:t xml:space="preserve">Capturer → named recipients</w:t>
            </w:r>
          </w:p>
        </w:tc>
        <w:tc>
          <w:tcPr>
            <w:tcW w:w="1768" w:type="dxa"/>
          </w:tcPr>
          <w:p>
            <w:pPr>
              <w:pStyle w:val="Compact"/>
              <w:spacing w:after="40"/>
              <w:jc w:val="left"/>
            </w:pPr>
            <w:r>
              <w:rPr>
                <w:sz w:val="18"/>
              </w:rPr>
              <w:t xml:space="preserve">Consent captured after the application (holdings, ADR sharing)</w:t>
            </w:r>
          </w:p>
        </w:tc>
        <w:tc>
          <w:tcPr>
            <w:tcW w:w="1739" w:type="dxa"/>
          </w:tcPr>
          <w:p>
            <w:pPr>
              <w:pStyle w:val="Compact"/>
              <w:spacing w:after="40"/>
              <w:jc w:val="left"/>
            </w:pPr>
            <w:r>
              <w:rPr>
                <w:sz w:val="18"/>
              </w:rPr>
              <w:t xml:space="preserve">consent artefact (Part 5.2 row 29)</w:t>
            </w:r>
          </w:p>
        </w:tc>
        <w:tc>
          <w:tcPr>
            <w:tcW w:w="978" w:type="dxa"/>
          </w:tcPr>
          <w:p>
            <w:pPr>
              <w:pStyle w:val="Compact"/>
              <w:spacing w:after="40"/>
              <w:jc w:val="left"/>
            </w:pPr>
            <w:r>
              <w:rPr>
                <w:sz w:val="18"/>
              </w:rPr>
              <w:t xml:space="preserve">Capturer</w:t>
            </w:r>
          </w:p>
        </w:tc>
        <w:tc>
          <w:tcPr>
            <w:tcW w:w="1145" w:type="dxa"/>
          </w:tcPr>
          <w:p>
            <w:pPr>
              <w:pStyle w:val="Compact"/>
              <w:spacing w:after="40"/>
              <w:jc w:val="left"/>
            </w:pPr>
            <w:r>
              <w:rPr>
                <w:sz w:val="18"/>
              </w:rPr>
              <w:t xml:space="preserve">consentref</w:t>
            </w:r>
          </w:p>
        </w:tc>
        <w:tc>
          <w:tcPr>
            <w:tcW w:w="1742" w:type="dxa"/>
          </w:tcPr>
          <w:p>
            <w:pPr>
              <w:pStyle w:val="Compact"/>
              <w:spacing w:after="40"/>
              <w:jc w:val="left"/>
            </w:pPr>
            <w:r>
              <w:rPr>
                <w:sz w:val="18"/>
              </w:rPr>
              <w:t xml:space="preserve">std</w:t>
            </w:r>
          </w:p>
        </w:tc>
      </w:tr>
      <w:tr>
        <w:tc>
          <w:tcPr>
            <w:tcW w:w="1100" w:type="dxa"/>
          </w:tcPr>
          <w:p>
            <w:pPr>
              <w:pStyle w:val="Compact"/>
              <w:spacing w:after="40"/>
              <w:jc w:val="left"/>
            </w:pPr>
            <w:r>
              <w:rPr>
                <w:rStyle w:val="VerbatimChar"/>
                <w:sz w:val="18"/>
              </w:rPr>
              <w:t xml:space="preserve">ConsentWithdrawn</w:t>
            </w:r>
            <w:r>
              <w:rPr>
                <w:sz w:val="18"/>
              </w:rPr>
              <w:t xml:space="preserve"> </w:t>
            </w:r>
            <w:r>
              <w:rPr>
                <w:sz w:val="18"/>
              </w:rPr>
              <w:t xml:space="preserve">(A)</w:t>
            </w:r>
          </w:p>
        </w:tc>
        <w:tc>
          <w:tcPr>
            <w:tcW w:w="1166" w:type="dxa"/>
          </w:tcPr>
          <w:p>
            <w:pPr>
              <w:pStyle w:val="Compact"/>
              <w:spacing w:after="40"/>
              <w:jc w:val="left"/>
            </w:pPr>
            <w:r>
              <w:rPr>
                <w:sz w:val="18"/>
              </w:rPr>
              <w:t xml:space="preserve">Capturer → every recipient</w:t>
            </w:r>
          </w:p>
        </w:tc>
        <w:tc>
          <w:tcPr>
            <w:tcW w:w="1768" w:type="dxa"/>
          </w:tcPr>
          <w:p>
            <w:pPr>
              <w:pStyle w:val="Compact"/>
              <w:spacing w:after="40"/>
              <w:jc w:val="left"/>
            </w:pPr>
            <w:r>
              <w:rPr>
                <w:sz w:val="18"/>
              </w:rPr>
              <w:t xml:space="preserve">Withdrawal</w:t>
            </w:r>
          </w:p>
        </w:tc>
        <w:tc>
          <w:tcPr>
            <w:tcW w:w="1739" w:type="dxa"/>
          </w:tcPr>
          <w:p>
            <w:pPr>
              <w:pStyle w:val="Compact"/>
              <w:spacing w:after="40"/>
              <w:jc w:val="left"/>
            </w:pPr>
            <w:r>
              <w:rPr>
                <w:sz w:val="18"/>
              </w:rPr>
              <w:t xml:space="preserve">scope, withdrawn_at; processing stops except legal retention</w:t>
            </w:r>
          </w:p>
        </w:tc>
        <w:tc>
          <w:tcPr>
            <w:tcW w:w="978" w:type="dxa"/>
          </w:tcPr>
          <w:p>
            <w:pPr>
              <w:pStyle w:val="Compact"/>
              <w:spacing w:after="40"/>
              <w:jc w:val="left"/>
            </w:pPr>
            <w:r>
              <w:rPr>
                <w:sz w:val="18"/>
              </w:rPr>
              <w:t xml:space="preserve">Capturer</w:t>
            </w:r>
          </w:p>
        </w:tc>
        <w:tc>
          <w:tcPr>
            <w:tcW w:w="1145" w:type="dxa"/>
          </w:tcPr>
          <w:p>
            <w:pPr>
              <w:pStyle w:val="Compact"/>
              <w:spacing w:after="40"/>
              <w:jc w:val="left"/>
            </w:pPr>
            <w:r>
              <w:rPr>
                <w:sz w:val="18"/>
              </w:rPr>
              <w:t xml:space="preserve">(consentref, withdrawn_at)</w:t>
            </w:r>
          </w:p>
        </w:tc>
        <w:tc>
          <w:tcPr>
            <w:tcW w:w="1742" w:type="dxa"/>
          </w:tcPr>
          <w:p>
            <w:pPr>
              <w:pStyle w:val="Compact"/>
              <w:spacing w:after="40"/>
              <w:jc w:val="left"/>
            </w:pPr>
            <w:r>
              <w:rPr>
                <w:sz w:val="18"/>
              </w:rPr>
              <w:t xml:space="preserve">≤ 1 h [REC]</w:t>
            </w:r>
          </w:p>
        </w:tc>
      </w:tr>
      <w:tr>
        <w:tc>
          <w:tcPr>
            <w:tcW w:w="1100" w:type="dxa"/>
          </w:tcPr>
          <w:p>
            <w:pPr>
              <w:pStyle w:val="Compact"/>
              <w:spacing w:after="40"/>
              <w:jc w:val="left"/>
            </w:pPr>
            <w:r>
              <w:rPr>
                <w:rStyle w:val="VerbatimChar"/>
                <w:sz w:val="18"/>
              </w:rPr>
              <w:t xml:space="preserve">DataPrincipalRequest</w:t>
            </w:r>
            <w:r>
              <w:rPr>
                <w:sz w:val="18"/>
              </w:rPr>
              <w:t xml:space="preserve"> </w:t>
            </w:r>
            <w:r>
              <w:rPr>
                <w:sz w:val="18"/>
              </w:rPr>
              <w:t xml:space="preserve">(A)</w:t>
            </w:r>
          </w:p>
        </w:tc>
        <w:tc>
          <w:tcPr>
            <w:tcW w:w="1166" w:type="dxa"/>
          </w:tcPr>
          <w:p>
            <w:pPr>
              <w:pStyle w:val="Compact"/>
              <w:spacing w:after="40"/>
              <w:jc w:val="left"/>
            </w:pPr>
            <w:r>
              <w:rPr>
                <w:sz w:val="18"/>
              </w:rPr>
              <w:t xml:space="preserve">Any ↔ any</w:t>
            </w:r>
          </w:p>
        </w:tc>
        <w:tc>
          <w:tcPr>
            <w:tcW w:w="1768" w:type="dxa"/>
          </w:tcPr>
          <w:p>
            <w:pPr>
              <w:pStyle w:val="Compact"/>
              <w:spacing w:after="40"/>
              <w:jc w:val="left"/>
            </w:pPr>
            <w:r>
              <w:rPr>
                <w:sz w:val="18"/>
              </w:rPr>
              <w:t xml:space="preserve">Access, correction, erasure, grievance, nomination; status</w:t>
            </w:r>
          </w:p>
        </w:tc>
        <w:tc>
          <w:tcPr>
            <w:tcW w:w="1739" w:type="dxa"/>
          </w:tcPr>
          <w:p>
            <w:pPr>
              <w:pStyle w:val="Compact"/>
              <w:spacing w:after="40"/>
              <w:jc w:val="left"/>
            </w:pPr>
            <w:r>
              <w:rPr>
                <w:sz w:val="18"/>
              </w:rPr>
              <w:t xml:space="preserve">type, party_ref, scope, status, due</w:t>
            </w:r>
          </w:p>
        </w:tc>
        <w:tc>
          <w:tcPr>
            <w:tcW w:w="978" w:type="dxa"/>
          </w:tcPr>
          <w:p>
            <w:pPr>
              <w:pStyle w:val="Compact"/>
              <w:spacing w:after="40"/>
              <w:jc w:val="left"/>
            </w:pPr>
            <w:r>
              <w:rPr>
                <w:sz w:val="18"/>
              </w:rPr>
              <w:t xml:space="preserve">Receiving fiduciary</w:t>
            </w:r>
          </w:p>
        </w:tc>
        <w:tc>
          <w:tcPr>
            <w:tcW w:w="1145" w:type="dxa"/>
          </w:tcPr>
          <w:p>
            <w:pPr>
              <w:pStyle w:val="Compact"/>
              <w:spacing w:after="40"/>
              <w:jc w:val="left"/>
            </w:pPr>
            <w:r>
              <w:rPr>
                <w:sz w:val="18"/>
              </w:rPr>
              <w:t xml:space="preserve">(request_id, status)</w:t>
            </w:r>
          </w:p>
        </w:tc>
        <w:tc>
          <w:tcPr>
            <w:tcW w:w="1742" w:type="dxa"/>
          </w:tcPr>
          <w:p>
            <w:pPr>
              <w:pStyle w:val="Compact"/>
              <w:spacing w:after="40"/>
              <w:jc w:val="left"/>
            </w:pPr>
            <w:r>
              <w:rPr>
                <w:sz w:val="18"/>
              </w:rPr>
              <w:t xml:space="preserve">Forward ≤ 1 working day [REC]; DPDP Rules timelines [VERIFY]</w:t>
            </w:r>
          </w:p>
        </w:tc>
      </w:tr>
      <w:tr>
        <w:tc>
          <w:tcPr>
            <w:tcW w:w="1100" w:type="dxa"/>
          </w:tcPr>
          <w:p>
            <w:pPr>
              <w:pStyle w:val="Compact"/>
              <w:spacing w:after="40"/>
              <w:jc w:val="left"/>
            </w:pPr>
            <w:r>
              <w:rPr>
                <w:rStyle w:val="VerbatimChar"/>
                <w:sz w:val="18"/>
              </w:rPr>
              <w:t xml:space="preserve">LegalHoldChanged</w:t>
            </w:r>
            <w:r>
              <w:rPr>
                <w:sz w:val="18"/>
              </w:rPr>
              <w:t xml:space="preserve"> </w:t>
            </w:r>
            <w:r>
              <w:rPr>
                <w:sz w:val="18"/>
              </w:rPr>
              <w:t xml:space="preserve">(N+)</w:t>
            </w:r>
          </w:p>
        </w:tc>
        <w:tc>
          <w:tcPr>
            <w:tcW w:w="1166" w:type="dxa"/>
          </w:tcPr>
          <w:p>
            <w:pPr>
              <w:pStyle w:val="Compact"/>
              <w:spacing w:after="40"/>
              <w:jc w:val="left"/>
            </w:pPr>
            <w:r>
              <w:rPr>
                <w:sz w:val="18"/>
              </w:rPr>
              <w:t xml:space="preserve">RS, FX → every holder</w:t>
            </w:r>
          </w:p>
        </w:tc>
        <w:tc>
          <w:tcPr>
            <w:tcW w:w="1768" w:type="dxa"/>
          </w:tcPr>
          <w:p>
            <w:pPr>
              <w:pStyle w:val="Compact"/>
              <w:spacing w:after="40"/>
              <w:jc w:val="left"/>
            </w:pPr>
            <w:r>
              <w:rPr>
                <w:sz w:val="18"/>
              </w:rPr>
              <w:t xml:space="preserve">Hold applied or released</w:t>
            </w:r>
          </w:p>
        </w:tc>
        <w:tc>
          <w:tcPr>
            <w:tcW w:w="1739" w:type="dxa"/>
          </w:tcPr>
          <w:p>
            <w:pPr>
              <w:pStyle w:val="Compact"/>
              <w:spacing w:after="40"/>
              <w:jc w:val="left"/>
            </w:pPr>
            <w:r>
              <w:rPr>
                <w:sz w:val="18"/>
              </w:rPr>
              <w:t xml:space="preserve">scope (party, loan, case), reason, start, end</w:t>
            </w:r>
          </w:p>
        </w:tc>
        <w:tc>
          <w:tcPr>
            <w:tcW w:w="978" w:type="dxa"/>
          </w:tcPr>
          <w:p>
            <w:pPr>
              <w:pStyle w:val="Compact"/>
              <w:spacing w:after="40"/>
              <w:jc w:val="left"/>
            </w:pPr>
            <w:r>
              <w:rPr>
                <w:sz w:val="18"/>
              </w:rPr>
              <w:t xml:space="preserve">RS or FX</w:t>
            </w:r>
          </w:p>
        </w:tc>
        <w:tc>
          <w:tcPr>
            <w:tcW w:w="1145" w:type="dxa"/>
          </w:tcPr>
          <w:p>
            <w:pPr>
              <w:pStyle w:val="Compact"/>
              <w:spacing w:after="40"/>
              <w:jc w:val="left"/>
            </w:pPr>
            <w:r>
              <w:rPr>
                <w:sz w:val="18"/>
              </w:rPr>
              <w:t xml:space="preserve">(hold_id, version)</w:t>
            </w:r>
          </w:p>
        </w:tc>
        <w:tc>
          <w:tcPr>
            <w:tcW w:w="1742" w:type="dxa"/>
          </w:tcPr>
          <w:p>
            <w:pPr>
              <w:pStyle w:val="Compact"/>
              <w:spacing w:after="40"/>
              <w:jc w:val="left"/>
            </w:pPr>
            <w:r>
              <w:rPr>
                <w:sz w:val="18"/>
              </w:rPr>
              <w:t xml:space="preserve">≤ 1 h; deletion suspended</w:t>
            </w:r>
          </w:p>
        </w:tc>
      </w:tr>
    </w:tbl>
    <w:bookmarkEnd w:id="59"/>
    <w:bookmarkStart w:id="60" w:name="compliance-and-grc-grc"/>
    <w:p>
      <w:pPr>
        <w:pStyle w:val="Heading2"/>
      </w:pPr>
      <w:r>
        <w:t xml:space="preserve">6.15 Compliance and GRC (</w:t>
      </w:r>
      <w:r>
        <w:rPr>
          <w:rStyle w:val="VerbatimChar"/>
        </w:rPr>
        <w:t xml:space="preserve">grc</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35"/>
        <w:gridCol w:w="1260"/>
        <w:gridCol w:w="1450"/>
        <w:gridCol w:w="1450"/>
        <w:gridCol w:w="879"/>
        <w:gridCol w:w="1116"/>
        <w:gridCol w:w="2348"/>
      </w:tblGrid>
      <w:tr>
        <w:trPr>
          <w:tblHeader w:val="true"/>
          <w:tblHeader w:val="true"/>
        </w:trPr>
        <w:tc>
          <w:tcPr>
            <w:tcW w:w="1135" w:type="dxa"/>
            <w:shd w:val="clear" w:color="auto" w:fill="1F3A5F"/>
          </w:tcPr>
          <w:p>
            <w:pPr>
              <w:pStyle w:val="Compact"/>
              <w:spacing w:after="40"/>
              <w:jc w:val="left"/>
            </w:pPr>
            <w:r>
              <w:rPr>
                <w:b/>
                <w:color w:val="FFFFFF"/>
                <w:sz w:val="18"/>
              </w:rPr>
              <w:t xml:space="preserve">Event or API</w:t>
            </w:r>
          </w:p>
        </w:tc>
        <w:tc>
          <w:tcPr>
            <w:tcW w:w="1260" w:type="dxa"/>
            <w:shd w:val="clear" w:color="auto" w:fill="1F3A5F"/>
          </w:tcPr>
          <w:p>
            <w:pPr>
              <w:pStyle w:val="Compact"/>
              <w:spacing w:after="40"/>
              <w:jc w:val="left"/>
            </w:pPr>
            <w:r>
              <w:rPr>
                <w:b/>
                <w:color w:val="FFFFFF"/>
                <w:sz w:val="18"/>
              </w:rPr>
              <w:t xml:space="preserve">Producer → consumer(s)</w:t>
            </w:r>
          </w:p>
        </w:tc>
        <w:tc>
          <w:tcPr>
            <w:tcW w:w="1450" w:type="dxa"/>
            <w:shd w:val="clear" w:color="auto" w:fill="1F3A5F"/>
          </w:tcPr>
          <w:p>
            <w:pPr>
              <w:pStyle w:val="Compact"/>
              <w:spacing w:after="40"/>
              <w:jc w:val="left"/>
            </w:pPr>
            <w:r>
              <w:rPr>
                <w:b/>
                <w:color w:val="FFFFFF"/>
                <w:sz w:val="18"/>
              </w:rPr>
              <w:t xml:space="preserve">Trigger</w:t>
            </w:r>
          </w:p>
        </w:tc>
        <w:tc>
          <w:tcPr>
            <w:tcW w:w="1450" w:type="dxa"/>
            <w:shd w:val="clear" w:color="auto" w:fill="1F3A5F"/>
          </w:tcPr>
          <w:p>
            <w:pPr>
              <w:pStyle w:val="Compact"/>
              <w:spacing w:after="40"/>
              <w:jc w:val="left"/>
            </w:pPr>
            <w:r>
              <w:rPr>
                <w:b/>
                <w:color w:val="FFFFFF"/>
                <w:sz w:val="18"/>
              </w:rPr>
              <w:t xml:space="preserve">Key payload fields</w:t>
            </w:r>
          </w:p>
        </w:tc>
        <w:tc>
          <w:tcPr>
            <w:tcW w:w="879" w:type="dxa"/>
            <w:shd w:val="clear" w:color="auto" w:fill="1F3A5F"/>
          </w:tcPr>
          <w:p>
            <w:pPr>
              <w:pStyle w:val="Compact"/>
              <w:spacing w:after="40"/>
              <w:jc w:val="left"/>
            </w:pPr>
            <w:r>
              <w:rPr>
                <w:b/>
                <w:color w:val="FFFFFF"/>
                <w:sz w:val="18"/>
              </w:rPr>
              <w:t xml:space="preserve">Owner</w:t>
            </w:r>
          </w:p>
        </w:tc>
        <w:tc>
          <w:tcPr>
            <w:tcW w:w="1116" w:type="dxa"/>
            <w:shd w:val="clear" w:color="auto" w:fill="1F3A5F"/>
          </w:tcPr>
          <w:p>
            <w:pPr>
              <w:pStyle w:val="Compact"/>
              <w:spacing w:after="40"/>
              <w:jc w:val="left"/>
            </w:pPr>
            <w:r>
              <w:rPr>
                <w:b/>
                <w:color w:val="FFFFFF"/>
                <w:sz w:val="18"/>
              </w:rPr>
              <w:t xml:space="preserve">Idempotency key</w:t>
            </w:r>
          </w:p>
        </w:tc>
        <w:tc>
          <w:tcPr>
            <w:tcW w:w="2348" w:type="dxa"/>
            <w:shd w:val="clear" w:color="auto" w:fill="1F3A5F"/>
          </w:tcPr>
          <w:p>
            <w:pPr>
              <w:pStyle w:val="Compact"/>
              <w:spacing w:after="40"/>
              <w:jc w:val="left"/>
            </w:pPr>
            <w:r>
              <w:rPr>
                <w:b/>
                <w:color w:val="FFFFFF"/>
                <w:sz w:val="18"/>
              </w:rPr>
              <w:t xml:space="preserve">SLA</w:t>
            </w:r>
          </w:p>
        </w:tc>
      </w:tr>
      <w:tr>
        <w:tc>
          <w:tcPr>
            <w:tcW w:w="1135" w:type="dxa"/>
          </w:tcPr>
          <w:p>
            <w:pPr>
              <w:pStyle w:val="Compact"/>
              <w:spacing w:after="40"/>
              <w:jc w:val="left"/>
            </w:pPr>
            <w:r>
              <w:rPr>
                <w:rStyle w:val="VerbatimChar"/>
                <w:sz w:val="18"/>
              </w:rPr>
              <w:t xml:space="preserve">ObligationPublished</w:t>
            </w:r>
            <w:r>
              <w:rPr>
                <w:sz w:val="18"/>
              </w:rPr>
              <w:t xml:space="preserve"> </w:t>
            </w:r>
            <w:r>
              <w:rPr>
                <w:sz w:val="18"/>
              </w:rPr>
              <w:t xml:space="preserve">(N)</w:t>
            </w:r>
          </w:p>
        </w:tc>
        <w:tc>
          <w:tcPr>
            <w:tcW w:w="1260" w:type="dxa"/>
          </w:tcPr>
          <w:p>
            <w:pPr>
              <w:pStyle w:val="Compact"/>
              <w:spacing w:after="40"/>
              <w:jc w:val="left"/>
            </w:pPr>
            <w:r>
              <w:rPr>
                <w:sz w:val="18"/>
              </w:rPr>
              <w:t xml:space="preserve">LDC (or FX embedded) → products</w:t>
            </w:r>
          </w:p>
        </w:tc>
        <w:tc>
          <w:tcPr>
            <w:tcW w:w="1450" w:type="dxa"/>
          </w:tcPr>
          <w:p>
            <w:pPr>
              <w:pStyle w:val="Compact"/>
              <w:spacing w:after="40"/>
              <w:jc w:val="left"/>
            </w:pPr>
            <w:r>
              <w:rPr>
                <w:sz w:val="18"/>
              </w:rPr>
              <w:t xml:space="preserve">Obligation added, amended, repealed (change feed)</w:t>
            </w:r>
          </w:p>
        </w:tc>
        <w:tc>
          <w:tcPr>
            <w:tcW w:w="1450" w:type="dxa"/>
          </w:tcPr>
          <w:p>
            <w:pPr>
              <w:pStyle w:val="Compact"/>
              <w:spacing w:after="40"/>
              <w:jc w:val="left"/>
            </w:pPr>
            <w:r>
              <w:rPr>
                <w:sz w:val="18"/>
              </w:rPr>
              <w:t xml:space="preserve">obligation_ref, change type, dates, applicability</w:t>
            </w:r>
          </w:p>
        </w:tc>
        <w:tc>
          <w:tcPr>
            <w:tcW w:w="879" w:type="dxa"/>
          </w:tcPr>
          <w:p>
            <w:pPr>
              <w:pStyle w:val="Compact"/>
              <w:spacing w:after="40"/>
              <w:jc w:val="left"/>
            </w:pPr>
            <w:r>
              <w:rPr>
                <w:sz w:val="18"/>
              </w:rPr>
              <w:t xml:space="preserve">LDC</w:t>
            </w:r>
          </w:p>
        </w:tc>
        <w:tc>
          <w:tcPr>
            <w:tcW w:w="1116" w:type="dxa"/>
          </w:tcPr>
          <w:p>
            <w:pPr>
              <w:pStyle w:val="Compact"/>
              <w:spacing w:after="40"/>
              <w:jc w:val="left"/>
            </w:pPr>
            <w:r>
              <w:rPr>
                <w:sz w:val="18"/>
              </w:rPr>
              <w:t xml:space="preserve">(obligation_ref, version)</w:t>
            </w:r>
          </w:p>
        </w:tc>
        <w:tc>
          <w:tcPr>
            <w:tcW w:w="2348" w:type="dxa"/>
          </w:tcPr>
          <w:p>
            <w:pPr>
              <w:pStyle w:val="Compact"/>
              <w:spacing w:after="40"/>
              <w:jc w:val="left"/>
            </w:pPr>
            <w:r>
              <w:rPr>
                <w:sz w:val="18"/>
              </w:rPr>
              <w:t xml:space="preserve">≤ 1 working day</w:t>
            </w:r>
          </w:p>
        </w:tc>
      </w:tr>
      <w:tr>
        <w:tc>
          <w:tcPr>
            <w:tcW w:w="1135" w:type="dxa"/>
          </w:tcPr>
          <w:p>
            <w:pPr>
              <w:pStyle w:val="Compact"/>
              <w:spacing w:after="40"/>
              <w:jc w:val="left"/>
            </w:pPr>
            <w:r>
              <w:rPr>
                <w:rStyle w:val="VerbatimChar"/>
                <w:sz w:val="18"/>
              </w:rPr>
              <w:t xml:space="preserve">ControlTestResultPublished</w:t>
            </w:r>
            <w:r>
              <w:rPr>
                <w:sz w:val="18"/>
              </w:rPr>
              <w:t xml:space="preserve"> </w:t>
            </w:r>
            <w:r>
              <w:rPr>
                <w:sz w:val="18"/>
              </w:rPr>
              <w:t xml:space="preserve">(N)</w:t>
            </w:r>
          </w:p>
        </w:tc>
        <w:tc>
          <w:tcPr>
            <w:tcW w:w="1260" w:type="dxa"/>
          </w:tcPr>
          <w:p>
            <w:pPr>
              <w:pStyle w:val="Compact"/>
              <w:spacing w:after="40"/>
              <w:jc w:val="left"/>
            </w:pPr>
            <w:r>
              <w:rPr>
                <w:sz w:val="18"/>
              </w:rPr>
              <w:t xml:space="preserve">FX, UD, EQ, RS → LDC</w:t>
            </w:r>
          </w:p>
        </w:tc>
        <w:tc>
          <w:tcPr>
            <w:tcW w:w="1450" w:type="dxa"/>
          </w:tcPr>
          <w:p>
            <w:pPr>
              <w:pStyle w:val="Compact"/>
              <w:spacing w:after="40"/>
              <w:jc w:val="left"/>
            </w:pPr>
            <w:r>
              <w:rPr>
                <w:sz w:val="18"/>
              </w:rPr>
              <w:t xml:space="preserve">Control test run</w:t>
            </w:r>
          </w:p>
        </w:tc>
        <w:tc>
          <w:tcPr>
            <w:tcW w:w="1450" w:type="dxa"/>
          </w:tcPr>
          <w:p>
            <w:pPr>
              <w:pStyle w:val="Compact"/>
              <w:spacing w:after="40"/>
              <w:jc w:val="left"/>
            </w:pPr>
            <w:r>
              <w:rPr>
                <w:sz w:val="18"/>
              </w:rPr>
              <w:t xml:space="preserve">result, population, masked sample, evidence</w:t>
            </w:r>
          </w:p>
        </w:tc>
        <w:tc>
          <w:tcPr>
            <w:tcW w:w="879" w:type="dxa"/>
          </w:tcPr>
          <w:p>
            <w:pPr>
              <w:pStyle w:val="Compact"/>
              <w:spacing w:after="40"/>
              <w:jc w:val="left"/>
            </w:pPr>
            <w:r>
              <w:rPr>
                <w:sz w:val="18"/>
              </w:rPr>
              <w:t xml:space="preserve">Operating product</w:t>
            </w:r>
          </w:p>
        </w:tc>
        <w:tc>
          <w:tcPr>
            <w:tcW w:w="1116" w:type="dxa"/>
          </w:tcPr>
          <w:p>
            <w:pPr>
              <w:pStyle w:val="Compact"/>
              <w:spacing w:after="40"/>
              <w:jc w:val="left"/>
            </w:pPr>
            <w:r>
              <w:rPr>
                <w:sz w:val="18"/>
              </w:rPr>
              <w:t xml:space="preserve">(control_id, run_id)</w:t>
            </w:r>
          </w:p>
        </w:tc>
        <w:tc>
          <w:tcPr>
            <w:tcW w:w="2348" w:type="dxa"/>
          </w:tcPr>
          <w:p>
            <w:pPr>
              <w:pStyle w:val="Compact"/>
              <w:spacing w:after="40"/>
              <w:jc w:val="left"/>
            </w:pPr>
            <w:r>
              <w:rPr>
                <w:sz w:val="18"/>
              </w:rPr>
              <w:t xml:space="preserve">≤ 1 h</w:t>
            </w:r>
          </w:p>
        </w:tc>
      </w:tr>
      <w:tr>
        <w:tc>
          <w:tcPr>
            <w:tcW w:w="1135" w:type="dxa"/>
          </w:tcPr>
          <w:p>
            <w:pPr>
              <w:pStyle w:val="Compact"/>
              <w:spacing w:after="40"/>
              <w:jc w:val="left"/>
            </w:pPr>
            <w:r>
              <w:rPr>
                <w:rStyle w:val="VerbatimChar"/>
                <w:sz w:val="18"/>
              </w:rPr>
              <w:t xml:space="preserve">EvidenceSubmitted</w:t>
            </w:r>
            <w:r>
              <w:rPr>
                <w:sz w:val="18"/>
              </w:rPr>
              <w:t xml:space="preserve"> </w:t>
            </w:r>
            <w:r>
              <w:rPr>
                <w:sz w:val="18"/>
              </w:rPr>
              <w:t xml:space="preserve">(N)</w:t>
            </w:r>
          </w:p>
        </w:tc>
        <w:tc>
          <w:tcPr>
            <w:tcW w:w="1260" w:type="dxa"/>
          </w:tcPr>
          <w:p>
            <w:pPr>
              <w:pStyle w:val="Compact"/>
              <w:spacing w:after="40"/>
              <w:jc w:val="left"/>
            </w:pPr>
            <w:r>
              <w:rPr>
                <w:sz w:val="18"/>
              </w:rPr>
              <w:t xml:space="preserve">Any → LDC</w:t>
            </w:r>
          </w:p>
        </w:tc>
        <w:tc>
          <w:tcPr>
            <w:tcW w:w="1450" w:type="dxa"/>
          </w:tcPr>
          <w:p>
            <w:pPr>
              <w:pStyle w:val="Compact"/>
              <w:spacing w:after="40"/>
              <w:jc w:val="left"/>
            </w:pPr>
            <w:r>
              <w:rPr>
                <w:sz w:val="18"/>
              </w:rPr>
              <w:t xml:space="preserve">Evidence artefact</w:t>
            </w:r>
          </w:p>
        </w:tc>
        <w:tc>
          <w:tcPr>
            <w:tcW w:w="1450" w:type="dxa"/>
          </w:tcPr>
          <w:p>
            <w:pPr>
              <w:pStyle w:val="Compact"/>
              <w:spacing w:after="40"/>
              <w:jc w:val="left"/>
            </w:pPr>
            <w:r>
              <w:rPr>
                <w:sz w:val="18"/>
              </w:rPr>
              <w:t xml:space="preserve">control, URIs, sha256, signer</w:t>
            </w:r>
          </w:p>
        </w:tc>
        <w:tc>
          <w:tcPr>
            <w:tcW w:w="879" w:type="dxa"/>
          </w:tcPr>
          <w:p>
            <w:pPr>
              <w:pStyle w:val="Compact"/>
              <w:spacing w:after="40"/>
              <w:jc w:val="left"/>
            </w:pPr>
            <w:r>
              <w:rPr>
                <w:sz w:val="18"/>
              </w:rPr>
              <w:t xml:space="preserve">Producer</w:t>
            </w:r>
          </w:p>
        </w:tc>
        <w:tc>
          <w:tcPr>
            <w:tcW w:w="1116" w:type="dxa"/>
          </w:tcPr>
          <w:p>
            <w:pPr>
              <w:pStyle w:val="Compact"/>
              <w:spacing w:after="40"/>
              <w:jc w:val="left"/>
            </w:pPr>
            <w:r>
              <w:rPr>
                <w:sz w:val="18"/>
              </w:rPr>
              <w:t xml:space="preserve">evidence_id</w:t>
            </w:r>
          </w:p>
        </w:tc>
        <w:tc>
          <w:tcPr>
            <w:tcW w:w="2348" w:type="dxa"/>
          </w:tcPr>
          <w:p>
            <w:pPr>
              <w:pStyle w:val="Compact"/>
              <w:spacing w:after="40"/>
              <w:jc w:val="left"/>
            </w:pPr>
            <w:r>
              <w:rPr>
                <w:sz w:val="18"/>
              </w:rPr>
              <w:t xml:space="preserve">≤ 1 h</w:t>
            </w:r>
          </w:p>
        </w:tc>
      </w:tr>
      <w:tr>
        <w:tc>
          <w:tcPr>
            <w:tcW w:w="1135" w:type="dxa"/>
          </w:tcPr>
          <w:p>
            <w:pPr>
              <w:pStyle w:val="Compact"/>
              <w:spacing w:after="40"/>
              <w:jc w:val="left"/>
            </w:pPr>
            <w:r>
              <w:rPr>
                <w:rStyle w:val="VerbatimChar"/>
                <w:sz w:val="18"/>
              </w:rPr>
              <w:t xml:space="preserve">ComplianceIssueRaised</w:t>
            </w:r>
            <w:r>
              <w:rPr>
                <w:sz w:val="18"/>
              </w:rPr>
              <w:t xml:space="preserve"> </w:t>
            </w:r>
            <w:r>
              <w:rPr>
                <w:sz w:val="18"/>
              </w:rPr>
              <w:t xml:space="preserve">(N)</w:t>
            </w:r>
          </w:p>
        </w:tc>
        <w:tc>
          <w:tcPr>
            <w:tcW w:w="1260" w:type="dxa"/>
          </w:tcPr>
          <w:p>
            <w:pPr>
              <w:pStyle w:val="Compact"/>
              <w:spacing w:after="40"/>
              <w:jc w:val="left"/>
            </w:pPr>
            <w:r>
              <w:rPr>
                <w:sz w:val="18"/>
              </w:rPr>
              <w:t xml:space="preserve">Any → LDC, RE</w:t>
            </w:r>
          </w:p>
        </w:tc>
        <w:tc>
          <w:tcPr>
            <w:tcW w:w="1450" w:type="dxa"/>
          </w:tcPr>
          <w:p>
            <w:pPr>
              <w:pStyle w:val="Compact"/>
              <w:spacing w:after="40"/>
              <w:jc w:val="left"/>
            </w:pPr>
            <w:r>
              <w:rPr>
                <w:sz w:val="18"/>
              </w:rPr>
              <w:t xml:space="preserve">Test failure, audit or RBI observation, breach</w:t>
            </w:r>
          </w:p>
        </w:tc>
        <w:tc>
          <w:tcPr>
            <w:tcW w:w="1450" w:type="dxa"/>
          </w:tcPr>
          <w:p>
            <w:pPr>
              <w:pStyle w:val="Compact"/>
              <w:spacing w:after="40"/>
              <w:jc w:val="left"/>
            </w:pPr>
            <w:r>
              <w:rPr>
                <w:sz w:val="18"/>
              </w:rPr>
              <w:t xml:space="preserve">source, severity, owner, due</w:t>
            </w:r>
          </w:p>
        </w:tc>
        <w:tc>
          <w:tcPr>
            <w:tcW w:w="879" w:type="dxa"/>
          </w:tcPr>
          <w:p>
            <w:pPr>
              <w:pStyle w:val="Compact"/>
              <w:spacing w:after="40"/>
              <w:jc w:val="left"/>
            </w:pPr>
            <w:r>
              <w:rPr>
                <w:sz w:val="18"/>
              </w:rPr>
              <w:t xml:space="preserve">Raiser; LDC tracks</w:t>
            </w:r>
          </w:p>
        </w:tc>
        <w:tc>
          <w:tcPr>
            <w:tcW w:w="1116" w:type="dxa"/>
          </w:tcPr>
          <w:p>
            <w:pPr>
              <w:pStyle w:val="Compact"/>
              <w:spacing w:after="40"/>
              <w:jc w:val="left"/>
            </w:pPr>
            <w:r>
              <w:rPr>
                <w:sz w:val="18"/>
              </w:rPr>
              <w:t xml:space="preserve">issue_id</w:t>
            </w:r>
          </w:p>
        </w:tc>
        <w:tc>
          <w:tcPr>
            <w:tcW w:w="2348" w:type="dxa"/>
          </w:tcPr>
          <w:p>
            <w:pPr>
              <w:pStyle w:val="Compact"/>
              <w:spacing w:after="40"/>
              <w:jc w:val="left"/>
            </w:pPr>
            <w:r>
              <w:rPr>
                <w:sz w:val="18"/>
              </w:rPr>
              <w:t xml:space="preserve">≤ 15 min (severity 1)</w:t>
            </w:r>
          </w:p>
        </w:tc>
      </w:tr>
      <w:tr>
        <w:tc>
          <w:tcPr>
            <w:tcW w:w="1135" w:type="dxa"/>
          </w:tcPr>
          <w:p>
            <w:pPr>
              <w:pStyle w:val="Compact"/>
              <w:spacing w:after="40"/>
              <w:jc w:val="left"/>
            </w:pPr>
            <w:r>
              <w:rPr>
                <w:rStyle w:val="VerbatimChar"/>
                <w:sz w:val="18"/>
              </w:rPr>
              <w:t xml:space="preserve">ReturnStatusUpdated</w:t>
            </w:r>
            <w:r>
              <w:rPr>
                <w:sz w:val="18"/>
              </w:rPr>
              <w:t xml:space="preserve"> </w:t>
            </w:r>
            <w:r>
              <w:rPr>
                <w:sz w:val="18"/>
              </w:rPr>
              <w:t xml:space="preserve">(N)</w:t>
            </w:r>
          </w:p>
        </w:tc>
        <w:tc>
          <w:tcPr>
            <w:tcW w:w="1260" w:type="dxa"/>
          </w:tcPr>
          <w:p>
            <w:pPr>
              <w:pStyle w:val="Compact"/>
              <w:spacing w:after="40"/>
              <w:jc w:val="left"/>
            </w:pPr>
            <w:r>
              <w:rPr>
                <w:sz w:val="18"/>
              </w:rPr>
              <w:t xml:space="preserve">FX → LDC</w:t>
            </w:r>
          </w:p>
        </w:tc>
        <w:tc>
          <w:tcPr>
            <w:tcW w:w="1450" w:type="dxa"/>
          </w:tcPr>
          <w:p>
            <w:pPr>
              <w:pStyle w:val="Compact"/>
              <w:spacing w:after="40"/>
              <w:jc w:val="left"/>
            </w:pPr>
            <w:r>
              <w:rPr>
                <w:sz w:val="18"/>
              </w:rPr>
              <w:t xml:space="preserve">Return generated, validated, filed, acknowledged</w:t>
            </w:r>
          </w:p>
        </w:tc>
        <w:tc>
          <w:tcPr>
            <w:tcW w:w="1450" w:type="dxa"/>
          </w:tcPr>
          <w:p>
            <w:pPr>
              <w:pStyle w:val="Compact"/>
              <w:spacing w:after="40"/>
              <w:jc w:val="left"/>
            </w:pPr>
            <w:r>
              <w:rPr>
                <w:sz w:val="18"/>
              </w:rPr>
              <w:t xml:space="preserve">return_code, period, status, ack ref</w:t>
            </w:r>
          </w:p>
        </w:tc>
        <w:tc>
          <w:tcPr>
            <w:tcW w:w="879" w:type="dxa"/>
          </w:tcPr>
          <w:p>
            <w:pPr>
              <w:pStyle w:val="Compact"/>
              <w:spacing w:after="40"/>
              <w:jc w:val="left"/>
            </w:pPr>
            <w:r>
              <w:rPr>
                <w:sz w:val="18"/>
              </w:rPr>
              <w:t xml:space="preserve">FX</w:t>
            </w:r>
          </w:p>
        </w:tc>
        <w:tc>
          <w:tcPr>
            <w:tcW w:w="1116" w:type="dxa"/>
          </w:tcPr>
          <w:p>
            <w:pPr>
              <w:pStyle w:val="Compact"/>
              <w:spacing w:after="40"/>
              <w:jc w:val="left"/>
            </w:pPr>
            <w:r>
              <w:rPr>
                <w:sz w:val="18"/>
              </w:rPr>
              <w:t xml:space="preserve">(return_code, period, status)</w:t>
            </w:r>
          </w:p>
        </w:tc>
        <w:tc>
          <w:tcPr>
            <w:tcW w:w="2348" w:type="dxa"/>
          </w:tcPr>
          <w:p>
            <w:pPr>
              <w:pStyle w:val="Compact"/>
              <w:spacing w:after="40"/>
              <w:jc w:val="left"/>
            </w:pPr>
            <w:r>
              <w:rPr>
                <w:sz w:val="18"/>
              </w:rPr>
              <w:t xml:space="preserve">Same day</w:t>
            </w:r>
          </w:p>
        </w:tc>
      </w:tr>
      <w:tr>
        <w:tc>
          <w:tcPr>
            <w:tcW w:w="1135" w:type="dxa"/>
          </w:tcPr>
          <w:p>
            <w:pPr>
              <w:pStyle w:val="Compact"/>
              <w:spacing w:after="40"/>
              <w:jc w:val="left"/>
            </w:pPr>
            <w:r>
              <w:rPr>
                <w:rStyle w:val="VerbatimChar"/>
                <w:sz w:val="18"/>
              </w:rPr>
              <w:t xml:space="preserve">PolicyAttested</w:t>
            </w:r>
            <w:r>
              <w:rPr>
                <w:sz w:val="18"/>
              </w:rPr>
              <w:t xml:space="preserve"> </w:t>
            </w:r>
            <w:r>
              <w:rPr>
                <w:sz w:val="18"/>
              </w:rPr>
              <w:t xml:space="preserve">(N)</w:t>
            </w:r>
          </w:p>
        </w:tc>
        <w:tc>
          <w:tcPr>
            <w:tcW w:w="1260" w:type="dxa"/>
          </w:tcPr>
          <w:p>
            <w:pPr>
              <w:pStyle w:val="Compact"/>
              <w:spacing w:after="40"/>
              <w:jc w:val="left"/>
            </w:pPr>
            <w:r>
              <w:rPr>
                <w:sz w:val="18"/>
              </w:rPr>
              <w:t xml:space="preserve">Any → LDC</w:t>
            </w:r>
          </w:p>
        </w:tc>
        <w:tc>
          <w:tcPr>
            <w:tcW w:w="1450" w:type="dxa"/>
          </w:tcPr>
          <w:p>
            <w:pPr>
              <w:pStyle w:val="Compact"/>
              <w:spacing w:after="40"/>
              <w:jc w:val="left"/>
            </w:pPr>
            <w:r>
              <w:rPr>
                <w:sz w:val="18"/>
              </w:rPr>
              <w:t xml:space="preserve">User attests a policy version</w:t>
            </w:r>
          </w:p>
        </w:tc>
        <w:tc>
          <w:tcPr>
            <w:tcW w:w="1450" w:type="dxa"/>
          </w:tcPr>
          <w:p>
            <w:pPr>
              <w:pStyle w:val="Compact"/>
              <w:spacing w:after="40"/>
              <w:jc w:val="left"/>
            </w:pPr>
            <w:r>
              <w:rPr>
                <w:sz w:val="18"/>
              </w:rPr>
              <w:t xml:space="preserve">policy, version, user ref</w:t>
            </w:r>
          </w:p>
        </w:tc>
        <w:tc>
          <w:tcPr>
            <w:tcW w:w="879" w:type="dxa"/>
          </w:tcPr>
          <w:p>
            <w:pPr>
              <w:pStyle w:val="Compact"/>
              <w:spacing w:after="40"/>
              <w:jc w:val="left"/>
            </w:pPr>
            <w:r>
              <w:rPr>
                <w:sz w:val="18"/>
              </w:rPr>
              <w:t xml:space="preserve">Attesting product</w:t>
            </w:r>
          </w:p>
        </w:tc>
        <w:tc>
          <w:tcPr>
            <w:tcW w:w="1116" w:type="dxa"/>
          </w:tcPr>
          <w:p>
            <w:pPr>
              <w:pStyle w:val="Compact"/>
              <w:spacing w:after="40"/>
              <w:jc w:val="left"/>
            </w:pPr>
            <w:r>
              <w:rPr>
                <w:sz w:val="18"/>
              </w:rPr>
              <w:t xml:space="preserve">(policy_id, version, user)</w:t>
            </w:r>
          </w:p>
        </w:tc>
        <w:tc>
          <w:tcPr>
            <w:tcW w:w="2348" w:type="dxa"/>
          </w:tcPr>
          <w:p>
            <w:pPr>
              <w:pStyle w:val="Compact"/>
              <w:spacing w:after="40"/>
              <w:jc w:val="left"/>
            </w:pPr>
            <w:r>
              <w:rPr>
                <w:sz w:val="18"/>
              </w:rPr>
              <w:t xml:space="preserve">≤ 1 h</w:t>
            </w:r>
          </w:p>
        </w:tc>
      </w:tr>
      <w:tr>
        <w:tc>
          <w:tcPr>
            <w:tcW w:w="1135" w:type="dxa"/>
          </w:tcPr>
          <w:p>
            <w:pPr>
              <w:pStyle w:val="Compact"/>
              <w:spacing w:after="40"/>
              <w:jc w:val="left"/>
            </w:pPr>
            <w:r>
              <w:rPr>
                <w:rStyle w:val="VerbatimChar"/>
                <w:sz w:val="18"/>
              </w:rPr>
              <w:t xml:space="preserve">SecurityIncidentNotified</w:t>
            </w:r>
            <w:r>
              <w:rPr>
                <w:sz w:val="18"/>
              </w:rPr>
              <w:t xml:space="preserve"> </w:t>
            </w:r>
            <w:r>
              <w:rPr>
                <w:sz w:val="18"/>
              </w:rPr>
              <w:t xml:space="preserve">(A)</w:t>
            </w:r>
          </w:p>
        </w:tc>
        <w:tc>
          <w:tcPr>
            <w:tcW w:w="1260" w:type="dxa"/>
          </w:tcPr>
          <w:p>
            <w:pPr>
              <w:pStyle w:val="Compact"/>
              <w:spacing w:after="40"/>
              <w:jc w:val="left"/>
            </w:pPr>
            <w:r>
              <w:rPr>
                <w:sz w:val="18"/>
              </w:rPr>
              <w:t xml:space="preserve">Any service provider → RE system, LDC</w:t>
            </w:r>
          </w:p>
        </w:tc>
        <w:tc>
          <w:tcPr>
            <w:tcW w:w="1450" w:type="dxa"/>
          </w:tcPr>
          <w:p>
            <w:pPr>
              <w:pStyle w:val="Compact"/>
              <w:spacing w:after="40"/>
              <w:jc w:val="left"/>
            </w:pPr>
            <w:r>
              <w:rPr>
                <w:sz w:val="18"/>
              </w:rPr>
              <w:t xml:space="preserve">Cyber or data incident detected</w:t>
            </w:r>
          </w:p>
        </w:tc>
        <w:tc>
          <w:tcPr>
            <w:tcW w:w="1450" w:type="dxa"/>
          </w:tcPr>
          <w:p>
            <w:pPr>
              <w:pStyle w:val="Compact"/>
              <w:spacing w:after="40"/>
              <w:jc w:val="left"/>
            </w:pPr>
            <w:r>
              <w:rPr>
                <w:sz w:val="18"/>
              </w:rPr>
              <w:t xml:space="preserve">detected_at, class, affected data, status</w:t>
            </w:r>
          </w:p>
        </w:tc>
        <w:tc>
          <w:tcPr>
            <w:tcW w:w="879" w:type="dxa"/>
          </w:tcPr>
          <w:p>
            <w:pPr>
              <w:pStyle w:val="Compact"/>
              <w:spacing w:after="40"/>
              <w:jc w:val="left"/>
            </w:pPr>
            <w:r>
              <w:rPr>
                <w:sz w:val="18"/>
              </w:rPr>
              <w:t xml:space="preserve">Notifier</w:t>
            </w:r>
          </w:p>
        </w:tc>
        <w:tc>
          <w:tcPr>
            <w:tcW w:w="1116" w:type="dxa"/>
          </w:tcPr>
          <w:p>
            <w:pPr>
              <w:pStyle w:val="Compact"/>
              <w:spacing w:after="40"/>
              <w:jc w:val="left"/>
            </w:pPr>
            <w:r>
              <w:rPr>
                <w:sz w:val="18"/>
              </w:rPr>
              <w:t xml:space="preserve">(incident_id, update_seq)</w:t>
            </w:r>
          </w:p>
        </w:tc>
        <w:tc>
          <w:tcPr>
            <w:tcW w:w="2348" w:type="dxa"/>
          </w:tcPr>
          <w:p>
            <w:pPr>
              <w:pStyle w:val="Compact"/>
              <w:spacing w:after="40"/>
              <w:jc w:val="left"/>
            </w:pPr>
            <w:r>
              <w:rPr>
                <w:sz w:val="18"/>
              </w:rPr>
              <w:t xml:space="preserve">≤ 2 h target; RE to RBI within 6 h of provider detection (OUT para 61); data breach notified immediately by the RE (OUT para 28)</w:t>
            </w:r>
          </w:p>
        </w:tc>
      </w:tr>
    </w:tbl>
    <w:bookmarkEnd w:id="60"/>
    <w:bookmarkStart w:id="61" w:name="platform-and-module-lifecycle-platform"/>
    <w:p>
      <w:pPr>
        <w:pStyle w:val="Heading2"/>
      </w:pPr>
      <w:r>
        <w:t xml:space="preserve">6.16 Platform and module lifecycle (</w:t>
      </w:r>
      <w:r>
        <w:rPr>
          <w:rStyle w:val="VerbatimChar"/>
        </w:rPr>
        <w:t xml:space="preserve">platform</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98"/>
        <w:gridCol w:w="1680"/>
        <w:gridCol w:w="1330"/>
        <w:gridCol w:w="1531"/>
        <w:gridCol w:w="1002"/>
        <w:gridCol w:w="1348"/>
        <w:gridCol w:w="1549"/>
      </w:tblGrid>
      <w:tr>
        <w:trPr>
          <w:tblHeader w:val="true"/>
          <w:tblHeader w:val="true"/>
        </w:trPr>
        <w:tc>
          <w:tcPr>
            <w:tcW w:w="1198" w:type="dxa"/>
            <w:shd w:val="clear" w:color="auto" w:fill="1F3A5F"/>
          </w:tcPr>
          <w:p>
            <w:pPr>
              <w:pStyle w:val="Compact"/>
              <w:spacing w:after="40"/>
              <w:jc w:val="left"/>
            </w:pPr>
            <w:r>
              <w:rPr>
                <w:b/>
                <w:color w:val="FFFFFF"/>
                <w:sz w:val="18"/>
              </w:rPr>
              <w:t xml:space="preserve">Event or API</w:t>
            </w:r>
          </w:p>
        </w:tc>
        <w:tc>
          <w:tcPr>
            <w:tcW w:w="1680" w:type="dxa"/>
            <w:shd w:val="clear" w:color="auto" w:fill="1F3A5F"/>
          </w:tcPr>
          <w:p>
            <w:pPr>
              <w:pStyle w:val="Compact"/>
              <w:spacing w:after="40"/>
              <w:jc w:val="left"/>
            </w:pPr>
            <w:r>
              <w:rPr>
                <w:b/>
                <w:color w:val="FFFFFF"/>
                <w:sz w:val="18"/>
              </w:rPr>
              <w:t xml:space="preserve">Producer → consumer(s)</w:t>
            </w:r>
          </w:p>
        </w:tc>
        <w:tc>
          <w:tcPr>
            <w:tcW w:w="1330" w:type="dxa"/>
            <w:shd w:val="clear" w:color="auto" w:fill="1F3A5F"/>
          </w:tcPr>
          <w:p>
            <w:pPr>
              <w:pStyle w:val="Compact"/>
              <w:spacing w:after="40"/>
              <w:jc w:val="left"/>
            </w:pPr>
            <w:r>
              <w:rPr>
                <w:b/>
                <w:color w:val="FFFFFF"/>
                <w:sz w:val="18"/>
              </w:rPr>
              <w:t xml:space="preserve">Trigger</w:t>
            </w:r>
          </w:p>
        </w:tc>
        <w:tc>
          <w:tcPr>
            <w:tcW w:w="1531" w:type="dxa"/>
            <w:shd w:val="clear" w:color="auto" w:fill="1F3A5F"/>
          </w:tcPr>
          <w:p>
            <w:pPr>
              <w:pStyle w:val="Compact"/>
              <w:spacing w:after="40"/>
              <w:jc w:val="left"/>
            </w:pPr>
            <w:r>
              <w:rPr>
                <w:b/>
                <w:color w:val="FFFFFF"/>
                <w:sz w:val="18"/>
              </w:rPr>
              <w:t xml:space="preserve">Key payload fields</w:t>
            </w:r>
          </w:p>
        </w:tc>
        <w:tc>
          <w:tcPr>
            <w:tcW w:w="1002" w:type="dxa"/>
            <w:shd w:val="clear" w:color="auto" w:fill="1F3A5F"/>
          </w:tcPr>
          <w:p>
            <w:pPr>
              <w:pStyle w:val="Compact"/>
              <w:spacing w:after="40"/>
              <w:jc w:val="left"/>
            </w:pPr>
            <w:r>
              <w:rPr>
                <w:b/>
                <w:color w:val="FFFFFF"/>
                <w:sz w:val="18"/>
              </w:rPr>
              <w:t xml:space="preserve">Owner</w:t>
            </w:r>
          </w:p>
        </w:tc>
        <w:tc>
          <w:tcPr>
            <w:tcW w:w="1348" w:type="dxa"/>
            <w:shd w:val="clear" w:color="auto" w:fill="1F3A5F"/>
          </w:tcPr>
          <w:p>
            <w:pPr>
              <w:pStyle w:val="Compact"/>
              <w:spacing w:after="40"/>
              <w:jc w:val="left"/>
            </w:pPr>
            <w:r>
              <w:rPr>
                <w:b/>
                <w:color w:val="FFFFFF"/>
                <w:sz w:val="18"/>
              </w:rPr>
              <w:t xml:space="preserve">Idempotency key</w:t>
            </w:r>
          </w:p>
        </w:tc>
        <w:tc>
          <w:tcPr>
            <w:tcW w:w="1549" w:type="dxa"/>
            <w:shd w:val="clear" w:color="auto" w:fill="1F3A5F"/>
          </w:tcPr>
          <w:p>
            <w:pPr>
              <w:pStyle w:val="Compact"/>
              <w:spacing w:after="40"/>
              <w:jc w:val="left"/>
            </w:pPr>
            <w:r>
              <w:rPr>
                <w:b/>
                <w:color w:val="FFFFFF"/>
                <w:sz w:val="18"/>
              </w:rPr>
              <w:t xml:space="preserve">SLA</w:t>
            </w:r>
          </w:p>
        </w:tc>
      </w:tr>
      <w:tr>
        <w:tc>
          <w:tcPr>
            <w:tcW w:w="1198" w:type="dxa"/>
          </w:tcPr>
          <w:p>
            <w:pPr>
              <w:pStyle w:val="Compact"/>
              <w:spacing w:after="40"/>
              <w:jc w:val="left"/>
            </w:pPr>
            <w:r>
              <w:rPr>
                <w:rStyle w:val="VerbatimChar"/>
                <w:sz w:val="18"/>
              </w:rPr>
              <w:t xml:space="preserve">ModuleAttached</w:t>
            </w:r>
            <w:r>
              <w:rPr>
                <w:sz w:val="18"/>
              </w:rPr>
              <w:t xml:space="preserve"> </w:t>
            </w:r>
            <w:r>
              <w:rPr>
                <w:sz w:val="18"/>
              </w:rPr>
              <w:t xml:space="preserve">(N)</w:t>
            </w:r>
          </w:p>
        </w:tc>
        <w:tc>
          <w:tcPr>
            <w:tcW w:w="1680" w:type="dxa"/>
          </w:tcPr>
          <w:p>
            <w:pPr>
              <w:pStyle w:val="Compact"/>
              <w:spacing w:after="40"/>
              <w:jc w:val="left"/>
            </w:pPr>
            <w:r>
              <w:rPr>
                <w:sz w:val="18"/>
              </w:rPr>
              <w:t xml:space="preserve">Entitlement service → product services, LDC</w:t>
            </w:r>
          </w:p>
        </w:tc>
        <w:tc>
          <w:tcPr>
            <w:tcW w:w="1330" w:type="dxa"/>
          </w:tcPr>
          <w:p>
            <w:pPr>
              <w:pStyle w:val="Compact"/>
              <w:spacing w:after="40"/>
              <w:jc w:val="left"/>
            </w:pPr>
            <w:r>
              <w:rPr>
                <w:sz w:val="18"/>
              </w:rPr>
              <w:t xml:space="preserve">Module enabled for a tenant</w:t>
            </w:r>
          </w:p>
        </w:tc>
        <w:tc>
          <w:tcPr>
            <w:tcW w:w="1531" w:type="dxa"/>
          </w:tcPr>
          <w:p>
            <w:pPr>
              <w:pStyle w:val="Compact"/>
              <w:spacing w:after="40"/>
              <w:jc w:val="left"/>
            </w:pPr>
            <w:r>
              <w:rPr>
                <w:sz w:val="18"/>
              </w:rPr>
              <w:t xml:space="preserve">version, capabilities, SKU, approvers</w:t>
            </w:r>
          </w:p>
        </w:tc>
        <w:tc>
          <w:tcPr>
            <w:tcW w:w="1002" w:type="dxa"/>
          </w:tcPr>
          <w:p>
            <w:pPr>
              <w:pStyle w:val="Compact"/>
              <w:spacing w:after="40"/>
              <w:jc w:val="left"/>
            </w:pPr>
            <w:r>
              <w:rPr>
                <w:sz w:val="18"/>
              </w:rPr>
              <w:t xml:space="preserve">Entitlement service</w:t>
            </w:r>
          </w:p>
        </w:tc>
        <w:tc>
          <w:tcPr>
            <w:tcW w:w="1348" w:type="dxa"/>
          </w:tcPr>
          <w:p>
            <w:pPr>
              <w:pStyle w:val="Compact"/>
              <w:spacing w:after="40"/>
              <w:jc w:val="left"/>
            </w:pPr>
            <w:r>
              <w:rPr>
                <w:sz w:val="18"/>
              </w:rPr>
              <w:t xml:space="preserve">(tenantid, module_id, version)</w:t>
            </w:r>
          </w:p>
        </w:tc>
        <w:tc>
          <w:tcPr>
            <w:tcW w:w="1549" w:type="dxa"/>
          </w:tcPr>
          <w:p>
            <w:pPr>
              <w:pStyle w:val="Compact"/>
              <w:spacing w:after="40"/>
              <w:jc w:val="left"/>
            </w:pPr>
            <w:r>
              <w:rPr>
                <w:sz w:val="18"/>
              </w:rPr>
              <w:t xml:space="preserve">On publication</w:t>
            </w:r>
          </w:p>
        </w:tc>
      </w:tr>
      <w:tr>
        <w:tc>
          <w:tcPr>
            <w:tcW w:w="1198" w:type="dxa"/>
          </w:tcPr>
          <w:p>
            <w:pPr>
              <w:pStyle w:val="Compact"/>
              <w:spacing w:after="40"/>
              <w:jc w:val="left"/>
            </w:pPr>
            <w:r>
              <w:rPr>
                <w:rStyle w:val="VerbatimChar"/>
                <w:sz w:val="18"/>
              </w:rPr>
              <w:t xml:space="preserve">ModuleDetached</w:t>
            </w:r>
            <w:r>
              <w:rPr>
                <w:sz w:val="18"/>
              </w:rPr>
              <w:t xml:space="preserve"> </w:t>
            </w:r>
            <w:r>
              <w:rPr>
                <w:sz w:val="18"/>
              </w:rPr>
              <w:t xml:space="preserve">(N)</w:t>
            </w:r>
          </w:p>
        </w:tc>
        <w:tc>
          <w:tcPr>
            <w:tcW w:w="1680" w:type="dxa"/>
          </w:tcPr>
          <w:p>
            <w:pPr>
              <w:pStyle w:val="Compact"/>
              <w:spacing w:after="40"/>
              <w:jc w:val="left"/>
            </w:pPr>
            <w:r>
              <w:rPr>
                <w:sz w:val="18"/>
              </w:rPr>
              <w:t xml:space="preserve">Entitlement service → product services, LDC, counterparties</w:t>
            </w:r>
          </w:p>
        </w:tc>
        <w:tc>
          <w:tcPr>
            <w:tcW w:w="1330" w:type="dxa"/>
          </w:tcPr>
          <w:p>
            <w:pPr>
              <w:pStyle w:val="Compact"/>
              <w:spacing w:after="40"/>
              <w:jc w:val="left"/>
            </w:pPr>
            <w:r>
              <w:rPr>
                <w:sz w:val="18"/>
              </w:rPr>
              <w:t xml:space="preserve">Module detached to read-only</w:t>
            </w:r>
          </w:p>
        </w:tc>
        <w:tc>
          <w:tcPr>
            <w:tcW w:w="1531" w:type="dxa"/>
          </w:tcPr>
          <w:p>
            <w:pPr>
              <w:pStyle w:val="Compact"/>
              <w:spacing w:after="40"/>
              <w:jc w:val="left"/>
            </w:pPr>
            <w:r>
              <w:rPr>
                <w:sz w:val="18"/>
              </w:rPr>
              <w:t xml:space="preserve">mode READ_ONLY, export-pack hash, records on hold</w:t>
            </w:r>
          </w:p>
        </w:tc>
        <w:tc>
          <w:tcPr>
            <w:tcW w:w="1002" w:type="dxa"/>
          </w:tcPr>
          <w:p>
            <w:pPr>
              <w:pStyle w:val="Compact"/>
              <w:spacing w:after="40"/>
              <w:jc w:val="left"/>
            </w:pPr>
            <w:r>
              <w:rPr>
                <w:sz w:val="18"/>
              </w:rPr>
              <w:t xml:space="preserve">Entitlement service</w:t>
            </w:r>
          </w:p>
        </w:tc>
        <w:tc>
          <w:tcPr>
            <w:tcW w:w="1348" w:type="dxa"/>
          </w:tcPr>
          <w:p>
            <w:pPr>
              <w:pStyle w:val="Compact"/>
              <w:spacing w:after="40"/>
              <w:jc w:val="left"/>
            </w:pPr>
            <w:r>
              <w:rPr>
                <w:sz w:val="18"/>
              </w:rPr>
              <w:t xml:space="preserve">(tenantid, module_id, detached_at)</w:t>
            </w:r>
          </w:p>
        </w:tc>
        <w:tc>
          <w:tcPr>
            <w:tcW w:w="1549" w:type="dxa"/>
          </w:tcPr>
          <w:p>
            <w:pPr>
              <w:pStyle w:val="Compact"/>
              <w:spacing w:after="40"/>
              <w:jc w:val="left"/>
            </w:pPr>
            <w:r>
              <w:rPr>
                <w:sz w:val="18"/>
              </w:rPr>
              <w:t xml:space="preserve">Writes stop at once; export ≤ 5 working days [REC]</w:t>
            </w:r>
          </w:p>
        </w:tc>
      </w:tr>
      <w:tr>
        <w:tc>
          <w:tcPr>
            <w:tcW w:w="1198" w:type="dxa"/>
          </w:tcPr>
          <w:p>
            <w:pPr>
              <w:pStyle w:val="Compact"/>
              <w:spacing w:after="40"/>
              <w:jc w:val="left"/>
            </w:pPr>
            <w:r>
              <w:rPr>
                <w:rStyle w:val="VerbatimChar"/>
                <w:sz w:val="18"/>
              </w:rPr>
              <w:t xml:space="preserve">ConnectorCertified</w:t>
            </w:r>
            <w:r>
              <w:rPr>
                <w:sz w:val="18"/>
              </w:rPr>
              <w:t xml:space="preserve"> </w:t>
            </w:r>
            <w:r>
              <w:rPr>
                <w:sz w:val="18"/>
              </w:rPr>
              <w:t xml:space="preserve">(N)</w:t>
            </w:r>
          </w:p>
        </w:tc>
        <w:tc>
          <w:tcPr>
            <w:tcW w:w="1680" w:type="dxa"/>
          </w:tcPr>
          <w:p>
            <w:pPr>
              <w:pStyle w:val="Compact"/>
              <w:spacing w:after="40"/>
              <w:jc w:val="left"/>
            </w:pPr>
            <w:r>
              <w:rPr>
                <w:sz w:val="18"/>
              </w:rPr>
              <w:t xml:space="preserve">Certification service → LDC, counterparties</w:t>
            </w:r>
          </w:p>
        </w:tc>
        <w:tc>
          <w:tcPr>
            <w:tcW w:w="1330" w:type="dxa"/>
          </w:tcPr>
          <w:p>
            <w:pPr>
              <w:pStyle w:val="Compact"/>
              <w:spacing w:after="40"/>
              <w:jc w:val="left"/>
            </w:pPr>
            <w:r>
              <w:rPr>
                <w:sz w:val="18"/>
              </w:rPr>
              <w:t xml:space="preserve">Suite passed or certification revoked</w:t>
            </w:r>
          </w:p>
        </w:tc>
        <w:tc>
          <w:tcPr>
            <w:tcW w:w="1531" w:type="dxa"/>
          </w:tcPr>
          <w:p>
            <w:pPr>
              <w:pStyle w:val="Compact"/>
              <w:spacing w:after="40"/>
              <w:jc w:val="left"/>
            </w:pPr>
            <w:r>
              <w:rPr>
                <w:sz w:val="18"/>
              </w:rPr>
              <w:t xml:space="preserve">suite version, result, report hash, valid_to</w:t>
            </w:r>
          </w:p>
        </w:tc>
        <w:tc>
          <w:tcPr>
            <w:tcW w:w="1002" w:type="dxa"/>
          </w:tcPr>
          <w:p>
            <w:pPr>
              <w:pStyle w:val="Compact"/>
              <w:spacing w:after="40"/>
              <w:jc w:val="left"/>
            </w:pPr>
            <w:r>
              <w:rPr>
                <w:sz w:val="18"/>
              </w:rPr>
              <w:t xml:space="preserve">Certification service</w:t>
            </w:r>
          </w:p>
        </w:tc>
        <w:tc>
          <w:tcPr>
            <w:tcW w:w="1348" w:type="dxa"/>
          </w:tcPr>
          <w:p>
            <w:pPr>
              <w:pStyle w:val="Compact"/>
              <w:spacing w:after="40"/>
              <w:jc w:val="left"/>
            </w:pPr>
            <w:r>
              <w:rPr>
                <w:sz w:val="18"/>
              </w:rPr>
              <w:t xml:space="preserve">(connector_id, version, suite_version)</w:t>
            </w:r>
          </w:p>
        </w:tc>
        <w:tc>
          <w:tcPr>
            <w:tcW w:w="1549" w:type="dxa"/>
          </w:tcPr>
          <w:p>
            <w:pPr>
              <w:pStyle w:val="Compact"/>
              <w:spacing w:after="40"/>
              <w:jc w:val="left"/>
            </w:pPr>
            <w:r>
              <w:rPr>
                <w:sz w:val="18"/>
              </w:rPr>
              <w:t xml:space="preserve">Before production</w:t>
            </w:r>
          </w:p>
        </w:tc>
      </w:tr>
      <w:tr>
        <w:tc>
          <w:tcPr>
            <w:tcW w:w="1198" w:type="dxa"/>
          </w:tcPr>
          <w:p>
            <w:pPr>
              <w:pStyle w:val="Compact"/>
              <w:spacing w:after="40"/>
              <w:jc w:val="left"/>
            </w:pPr>
            <w:r>
              <w:rPr>
                <w:rStyle w:val="VerbatimChar"/>
                <w:sz w:val="18"/>
              </w:rPr>
              <w:t xml:space="preserve">ReconciliationBreakRaised</w:t>
            </w:r>
            <w:r>
              <w:rPr>
                <w:sz w:val="18"/>
              </w:rPr>
              <w:t xml:space="preserve"> </w:t>
            </w:r>
            <w:r>
              <w:rPr>
                <w:sz w:val="18"/>
              </w:rPr>
              <w:t xml:space="preserve">(N+)</w:t>
            </w:r>
          </w:p>
        </w:tc>
        <w:tc>
          <w:tcPr>
            <w:tcW w:w="1680" w:type="dxa"/>
          </w:tcPr>
          <w:p>
            <w:pPr>
              <w:pStyle w:val="Compact"/>
              <w:spacing w:after="40"/>
              <w:jc w:val="left"/>
            </w:pPr>
            <w:r>
              <w:rPr>
                <w:sz w:val="18"/>
              </w:rPr>
              <w:t xml:space="preserve">Any → owner, counterpart, LDC</w:t>
            </w:r>
          </w:p>
        </w:tc>
        <w:tc>
          <w:tcPr>
            <w:tcW w:w="1330" w:type="dxa"/>
          </w:tcPr>
          <w:p>
            <w:pPr>
              <w:pStyle w:val="Compact"/>
              <w:spacing w:after="40"/>
              <w:jc w:val="left"/>
            </w:pPr>
            <w:r>
              <w:rPr>
                <w:sz w:val="18"/>
              </w:rPr>
              <w:t xml:space="preserve">Reconciliation or ordering break</w:t>
            </w:r>
          </w:p>
        </w:tc>
        <w:tc>
          <w:tcPr>
            <w:tcW w:w="1531" w:type="dxa"/>
          </w:tcPr>
          <w:p>
            <w:pPr>
              <w:pStyle w:val="Compact"/>
              <w:spacing w:after="40"/>
              <w:jc w:val="left"/>
            </w:pPr>
            <w:r>
              <w:rPr>
                <w:sz w:val="18"/>
              </w:rPr>
              <w:t xml:space="preserve">run, break type, records, amount, owner</w:t>
            </w:r>
          </w:p>
        </w:tc>
        <w:tc>
          <w:tcPr>
            <w:tcW w:w="1002" w:type="dxa"/>
          </w:tcPr>
          <w:p>
            <w:pPr>
              <w:pStyle w:val="Compact"/>
              <w:spacing w:after="40"/>
              <w:jc w:val="left"/>
            </w:pPr>
            <w:r>
              <w:rPr>
                <w:sz w:val="18"/>
              </w:rPr>
              <w:t xml:space="preserve">Detector</w:t>
            </w:r>
          </w:p>
        </w:tc>
        <w:tc>
          <w:tcPr>
            <w:tcW w:w="1348" w:type="dxa"/>
          </w:tcPr>
          <w:p>
            <w:pPr>
              <w:pStyle w:val="Compact"/>
              <w:spacing w:after="40"/>
              <w:jc w:val="left"/>
            </w:pPr>
            <w:r>
              <w:rPr>
                <w:sz w:val="18"/>
              </w:rPr>
              <w:t xml:space="preserve">(recon_run_id, break_id)</w:t>
            </w:r>
          </w:p>
        </w:tc>
        <w:tc>
          <w:tcPr>
            <w:tcW w:w="1549" w:type="dxa"/>
          </w:tcPr>
          <w:p>
            <w:pPr>
              <w:pStyle w:val="Compact"/>
              <w:spacing w:after="40"/>
              <w:jc w:val="left"/>
            </w:pPr>
            <w:r>
              <w:rPr>
                <w:sz w:val="18"/>
              </w:rPr>
              <w:t xml:space="preserve">≤ 15 min</w:t>
            </w:r>
          </w:p>
        </w:tc>
      </w:tr>
    </w:tbl>
    <w:bookmarkEnd w:id="61"/>
    <w:bookmarkStart w:id="62" w:name="superseded-names"/>
    <w:p>
      <w:pPr>
        <w:pStyle w:val="Heading2"/>
      </w:pPr>
      <w:r>
        <w:t xml:space="preserve">6.17 Superseded names</w:t>
      </w:r>
    </w:p>
    <w:bookmarkEnd w:id="62"/>
    <w:bookmarkStart w:id="63" w:name="X492a7da3a31fae7eb4f0c90569d78a02f81e64f"/>
    <w:p>
      <w:pPr>
        <w:pStyle w:val="Heading2"/>
      </w:pPr>
      <w:r>
        <w:t xml:space="preserve">Non-canonical names in the research notes, the Equator draft and</w:t>
      </w:r>
      <w:r>
        <w:t xml:space="preserve"> </w:t>
      </w:r>
      <w:r>
        <w:rPr>
          <w:rStyle w:val="VerbatimChar"/>
        </w:rPr>
        <w:t xml:space="preserve">las.txt</w:t>
      </w:r>
      <w:r>
        <w:t xml:space="preserve"> </w:t>
      </w:r>
      <w:r>
        <w:t xml:space="preserve">are never published; they map to the names above (for example CollateralPledgeConfirmed →</w:t>
      </w:r>
      <w:r>
        <w:t xml:space="preserve"> </w:t>
      </w:r>
      <w:r>
        <w:rPr>
          <w:rStyle w:val="VerbatimChar"/>
        </w:rPr>
        <w:t xml:space="preserve">CollateralPledgeCreated</w:t>
      </w:r>
      <w:r>
        <w:t xml:space="preserve">, MarginCallIssued →</w:t>
      </w:r>
      <w:r>
        <w:t xml:space="preserve"> </w:t>
      </w:r>
      <w:r>
        <w:rPr>
          <w:rStyle w:val="VerbatimChar"/>
        </w:rPr>
        <w:t xml:space="preserve">MarginCallRaised</w:t>
      </w:r>
      <w:r>
        <w:t xml:space="preserve">, MarginCallExpired →</w:t>
      </w:r>
      <w:r>
        <w:t xml:space="preserve"> </w:t>
      </w:r>
      <w:r>
        <w:rPr>
          <w:rStyle w:val="VerbatimChar"/>
        </w:rPr>
        <w:t xml:space="preserve">MarginCallLapsed</w:t>
      </w:r>
      <w:r>
        <w:t xml:space="preserve">, CoLendingClassificationChanged →</w:t>
      </w:r>
      <w:r>
        <w:t xml:space="preserve"> </w:t>
      </w:r>
      <w:r>
        <w:rPr>
          <w:rStyle w:val="VerbatimChar"/>
        </w:rPr>
        <w:t xml:space="preserve">ClassificationSynced</w:t>
      </w:r>
      <w:r>
        <w:t xml:space="preserve">, LegalStageChanged →</w:t>
      </w:r>
      <w:r>
        <w:t xml:space="preserve"> </w:t>
      </w:r>
      <w:r>
        <w:rPr>
          <w:rStyle w:val="VerbatimChar"/>
        </w:rPr>
        <w:t xml:space="preserve">legal_stage</w:t>
      </w:r>
      <w:r>
        <w:t xml:space="preserve"> </w:t>
      </w:r>
      <w:r>
        <w:t xml:space="preserve">in LSP projections, EquatorCaseOpened →</w:t>
      </w:r>
      <w:r>
        <w:t xml:space="preserve"> </w:t>
      </w:r>
      <w:r>
        <w:rPr>
          <w:rStyle w:val="VerbatimChar"/>
        </w:rPr>
        <w:t xml:space="preserve">ADRReferralCreated</w:t>
      </w:r>
      <w:r>
        <w:t xml:space="preserve">, EquatorOutcome →</w:t>
      </w:r>
      <w:r>
        <w:t xml:space="preserve"> </w:t>
      </w:r>
      <w:r>
        <w:rPr>
          <w:rStyle w:val="VerbatimChar"/>
        </w:rPr>
        <w:t xml:space="preserve">ADROutcomeRecorded</w:t>
      </w:r>
      <w:r>
        <w:t xml:space="preserve">; Equator native names per Part 8.9).</w:t>
      </w:r>
    </w:p>
    <w:bookmarkEnd w:id="63"/>
    <w:bookmarkEnd w:id="64"/>
    <w:bookmarkStart w:id="69" w:name="product-lifecycle-data-sharing-matrix"/>
    <w:p>
      <w:pPr>
        <w:pStyle w:val="Heading1"/>
      </w:pPr>
      <w:r>
        <w:t xml:space="preserve">7 — PRODUCT LIFECYCLE DATA-SHARING MATRIX</w:t>
      </w:r>
    </w:p>
    <w:bookmarkStart w:id="65" w:name="common-rules"/>
    <w:p>
      <w:pPr>
        <w:pStyle w:val="Heading2"/>
      </w:pPr>
      <w:r>
        <w:t xml:space="preserve">7.1 Common rules</w:t>
      </w:r>
    </w:p>
    <w:p>
      <w:pPr>
        <w:pStyle w:val="FirstParagraph"/>
      </w:pPr>
      <w:r>
        <w:t xml:space="preserve">Origination flows Udofin → RE; decisions, documents and servicing flow back to Udofin’s read-only mirror. Collateral authority is always the RE’s: Udofin orchestrates borrower steps and displays RE values, never accepts, invokes or releases. Recovery data reaches Udofin only as the RE-permitted LSP projection; Udofin relays</w:t>
      </w:r>
      <w:r>
        <w:t xml:space="preserve"> </w:t>
      </w:r>
      <w:r>
        <w:rPr>
          <w:rStyle w:val="VerbatimChar"/>
        </w:rPr>
        <w:t xml:space="preserve">SettlementRequested</w:t>
      </w:r>
      <w:r>
        <w:t xml:space="preserve"> </w:t>
      </w:r>
      <w:r>
        <w:t xml:space="preserve">and captures</w:t>
      </w:r>
      <w:r>
        <w:t xml:space="preserve"> </w:t>
      </w:r>
      <w:r>
        <w:rPr>
          <w:rStyle w:val="VerbatimChar"/>
        </w:rPr>
        <w:t xml:space="preserve">SettlementOfferAccepted</w:t>
      </w:r>
      <w:r>
        <w:t xml:space="preserve"> </w:t>
      </w:r>
      <w:r>
        <w:t xml:space="preserve">evidence but never approves, refers, issues notices in its own name or holds funds. Project finance, loans to entities (CORP), staff loans (STAFF) and demand loans (DCL) are not Udofin products; consumer durable (CD) follows the Personal row with DISB-E to the merchant.</w:t>
      </w:r>
    </w:p>
    <w:bookmarkEnd w:id="65"/>
    <w:bookmarkStart w:id="66" w:name="matrix"/>
    <w:p>
      <w:pPr>
        <w:pStyle w:val="Heading2"/>
      </w:pPr>
      <w:r>
        <w:t xml:space="preserve">7.2 Matrix</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756"/>
        <w:gridCol w:w="1191"/>
        <w:gridCol w:w="1150"/>
        <w:gridCol w:w="838"/>
        <w:gridCol w:w="1053"/>
        <w:gridCol w:w="939"/>
        <w:gridCol w:w="1314"/>
        <w:gridCol w:w="1398"/>
        <w:gridCol w:w="999"/>
      </w:tblGrid>
      <w:tr>
        <w:trPr>
          <w:tblHeader w:val="true"/>
          <w:tblHeader w:val="true"/>
        </w:trPr>
        <w:tc>
          <w:tcPr>
            <w:tcW w:w="756" w:type="dxa"/>
            <w:shd w:val="clear" w:color="auto" w:fill="1F3A5F"/>
          </w:tcPr>
          <w:p>
            <w:pPr>
              <w:pStyle w:val="Compact"/>
              <w:spacing w:after="40"/>
              <w:jc w:val="left"/>
            </w:pPr>
            <w:r>
              <w:rPr>
                <w:b/>
                <w:color w:val="FFFFFF"/>
                <w:sz w:val="18"/>
              </w:rPr>
              <w:t xml:space="preserve">Product</w:t>
            </w:r>
          </w:p>
        </w:tc>
        <w:tc>
          <w:tcPr>
            <w:tcW w:w="1191" w:type="dxa"/>
            <w:shd w:val="clear" w:color="auto" w:fill="1F3A5F"/>
          </w:tcPr>
          <w:p>
            <w:pPr>
              <w:pStyle w:val="Compact"/>
              <w:spacing w:after="40"/>
              <w:jc w:val="left"/>
            </w:pPr>
            <w:r>
              <w:rPr>
                <w:b/>
                <w:color w:val="FFFFFF"/>
                <w:sz w:val="18"/>
              </w:rPr>
              <w:t xml:space="preserve">Origination (UD → FX)</w:t>
            </w:r>
          </w:p>
        </w:tc>
        <w:tc>
          <w:tcPr>
            <w:tcW w:w="1150" w:type="dxa"/>
            <w:shd w:val="clear" w:color="auto" w:fill="1F3A5F"/>
          </w:tcPr>
          <w:p>
            <w:pPr>
              <w:pStyle w:val="Compact"/>
              <w:spacing w:after="40"/>
              <w:jc w:val="left"/>
            </w:pPr>
            <w:r>
              <w:rPr>
                <w:b/>
                <w:color w:val="FFFFFF"/>
                <w:sz w:val="18"/>
              </w:rPr>
              <w:t xml:space="preserve">Decision and documents</w:t>
            </w:r>
          </w:p>
        </w:tc>
        <w:tc>
          <w:tcPr>
            <w:tcW w:w="838" w:type="dxa"/>
            <w:shd w:val="clear" w:color="auto" w:fill="1F3A5F"/>
          </w:tcPr>
          <w:p>
            <w:pPr>
              <w:pStyle w:val="Compact"/>
              <w:spacing w:after="40"/>
              <w:jc w:val="left"/>
            </w:pPr>
            <w:r>
              <w:rPr>
                <w:b/>
                <w:color w:val="FFFFFF"/>
                <w:sz w:val="18"/>
              </w:rPr>
              <w:t xml:space="preserve">Collateral creation</w:t>
            </w:r>
          </w:p>
        </w:tc>
        <w:tc>
          <w:tcPr>
            <w:tcW w:w="1053" w:type="dxa"/>
            <w:shd w:val="clear" w:color="auto" w:fill="1F3A5F"/>
          </w:tcPr>
          <w:p>
            <w:pPr>
              <w:pStyle w:val="Compact"/>
              <w:spacing w:after="40"/>
              <w:jc w:val="left"/>
            </w:pPr>
            <w:r>
              <w:rPr>
                <w:b/>
                <w:color w:val="FFFFFF"/>
                <w:sz w:val="18"/>
              </w:rPr>
              <w:t xml:space="preserve">Disbursement</w:t>
            </w:r>
          </w:p>
        </w:tc>
        <w:tc>
          <w:tcPr>
            <w:tcW w:w="939" w:type="dxa"/>
            <w:shd w:val="clear" w:color="auto" w:fill="1F3A5F"/>
          </w:tcPr>
          <w:p>
            <w:pPr>
              <w:pStyle w:val="Compact"/>
              <w:spacing w:after="40"/>
              <w:jc w:val="left"/>
            </w:pPr>
            <w:r>
              <w:rPr>
                <w:b/>
                <w:color w:val="FFFFFF"/>
                <w:sz w:val="18"/>
              </w:rPr>
              <w:t xml:space="preserve">Servicing</w:t>
            </w:r>
          </w:p>
        </w:tc>
        <w:tc>
          <w:tcPr>
            <w:tcW w:w="1314" w:type="dxa"/>
            <w:shd w:val="clear" w:color="auto" w:fill="1F3A5F"/>
          </w:tcPr>
          <w:p>
            <w:pPr>
              <w:pStyle w:val="Compact"/>
              <w:spacing w:after="40"/>
              <w:jc w:val="left"/>
            </w:pPr>
            <w:r>
              <w:rPr>
                <w:b/>
                <w:color w:val="FFFFFF"/>
                <w:sz w:val="18"/>
              </w:rPr>
              <w:t xml:space="preserve">Collections</w:t>
            </w:r>
          </w:p>
        </w:tc>
        <w:tc>
          <w:tcPr>
            <w:tcW w:w="1398" w:type="dxa"/>
            <w:shd w:val="clear" w:color="auto" w:fill="1F3A5F"/>
          </w:tcPr>
          <w:p>
            <w:pPr>
              <w:pStyle w:val="Compact"/>
              <w:spacing w:after="40"/>
              <w:jc w:val="left"/>
            </w:pPr>
            <w:r>
              <w:rPr>
                <w:b/>
                <w:color w:val="FFFFFF"/>
                <w:sz w:val="18"/>
              </w:rPr>
              <w:t xml:space="preserve">Recovery and ADR</w:t>
            </w:r>
          </w:p>
        </w:tc>
        <w:tc>
          <w:tcPr>
            <w:tcW w:w="999" w:type="dxa"/>
            <w:shd w:val="clear" w:color="auto" w:fill="1F3A5F"/>
          </w:tcPr>
          <w:p>
            <w:pPr>
              <w:pStyle w:val="Compact"/>
              <w:spacing w:after="40"/>
              <w:jc w:val="left"/>
            </w:pPr>
            <w:r>
              <w:rPr>
                <w:b/>
                <w:color w:val="FFFFFF"/>
                <w:sz w:val="18"/>
              </w:rPr>
              <w:t xml:space="preserve">Reconciliation</w:t>
            </w:r>
          </w:p>
        </w:tc>
      </w:tr>
      <w:tr>
        <w:tc>
          <w:tcPr>
            <w:tcW w:w="756" w:type="dxa"/>
          </w:tcPr>
          <w:p>
            <w:pPr>
              <w:pStyle w:val="Compact"/>
              <w:spacing w:after="40"/>
              <w:jc w:val="left"/>
            </w:pPr>
            <w:r>
              <w:rPr>
                <w:sz w:val="18"/>
              </w:rPr>
              <w:t xml:space="preserve">Personal, payday</w:t>
            </w:r>
          </w:p>
        </w:tc>
        <w:tc>
          <w:tcPr>
            <w:tcW w:w="1191" w:type="dxa"/>
          </w:tcPr>
          <w:p>
            <w:pPr>
              <w:pStyle w:val="Compact"/>
              <w:spacing w:after="40"/>
              <w:jc w:val="left"/>
            </w:pPr>
            <w:r>
              <w:rPr>
                <w:sz w:val="18"/>
              </w:rPr>
              <w:t xml:space="preserve">AA income ref, CF para 8 data, household (para 51), OTP e-KYC declaration</w:t>
            </w:r>
          </w:p>
        </w:tc>
        <w:tc>
          <w:tcPr>
            <w:tcW w:w="1150" w:type="dxa"/>
          </w:tcPr>
          <w:p>
            <w:pPr>
              <w:pStyle w:val="Compact"/>
              <w:spacing w:after="40"/>
              <w:jc w:val="left"/>
            </w:pPr>
            <w:r>
              <w:rPr>
                <w:sz w:val="18"/>
              </w:rPr>
              <w:t xml:space="preserve">KFS validity at least 3 working days, or 1 working day if tenor under 7 days (RBC para 29(2))</w:t>
            </w:r>
          </w:p>
        </w:tc>
        <w:tc>
          <w:tcPr>
            <w:tcW w:w="838" w:type="dxa"/>
          </w:tcPr>
          <w:p>
            <w:pPr>
              <w:pStyle w:val="Compact"/>
              <w:spacing w:after="40"/>
              <w:jc w:val="left"/>
            </w:pPr>
            <w:r>
              <w:rPr>
                <w:sz w:val="18"/>
              </w:rPr>
              <w:t xml:space="preserve">None</w:t>
            </w:r>
          </w:p>
        </w:tc>
        <w:tc>
          <w:tcPr>
            <w:tcW w:w="1053" w:type="dxa"/>
          </w:tcPr>
          <w:p>
            <w:pPr>
              <w:pStyle w:val="Compact"/>
              <w:spacing w:after="40"/>
              <w:jc w:val="left"/>
            </w:pPr>
            <w:r>
              <w:rPr>
                <w:sz w:val="18"/>
              </w:rPr>
              <w:t xml:space="preserve">To borrower; cooling-off exit</w:t>
            </w:r>
          </w:p>
        </w:tc>
        <w:tc>
          <w:tcPr>
            <w:tcW w:w="939" w:type="dxa"/>
          </w:tcPr>
          <w:p>
            <w:pPr>
              <w:pStyle w:val="Compact"/>
              <w:spacing w:after="40"/>
              <w:jc w:val="left"/>
            </w:pPr>
            <w:r>
              <w:rPr>
                <w:sz w:val="18"/>
              </w:rPr>
              <w:t xml:space="preserve">Standard</w:t>
            </w:r>
          </w:p>
        </w:tc>
        <w:tc>
          <w:tcPr>
            <w:tcW w:w="1314" w:type="dxa"/>
          </w:tcPr>
          <w:p>
            <w:pPr>
              <w:pStyle w:val="Compact"/>
              <w:spacing w:after="40"/>
              <w:jc w:val="left"/>
            </w:pPr>
            <w:r>
              <w:rPr>
                <w:sz w:val="18"/>
              </w:rPr>
              <w:t xml:space="preserve">If appointed: agent notice, 08:00–19:00 (RBC para 100)</w:t>
            </w:r>
          </w:p>
        </w:tc>
        <w:tc>
          <w:tcPr>
            <w:tcW w:w="1398" w:type="dxa"/>
          </w:tcPr>
          <w:p>
            <w:pPr>
              <w:pStyle w:val="Compact"/>
              <w:spacing w:after="40"/>
              <w:jc w:val="left"/>
            </w:pPr>
            <w:r>
              <w:rPr>
                <w:sz w:val="18"/>
              </w:rPr>
              <w:t xml:space="preserve">LRN; s.25 PSS or s.138; conciliation, Lok Adalat; arbitration only with valid basis (8.2)</w:t>
            </w:r>
          </w:p>
        </w:tc>
        <w:tc>
          <w:tcPr>
            <w:tcW w:w="999" w:type="dxa"/>
          </w:tcPr>
          <w:p>
            <w:pPr>
              <w:pStyle w:val="Compact"/>
              <w:spacing w:after="40"/>
              <w:jc w:val="left"/>
            </w:pPr>
            <w:r>
              <w:rPr>
                <w:sz w:val="18"/>
              </w:rPr>
              <w:t xml:space="preserve">Cooling-off exits; DLG</w:t>
            </w:r>
          </w:p>
        </w:tc>
      </w:tr>
      <w:tr>
        <w:tc>
          <w:tcPr>
            <w:tcW w:w="756" w:type="dxa"/>
          </w:tcPr>
          <w:p>
            <w:pPr>
              <w:pStyle w:val="Compact"/>
              <w:spacing w:after="40"/>
              <w:jc w:val="left"/>
            </w:pPr>
            <w:r>
              <w:rPr>
                <w:sz w:val="18"/>
              </w:rPr>
              <w:t xml:space="preserve">MSME, business</w:t>
            </w:r>
          </w:p>
        </w:tc>
        <w:tc>
          <w:tcPr>
            <w:tcW w:w="1191" w:type="dxa"/>
          </w:tcPr>
          <w:p>
            <w:pPr>
              <w:pStyle w:val="Compact"/>
              <w:spacing w:after="40"/>
              <w:jc w:val="left"/>
            </w:pPr>
            <w:r>
              <w:rPr>
                <w:sz w:val="18"/>
              </w:rPr>
              <w:t xml:space="preserve">GST, AA, Udyam refs; guarantor KYC; CGTMSE flag (blocks DLG, CF para 21(1))</w:t>
            </w:r>
          </w:p>
        </w:tc>
        <w:tc>
          <w:tcPr>
            <w:tcW w:w="1150" w:type="dxa"/>
          </w:tcPr>
          <w:p>
            <w:pPr>
              <w:pStyle w:val="Compact"/>
              <w:spacing w:after="40"/>
              <w:jc w:val="left"/>
            </w:pPr>
            <w:r>
              <w:rPr>
                <w:sz w:val="18"/>
              </w:rPr>
              <w:t xml:space="preserve">Covenants</w:t>
            </w:r>
          </w:p>
        </w:tc>
        <w:tc>
          <w:tcPr>
            <w:tcW w:w="838" w:type="dxa"/>
          </w:tcPr>
          <w:p>
            <w:pPr>
              <w:pStyle w:val="Compact"/>
              <w:spacing w:after="40"/>
              <w:jc w:val="left"/>
            </w:pPr>
            <w:r>
              <w:rPr>
                <w:rStyle w:val="VerbatimChar"/>
                <w:sz w:val="18"/>
              </w:rPr>
              <w:t xml:space="preserve">CollateralChargeRegistered</w:t>
            </w:r>
            <w:r>
              <w:rPr>
                <w:sz w:val="18"/>
              </w:rPr>
              <w:t xml:space="preserve"> </w:t>
            </w:r>
            <w:r>
              <w:rPr>
                <w:sz w:val="18"/>
              </w:rPr>
              <w:t xml:space="preserve">(CERSAI, CGTMSE)</w:t>
            </w:r>
          </w:p>
        </w:tc>
        <w:tc>
          <w:tcPr>
            <w:tcW w:w="1053" w:type="dxa"/>
          </w:tcPr>
          <w:p>
            <w:pPr>
              <w:pStyle w:val="Compact"/>
              <w:spacing w:after="40"/>
              <w:jc w:val="left"/>
            </w:pPr>
            <w:r>
              <w:rPr>
                <w:sz w:val="18"/>
              </w:rPr>
              <w:t xml:space="preserve">Borrower or supplier</w:t>
            </w:r>
          </w:p>
        </w:tc>
        <w:tc>
          <w:tcPr>
            <w:tcW w:w="939" w:type="dxa"/>
          </w:tcPr>
          <w:p>
            <w:pPr>
              <w:pStyle w:val="Compact"/>
              <w:spacing w:after="40"/>
              <w:jc w:val="left"/>
            </w:pPr>
            <w:r>
              <w:rPr>
                <w:sz w:val="18"/>
              </w:rPr>
              <w:t xml:space="preserve">Covenants in FX</w:t>
            </w:r>
          </w:p>
        </w:tc>
        <w:tc>
          <w:tcPr>
            <w:tcW w:w="1314" w:type="dxa"/>
          </w:tcPr>
          <w:p>
            <w:pPr>
              <w:pStyle w:val="Compact"/>
              <w:spacing w:after="40"/>
              <w:jc w:val="left"/>
            </w:pPr>
            <w:r>
              <w:rPr>
                <w:sz w:val="18"/>
              </w:rPr>
              <w:t xml:space="preserve">Standard</w:t>
            </w:r>
          </w:p>
        </w:tc>
        <w:tc>
          <w:tcPr>
            <w:tcW w:w="1398" w:type="dxa"/>
          </w:tcPr>
          <w:p>
            <w:pPr>
              <w:pStyle w:val="Compact"/>
              <w:spacing w:after="40"/>
              <w:jc w:val="left"/>
            </w:pPr>
            <w:r>
              <w:rPr>
                <w:sz w:val="18"/>
              </w:rPr>
              <w:t xml:space="preserve">SARFAESI if eligible; suit after s.12A mediation (≥ ₹3 lakh); IBC s.7 (≥ ₹1 crore), PG s.95; CGTMSE claim as</w:t>
            </w:r>
            <w:r>
              <w:rPr>
                <w:sz w:val="18"/>
              </w:rPr>
              <w:t xml:space="preserve"> </w:t>
            </w:r>
            <w:r>
              <w:rPr>
                <w:rStyle w:val="VerbatimChar"/>
                <w:sz w:val="18"/>
              </w:rPr>
              <w:t xml:space="preserve">CollateralInvoked</w:t>
            </w:r>
          </w:p>
        </w:tc>
        <w:tc>
          <w:tcPr>
            <w:tcW w:w="999" w:type="dxa"/>
          </w:tcPr>
          <w:p>
            <w:pPr>
              <w:pStyle w:val="Compact"/>
              <w:spacing w:after="40"/>
              <w:jc w:val="left"/>
            </w:pPr>
            <w:r>
              <w:rPr>
                <w:sz w:val="18"/>
              </w:rPr>
              <w:t xml:space="preserve">CGTMSE fees and claims</w:t>
            </w:r>
          </w:p>
        </w:tc>
      </w:tr>
      <w:tr>
        <w:tc>
          <w:tcPr>
            <w:tcW w:w="756" w:type="dxa"/>
          </w:tcPr>
          <w:p>
            <w:pPr>
              <w:pStyle w:val="Compact"/>
              <w:spacing w:after="40"/>
              <w:jc w:val="left"/>
            </w:pPr>
            <w:r>
              <w:rPr>
                <w:sz w:val="18"/>
              </w:rPr>
              <w:t xml:space="preserve">LAP</w:t>
            </w:r>
          </w:p>
        </w:tc>
        <w:tc>
          <w:tcPr>
            <w:tcW w:w="1191" w:type="dxa"/>
          </w:tcPr>
          <w:p>
            <w:pPr>
              <w:pStyle w:val="Compact"/>
              <w:spacing w:after="40"/>
              <w:jc w:val="left"/>
            </w:pPr>
            <w:r>
              <w:rPr>
                <w:sz w:val="18"/>
              </w:rPr>
              <w:t xml:space="preserve">Property refs</w:t>
            </w:r>
          </w:p>
        </w:tc>
        <w:tc>
          <w:tcPr>
            <w:tcW w:w="1150" w:type="dxa"/>
          </w:tcPr>
          <w:p>
            <w:pPr>
              <w:pStyle w:val="Compact"/>
              <w:spacing w:after="40"/>
              <w:jc w:val="left"/>
            </w:pPr>
            <w:r>
              <w:rPr>
                <w:sz w:val="18"/>
              </w:rPr>
              <w:t xml:space="preserve">Legal, technical, valuation via</w:t>
            </w:r>
            <w:r>
              <w:rPr>
                <w:sz w:val="18"/>
              </w:rPr>
              <w:t xml:space="preserve"> </w:t>
            </w:r>
            <w:r>
              <w:rPr>
                <w:rStyle w:val="VerbatimChar"/>
                <w:sz w:val="18"/>
              </w:rPr>
              <w:t xml:space="preserve">VerificationRequested</w:t>
            </w:r>
            <w:r>
              <w:rPr>
                <w:sz w:val="18"/>
              </w:rPr>
              <w:t xml:space="preserve">; physical mortgage</w:t>
            </w:r>
          </w:p>
        </w:tc>
        <w:tc>
          <w:tcPr>
            <w:tcW w:w="838" w:type="dxa"/>
          </w:tcPr>
          <w:p>
            <w:pPr>
              <w:pStyle w:val="Compact"/>
              <w:spacing w:after="40"/>
              <w:jc w:val="left"/>
            </w:pPr>
            <w:r>
              <w:rPr>
                <w:sz w:val="18"/>
              </w:rPr>
              <w:t xml:space="preserve">Mortgage, CERSAI</w:t>
            </w:r>
          </w:p>
        </w:tc>
        <w:tc>
          <w:tcPr>
            <w:tcW w:w="1053" w:type="dxa"/>
          </w:tcPr>
          <w:p>
            <w:pPr>
              <w:pStyle w:val="Compact"/>
              <w:spacing w:after="40"/>
              <w:jc w:val="left"/>
            </w:pPr>
            <w:r>
              <w:rPr>
                <w:sz w:val="18"/>
              </w:rPr>
              <w:t xml:space="preserve">Borrower or prior lender</w:t>
            </w:r>
          </w:p>
        </w:tc>
        <w:tc>
          <w:tcPr>
            <w:tcW w:w="939" w:type="dxa"/>
          </w:tcPr>
          <w:p>
            <w:pPr>
              <w:pStyle w:val="Compact"/>
              <w:spacing w:after="40"/>
              <w:jc w:val="left"/>
            </w:pPr>
            <w:r>
              <w:rPr>
                <w:sz w:val="18"/>
              </w:rPr>
              <w:t xml:space="preserve">Standard</w:t>
            </w:r>
          </w:p>
        </w:tc>
        <w:tc>
          <w:tcPr>
            <w:tcW w:w="1314" w:type="dxa"/>
          </w:tcPr>
          <w:p>
            <w:pPr>
              <w:pStyle w:val="Compact"/>
              <w:spacing w:after="40"/>
              <w:jc w:val="left"/>
            </w:pPr>
            <w:r>
              <w:rPr>
                <w:sz w:val="18"/>
              </w:rPr>
              <w:t xml:space="preserve">Standard</w:t>
            </w:r>
          </w:p>
        </w:tc>
        <w:tc>
          <w:tcPr>
            <w:tcW w:w="1398" w:type="dxa"/>
          </w:tcPr>
          <w:p>
            <w:pPr>
              <w:pStyle w:val="Compact"/>
              <w:spacing w:after="40"/>
              <w:jc w:val="left"/>
            </w:pPr>
            <w:r>
              <w:rPr>
                <w:sz w:val="18"/>
              </w:rPr>
              <w:t xml:space="preserve">SARFAESI for notified NBFCs, CERSAI-registered (s.26D); auction events; arbitration for money claims only (</w:t>
            </w:r>
            <w:r>
              <w:rPr>
                <w:iCs/>
                <w:i/>
                <w:sz w:val="18"/>
              </w:rPr>
              <w:t xml:space="preserve">Booz Allen</w:t>
            </w:r>
            <w:r>
              <w:rPr>
                <w:sz w:val="18"/>
              </w:rPr>
              <w:t xml:space="preserve">)</w:t>
            </w:r>
          </w:p>
        </w:tc>
        <w:tc>
          <w:tcPr>
            <w:tcW w:w="999" w:type="dxa"/>
          </w:tcPr>
          <w:p>
            <w:pPr>
              <w:pStyle w:val="Compact"/>
              <w:spacing w:after="40"/>
              <w:jc w:val="left"/>
            </w:pPr>
            <w:r>
              <w:rPr>
                <w:sz w:val="18"/>
              </w:rPr>
              <w:t xml:space="preserve">CERSAI vs register; release ≤ 30 days (RBC para 35)</w:t>
            </w:r>
          </w:p>
        </w:tc>
      </w:tr>
      <w:tr>
        <w:tc>
          <w:tcPr>
            <w:tcW w:w="756" w:type="dxa"/>
          </w:tcPr>
          <w:p>
            <w:pPr>
              <w:pStyle w:val="Compact"/>
              <w:spacing w:after="40"/>
              <w:jc w:val="left"/>
            </w:pPr>
            <w:r>
              <w:rPr>
                <w:sz w:val="18"/>
              </w:rPr>
              <w:t xml:space="preserve">Home</w:t>
            </w:r>
          </w:p>
        </w:tc>
        <w:tc>
          <w:tcPr>
            <w:tcW w:w="1191" w:type="dxa"/>
          </w:tcPr>
          <w:p>
            <w:pPr>
              <w:pStyle w:val="Compact"/>
              <w:spacing w:after="40"/>
              <w:jc w:val="left"/>
            </w:pPr>
            <w:r>
              <w:rPr>
                <w:sz w:val="18"/>
              </w:rPr>
              <w:t xml:space="preserve">Stage documents; builder or seller as beneficiary</w:t>
            </w:r>
          </w:p>
        </w:tc>
        <w:tc>
          <w:tcPr>
            <w:tcW w:w="1150" w:type="dxa"/>
          </w:tcPr>
          <w:p>
            <w:pPr>
              <w:pStyle w:val="Compact"/>
              <w:spacing w:after="40"/>
              <w:jc w:val="left"/>
            </w:pPr>
            <w:r>
              <w:rPr>
                <w:sz w:val="18"/>
              </w:rPr>
              <w:t xml:space="preserve">As LAP; housing tests (CF para 4(1)(xiv))</w:t>
            </w:r>
          </w:p>
        </w:tc>
        <w:tc>
          <w:tcPr>
            <w:tcW w:w="838" w:type="dxa"/>
          </w:tcPr>
          <w:p>
            <w:pPr>
              <w:pStyle w:val="Compact"/>
              <w:spacing w:after="40"/>
              <w:jc w:val="left"/>
            </w:pPr>
            <w:r>
              <w:rPr>
                <w:sz w:val="18"/>
              </w:rPr>
              <w:t xml:space="preserve">Mortgage, CERSAI</w:t>
            </w:r>
          </w:p>
        </w:tc>
        <w:tc>
          <w:tcPr>
            <w:tcW w:w="1053" w:type="dxa"/>
          </w:tcPr>
          <w:p>
            <w:pPr>
              <w:pStyle w:val="Compact"/>
              <w:spacing w:after="40"/>
              <w:jc w:val="left"/>
            </w:pPr>
            <w:r>
              <w:rPr>
                <w:sz w:val="18"/>
              </w:rPr>
              <w:t xml:space="preserve">TRANCHE vs stage</w:t>
            </w:r>
          </w:p>
        </w:tc>
        <w:tc>
          <w:tcPr>
            <w:tcW w:w="939" w:type="dxa"/>
          </w:tcPr>
          <w:p>
            <w:pPr>
              <w:pStyle w:val="Compact"/>
              <w:spacing w:after="40"/>
              <w:jc w:val="left"/>
            </w:pPr>
            <w:r>
              <w:rPr>
                <w:sz w:val="18"/>
              </w:rPr>
              <w:t xml:space="preserve">Interest certificates</w:t>
            </w:r>
          </w:p>
        </w:tc>
        <w:tc>
          <w:tcPr>
            <w:tcW w:w="1314" w:type="dxa"/>
          </w:tcPr>
          <w:p>
            <w:pPr>
              <w:pStyle w:val="Compact"/>
              <w:spacing w:after="40"/>
              <w:jc w:val="left"/>
            </w:pPr>
            <w:r>
              <w:rPr>
                <w:sz w:val="18"/>
              </w:rPr>
              <w:t xml:space="preserve">Standard</w:t>
            </w:r>
          </w:p>
        </w:tc>
        <w:tc>
          <w:tcPr>
            <w:tcW w:w="1398" w:type="dxa"/>
          </w:tcPr>
          <w:p>
            <w:pPr>
              <w:pStyle w:val="Compact"/>
              <w:spacing w:after="40"/>
              <w:jc w:val="left"/>
            </w:pPr>
            <w:r>
              <w:rPr>
                <w:sz w:val="18"/>
              </w:rPr>
              <w:t xml:space="preserve">As LAP; HFCs are notified FIs without the ₹20 lakh floor (research A F2)</w:t>
            </w:r>
          </w:p>
        </w:tc>
        <w:tc>
          <w:tcPr>
            <w:tcW w:w="999" w:type="dxa"/>
          </w:tcPr>
          <w:p>
            <w:pPr>
              <w:pStyle w:val="Compact"/>
              <w:spacing w:after="40"/>
              <w:jc w:val="left"/>
            </w:pPr>
            <w:r>
              <w:rPr>
                <w:sz w:val="18"/>
              </w:rPr>
              <w:t xml:space="preserve">Tranches vs stage</w:t>
            </w:r>
          </w:p>
        </w:tc>
      </w:tr>
      <w:tr>
        <w:tc>
          <w:tcPr>
            <w:tcW w:w="756" w:type="dxa"/>
          </w:tcPr>
          <w:p>
            <w:pPr>
              <w:pStyle w:val="Compact"/>
              <w:spacing w:after="40"/>
              <w:jc w:val="left"/>
            </w:pPr>
            <w:r>
              <w:rPr>
                <w:sz w:val="18"/>
              </w:rPr>
              <w:t xml:space="preserve">Vehicle</w:t>
            </w:r>
          </w:p>
        </w:tc>
        <w:tc>
          <w:tcPr>
            <w:tcW w:w="1191" w:type="dxa"/>
          </w:tcPr>
          <w:p>
            <w:pPr>
              <w:pStyle w:val="Compact"/>
              <w:spacing w:after="40"/>
              <w:jc w:val="left"/>
            </w:pPr>
            <w:r>
              <w:rPr>
                <w:sz w:val="18"/>
              </w:rPr>
              <w:t xml:space="preserve">Dealer invoice, Vahan refs</w:t>
            </w:r>
          </w:p>
        </w:tc>
        <w:tc>
          <w:tcPr>
            <w:tcW w:w="1150" w:type="dxa"/>
          </w:tcPr>
          <w:p>
            <w:pPr>
              <w:pStyle w:val="Compact"/>
              <w:spacing w:after="40"/>
              <w:jc w:val="left"/>
            </w:pPr>
            <w:r>
              <w:rPr>
                <w:sz w:val="18"/>
              </w:rPr>
              <w:t xml:space="preserve">Standard</w:t>
            </w:r>
          </w:p>
        </w:tc>
        <w:tc>
          <w:tcPr>
            <w:tcW w:w="838" w:type="dxa"/>
          </w:tcPr>
          <w:p>
            <w:pPr>
              <w:pStyle w:val="Compact"/>
              <w:spacing w:after="40"/>
              <w:jc w:val="left"/>
            </w:pPr>
            <w:r>
              <w:rPr>
                <w:rStyle w:val="VerbatimChar"/>
                <w:sz w:val="18"/>
              </w:rPr>
              <w:t xml:space="preserve">CollateralChargeRegistered</w:t>
            </w:r>
            <w:r>
              <w:rPr>
                <w:sz w:val="18"/>
              </w:rPr>
              <w:t xml:space="preserve"> </w:t>
            </w:r>
            <w:r>
              <w:rPr>
                <w:sz w:val="18"/>
              </w:rPr>
              <w:t xml:space="preserve">(VAHAN)</w:t>
            </w:r>
          </w:p>
        </w:tc>
        <w:tc>
          <w:tcPr>
            <w:tcW w:w="1053" w:type="dxa"/>
          </w:tcPr>
          <w:p>
            <w:pPr>
              <w:pStyle w:val="Compact"/>
              <w:spacing w:after="40"/>
              <w:jc w:val="left"/>
            </w:pPr>
            <w:r>
              <w:rPr>
                <w:sz w:val="18"/>
              </w:rPr>
              <w:t xml:space="preserve">Dealer</w:t>
            </w:r>
          </w:p>
        </w:tc>
        <w:tc>
          <w:tcPr>
            <w:tcW w:w="939" w:type="dxa"/>
          </w:tcPr>
          <w:p>
            <w:pPr>
              <w:pStyle w:val="Compact"/>
              <w:spacing w:after="40"/>
              <w:jc w:val="left"/>
            </w:pPr>
            <w:r>
              <w:rPr>
                <w:sz w:val="18"/>
              </w:rPr>
              <w:t xml:space="preserve">Insurance reminders</w:t>
            </w:r>
          </w:p>
        </w:tc>
        <w:tc>
          <w:tcPr>
            <w:tcW w:w="1314" w:type="dxa"/>
          </w:tcPr>
          <w:p>
            <w:pPr>
              <w:pStyle w:val="Compact"/>
              <w:spacing w:after="40"/>
              <w:jc w:val="left"/>
            </w:pPr>
            <w:r>
              <w:rPr>
                <w:sz w:val="18"/>
              </w:rPr>
              <w:t xml:space="preserve">Standard</w:t>
            </w:r>
          </w:p>
        </w:tc>
        <w:tc>
          <w:tcPr>
            <w:tcW w:w="1398" w:type="dxa"/>
          </w:tcPr>
          <w:p>
            <w:pPr>
              <w:pStyle w:val="Compact"/>
              <w:spacing w:after="40"/>
              <w:jc w:val="left"/>
            </w:pPr>
            <w:r>
              <w:rPr>
                <w:sz w:val="18"/>
              </w:rPr>
              <w:t xml:space="preserve">Repossession only after notice period with signed possession memo (RBC para 26;</w:t>
            </w:r>
            <w:r>
              <w:rPr>
                <w:sz w:val="18"/>
              </w:rPr>
              <w:t xml:space="preserve"> </w:t>
            </w:r>
            <w:r>
              <w:rPr>
                <w:iCs/>
                <w:i/>
                <w:sz w:val="18"/>
              </w:rPr>
              <w:t xml:space="preserve">Hari Dutta Sharma v State of UP</w:t>
            </w:r>
            <w:r>
              <w:rPr>
                <w:sz w:val="18"/>
              </w:rPr>
              <w:t xml:space="preserve">, SC, 16 Sep 2026); Form 36 (MV Act s.51(5)); auction</w:t>
            </w:r>
          </w:p>
        </w:tc>
        <w:tc>
          <w:tcPr>
            <w:tcW w:w="999" w:type="dxa"/>
          </w:tcPr>
          <w:p>
            <w:pPr>
              <w:pStyle w:val="Compact"/>
              <w:spacing w:after="40"/>
              <w:jc w:val="left"/>
            </w:pPr>
            <w:r>
              <w:rPr>
                <w:sz w:val="18"/>
              </w:rPr>
              <w:t xml:space="preserve">Vahan NOC on closure</w:t>
            </w:r>
          </w:p>
        </w:tc>
      </w:tr>
      <w:tr>
        <w:tc>
          <w:tcPr>
            <w:tcW w:w="756" w:type="dxa"/>
          </w:tcPr>
          <w:p>
            <w:pPr>
              <w:pStyle w:val="Compact"/>
              <w:spacing w:after="40"/>
              <w:jc w:val="left"/>
            </w:pPr>
            <w:r>
              <w:rPr>
                <w:sz w:val="18"/>
              </w:rPr>
              <w:t xml:space="preserve">Gold</w:t>
            </w:r>
          </w:p>
        </w:tc>
        <w:tc>
          <w:tcPr>
            <w:tcW w:w="1191" w:type="dxa"/>
          </w:tcPr>
          <w:p>
            <w:pPr>
              <w:pStyle w:val="Compact"/>
              <w:spacing w:after="40"/>
              <w:jc w:val="left"/>
            </w:pPr>
            <w:r>
              <w:rPr>
                <w:sz w:val="18"/>
              </w:rPr>
              <w:t xml:space="preserve">Leads and branch-appointment scheduling only (gold handled and stored only in RE branches by RE staff: RBC paras 53–54)</w:t>
            </w:r>
          </w:p>
        </w:tc>
        <w:tc>
          <w:tcPr>
            <w:tcW w:w="1150" w:type="dxa"/>
          </w:tcPr>
          <w:p>
            <w:pPr>
              <w:pStyle w:val="Compact"/>
              <w:spacing w:after="40"/>
              <w:jc w:val="left"/>
            </w:pPr>
            <w:r>
              <w:rPr>
                <w:sz w:val="18"/>
              </w:rPr>
              <w:t xml:space="preserve">Branch assay</w:t>
            </w:r>
          </w:p>
        </w:tc>
        <w:tc>
          <w:tcPr>
            <w:tcW w:w="838" w:type="dxa"/>
          </w:tcPr>
          <w:p>
            <w:pPr>
              <w:pStyle w:val="Compact"/>
              <w:spacing w:after="40"/>
              <w:jc w:val="left"/>
            </w:pPr>
            <w:r>
              <w:rPr>
                <w:rStyle w:val="VerbatimChar"/>
                <w:sz w:val="18"/>
              </w:rPr>
              <w:t xml:space="preserve">CollateralValuationUpdated</w:t>
            </w:r>
            <w:r>
              <w:rPr>
                <w:sz w:val="18"/>
              </w:rPr>
              <w:t xml:space="preserve"> </w:t>
            </w:r>
            <w:r>
              <w:rPr>
                <w:sz w:val="18"/>
              </w:rPr>
              <w:t xml:space="preserve">(ASSAY),</w:t>
            </w:r>
            <w:r>
              <w:rPr>
                <w:sz w:val="18"/>
              </w:rPr>
              <w:t xml:space="preserve"> </w:t>
            </w:r>
            <w:r>
              <w:rPr>
                <w:rStyle w:val="VerbatimChar"/>
                <w:sz w:val="18"/>
              </w:rPr>
              <w:t xml:space="preserve">CollateralPledgeCreated</w:t>
            </w:r>
          </w:p>
        </w:tc>
        <w:tc>
          <w:tcPr>
            <w:tcW w:w="1053" w:type="dxa"/>
          </w:tcPr>
          <w:p>
            <w:pPr>
              <w:pStyle w:val="Compact"/>
              <w:spacing w:after="40"/>
              <w:jc w:val="left"/>
            </w:pPr>
            <w:r>
              <w:rPr>
                <w:sz w:val="18"/>
              </w:rPr>
              <w:t xml:space="preserve">Borrower</w:t>
            </w:r>
          </w:p>
        </w:tc>
        <w:tc>
          <w:tcPr>
            <w:tcW w:w="939" w:type="dxa"/>
          </w:tcPr>
          <w:p>
            <w:pPr>
              <w:pStyle w:val="Compact"/>
              <w:spacing w:after="40"/>
              <w:jc w:val="left"/>
            </w:pPr>
            <w:r>
              <w:rPr>
                <w:sz w:val="18"/>
              </w:rPr>
              <w:t xml:space="preserve">Daily LTV (CF paras 43–44)</w:t>
            </w:r>
          </w:p>
        </w:tc>
        <w:tc>
          <w:tcPr>
            <w:tcW w:w="1314" w:type="dxa"/>
          </w:tcPr>
          <w:p>
            <w:pPr>
              <w:pStyle w:val="Compact"/>
              <w:spacing w:after="40"/>
              <w:jc w:val="left"/>
            </w:pPr>
            <w:r>
              <w:rPr>
                <w:sz w:val="18"/>
              </w:rPr>
              <w:t xml:space="preserve">Standard</w:t>
            </w:r>
          </w:p>
        </w:tc>
        <w:tc>
          <w:tcPr>
            <w:tcW w:w="1398" w:type="dxa"/>
          </w:tcPr>
          <w:p>
            <w:pPr>
              <w:pStyle w:val="Compact"/>
              <w:spacing w:after="40"/>
              <w:jc w:val="left"/>
            </w:pPr>
            <w:r>
              <w:rPr>
                <w:sz w:val="18"/>
              </w:rPr>
              <w:t xml:space="preserve">Notice; reserve ≥ 90% (85% after two failures); first auction physical in district; no lender bids (RBC paras 60–66); surplus ≤ 7 working days</w:t>
            </w:r>
          </w:p>
        </w:tc>
        <w:tc>
          <w:tcPr>
            <w:tcW w:w="999" w:type="dxa"/>
          </w:tcPr>
          <w:p>
            <w:pPr>
              <w:pStyle w:val="Compact"/>
              <w:spacing w:after="40"/>
              <w:jc w:val="left"/>
            </w:pPr>
            <w:r>
              <w:rPr>
                <w:sz w:val="18"/>
              </w:rPr>
              <w:t xml:space="preserve">Vault vs pledge book; release ≤ 7 working days, ₹5,000/day after (RBC paras 58, 69)</w:t>
            </w:r>
          </w:p>
        </w:tc>
      </w:tr>
      <w:tr>
        <w:tc>
          <w:tcPr>
            <w:tcW w:w="756" w:type="dxa"/>
          </w:tcPr>
          <w:p>
            <w:pPr>
              <w:pStyle w:val="Compact"/>
              <w:spacing w:after="40"/>
              <w:jc w:val="left"/>
            </w:pPr>
            <w:r>
              <w:rPr>
                <w:sz w:val="18"/>
              </w:rPr>
              <w:t xml:space="preserve">LAS, LAMF</w:t>
            </w:r>
          </w:p>
        </w:tc>
        <w:tc>
          <w:tcPr>
            <w:tcW w:w="1191" w:type="dxa"/>
          </w:tcPr>
          <w:p>
            <w:pPr>
              <w:pStyle w:val="Compact"/>
              <w:spacing w:after="40"/>
              <w:jc w:val="left"/>
            </w:pPr>
            <w:r>
              <w:rPr>
                <w:rStyle w:val="VerbatimChar"/>
                <w:sz w:val="18"/>
              </w:rPr>
              <w:t xml:space="preserve">CollateralHoldingsShared</w:t>
            </w:r>
            <w:r>
              <w:rPr>
                <w:sz w:val="18"/>
              </w:rPr>
              <w:t xml:space="preserve">, OTP evidence</w:t>
            </w:r>
          </w:p>
        </w:tc>
        <w:tc>
          <w:tcPr>
            <w:tcW w:w="1150" w:type="dxa"/>
          </w:tcPr>
          <w:p>
            <w:pPr>
              <w:pStyle w:val="Compact"/>
              <w:spacing w:after="40"/>
              <w:jc w:val="left"/>
            </w:pPr>
            <w:r>
              <w:rPr>
                <w:sz w:val="18"/>
              </w:rPr>
              <w:t xml:space="preserve">DP and haircuts from FX</w:t>
            </w:r>
          </w:p>
        </w:tc>
        <w:tc>
          <w:tcPr>
            <w:tcW w:w="838" w:type="dxa"/>
          </w:tcPr>
          <w:p>
            <w:pPr>
              <w:pStyle w:val="Compact"/>
              <w:spacing w:after="40"/>
              <w:jc w:val="left"/>
            </w:pPr>
            <w:r>
              <w:rPr>
                <w:sz w:val="18"/>
              </w:rPr>
              <w:t xml:space="preserve">Pledge requested → created (gate)</w:t>
            </w:r>
          </w:p>
        </w:tc>
        <w:tc>
          <w:tcPr>
            <w:tcW w:w="1053" w:type="dxa"/>
          </w:tcPr>
          <w:p>
            <w:pPr>
              <w:pStyle w:val="Compact"/>
              <w:spacing w:after="40"/>
              <w:jc w:val="left"/>
            </w:pPr>
            <w:r>
              <w:rPr>
                <w:sz w:val="18"/>
              </w:rPr>
              <w:t xml:space="preserve">INITIAL, then DRAWDOWN</w:t>
            </w:r>
          </w:p>
        </w:tc>
        <w:tc>
          <w:tcPr>
            <w:tcW w:w="939" w:type="dxa"/>
          </w:tcPr>
          <w:p>
            <w:pPr>
              <w:pStyle w:val="Compact"/>
              <w:spacing w:after="40"/>
              <w:jc w:val="left"/>
            </w:pPr>
            <w:r>
              <w:rPr>
                <w:sz w:val="18"/>
              </w:rPr>
              <w:t xml:space="preserve">Daily valuation; margin calls</w:t>
            </w:r>
          </w:p>
        </w:tc>
        <w:tc>
          <w:tcPr>
            <w:tcW w:w="1314" w:type="dxa"/>
          </w:tcPr>
          <w:p>
            <w:pPr>
              <w:pStyle w:val="Compact"/>
              <w:spacing w:after="40"/>
              <w:jc w:val="left"/>
            </w:pPr>
            <w:r>
              <w:rPr>
                <w:sz w:val="18"/>
              </w:rPr>
              <w:t xml:space="preserve">Standard</w:t>
            </w:r>
          </w:p>
        </w:tc>
        <w:tc>
          <w:tcPr>
            <w:tcW w:w="1398" w:type="dxa"/>
          </w:tcPr>
          <w:p>
            <w:pPr>
              <w:pStyle w:val="Compact"/>
              <w:spacing w:after="40"/>
              <w:jc w:val="left"/>
            </w:pPr>
            <w:r>
              <w:rPr>
                <w:rStyle w:val="VerbatimChar"/>
                <w:sz w:val="18"/>
              </w:rPr>
              <w:t xml:space="preserve">CollateralInvoked</w:t>
            </w:r>
            <w:r>
              <w:rPr>
                <w:sz w:val="18"/>
              </w:rPr>
              <w:t xml:space="preserve"> </w:t>
            </w:r>
            <w:r>
              <w:rPr>
                <w:sz w:val="18"/>
              </w:rPr>
              <w:t xml:space="preserve">by RE only</w:t>
            </w:r>
          </w:p>
        </w:tc>
        <w:tc>
          <w:tcPr>
            <w:tcW w:w="999" w:type="dxa"/>
          </w:tcPr>
          <w:p>
            <w:pPr>
              <w:pStyle w:val="Compact"/>
              <w:spacing w:after="40"/>
              <w:jc w:val="left"/>
            </w:pPr>
            <w:r>
              <w:rPr>
                <w:sz w:val="18"/>
              </w:rPr>
              <w:t xml:space="preserve">Pledge book vs depository or RTA (7.3)</w:t>
            </w:r>
          </w:p>
        </w:tc>
      </w:tr>
      <w:tr>
        <w:tc>
          <w:tcPr>
            <w:tcW w:w="756" w:type="dxa"/>
          </w:tcPr>
          <w:p>
            <w:pPr>
              <w:pStyle w:val="Compact"/>
              <w:spacing w:after="40"/>
              <w:jc w:val="left"/>
            </w:pPr>
            <w:r>
              <w:rPr>
                <w:sz w:val="18"/>
              </w:rPr>
              <w:t xml:space="preserve">Microfinance</w:t>
            </w:r>
          </w:p>
        </w:tc>
        <w:tc>
          <w:tcPr>
            <w:tcW w:w="1191" w:type="dxa"/>
          </w:tcPr>
          <w:p>
            <w:pPr>
              <w:pStyle w:val="Compact"/>
              <w:spacing w:after="40"/>
              <w:jc w:val="left"/>
            </w:pPr>
            <w:r>
              <w:rPr>
                <w:sz w:val="18"/>
              </w:rPr>
              <w:t xml:space="preserve">Household, income, obligations (CF paras 51–57)</w:t>
            </w:r>
          </w:p>
        </w:tc>
        <w:tc>
          <w:tcPr>
            <w:tcW w:w="1150" w:type="dxa"/>
          </w:tcPr>
          <w:p>
            <w:pPr>
              <w:pStyle w:val="Compact"/>
              <w:spacing w:after="40"/>
              <w:jc w:val="left"/>
            </w:pPr>
            <w:r>
              <w:rPr>
                <w:sz w:val="18"/>
              </w:rPr>
              <w:t xml:space="preserve">50% household cap; loan card (RBC paras 78–80)</w:t>
            </w:r>
          </w:p>
        </w:tc>
        <w:tc>
          <w:tcPr>
            <w:tcW w:w="838" w:type="dxa"/>
          </w:tcPr>
          <w:p>
            <w:pPr>
              <w:pStyle w:val="Compact"/>
              <w:spacing w:after="40"/>
              <w:jc w:val="left"/>
            </w:pPr>
            <w:r>
              <w:rPr>
                <w:sz w:val="18"/>
              </w:rPr>
              <w:t xml:space="preserve">None</w:t>
            </w:r>
          </w:p>
        </w:tc>
        <w:tc>
          <w:tcPr>
            <w:tcW w:w="1053" w:type="dxa"/>
          </w:tcPr>
          <w:p>
            <w:pPr>
              <w:pStyle w:val="Compact"/>
              <w:spacing w:after="40"/>
              <w:jc w:val="left"/>
            </w:pPr>
            <w:r>
              <w:rPr>
                <w:sz w:val="18"/>
              </w:rPr>
              <w:t xml:space="preserve">Borrower</w:t>
            </w:r>
          </w:p>
        </w:tc>
        <w:tc>
          <w:tcPr>
            <w:tcW w:w="939" w:type="dxa"/>
          </w:tcPr>
          <w:p>
            <w:pPr>
              <w:pStyle w:val="Compact"/>
              <w:spacing w:after="40"/>
              <w:jc w:val="left"/>
            </w:pPr>
            <w:r>
              <w:rPr>
                <w:sz w:val="18"/>
              </w:rPr>
              <w:t xml:space="preserve">Meeting schedule</w:t>
            </w:r>
          </w:p>
        </w:tc>
        <w:tc>
          <w:tcPr>
            <w:tcW w:w="1314" w:type="dxa"/>
          </w:tcPr>
          <w:p>
            <w:pPr>
              <w:pStyle w:val="Compact"/>
              <w:spacing w:after="40"/>
              <w:jc w:val="left"/>
            </w:pPr>
            <w:r>
              <w:rPr>
                <w:sz w:val="18"/>
              </w:rPr>
              <w:t xml:space="preserve">09:00–18:00 until 31 Dec 2026 (RBC para 91(2)); visits after two missed appointments (para 90); then per RBC Third Amendment [VERIFY: MFI window]</w:t>
            </w:r>
          </w:p>
        </w:tc>
        <w:tc>
          <w:tcPr>
            <w:tcW w:w="1398" w:type="dxa"/>
          </w:tcPr>
          <w:p>
            <w:pPr>
              <w:pStyle w:val="Compact"/>
              <w:spacing w:after="40"/>
              <w:jc w:val="left"/>
            </w:pPr>
            <w:r>
              <w:rPr>
                <w:sz w:val="18"/>
              </w:rPr>
              <w:t xml:space="preserve">Conciliation, Lok Adalat</w:t>
            </w:r>
          </w:p>
        </w:tc>
        <w:tc>
          <w:tcPr>
            <w:tcW w:w="999" w:type="dxa"/>
          </w:tcPr>
          <w:p>
            <w:pPr>
              <w:pStyle w:val="Compact"/>
              <w:spacing w:after="40"/>
              <w:jc w:val="left"/>
            </w:pPr>
            <w:r>
              <w:rPr>
                <w:sz w:val="18"/>
              </w:rPr>
              <w:t xml:space="preserve">Household-cap breaches; income to CICs (CF para 54)</w:t>
            </w:r>
          </w:p>
        </w:tc>
      </w:tr>
      <w:tr>
        <w:tc>
          <w:tcPr>
            <w:tcW w:w="756" w:type="dxa"/>
          </w:tcPr>
          <w:p>
            <w:pPr>
              <w:pStyle w:val="Compact"/>
              <w:spacing w:after="40"/>
              <w:jc w:val="left"/>
            </w:pPr>
            <w:r>
              <w:rPr>
                <w:sz w:val="18"/>
              </w:rPr>
              <w:t xml:space="preserve">Supply chain, TReDS</w:t>
            </w:r>
          </w:p>
        </w:tc>
        <w:tc>
          <w:tcPr>
            <w:tcW w:w="1191" w:type="dxa"/>
          </w:tcPr>
          <w:p>
            <w:pPr>
              <w:pStyle w:val="Compact"/>
              <w:spacing w:after="40"/>
              <w:jc w:val="left"/>
            </w:pPr>
            <w:r>
              <w:rPr>
                <w:sz w:val="18"/>
              </w:rPr>
              <w:t xml:space="preserve">Anchor, invoice, factoring-unit ids</w:t>
            </w:r>
          </w:p>
        </w:tc>
        <w:tc>
          <w:tcPr>
            <w:tcW w:w="1150" w:type="dxa"/>
          </w:tcPr>
          <w:p>
            <w:pPr>
              <w:pStyle w:val="Compact"/>
              <w:spacing w:after="40"/>
              <w:jc w:val="left"/>
            </w:pPr>
            <w:r>
              <w:rPr>
                <w:sz w:val="18"/>
              </w:rPr>
              <w:t xml:space="preserve">Programme limit</w:t>
            </w:r>
          </w:p>
        </w:tc>
        <w:tc>
          <w:tcPr>
            <w:tcW w:w="838" w:type="dxa"/>
          </w:tcPr>
          <w:p>
            <w:pPr>
              <w:pStyle w:val="Compact"/>
              <w:spacing w:after="40"/>
              <w:jc w:val="left"/>
            </w:pPr>
            <w:r>
              <w:rPr>
                <w:sz w:val="18"/>
              </w:rPr>
              <w:t xml:space="preserve">Receivable assignment (platform files with CERSAI)</w:t>
            </w:r>
          </w:p>
        </w:tc>
        <w:tc>
          <w:tcPr>
            <w:tcW w:w="1053" w:type="dxa"/>
          </w:tcPr>
          <w:p>
            <w:pPr>
              <w:pStyle w:val="Compact"/>
              <w:spacing w:after="40"/>
              <w:jc w:val="left"/>
            </w:pPr>
            <w:r>
              <w:rPr>
                <w:sz w:val="18"/>
              </w:rPr>
              <w:t xml:space="preserve">Seller</w:t>
            </w:r>
          </w:p>
        </w:tc>
        <w:tc>
          <w:tcPr>
            <w:tcW w:w="939" w:type="dxa"/>
          </w:tcPr>
          <w:p>
            <w:pPr>
              <w:pStyle w:val="Compact"/>
              <w:spacing w:after="40"/>
              <w:jc w:val="left"/>
            </w:pPr>
            <w:r>
              <w:rPr>
                <w:sz w:val="18"/>
              </w:rPr>
              <w:t xml:space="preserve">Buyer pays on due date</w:t>
            </w:r>
          </w:p>
        </w:tc>
        <w:tc>
          <w:tcPr>
            <w:tcW w:w="1314" w:type="dxa"/>
          </w:tcPr>
          <w:p>
            <w:pPr>
              <w:pStyle w:val="Compact"/>
              <w:spacing w:after="40"/>
              <w:jc w:val="left"/>
            </w:pPr>
            <w:r>
              <w:rPr>
                <w:sz w:val="18"/>
              </w:rPr>
              <w:t xml:space="preserve">Against buyer</w:t>
            </w:r>
          </w:p>
        </w:tc>
        <w:tc>
          <w:tcPr>
            <w:tcW w:w="1398" w:type="dxa"/>
          </w:tcPr>
          <w:p>
            <w:pPr>
              <w:pStyle w:val="Compact"/>
              <w:spacing w:after="40"/>
              <w:jc w:val="left"/>
            </w:pPr>
            <w:r>
              <w:rPr>
                <w:sz w:val="18"/>
              </w:rPr>
              <w:t xml:space="preserve">TReDS units without recourse to the MSME; no buyer set-off (TReDS Directions 2026, RBI/DPSS/2026-27/406)</w:t>
            </w:r>
          </w:p>
        </w:tc>
        <w:tc>
          <w:tcPr>
            <w:tcW w:w="999" w:type="dxa"/>
          </w:tcPr>
          <w:p>
            <w:pPr>
              <w:pStyle w:val="Compact"/>
              <w:spacing w:after="40"/>
              <w:jc w:val="left"/>
            </w:pPr>
            <w:r>
              <w:rPr>
                <w:sz w:val="18"/>
              </w:rPr>
              <w:t xml:space="preserve">Settlement vs due date; revolving behind flag [VERIFY: August 2026 draft]</w:t>
            </w:r>
          </w:p>
        </w:tc>
      </w:tr>
      <w:tr>
        <w:tc>
          <w:tcPr>
            <w:tcW w:w="756" w:type="dxa"/>
          </w:tcPr>
          <w:p>
            <w:pPr>
              <w:pStyle w:val="Compact"/>
              <w:spacing w:after="40"/>
              <w:jc w:val="left"/>
            </w:pPr>
            <w:r>
              <w:rPr>
                <w:sz w:val="18"/>
              </w:rPr>
              <w:t xml:space="preserve">Education</w:t>
            </w:r>
          </w:p>
        </w:tc>
        <w:tc>
          <w:tcPr>
            <w:tcW w:w="1191" w:type="dxa"/>
          </w:tcPr>
          <w:p>
            <w:pPr>
              <w:pStyle w:val="Compact"/>
              <w:spacing w:after="40"/>
              <w:jc w:val="left"/>
            </w:pPr>
            <w:r>
              <w:rPr>
                <w:sz w:val="18"/>
              </w:rPr>
              <w:t xml:space="preserve">Institution, course dates, co-borrower</w:t>
            </w:r>
          </w:p>
        </w:tc>
        <w:tc>
          <w:tcPr>
            <w:tcW w:w="1150" w:type="dxa"/>
          </w:tcPr>
          <w:p>
            <w:pPr>
              <w:pStyle w:val="Compact"/>
              <w:spacing w:after="40"/>
              <w:jc w:val="left"/>
            </w:pPr>
            <w:r>
              <w:rPr>
                <w:sz w:val="18"/>
              </w:rPr>
              <w:t xml:space="preserve">Standard</w:t>
            </w:r>
          </w:p>
        </w:tc>
        <w:tc>
          <w:tcPr>
            <w:tcW w:w="838" w:type="dxa"/>
          </w:tcPr>
          <w:p>
            <w:pPr>
              <w:pStyle w:val="Compact"/>
              <w:spacing w:after="40"/>
              <w:jc w:val="left"/>
            </w:pPr>
            <w:r>
              <w:rPr>
                <w:sz w:val="18"/>
              </w:rPr>
              <w:t xml:space="preserve">Optional</w:t>
            </w:r>
          </w:p>
        </w:tc>
        <w:tc>
          <w:tcPr>
            <w:tcW w:w="1053" w:type="dxa"/>
          </w:tcPr>
          <w:p>
            <w:pPr>
              <w:pStyle w:val="Compact"/>
              <w:spacing w:after="40"/>
              <w:jc w:val="left"/>
            </w:pPr>
            <w:r>
              <w:rPr>
                <w:sz w:val="18"/>
              </w:rPr>
              <w:t xml:space="preserve">TRANCHE to institution</w:t>
            </w:r>
          </w:p>
        </w:tc>
        <w:tc>
          <w:tcPr>
            <w:tcW w:w="939" w:type="dxa"/>
          </w:tcPr>
          <w:p>
            <w:pPr>
              <w:pStyle w:val="Compact"/>
              <w:spacing w:after="40"/>
              <w:jc w:val="left"/>
            </w:pPr>
            <w:r>
              <w:rPr>
                <w:sz w:val="18"/>
              </w:rPr>
              <w:t xml:space="preserve">Moratorium via</w:t>
            </w:r>
            <w:r>
              <w:rPr>
                <w:sz w:val="18"/>
              </w:rPr>
              <w:t xml:space="preserve"> </w:t>
            </w:r>
            <w:r>
              <w:rPr>
                <w:rStyle w:val="VerbatimChar"/>
                <w:sz w:val="18"/>
              </w:rPr>
              <w:t xml:space="preserve">ScheduleChanged</w:t>
            </w:r>
          </w:p>
        </w:tc>
        <w:tc>
          <w:tcPr>
            <w:tcW w:w="1314" w:type="dxa"/>
          </w:tcPr>
          <w:p>
            <w:pPr>
              <w:pStyle w:val="Compact"/>
              <w:spacing w:after="40"/>
              <w:jc w:val="left"/>
            </w:pPr>
            <w:r>
              <w:rPr>
                <w:sz w:val="18"/>
              </w:rPr>
              <w:t xml:space="preserve">Co-borrower rules</w:t>
            </w:r>
          </w:p>
        </w:tc>
        <w:tc>
          <w:tcPr>
            <w:tcW w:w="1398" w:type="dxa"/>
          </w:tcPr>
          <w:p>
            <w:pPr>
              <w:pStyle w:val="Compact"/>
              <w:spacing w:after="40"/>
              <w:jc w:val="left"/>
            </w:pPr>
            <w:r>
              <w:rPr>
                <w:sz w:val="18"/>
              </w:rPr>
              <w:t xml:space="preserve">s.25 PSS or s.138, suit, conciliation</w:t>
            </w:r>
          </w:p>
        </w:tc>
        <w:tc>
          <w:tcPr>
            <w:tcW w:w="999" w:type="dxa"/>
          </w:tcPr>
          <w:p>
            <w:pPr>
              <w:pStyle w:val="Compact"/>
              <w:spacing w:after="40"/>
              <w:jc w:val="left"/>
            </w:pPr>
            <w:r>
              <w:rPr>
                <w:sz w:val="18"/>
              </w:rPr>
              <w:t xml:space="preserve">Disbursals vs fees</w:t>
            </w:r>
          </w:p>
        </w:tc>
      </w:tr>
      <w:tr>
        <w:tc>
          <w:tcPr>
            <w:tcW w:w="756" w:type="dxa"/>
          </w:tcPr>
          <w:p>
            <w:pPr>
              <w:pStyle w:val="Compact"/>
              <w:spacing w:after="40"/>
              <w:jc w:val="left"/>
            </w:pPr>
            <w:r>
              <w:rPr>
                <w:sz w:val="18"/>
              </w:rPr>
              <w:t xml:space="preserve">Specialist (RF, MED, LEF, DR; feasibility-gated)</w:t>
            </w:r>
          </w:p>
        </w:tc>
        <w:tc>
          <w:tcPr>
            <w:tcW w:w="1191" w:type="dxa"/>
          </w:tcPr>
          <w:p>
            <w:pPr>
              <w:pStyle w:val="Compact"/>
              <w:spacing w:after="40"/>
              <w:jc w:val="left"/>
            </w:pPr>
            <w:r>
              <w:rPr>
                <w:sz w:val="18"/>
              </w:rPr>
              <w:t xml:space="preserve">As Personal plus end-use evidence; RF and DR: settlement evidence (</w:t>
            </w:r>
            <w:r>
              <w:rPr>
                <w:rStyle w:val="VerbatimChar"/>
                <w:sz w:val="18"/>
              </w:rPr>
              <w:t xml:space="preserve">ADROutcomeRecorded</w:t>
            </w:r>
            <w:r>
              <w:rPr>
                <w:sz w:val="18"/>
              </w:rPr>
              <w:t xml:space="preserve">) or payoff letter</w:t>
            </w:r>
          </w:p>
        </w:tc>
        <w:tc>
          <w:tcPr>
            <w:tcW w:w="1150" w:type="dxa"/>
          </w:tcPr>
          <w:p>
            <w:pPr>
              <w:pStyle w:val="Compact"/>
              <w:spacing w:after="40"/>
              <w:jc w:val="left"/>
            </w:pPr>
            <w:r>
              <w:rPr>
                <w:sz w:val="18"/>
              </w:rPr>
              <w:t xml:space="preserve">Feasibility note first; same-RE refinance is restructuring and needs a viability assessment (RSA paras 89, 169)</w:t>
            </w:r>
          </w:p>
        </w:tc>
        <w:tc>
          <w:tcPr>
            <w:tcW w:w="838" w:type="dxa"/>
          </w:tcPr>
          <w:p>
            <w:pPr>
              <w:pStyle w:val="Compact"/>
              <w:spacing w:after="40"/>
              <w:jc w:val="left"/>
            </w:pPr>
            <w:r>
              <w:rPr>
                <w:sz w:val="18"/>
              </w:rPr>
              <w:t xml:space="preserve">None, or as refinanced facility</w:t>
            </w:r>
          </w:p>
        </w:tc>
        <w:tc>
          <w:tcPr>
            <w:tcW w:w="1053" w:type="dxa"/>
          </w:tcPr>
          <w:p>
            <w:pPr>
              <w:pStyle w:val="Compact"/>
              <w:spacing w:after="40"/>
              <w:jc w:val="left"/>
            </w:pPr>
            <w:r>
              <w:rPr>
                <w:sz w:val="18"/>
              </w:rPr>
              <w:t xml:space="preserve">End-beneficiary only: provider, counsel, settled creditor or existing lenders (CF para 10(1))</w:t>
            </w:r>
          </w:p>
        </w:tc>
        <w:tc>
          <w:tcPr>
            <w:tcW w:w="939" w:type="dxa"/>
          </w:tcPr>
          <w:p>
            <w:pPr>
              <w:pStyle w:val="Compact"/>
              <w:spacing w:after="40"/>
              <w:jc w:val="left"/>
            </w:pPr>
            <w:r>
              <w:rPr>
                <w:sz w:val="18"/>
              </w:rPr>
              <w:t xml:space="preserve">Standard</w:t>
            </w:r>
          </w:p>
        </w:tc>
        <w:tc>
          <w:tcPr>
            <w:tcW w:w="1314" w:type="dxa"/>
          </w:tcPr>
          <w:p>
            <w:pPr>
              <w:pStyle w:val="Compact"/>
              <w:spacing w:after="40"/>
              <w:jc w:val="left"/>
            </w:pPr>
            <w:r>
              <w:rPr>
                <w:sz w:val="18"/>
              </w:rPr>
              <w:t xml:space="preserve">Standard</w:t>
            </w:r>
          </w:p>
        </w:tc>
        <w:tc>
          <w:tcPr>
            <w:tcW w:w="1398" w:type="dxa"/>
          </w:tcPr>
          <w:p>
            <w:pPr>
              <w:pStyle w:val="Compact"/>
              <w:spacing w:after="40"/>
              <w:jc w:val="left"/>
            </w:pPr>
            <w:r>
              <w:rPr>
                <w:sz w:val="18"/>
              </w:rPr>
              <w:t xml:space="preserve">As Personal; RF and DR carry the restructuring flag</w:t>
            </w:r>
          </w:p>
        </w:tc>
        <w:tc>
          <w:tcPr>
            <w:tcW w:w="999" w:type="dxa"/>
          </w:tcPr>
          <w:p>
            <w:pPr>
              <w:pStyle w:val="Compact"/>
              <w:spacing w:after="40"/>
              <w:jc w:val="left"/>
            </w:pPr>
            <w:r>
              <w:rPr>
                <w:sz w:val="18"/>
              </w:rPr>
              <w:t xml:space="preserve">Payoffs vs creditor confirmations</w:t>
            </w:r>
          </w:p>
        </w:tc>
      </w:tr>
      <w:tr>
        <w:tc>
          <w:tcPr>
            <w:tcW w:w="756" w:type="dxa"/>
          </w:tcPr>
          <w:p>
            <w:pPr>
              <w:pStyle w:val="Compact"/>
              <w:spacing w:after="40"/>
              <w:jc w:val="left"/>
            </w:pPr>
            <w:r>
              <w:rPr>
                <w:sz w:val="18"/>
              </w:rPr>
              <w:t xml:space="preserve">Project finance</w:t>
            </w:r>
          </w:p>
        </w:tc>
        <w:tc>
          <w:tcPr>
            <w:tcW w:w="1191" w:type="dxa"/>
          </w:tcPr>
          <w:p>
            <w:pPr>
              <w:pStyle w:val="Compact"/>
              <w:spacing w:after="40"/>
              <w:jc w:val="left"/>
            </w:pPr>
            <w:r>
              <w:rPr>
                <w:sz w:val="18"/>
              </w:rPr>
              <w:t xml:space="preserve">Not Udofin</w:t>
            </w:r>
          </w:p>
        </w:tc>
        <w:tc>
          <w:tcPr>
            <w:tcW w:w="1150" w:type="dxa"/>
          </w:tcPr>
          <w:p>
            <w:pPr>
              <w:pStyle w:val="Compact"/>
              <w:spacing w:after="40"/>
              <w:jc w:val="left"/>
            </w:pPr>
            <w:r>
              <w:rPr>
                <w:sz w:val="18"/>
              </w:rPr>
              <w:t xml:space="preserve">Gates (CF paras 67–75)</w:t>
            </w:r>
          </w:p>
        </w:tc>
        <w:tc>
          <w:tcPr>
            <w:tcW w:w="838" w:type="dxa"/>
          </w:tcPr>
          <w:p>
            <w:pPr>
              <w:pStyle w:val="Compact"/>
              <w:spacing w:after="40"/>
              <w:jc w:val="left"/>
            </w:pPr>
            <w:r>
              <w:rPr>
                <w:sz w:val="18"/>
              </w:rPr>
              <w:t xml:space="preserve">Common security</w:t>
            </w:r>
          </w:p>
        </w:tc>
        <w:tc>
          <w:tcPr>
            <w:tcW w:w="1053" w:type="dxa"/>
          </w:tcPr>
          <w:p>
            <w:pPr>
              <w:pStyle w:val="Compact"/>
              <w:spacing w:after="40"/>
              <w:jc w:val="left"/>
            </w:pPr>
            <w:r>
              <w:rPr>
                <w:sz w:val="18"/>
              </w:rPr>
              <w:t xml:space="preserve">LIE-certified stages (para 75)</w:t>
            </w:r>
          </w:p>
        </w:tc>
        <w:tc>
          <w:tcPr>
            <w:tcW w:w="939" w:type="dxa"/>
          </w:tcPr>
          <w:p>
            <w:pPr>
              <w:pStyle w:val="Compact"/>
              <w:spacing w:after="40"/>
              <w:jc w:val="left"/>
            </w:pPr>
            <w:r>
              <w:rPr>
                <w:sz w:val="18"/>
              </w:rPr>
              <w:t xml:space="preserve">DCCO via</w:t>
            </w:r>
            <w:r>
              <w:rPr>
                <w:sz w:val="18"/>
              </w:rPr>
              <w:t xml:space="preserve"> </w:t>
            </w:r>
            <w:r>
              <w:rPr>
                <w:rStyle w:val="VerbatimChar"/>
                <w:sz w:val="18"/>
              </w:rPr>
              <w:t xml:space="preserve">ScheduleChanged</w:t>
            </w:r>
            <w:r>
              <w:rPr>
                <w:sz w:val="18"/>
              </w:rPr>
              <w:t xml:space="preserve">; database ≤ 15 days (paras 77–78)</w:t>
            </w:r>
          </w:p>
        </w:tc>
        <w:tc>
          <w:tcPr>
            <w:tcW w:w="1314" w:type="dxa"/>
          </w:tcPr>
          <w:p>
            <w:pPr>
              <w:pStyle w:val="Compact"/>
              <w:spacing w:after="40"/>
              <w:jc w:val="left"/>
            </w:pPr>
            <w:r>
              <w:rPr>
                <w:sz w:val="18"/>
              </w:rPr>
              <w:t xml:space="preserve">Lead lender</w:t>
            </w:r>
          </w:p>
        </w:tc>
        <w:tc>
          <w:tcPr>
            <w:tcW w:w="1398" w:type="dxa"/>
          </w:tcPr>
          <w:p>
            <w:pPr>
              <w:pStyle w:val="Compact"/>
              <w:spacing w:after="40"/>
              <w:jc w:val="left"/>
            </w:pPr>
            <w:r>
              <w:rPr>
                <w:sz w:val="18"/>
              </w:rPr>
              <w:t xml:space="preserve">ICA votes (RSA paras 31–33); credit events to consortium (para 107); SARFAESI needs 60% by value (s.13(9)); IBC</w:t>
            </w:r>
          </w:p>
        </w:tc>
        <w:tc>
          <w:tcPr>
            <w:tcW w:w="999" w:type="dxa"/>
          </w:tcPr>
          <w:p>
            <w:pPr>
              <w:pStyle w:val="Compact"/>
              <w:spacing w:after="40"/>
              <w:jc w:val="left"/>
            </w:pPr>
            <w:r>
              <w:rPr>
                <w:sz w:val="18"/>
              </w:rPr>
              <w:t xml:space="preserve">Shares vs common agreement</w:t>
            </w:r>
          </w:p>
        </w:tc>
      </w:tr>
      <w:tr>
        <w:tc>
          <w:tcPr>
            <w:tcW w:w="756" w:type="dxa"/>
          </w:tcPr>
          <w:p>
            <w:pPr>
              <w:pStyle w:val="Compact"/>
              <w:spacing w:after="40"/>
              <w:jc w:val="left"/>
            </w:pPr>
            <w:r>
              <w:rPr>
                <w:sz w:val="18"/>
              </w:rPr>
              <w:t xml:space="preserve">Co-lent (any)</w:t>
            </w:r>
          </w:p>
        </w:tc>
        <w:tc>
          <w:tcPr>
            <w:tcW w:w="1191" w:type="dxa"/>
          </w:tcPr>
          <w:p>
            <w:pPr>
              <w:pStyle w:val="Compact"/>
              <w:spacing w:after="40"/>
              <w:jc w:val="left"/>
            </w:pPr>
            <w:r>
              <w:rPr>
                <w:sz w:val="18"/>
              </w:rPr>
              <w:t xml:space="preserve">KFS item 5; single point of interface (TDCR paras 105–106)</w:t>
            </w:r>
          </w:p>
        </w:tc>
        <w:tc>
          <w:tcPr>
            <w:tcW w:w="1150" w:type="dxa"/>
          </w:tcPr>
          <w:p>
            <w:pPr>
              <w:pStyle w:val="Compact"/>
              <w:spacing w:after="40"/>
              <w:jc w:val="left"/>
            </w:pPr>
            <w:r>
              <w:rPr>
                <w:sz w:val="18"/>
              </w:rPr>
              <w:t xml:space="preserve">Irrevocable back-to-back (para 112)</w:t>
            </w:r>
          </w:p>
        </w:tc>
        <w:tc>
          <w:tcPr>
            <w:tcW w:w="838" w:type="dxa"/>
          </w:tcPr>
          <w:p>
            <w:pPr>
              <w:pStyle w:val="Compact"/>
              <w:spacing w:after="40"/>
              <w:jc w:val="left"/>
            </w:pPr>
            <w:r>
              <w:rPr>
                <w:sz w:val="18"/>
              </w:rPr>
              <w:t xml:space="preserve">Joint security</w:t>
            </w:r>
          </w:p>
        </w:tc>
        <w:tc>
          <w:tcPr>
            <w:tcW w:w="1053" w:type="dxa"/>
          </w:tcPr>
          <w:p>
            <w:pPr>
              <w:pStyle w:val="Compact"/>
              <w:spacing w:after="40"/>
              <w:jc w:val="left"/>
            </w:pPr>
            <w:r>
              <w:rPr>
                <w:sz w:val="18"/>
              </w:rPr>
              <w:t xml:space="preserve">Escrow only (para 117); split ≤ 15 days</w:t>
            </w:r>
          </w:p>
        </w:tc>
        <w:tc>
          <w:tcPr>
            <w:tcW w:w="939" w:type="dxa"/>
          </w:tcPr>
          <w:p>
            <w:pPr>
              <w:pStyle w:val="Compact"/>
              <w:spacing w:after="40"/>
              <w:jc w:val="left"/>
            </w:pPr>
            <w:r>
              <w:rPr>
                <w:sz w:val="18"/>
              </w:rPr>
              <w:t xml:space="preserve">Receipt allocation; classification T+1; own-share CIC reporting (para 122)</w:t>
            </w:r>
          </w:p>
        </w:tc>
        <w:tc>
          <w:tcPr>
            <w:tcW w:w="1314" w:type="dxa"/>
          </w:tcPr>
          <w:p>
            <w:pPr>
              <w:pStyle w:val="Compact"/>
              <w:spacing w:after="40"/>
              <w:jc w:val="left"/>
            </w:pPr>
            <w:r>
              <w:rPr>
                <w:sz w:val="18"/>
              </w:rPr>
              <w:t xml:space="preserve">Servicer RE per CLA</w:t>
            </w:r>
          </w:p>
        </w:tc>
        <w:tc>
          <w:tcPr>
            <w:tcW w:w="1398" w:type="dxa"/>
          </w:tcPr>
          <w:p>
            <w:pPr>
              <w:pStyle w:val="Compact"/>
              <w:spacing w:after="40"/>
              <w:jc w:val="left"/>
            </w:pPr>
            <w:r>
              <w:rPr>
                <w:sz w:val="18"/>
              </w:rPr>
              <w:t xml:space="preserve">Each RE settles its share (RSA para 16); SARFAESI 60% by value; transfer only under Part A with mutual consent (para 125); no LSP escrow role</w:t>
            </w:r>
          </w:p>
        </w:tc>
        <w:tc>
          <w:tcPr>
            <w:tcW w:w="999" w:type="dxa"/>
          </w:tcPr>
          <w:p>
            <w:pPr>
              <w:pStyle w:val="Compact"/>
              <w:spacing w:after="40"/>
              <w:jc w:val="left"/>
            </w:pPr>
            <w:r>
              <w:rPr>
                <w:sz w:val="18"/>
              </w:rPr>
              <w:t xml:space="preserve">Escrow three-way daily</w:t>
            </w:r>
          </w:p>
        </w:tc>
      </w:tr>
    </w:tbl>
    <w:bookmarkEnd w:id="66"/>
    <w:bookmarkStart w:id="67" w:name="las-and-lamf-lifecycle"/>
    <w:p>
      <w:pPr>
        <w:pStyle w:val="Heading2"/>
      </w:pPr>
      <w:r>
        <w:t xml:space="preserve">7.3 LAS and LAMF lifecycle</w:t>
      </w:r>
    </w:p>
    <w:p>
      <w:pPr>
        <w:pStyle w:val="FirstParagraph"/>
      </w:pPr>
      <w:r>
        <w:rPr>
          <w:bCs/>
          <w:b/>
        </w:rPr>
        <w:t xml:space="preserve">Authority.</w:t>
      </w:r>
      <w:r>
        <w:t xml:space="preserve"> </w:t>
      </w:r>
      <w:r>
        <w:t xml:space="preserve">Finbyx (or the RE’s certified LMS) owns the security master, haircuts, DP, LTV, margin calls, freezes, invocation and release; the depository or RTA is external truth for the encumbrance. Udofin shows indicative eligibility, orchestrates consent and OTP, displays RE values and captures cure intents. The RE (pledgee) contracts with the DPs, CDSL LAS API, NSDL e-pledge and the RTA or MF Central [VERIFY: direct or via aggregator]; Udofin runs borrower steps under the RE’s credentials.</w:t>
      </w:r>
    </w:p>
    <w:p>
      <w:pPr>
        <w:pStyle w:val="BodyText"/>
      </w:pPr>
      <w:r>
        <w:rPr>
          <w:bCs/>
          <w:b/>
        </w:rPr>
        <w:t xml:space="preserve">Correction to</w:t>
      </w:r>
      <w:r>
        <w:rPr>
          <w:bCs/>
          <w:b/>
        </w:rPr>
        <w:t xml:space="preserve"> </w:t>
      </w:r>
      <w:r>
        <w:rPr>
          <w:rStyle w:val="VerbatimChar"/>
          <w:bCs/>
          <w:b/>
        </w:rPr>
        <w:t xml:space="preserve">las.txt</w:t>
      </w:r>
      <w:r>
        <w:rPr>
          <w:bCs/>
          <w:b/>
        </w:rPr>
        <w:t xml:space="preserve"> </w:t>
      </w:r>
      <w:r>
        <w:rPr>
          <w:bCs/>
          <w:b/>
        </w:rPr>
        <w:t xml:space="preserve">(15 Oct 2026).</w:t>
      </w:r>
      <w:r>
        <w:t xml:space="preserve"> </w:t>
      </w:r>
      <w:r>
        <w:t xml:space="preserve">The proposal puts an</w:t>
      </w:r>
      <w:r>
        <w:t xml:space="preserve"> </w:t>
      </w:r>
      <w:r>
        <w:t xml:space="preserve">“</w:t>
      </w:r>
      <w:r>
        <w:t xml:space="preserve">LAS risk / DP engine</w:t>
      </w:r>
      <w:r>
        <w:t xml:space="preserve">”</w:t>
      </w:r>
      <w:r>
        <w:t xml:space="preserve"> </w:t>
      </w:r>
      <w:r>
        <w:t xml:space="preserve">(BE-11) in Udofin to compute eligible collateral, DP, shortfalls and the drawable amount. Not adopted: DP, LTV and margin actions are RE credit-risk decisions that cannot be outsourced to an LSP (OUT para 15; CF para 6(7)), so the engine runs in Finbyx; Udofin’s BE-09 to BE-11 become a cached RE haircut table, a pledge-OTP orchestrator and a margin-call presenter, and the drawable amount comes from</w:t>
      </w:r>
      <w:r>
        <w:t xml:space="preserve"> </w:t>
      </w:r>
      <w:r>
        <w:rPr>
          <w:rStyle w:val="VerbatimChar"/>
        </w:rPr>
        <w:t xml:space="preserve">GET /v1/facilities/{loan_id}/summary</w:t>
      </w:r>
      <w:r>
        <w:t xml:space="preserve">. Its other controls (no shadow ledger, settlement proof before posting, idempotent money commands, three-way reconciliation) are adopted.</w:t>
      </w:r>
    </w:p>
    <w:p>
      <w:pPr>
        <w:pStyle w:val="BodyText"/>
      </w:pPr>
      <w:r>
        <w:rPr>
          <w:bCs/>
          <w:b/>
        </w:rPr>
        <w:t xml:space="preserve">States.</w:t>
      </w:r>
      <w:r>
        <w:t xml:space="preserve"> </w:t>
      </w:r>
      <w:r>
        <w:t xml:space="preserve">Pledge:</w:t>
      </w:r>
      <w:r>
        <w:t xml:space="preserve"> </w:t>
      </w:r>
      <w:r>
        <w:rPr>
          <w:rStyle w:val="VerbatimChar"/>
        </w:rPr>
        <w:t xml:space="preserve">REQUESTED → PENDING_BORROWER_OTP → PENDING_DP_APPROVAL → ACCEPTED → CONFIRMED</w:t>
      </w:r>
      <w:r>
        <w:t xml:space="preserve">, then</w:t>
      </w:r>
      <w:r>
        <w:t xml:space="preserve"> </w:t>
      </w:r>
      <w:r>
        <w:rPr>
          <w:rStyle w:val="VerbatimChar"/>
        </w:rPr>
        <w:t xml:space="preserve">CLOSURE_REQUESTED → CLOSED</w:t>
      </w:r>
      <w:r>
        <w:t xml:space="preserve"> </w:t>
      </w:r>
      <w:r>
        <w:t xml:space="preserve">or</w:t>
      </w:r>
      <w:r>
        <w:t xml:space="preserve"> </w:t>
      </w:r>
      <w:r>
        <w:rPr>
          <w:rStyle w:val="VerbatimChar"/>
        </w:rPr>
        <w:t xml:space="preserve">INVOCATION_REQUESTED → INVOKED</w:t>
      </w:r>
      <w:r>
        <w:t xml:space="preserve">; failures</w:t>
      </w:r>
      <w:r>
        <w:t xml:space="preserve"> </w:t>
      </w:r>
      <w:r>
        <w:rPr>
          <w:rStyle w:val="VerbatimChar"/>
        </w:rPr>
        <w:t xml:space="preserve">REJECTED</w:t>
      </w:r>
      <w:r>
        <w:t xml:space="preserve">,</w:t>
      </w:r>
      <w:r>
        <w:t xml:space="preserve"> </w:t>
      </w:r>
      <w:r>
        <w:rPr>
          <w:rStyle w:val="VerbatimChar"/>
        </w:rPr>
        <w:t xml:space="preserve">EXPIRED</w:t>
      </w:r>
      <w:r>
        <w:t xml:space="preserve">,</w:t>
      </w:r>
      <w:r>
        <w:t xml:space="preserve"> </w:t>
      </w:r>
      <w:r>
        <w:rPr>
          <w:rStyle w:val="VerbatimChar"/>
        </w:rPr>
        <w:t xml:space="preserve">FAILED</w:t>
      </w:r>
      <w:r>
        <w:t xml:space="preserve">. Margin call:</w:t>
      </w:r>
      <w:r>
        <w:t xml:space="preserve"> </w:t>
      </w:r>
      <w:r>
        <w:rPr>
          <w:rStyle w:val="VerbatimChar"/>
        </w:rPr>
        <w:t xml:space="preserve">OPEN → CURED</w:t>
      </w:r>
      <w:r>
        <w:t xml:space="preserve">, or</w:t>
      </w:r>
      <w:r>
        <w:t xml:space="preserve"> </w:t>
      </w:r>
      <w:r>
        <w:rPr>
          <w:rStyle w:val="VerbatimChar"/>
        </w:rPr>
        <w:t xml:space="preserve">OPEN → LAPSED → INVOCATION_REVIEW → INVOKED or WAIVED_BY_RE_AUTHORITY</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267"/>
        <w:gridCol w:w="2148"/>
        <w:gridCol w:w="3223"/>
      </w:tblGrid>
      <w:tr>
        <w:trPr>
          <w:tblHeader w:val="true"/>
          <w:tblHeader w:val="true"/>
        </w:trPr>
        <w:tc>
          <w:tcPr>
            <w:tcW w:w="4267" w:type="dxa"/>
            <w:shd w:val="clear" w:color="auto" w:fill="1F3A5F"/>
          </w:tcPr>
          <w:p>
            <w:pPr>
              <w:pStyle w:val="Compact"/>
              <w:spacing w:after="40"/>
              <w:jc w:val="left"/>
            </w:pPr>
            <w:r>
              <w:rPr>
                <w:b/>
                <w:color w:val="FFFFFF"/>
                <w:sz w:val="18"/>
              </w:rPr>
              <w:t xml:space="preserve">Step</w:t>
            </w:r>
          </w:p>
        </w:tc>
        <w:tc>
          <w:tcPr>
            <w:tcW w:w="2148" w:type="dxa"/>
            <w:shd w:val="clear" w:color="auto" w:fill="1F3A5F"/>
          </w:tcPr>
          <w:p>
            <w:pPr>
              <w:pStyle w:val="Compact"/>
              <w:spacing w:after="40"/>
              <w:jc w:val="left"/>
            </w:pPr>
            <w:r>
              <w:rPr>
                <w:b/>
                <w:color w:val="FFFFFF"/>
                <w:sz w:val="18"/>
              </w:rPr>
              <w:t xml:space="preserve">Events and APIs</w:t>
            </w:r>
          </w:p>
        </w:tc>
        <w:tc>
          <w:tcPr>
            <w:tcW w:w="3223" w:type="dxa"/>
            <w:shd w:val="clear" w:color="auto" w:fill="1F3A5F"/>
          </w:tcPr>
          <w:p>
            <w:pPr>
              <w:pStyle w:val="Compact"/>
              <w:spacing w:after="40"/>
              <w:jc w:val="left"/>
            </w:pPr>
            <w:r>
              <w:rPr>
                <w:b/>
                <w:color w:val="FFFFFF"/>
                <w:sz w:val="18"/>
              </w:rPr>
              <w:t xml:space="preserve">Rule and clock</w:t>
            </w:r>
          </w:p>
        </w:tc>
      </w:tr>
      <w:tr>
        <w:tc>
          <w:tcPr>
            <w:tcW w:w="4267" w:type="dxa"/>
          </w:tcPr>
          <w:p>
            <w:pPr>
              <w:pStyle w:val="Compact"/>
              <w:spacing w:after="40"/>
              <w:jc w:val="left"/>
            </w:pPr>
            <w:r>
              <w:rPr>
                <w:sz w:val="18"/>
              </w:rPr>
              <w:t xml:space="preserve">1. Holdings from CDSL LAS (eSign consent), NSDL statement, RTA or MF Central (OTP)</w:t>
            </w:r>
          </w:p>
        </w:tc>
        <w:tc>
          <w:tcPr>
            <w:tcW w:w="2148" w:type="dxa"/>
          </w:tcPr>
          <w:p>
            <w:pPr>
              <w:pStyle w:val="Compact"/>
              <w:spacing w:after="40"/>
              <w:jc w:val="left"/>
            </w:pPr>
            <w:r>
              <w:rPr>
                <w:rStyle w:val="VerbatimChar"/>
                <w:sz w:val="18"/>
              </w:rPr>
              <w:t xml:space="preserve">ConsentRecorded</w:t>
            </w:r>
            <w:r>
              <w:rPr>
                <w:sz w:val="18"/>
              </w:rPr>
              <w:t xml:space="preserve">,</w:t>
            </w:r>
            <w:r>
              <w:rPr>
                <w:sz w:val="18"/>
              </w:rPr>
              <w:t xml:space="preserve"> </w:t>
            </w:r>
            <w:r>
              <w:rPr>
                <w:rStyle w:val="VerbatimChar"/>
                <w:sz w:val="18"/>
              </w:rPr>
              <w:t xml:space="preserve">CollateralHoldingsShared</w:t>
            </w:r>
          </w:p>
        </w:tc>
        <w:tc>
          <w:tcPr>
            <w:tcW w:w="3223" w:type="dxa"/>
          </w:tcPr>
          <w:p>
            <w:pPr>
              <w:pStyle w:val="Compact"/>
              <w:spacing w:after="40"/>
              <w:jc w:val="left"/>
            </w:pPr>
            <w:r>
              <w:rPr>
                <w:sz w:val="18"/>
              </w:rPr>
              <w:t xml:space="preserve">Consent names RE and purpose (CF para 13)</w:t>
            </w:r>
          </w:p>
        </w:tc>
      </w:tr>
      <w:tr>
        <w:tc>
          <w:tcPr>
            <w:tcW w:w="4267" w:type="dxa"/>
          </w:tcPr>
          <w:p>
            <w:pPr>
              <w:pStyle w:val="Compact"/>
              <w:spacing w:after="40"/>
              <w:jc w:val="left"/>
            </w:pPr>
            <w:r>
              <w:rPr>
                <w:sz w:val="18"/>
              </w:rPr>
              <w:t xml:space="preserve">2. Indicative value = Σ units × price × (1 − haircut), capped</w:t>
            </w:r>
          </w:p>
        </w:tc>
        <w:tc>
          <w:tcPr>
            <w:tcW w:w="2148" w:type="dxa"/>
          </w:tcPr>
          <w:p>
            <w:pPr>
              <w:pStyle w:val="Compact"/>
              <w:spacing w:after="40"/>
              <w:jc w:val="left"/>
            </w:pPr>
            <w:r>
              <w:rPr>
                <w:sz w:val="18"/>
              </w:rPr>
              <w:t xml:space="preserve">Haircut version in</w:t>
            </w:r>
            <w:r>
              <w:rPr>
                <w:sz w:val="18"/>
              </w:rPr>
              <w:t xml:space="preserve"> </w:t>
            </w:r>
            <w:r>
              <w:rPr>
                <w:rStyle w:val="VerbatimChar"/>
                <w:sz w:val="18"/>
              </w:rPr>
              <w:t xml:space="preserve">ProductCatalogPublished</w:t>
            </w:r>
            <w:r>
              <w:rPr>
                <w:sz w:val="18"/>
              </w:rPr>
              <w:t xml:space="preserve">; eligibility-quote API</w:t>
            </w:r>
          </w:p>
        </w:tc>
        <w:tc>
          <w:tcPr>
            <w:tcW w:w="3223" w:type="dxa"/>
          </w:tcPr>
          <w:p>
            <w:pPr>
              <w:pStyle w:val="Compact"/>
              <w:spacing w:after="40"/>
              <w:jc w:val="left"/>
            </w:pPr>
            <w:r>
              <w:rPr>
                <w:sz w:val="18"/>
              </w:rPr>
              <w:t xml:space="preserve">Labelled indicative; Group 1 only for capital-market loans above ₹5 lakh; no own shares; IPO ≤ ₹1 crore; no primary-gold-backed units (CF paras 104, 105, 106(2)(i), 35(2))</w:t>
            </w:r>
          </w:p>
        </w:tc>
      </w:tr>
      <w:tr>
        <w:tc>
          <w:tcPr>
            <w:tcW w:w="4267" w:type="dxa"/>
          </w:tcPr>
          <w:p>
            <w:pPr>
              <w:pStyle w:val="Compact"/>
              <w:spacing w:after="40"/>
              <w:jc w:val="left"/>
            </w:pPr>
            <w:r>
              <w:rPr>
                <w:sz w:val="18"/>
              </w:rPr>
              <w:t xml:space="preserve">3. Application, sanction, KFS, signing</w:t>
            </w:r>
          </w:p>
        </w:tc>
        <w:tc>
          <w:tcPr>
            <w:tcW w:w="2148" w:type="dxa"/>
          </w:tcPr>
          <w:p>
            <w:pPr>
              <w:pStyle w:val="Compact"/>
              <w:spacing w:after="40"/>
              <w:jc w:val="left"/>
            </w:pPr>
            <w:r>
              <w:rPr>
                <w:rStyle w:val="VerbatimChar"/>
                <w:sz w:val="18"/>
              </w:rPr>
              <w:t xml:space="preserve">ApplicationSubmitted</w:t>
            </w:r>
            <w:r>
              <w:rPr>
                <w:sz w:val="18"/>
              </w:rPr>
              <w:t xml:space="preserve">,</w:t>
            </w:r>
            <w:r>
              <w:rPr>
                <w:sz w:val="18"/>
              </w:rPr>
              <w:t xml:space="preserve"> </w:t>
            </w:r>
            <w:r>
              <w:rPr>
                <w:rStyle w:val="VerbatimChar"/>
                <w:sz w:val="18"/>
              </w:rPr>
              <w:t xml:space="preserve">DecisionMade</w:t>
            </w:r>
            <w:r>
              <w:rPr>
                <w:sz w:val="18"/>
              </w:rPr>
              <w:t xml:space="preserve">,</w:t>
            </w:r>
            <w:r>
              <w:rPr>
                <w:sz w:val="18"/>
              </w:rPr>
              <w:t xml:space="preserve"> </w:t>
            </w:r>
            <w:r>
              <w:rPr>
                <w:rStyle w:val="VerbatimChar"/>
                <w:sz w:val="18"/>
              </w:rPr>
              <w:t xml:space="preserve">KFSIssued</w:t>
            </w:r>
            <w:r>
              <w:rPr>
                <w:sz w:val="18"/>
              </w:rPr>
              <w:t xml:space="preserve">,</w:t>
            </w:r>
            <w:r>
              <w:rPr>
                <w:sz w:val="18"/>
              </w:rPr>
              <w:t xml:space="preserve"> </w:t>
            </w:r>
            <w:r>
              <w:rPr>
                <w:rStyle w:val="VerbatimChar"/>
                <w:sz w:val="18"/>
              </w:rPr>
              <w:t xml:space="preserve">ESignCompleted</w:t>
            </w:r>
          </w:p>
        </w:tc>
        <w:tc>
          <w:tcPr>
            <w:tcW w:w="3223" w:type="dxa"/>
          </w:tcPr>
          <w:p>
            <w:pPr>
              <w:pStyle w:val="Compact"/>
              <w:spacing w:after="40"/>
              <w:jc w:val="left"/>
            </w:pPr>
            <w:r>
              <w:rPr>
                <w:sz w:val="18"/>
              </w:rPr>
              <w:t xml:space="preserve">RE decision (OUT para 15)</w:t>
            </w:r>
          </w:p>
        </w:tc>
      </w:tr>
      <w:tr>
        <w:tc>
          <w:tcPr>
            <w:tcW w:w="4267" w:type="dxa"/>
          </w:tcPr>
          <w:p>
            <w:pPr>
              <w:pStyle w:val="Compact"/>
              <w:spacing w:after="40"/>
              <w:jc w:val="left"/>
            </w:pPr>
            <w:r>
              <w:rPr>
                <w:sz w:val="18"/>
              </w:rPr>
              <w:t xml:space="preserve">4. Pledge or lien: borrower OTP; CDSL DP approval same day with reasons for rejection (CDSL/OPS/DP/POLICY/2026/468, 15 Jul 2026); NSDL pledgee acceptance; RTA lien for SOA units; depository pledge for demat units</w:t>
            </w:r>
          </w:p>
        </w:tc>
        <w:tc>
          <w:tcPr>
            <w:tcW w:w="2148" w:type="dxa"/>
          </w:tcPr>
          <w:p>
            <w:pPr>
              <w:pStyle w:val="Compact"/>
              <w:spacing w:after="40"/>
              <w:jc w:val="left"/>
            </w:pPr>
            <w:r>
              <w:rPr>
                <w:rStyle w:val="VerbatimChar"/>
                <w:sz w:val="18"/>
              </w:rPr>
              <w:t xml:space="preserve">CollateralPledgeRequested</w:t>
            </w:r>
            <w:r>
              <w:rPr>
                <w:sz w:val="18"/>
              </w:rPr>
              <w:t xml:space="preserve">,</w:t>
            </w:r>
            <w:r>
              <w:rPr>
                <w:sz w:val="18"/>
              </w:rPr>
              <w:t xml:space="preserve"> </w:t>
            </w:r>
            <w:r>
              <w:rPr>
                <w:rStyle w:val="VerbatimChar"/>
                <w:sz w:val="18"/>
              </w:rPr>
              <w:t xml:space="preserve">CollateralPledgeCreated</w:t>
            </w:r>
            <w:r>
              <w:rPr>
                <w:sz w:val="18"/>
              </w:rPr>
              <w:t xml:space="preserve"> </w:t>
            </w:r>
            <w:r>
              <w:rPr>
                <w:sz w:val="18"/>
              </w:rPr>
              <w:t xml:space="preserve">or</w:t>
            </w:r>
            <w:r>
              <w:rPr>
                <w:sz w:val="18"/>
              </w:rPr>
              <w:t xml:space="preserve"> </w:t>
            </w:r>
            <w:r>
              <w:rPr>
                <w:rStyle w:val="VerbatimChar"/>
                <w:sz w:val="18"/>
              </w:rPr>
              <w:t xml:space="preserve">CollateralPledgeFailed</w:t>
            </w:r>
          </w:p>
        </w:tc>
        <w:tc>
          <w:tcPr>
            <w:tcW w:w="3223" w:type="dxa"/>
          </w:tcPr>
          <w:p>
            <w:pPr>
              <w:pStyle w:val="Compact"/>
              <w:spacing w:after="40"/>
              <w:jc w:val="left"/>
            </w:pPr>
            <w:r>
              <w:rPr>
                <w:sz w:val="18"/>
              </w:rPr>
              <w:t xml:space="preserve">Accepted NSDL pledge cannot be cancelled by pledgor; SEBI margin pledge (25 Feb 2020) is not an LAS rail</w:t>
            </w:r>
          </w:p>
        </w:tc>
      </w:tr>
      <w:tr>
        <w:tc>
          <w:tcPr>
            <w:tcW w:w="4267" w:type="dxa"/>
          </w:tcPr>
          <w:p>
            <w:pPr>
              <w:pStyle w:val="Compact"/>
              <w:spacing w:after="40"/>
              <w:jc w:val="left"/>
            </w:pPr>
            <w:r>
              <w:rPr>
                <w:sz w:val="18"/>
              </w:rPr>
              <w:t xml:space="preserve">5. Disbursement after sanction, documents, verified account, CONFIRMED pledge, sufficient DP</w:t>
            </w:r>
          </w:p>
        </w:tc>
        <w:tc>
          <w:tcPr>
            <w:tcW w:w="2148" w:type="dxa"/>
          </w:tcPr>
          <w:p>
            <w:pPr>
              <w:pStyle w:val="Compact"/>
              <w:spacing w:after="40"/>
              <w:jc w:val="left"/>
            </w:pPr>
            <w:r>
              <w:rPr>
                <w:rStyle w:val="VerbatimChar"/>
                <w:sz w:val="18"/>
              </w:rPr>
              <w:t xml:space="preserve">LoanDisbursed</w:t>
            </w:r>
            <w:r>
              <w:rPr>
                <w:sz w:val="18"/>
              </w:rPr>
              <w:t xml:space="preserve"> </w:t>
            </w:r>
            <w:r>
              <w:rPr>
                <w:sz w:val="18"/>
              </w:rPr>
              <w:t xml:space="preserve">(INITIAL)</w:t>
            </w:r>
          </w:p>
        </w:tc>
        <w:tc>
          <w:tcPr>
            <w:tcW w:w="3223" w:type="dxa"/>
          </w:tcPr>
          <w:p>
            <w:pPr>
              <w:pStyle w:val="Compact"/>
              <w:spacing w:after="40"/>
              <w:jc w:val="left"/>
            </w:pPr>
            <w:r>
              <w:rPr>
                <w:sz w:val="18"/>
              </w:rPr>
              <w:t xml:space="preserve">RE account to borrower (CF para 10(1))</w:t>
            </w:r>
          </w:p>
        </w:tc>
      </w:tr>
      <w:tr>
        <w:tc>
          <w:tcPr>
            <w:tcW w:w="4267" w:type="dxa"/>
          </w:tcPr>
          <w:p>
            <w:pPr>
              <w:pStyle w:val="Compact"/>
              <w:spacing w:after="40"/>
              <w:jc w:val="left"/>
            </w:pPr>
            <w:r>
              <w:rPr>
                <w:sz w:val="18"/>
              </w:rPr>
              <w:t xml:space="preserve">6. Daily valuation on T-1 bhavcopy or AMFI NAV: DP = min(limit, eligible value after haircuts and caps); available = max(0, DP − utilised − reservations − dues); regulatory LTV = outstanding (principal, accrued interest and charges due) ÷ market value of pledged securities, tested separately from DP</w:t>
            </w:r>
          </w:p>
        </w:tc>
        <w:tc>
          <w:tcPr>
            <w:tcW w:w="2148" w:type="dxa"/>
          </w:tcPr>
          <w:p>
            <w:pPr>
              <w:pStyle w:val="Compact"/>
              <w:spacing w:after="40"/>
              <w:jc w:val="left"/>
            </w:pPr>
            <w:r>
              <w:rPr>
                <w:rStyle w:val="VerbatimChar"/>
                <w:sz w:val="18"/>
              </w:rPr>
              <w:t xml:space="preserve">CollateralValuationUpdated</w:t>
            </w:r>
          </w:p>
        </w:tc>
        <w:tc>
          <w:tcPr>
            <w:tcW w:w="3223" w:type="dxa"/>
          </w:tcPr>
          <w:p>
            <w:pPr>
              <w:pStyle w:val="Compact"/>
              <w:spacing w:after="40"/>
              <w:jc w:val="left"/>
            </w:pPr>
            <w:r>
              <w:rPr>
                <w:sz w:val="18"/>
              </w:rPr>
              <w:t xml:space="preserve">Freeze drawdowns if prices &gt; 1 business day old [REC]</w:t>
            </w:r>
          </w:p>
        </w:tc>
      </w:tr>
      <w:tr>
        <w:tc>
          <w:tcPr>
            <w:tcW w:w="4267" w:type="dxa"/>
          </w:tcPr>
          <w:p>
            <w:pPr>
              <w:pStyle w:val="Compact"/>
              <w:spacing w:after="40"/>
              <w:jc w:val="left"/>
            </w:pPr>
            <w:r>
              <w:rPr>
                <w:sz w:val="18"/>
              </w:rPr>
              <w:t xml:space="preserve">7. Drawdown via Udofin (FAPI 2.0)</w:t>
            </w:r>
          </w:p>
        </w:tc>
        <w:tc>
          <w:tcPr>
            <w:tcW w:w="2148" w:type="dxa"/>
          </w:tcPr>
          <w:p>
            <w:pPr>
              <w:pStyle w:val="Compact"/>
              <w:spacing w:after="40"/>
              <w:jc w:val="left"/>
            </w:pPr>
            <w:r>
              <w:rPr>
                <w:rStyle w:val="VerbatimChar"/>
                <w:sz w:val="18"/>
              </w:rPr>
              <w:t xml:space="preserve">DrawdownRequested</w:t>
            </w:r>
            <w:r>
              <w:rPr>
                <w:sz w:val="18"/>
              </w:rPr>
              <w:t xml:space="preserve">,</w:t>
            </w:r>
            <w:r>
              <w:rPr>
                <w:sz w:val="18"/>
              </w:rPr>
              <w:t xml:space="preserve"> </w:t>
            </w:r>
            <w:r>
              <w:rPr>
                <w:rStyle w:val="VerbatimChar"/>
                <w:sz w:val="18"/>
              </w:rPr>
              <w:t xml:space="preserve">LoanDisbursed</w:t>
            </w:r>
            <w:r>
              <w:rPr>
                <w:sz w:val="18"/>
              </w:rPr>
              <w:t xml:space="preserve"> </w:t>
            </w:r>
            <w:r>
              <w:rPr>
                <w:sz w:val="18"/>
              </w:rPr>
              <w:t xml:space="preserve">(DRAWDOWN)</w:t>
            </w:r>
          </w:p>
        </w:tc>
        <w:tc>
          <w:tcPr>
            <w:tcW w:w="3223" w:type="dxa"/>
          </w:tcPr>
          <w:p>
            <w:pPr>
              <w:pStyle w:val="Compact"/>
              <w:spacing w:after="40"/>
              <w:jc w:val="left"/>
            </w:pPr>
            <w:r>
              <w:rPr>
                <w:sz w:val="18"/>
              </w:rPr>
              <w:t xml:space="preserve">Default term loan with DP-capped tranches; OD only behind</w:t>
            </w:r>
            <w:r>
              <w:rPr>
                <w:sz w:val="18"/>
              </w:rPr>
              <w:t xml:space="preserve"> </w:t>
            </w:r>
            <w:r>
              <w:rPr>
                <w:rStyle w:val="VerbatimChar"/>
                <w:sz w:val="18"/>
              </w:rPr>
              <w:t xml:space="preserve">mod.las.revolving</w:t>
            </w:r>
            <w:r>
              <w:rPr>
                <w:sz w:val="18"/>
              </w:rPr>
              <w:t xml:space="preserve"> </w:t>
            </w:r>
            <w:r>
              <w:rPr>
                <w:sz w:val="18"/>
              </w:rPr>
              <w:t xml:space="preserve">pending the August 2026 draft CF amendment [VERIFY]; no automatic limit increase (CF para 8(2))</w:t>
            </w:r>
          </w:p>
        </w:tc>
      </w:tr>
      <w:tr>
        <w:tc>
          <w:tcPr>
            <w:tcW w:w="4267" w:type="dxa"/>
          </w:tcPr>
          <w:p>
            <w:pPr>
              <w:pStyle w:val="Compact"/>
              <w:spacing w:after="40"/>
              <w:jc w:val="left"/>
            </w:pPr>
            <w:r>
              <w:rPr>
                <w:sz w:val="18"/>
              </w:rPr>
              <w:t xml:space="preserve">8. Margin call</w:t>
            </w:r>
          </w:p>
        </w:tc>
        <w:tc>
          <w:tcPr>
            <w:tcW w:w="2148" w:type="dxa"/>
          </w:tcPr>
          <w:p>
            <w:pPr>
              <w:pStyle w:val="Compact"/>
              <w:spacing w:after="40"/>
              <w:jc w:val="left"/>
            </w:pPr>
            <w:r>
              <w:rPr>
                <w:rStyle w:val="VerbatimChar"/>
                <w:sz w:val="18"/>
              </w:rPr>
              <w:t xml:space="preserve">MarginCallRaised</w:t>
            </w:r>
            <w:r>
              <w:rPr>
                <w:sz w:val="18"/>
              </w:rPr>
              <w:t xml:space="preserve">, cure-intent API,</w:t>
            </w:r>
            <w:r>
              <w:rPr>
                <w:sz w:val="18"/>
              </w:rPr>
              <w:t xml:space="preserve"> </w:t>
            </w:r>
            <w:r>
              <w:rPr>
                <w:rStyle w:val="VerbatimChar"/>
                <w:sz w:val="18"/>
              </w:rPr>
              <w:t xml:space="preserve">MarginCallCured</w:t>
            </w:r>
            <w:r>
              <w:rPr>
                <w:sz w:val="18"/>
              </w:rPr>
              <w:t xml:space="preserve"> </w:t>
            </w:r>
            <w:r>
              <w:rPr>
                <w:sz w:val="18"/>
              </w:rPr>
              <w:t xml:space="preserve">or</w:t>
            </w:r>
            <w:r>
              <w:rPr>
                <w:sz w:val="18"/>
              </w:rPr>
              <w:t xml:space="preserve"> </w:t>
            </w:r>
            <w:r>
              <w:rPr>
                <w:rStyle w:val="VerbatimChar"/>
                <w:sz w:val="18"/>
              </w:rPr>
              <w:t xml:space="preserve">MarginCallLapsed</w:t>
            </w:r>
          </w:p>
        </w:tc>
        <w:tc>
          <w:tcPr>
            <w:tcW w:w="3223" w:type="dxa"/>
          </w:tcPr>
          <w:p>
            <w:pPr>
              <w:pStyle w:val="Compact"/>
              <w:spacing w:after="40"/>
              <w:jc w:val="left"/>
            </w:pPr>
            <w:r>
              <w:rPr>
                <w:sz w:val="18"/>
              </w:rPr>
              <w:t xml:space="preserve">Listed shares, NBFC assets ≥ ₹100 crore: 50% LTV at all times, cure in 7 working days (CF para 106(1)); others Board policy</w:t>
            </w:r>
          </w:p>
        </w:tc>
      </w:tr>
      <w:tr>
        <w:tc>
          <w:tcPr>
            <w:tcW w:w="4267" w:type="dxa"/>
          </w:tcPr>
          <w:p>
            <w:pPr>
              <w:pStyle w:val="Compact"/>
              <w:spacing w:after="40"/>
              <w:jc w:val="left"/>
            </w:pPr>
            <w:r>
              <w:rPr>
                <w:sz w:val="18"/>
              </w:rPr>
              <w:t xml:space="preserve">9. Invocation by RE after pre-invocation notice (ICA ss.176–177; SEBI circular 5 Feb 2026 [VERIFY]); DP invokes or RTA redeems to RE</w:t>
            </w:r>
          </w:p>
        </w:tc>
        <w:tc>
          <w:tcPr>
            <w:tcW w:w="2148" w:type="dxa"/>
          </w:tcPr>
          <w:p>
            <w:pPr>
              <w:pStyle w:val="Compact"/>
              <w:spacing w:after="40"/>
              <w:jc w:val="left"/>
            </w:pPr>
            <w:r>
              <w:rPr>
                <w:rStyle w:val="VerbatimChar"/>
                <w:sz w:val="18"/>
              </w:rPr>
              <w:t xml:space="preserve">LegalNoticeIssued</w:t>
            </w:r>
            <w:r>
              <w:rPr>
                <w:sz w:val="18"/>
              </w:rPr>
              <w:t xml:space="preserve">,</w:t>
            </w:r>
            <w:r>
              <w:rPr>
                <w:sz w:val="18"/>
              </w:rPr>
              <w:t xml:space="preserve"> </w:t>
            </w:r>
            <w:r>
              <w:rPr>
                <w:rStyle w:val="VerbatimChar"/>
                <w:sz w:val="18"/>
              </w:rPr>
              <w:t xml:space="preserve">CollateralInvoked</w:t>
            </w:r>
            <w:r>
              <w:rPr>
                <w:sz w:val="18"/>
              </w:rPr>
              <w:t xml:space="preserve">,</w:t>
            </w:r>
            <w:r>
              <w:rPr>
                <w:sz w:val="18"/>
              </w:rPr>
              <w:t xml:space="preserve"> </w:t>
            </w:r>
            <w:r>
              <w:rPr>
                <w:rStyle w:val="VerbatimChar"/>
                <w:sz w:val="18"/>
              </w:rPr>
              <w:t xml:space="preserve">RecoveryReceiptPosted</w:t>
            </w:r>
            <w:r>
              <w:rPr>
                <w:sz w:val="18"/>
              </w:rPr>
              <w:t xml:space="preserve">,</w:t>
            </w:r>
            <w:r>
              <w:rPr>
                <w:sz w:val="18"/>
              </w:rPr>
              <w:t xml:space="preserve"> </w:t>
            </w:r>
            <w:r>
              <w:rPr>
                <w:rStyle w:val="VerbatimChar"/>
                <w:sz w:val="18"/>
              </w:rPr>
              <w:t xml:space="preserve">SurplusRefunded</w:t>
            </w:r>
          </w:p>
        </w:tc>
        <w:tc>
          <w:tcPr>
            <w:tcW w:w="3223" w:type="dxa"/>
          </w:tcPr>
          <w:p>
            <w:pPr>
              <w:pStyle w:val="Compact"/>
              <w:spacing w:after="40"/>
              <w:jc w:val="left"/>
            </w:pPr>
            <w:r>
              <w:rPr>
                <w:sz w:val="18"/>
              </w:rPr>
              <w:t xml:space="preserve">Locked-in securities excluded; takeover and insider disclosures where triggered [VERIFY]; surplus to borrower</w:t>
            </w:r>
          </w:p>
        </w:tc>
      </w:tr>
      <w:tr>
        <w:tc>
          <w:tcPr>
            <w:tcW w:w="4267" w:type="dxa"/>
          </w:tcPr>
          <w:p>
            <w:pPr>
              <w:pStyle w:val="Compact"/>
              <w:spacing w:after="40"/>
              <w:jc w:val="left"/>
            </w:pPr>
            <w:r>
              <w:rPr>
                <w:sz w:val="18"/>
              </w:rPr>
              <w:t xml:space="preserve">10. Release on zero dues, no hold</w:t>
            </w:r>
          </w:p>
        </w:tc>
        <w:tc>
          <w:tcPr>
            <w:tcW w:w="2148" w:type="dxa"/>
          </w:tcPr>
          <w:p>
            <w:pPr>
              <w:pStyle w:val="Compact"/>
              <w:spacing w:after="40"/>
              <w:jc w:val="left"/>
            </w:pPr>
            <w:r>
              <w:rPr>
                <w:rStyle w:val="VerbatimChar"/>
                <w:sz w:val="18"/>
              </w:rPr>
              <w:t xml:space="preserve">CollateralReleased</w:t>
            </w:r>
            <w:r>
              <w:rPr>
                <w:sz w:val="18"/>
              </w:rPr>
              <w:t xml:space="preserve">,</w:t>
            </w:r>
            <w:r>
              <w:rPr>
                <w:sz w:val="18"/>
              </w:rPr>
              <w:t xml:space="preserve"> </w:t>
            </w:r>
            <w:r>
              <w:rPr>
                <w:rStyle w:val="VerbatimChar"/>
                <w:sz w:val="18"/>
              </w:rPr>
              <w:t xml:space="preserve">NOCIssued</w:t>
            </w:r>
            <w:r>
              <w:rPr>
                <w:sz w:val="18"/>
              </w:rPr>
              <w:t xml:space="preserve">,</w:t>
            </w:r>
            <w:r>
              <w:rPr>
                <w:sz w:val="18"/>
              </w:rPr>
              <w:t xml:space="preserve"> </w:t>
            </w:r>
            <w:r>
              <w:rPr>
                <w:rStyle w:val="VerbatimChar"/>
                <w:sz w:val="18"/>
              </w:rPr>
              <w:t xml:space="preserve">LoanClosed</w:t>
            </w:r>
          </w:p>
        </w:tc>
        <w:tc>
          <w:tcPr>
            <w:tcW w:w="3223" w:type="dxa"/>
          </w:tcPr>
          <w:p>
            <w:pPr>
              <w:pStyle w:val="Compact"/>
              <w:spacing w:after="40"/>
              <w:jc w:val="left"/>
            </w:pPr>
            <w:r>
              <w:rPr>
                <w:sz w:val="18"/>
              </w:rPr>
              <w:t xml:space="preserve">≤ 2 working days [REC]</w:t>
            </w:r>
          </w:p>
        </w:tc>
      </w:tr>
      <w:tr>
        <w:tc>
          <w:tcPr>
            <w:tcW w:w="4267" w:type="dxa"/>
          </w:tcPr>
          <w:p>
            <w:pPr>
              <w:pStyle w:val="Compact"/>
              <w:spacing w:after="40"/>
              <w:jc w:val="left"/>
            </w:pPr>
            <w:r>
              <w:rPr>
                <w:sz w:val="18"/>
              </w:rPr>
              <w:t xml:space="preserve">11. Corporate actions; quarterly pledged-share report to exchanges (CF para 106(2)(ii)); daily pledge reconciliation</w:t>
            </w:r>
          </w:p>
        </w:tc>
        <w:tc>
          <w:tcPr>
            <w:tcW w:w="2148" w:type="dxa"/>
          </w:tcPr>
          <w:p>
            <w:pPr>
              <w:pStyle w:val="Compact"/>
              <w:spacing w:after="40"/>
              <w:jc w:val="left"/>
            </w:pPr>
            <w:r>
              <w:rPr>
                <w:rStyle w:val="VerbatimChar"/>
                <w:sz w:val="18"/>
              </w:rPr>
              <w:t xml:space="preserve">ReconciliationBreakRaised</w:t>
            </w:r>
          </w:p>
        </w:tc>
        <w:tc>
          <w:tcPr>
            <w:tcW w:w="3223" w:type="dxa"/>
          </w:tcPr>
          <w:p>
            <w:pPr>
              <w:pStyle w:val="Compact"/>
              <w:spacing w:after="40"/>
              <w:jc w:val="left"/>
            </w:pPr>
            <w:r>
              <w:rPr>
                <w:sz w:val="18"/>
              </w:rPr>
              <w:t xml:space="preserve">Quarterly; daily</w:t>
            </w:r>
          </w:p>
        </w:tc>
      </w:tr>
    </w:tbl>
    <w:bookmarkEnd w:id="67"/>
    <w:bookmarkStart w:id="68" w:name="daily-reconciliation-points"/>
    <w:p>
      <w:pPr>
        <w:pStyle w:val="Heading2"/>
      </w:pPr>
      <w:r>
        <w:t xml:space="preserve">7.4 Daily reconciliation points</w:t>
      </w:r>
    </w:p>
    <w:p>
      <w:pPr>
        <w:pStyle w:val="FirstParagraph"/>
      </w:pPr>
      <w:r>
        <w:t xml:space="preserve">Applications sent vs acknowledged; KFS issued vs accepted in validity; disbursement UTRs (bank, Finbyx, mirror); RE collections vs allocation vs Udofin and agency receipts; collateral registers vs depository, RTA, Vahan, CERSAI, TReDS, vault; co-lending escrow three-way; DLG cover, invocations, shares and disclosure (CF para 28); LSP fees paid by the RE (CF para 10(4)); classification-sync timestamps; servicer remittances per transferee (TDCR paras 29–30, 41); legal status vs Equator and court feeds; settlements vs consent decrees (RSA para 100).</w:t>
      </w:r>
    </w:p>
    <w:p>
      <w:r>
        <w:pict>
          <v:rect style="width:0;height:1.5pt" o:hralign="center" o:hrstd="t" o:hr="t"/>
        </w:pict>
      </w:r>
    </w:p>
    <w:bookmarkEnd w:id="68"/>
    <w:bookmarkEnd w:id="69"/>
    <w:bookmarkStart w:id="79" w:name="X23ebe552c78cc482f8b3597637fb9b0d02c7201"/>
    <w:p>
      <w:pPr>
        <w:pStyle w:val="Heading1"/>
      </w:pPr>
      <w:r>
        <w:t xml:space="preserve">8 — EQUATOR RESOLUTION (AND OTHER ODR/ADR PROVIDERS) INTEGRATION</w:t>
      </w:r>
    </w:p>
    <w:bookmarkStart w:id="70" w:name="role-and-principles"/>
    <w:p>
      <w:pPr>
        <w:pStyle w:val="Heading2"/>
      </w:pPr>
      <w:r>
        <w:t xml:space="preserve">8.1 Role and principles</w:t>
      </w:r>
    </w:p>
    <w:p>
      <w:pPr>
        <w:pStyle w:val="FirstParagraph"/>
      </w:pPr>
      <w:r>
        <w:t xml:space="preserve">Equator is an</w:t>
      </w:r>
      <w:r>
        <w:t xml:space="preserve"> </w:t>
      </w:r>
      <w:r>
        <w:rPr>
          <w:bCs/>
          <w:b/>
        </w:rPr>
        <w:t xml:space="preserve">independent ODR institution</w:t>
      </w:r>
      <w:r>
        <w:t xml:space="preserve">, not an agent of the RE or Udofin; common Infrabyx ownership is disclosed in every case and Equator is structurally separate (company, staff, panel, database, fee ledger) [VERIFY: legal opinion on Fifth Schedule justifiable doubts]. The integration is</w:t>
      </w:r>
      <w:r>
        <w:t xml:space="preserve"> </w:t>
      </w:r>
      <w:r>
        <w:rPr>
          <w:bCs/>
          <w:b/>
        </w:rPr>
        <w:t xml:space="preserve">provider-neutral</w:t>
      </w:r>
      <w:r>
        <w:t xml:space="preserve"> </w:t>
      </w:r>
      <w:r>
        <w:t xml:space="preserve">through</w:t>
      </w:r>
      <w:r>
        <w:t xml:space="preserve"> </w:t>
      </w:r>
      <w:r>
        <w:rPr>
          <w:rStyle w:val="VerbatimChar"/>
        </w:rPr>
        <w:t xml:space="preserve">OdrProvider</w:t>
      </w:r>
      <w:r>
        <w:t xml:space="preserve"> </w:t>
      </w:r>
      <w:r>
        <w:t xml:space="preserve">(8.9); no other surveyed provider publishes a lender API (research B), so file and portal fallbacks exist.</w:t>
      </w:r>
      <w:r>
        <w:t xml:space="preserve"> </w:t>
      </w:r>
      <w:r>
        <w:rPr>
          <w:bCs/>
          <w:b/>
        </w:rPr>
        <w:t xml:space="preserve">Only the RE refers:</w:t>
      </w:r>
      <w:r>
        <w:t xml:space="preserve"> </w:t>
      </w:r>
      <w:r>
        <w:rPr>
          <w:rStyle w:val="VerbatimChar"/>
        </w:rPr>
        <w:t xml:space="preserve">adr.referral:create</w:t>
      </w:r>
      <w:r>
        <w:t xml:space="preserve"> </w:t>
      </w:r>
      <w:r>
        <w:t xml:space="preserve">is never issued to an LSP, agency or borrower product; Udofin may suggest ADR and relay requests.</w:t>
      </w:r>
    </w:p>
    <w:bookmarkEnd w:id="70"/>
    <w:bookmarkStart w:id="71" w:name="referral-rules-and-gates"/>
    <w:p>
      <w:pPr>
        <w:pStyle w:val="Heading2"/>
      </w:pPr>
      <w:r>
        <w:t xml:space="preserve">8.2 Referral rules and gates</w:t>
      </w:r>
    </w:p>
    <w:p>
      <w:pPr>
        <w:pStyle w:val="FirstParagraph"/>
      </w:pPr>
      <w:r>
        <w:rPr>
          <w:bCs/>
          <w:b/>
        </w:rPr>
        <w:t xml:space="preserve">[LAW] Arbitration basis.</w:t>
      </w:r>
      <w:r>
        <w:t xml:space="preserve"> </w:t>
      </w:r>
      <w:r>
        <w:t xml:space="preserve">Refer only where the loan agreement names Equator or another independent institution, or the borrower gives written post-dispute consent (A&amp;C Act s.7; electronic form, s.7(4)(b)). The RE never appoints, nominates or offers a curated list (</w:t>
      </w:r>
      <w:r>
        <w:rPr>
          <w:iCs/>
          <w:i/>
        </w:rPr>
        <w:t xml:space="preserve">Perkins Eastman v HSCC</w:t>
      </w:r>
      <w:r>
        <w:t xml:space="preserve"> </w:t>
      </w:r>
      <w:r>
        <w:t xml:space="preserve">(2020) 20 SCC 760;</w:t>
      </w:r>
      <w:r>
        <w:t xml:space="preserve"> </w:t>
      </w:r>
      <w:r>
        <w:rPr>
          <w:iCs/>
          <w:i/>
        </w:rPr>
        <w:t xml:space="preserve">CORE v ECI-SPIC-SMO-MCML (JV)</w:t>
      </w:r>
      <w:r>
        <w:t xml:space="preserve">, SC Constitution Bench, 8 Nov 2024). Referral to a non-agreed ODR institution with the borrower silent made the award a nullity (</w:t>
      </w:r>
      <w:r>
        <w:rPr>
          <w:iCs/>
          <w:i/>
        </w:rPr>
        <w:t xml:space="preserve">L&amp;T Finance v Jai Paras Material Store</w:t>
      </w:r>
      <w:r>
        <w:t xml:space="preserve">, Cal HC, 14 May 2026); a named institution is not unilateral (</w:t>
      </w:r>
      <w:r>
        <w:rPr>
          <w:iCs/>
          <w:i/>
        </w:rPr>
        <w:t xml:space="preserve">Sundaram Finance v Hanuman Prasad</w:t>
      </w:r>
      <w:r>
        <w:t xml:space="preserve">, Raj HC, 2026); repeated appointment of one arbitrator breached s.12 and Fifth Schedule items 22 and 24 (</w:t>
      </w:r>
      <w:r>
        <w:rPr>
          <w:iCs/>
          <w:i/>
        </w:rPr>
        <w:t xml:space="preserve">Shikha Ghosh v Axis Bank</w:t>
      </w:r>
      <w:r>
        <w:t xml:space="preserve">, Del HC DB, 30 Sep 2026; next date 17 Nov 2026) [VERIFY: outcome and any RBI direction].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230"/>
        <w:gridCol w:w="3255"/>
        <w:gridCol w:w="3153"/>
      </w:tblGrid>
      <w:tr>
        <w:trPr>
          <w:tblHeader w:val="true"/>
          <w:tblHeader w:val="true"/>
        </w:trPr>
        <w:tc>
          <w:tcPr>
            <w:tcW w:w="3230" w:type="dxa"/>
            <w:shd w:val="clear" w:color="auto" w:fill="1F3A5F"/>
          </w:tcPr>
          <w:p>
            <w:pPr>
              <w:pStyle w:val="Compact"/>
              <w:spacing w:after="40"/>
              <w:jc w:val="left"/>
            </w:pPr>
            <w:r>
              <w:rPr>
                <w:b/>
                <w:color w:val="FFFFFF"/>
                <w:sz w:val="18"/>
              </w:rPr>
              <w:t xml:space="preserve">Gate (RS, before</w:t>
            </w:r>
            <w:r>
              <w:rPr>
                <w:b/>
                <w:color w:val="FFFFFF"/>
                <w:sz w:val="18"/>
              </w:rPr>
              <w:t xml:space="preserve"> </w:t>
            </w:r>
            <w:r>
              <w:rPr>
                <w:rStyle w:val="VerbatimChar"/>
                <w:b/>
                <w:color w:val="FFFFFF"/>
                <w:sz w:val="18"/>
              </w:rPr>
              <w:t xml:space="preserve">ADRReferralCreated</w:t>
            </w:r>
            <w:r>
              <w:rPr>
                <w:b/>
                <w:color w:val="FFFFFF"/>
                <w:sz w:val="18"/>
              </w:rPr>
              <w:t xml:space="preserve">; logged)</w:t>
            </w:r>
          </w:p>
        </w:tc>
        <w:tc>
          <w:tcPr>
            <w:tcW w:w="3255" w:type="dxa"/>
            <w:shd w:val="clear" w:color="auto" w:fill="1F3A5F"/>
          </w:tcPr>
          <w:p>
            <w:pPr>
              <w:pStyle w:val="Compact"/>
              <w:spacing w:after="40"/>
              <w:jc w:val="left"/>
            </w:pPr>
            <w:r>
              <w:rPr>
                <w:b/>
                <w:color w:val="FFFFFF"/>
                <w:sz w:val="18"/>
              </w:rPr>
              <w:t xml:space="preserve">Result</w:t>
            </w:r>
          </w:p>
        </w:tc>
        <w:tc>
          <w:tcPr>
            <w:tcW w:w="3153" w:type="dxa"/>
            <w:shd w:val="clear" w:color="auto" w:fill="1F3A5F"/>
          </w:tcPr>
          <w:p>
            <w:pPr>
              <w:pStyle w:val="Compact"/>
              <w:spacing w:after="40"/>
              <w:jc w:val="left"/>
            </w:pPr>
            <w:r>
              <w:rPr>
                <w:b/>
                <w:color w:val="FFFFFF"/>
                <w:sz w:val="18"/>
              </w:rPr>
              <w:t xml:space="preserve">Source</w:t>
            </w:r>
          </w:p>
        </w:tc>
      </w:tr>
      <w:tr>
        <w:tc>
          <w:tcPr>
            <w:tcW w:w="3230" w:type="dxa"/>
          </w:tcPr>
          <w:p>
            <w:pPr>
              <w:pStyle w:val="Compact"/>
              <w:spacing w:after="40"/>
              <w:jc w:val="left"/>
            </w:pPr>
            <w:r>
              <w:rPr>
                <w:sz w:val="18"/>
              </w:rPr>
              <w:t xml:space="preserve">Bank or notified FI, claim ≥ ₹20 lakh</w:t>
            </w:r>
          </w:p>
        </w:tc>
        <w:tc>
          <w:tcPr>
            <w:tcW w:w="3255" w:type="dxa"/>
          </w:tcPr>
          <w:p>
            <w:pPr>
              <w:pStyle w:val="Compact"/>
              <w:spacing w:after="40"/>
              <w:jc w:val="left"/>
            </w:pPr>
            <w:r>
              <w:rPr>
                <w:sz w:val="18"/>
              </w:rPr>
              <w:t xml:space="preserve">Arbitration blocked; other ADR allowed</w:t>
            </w:r>
          </w:p>
        </w:tc>
        <w:tc>
          <w:tcPr>
            <w:tcW w:w="3153" w:type="dxa"/>
          </w:tcPr>
          <w:p>
            <w:pPr>
              <w:pStyle w:val="Compact"/>
              <w:spacing w:after="40"/>
              <w:jc w:val="left"/>
            </w:pPr>
            <w:r>
              <w:rPr>
                <w:iCs/>
                <w:i/>
                <w:sz w:val="18"/>
              </w:rPr>
              <w:t xml:space="preserve">Vidya Drolia</w:t>
            </w:r>
            <w:r>
              <w:rPr>
                <w:sz w:val="18"/>
              </w:rPr>
              <w:t xml:space="preserve"> </w:t>
            </w:r>
            <w:r>
              <w:rPr>
                <w:sz w:val="18"/>
              </w:rPr>
              <w:t xml:space="preserve">(SC, 14 Dec 2020)</w:t>
            </w:r>
          </w:p>
        </w:tc>
      </w:tr>
      <w:tr>
        <w:tc>
          <w:tcPr>
            <w:tcW w:w="3230" w:type="dxa"/>
          </w:tcPr>
          <w:p>
            <w:pPr>
              <w:pStyle w:val="Compact"/>
              <w:spacing w:after="40"/>
              <w:jc w:val="left"/>
            </w:pPr>
            <w:r>
              <w:rPr>
                <w:sz w:val="18"/>
              </w:rPr>
              <w:t xml:space="preserve">Mortgage enforcement in rem</w:t>
            </w:r>
          </w:p>
        </w:tc>
        <w:tc>
          <w:tcPr>
            <w:tcW w:w="3255" w:type="dxa"/>
          </w:tcPr>
          <w:p>
            <w:pPr>
              <w:pStyle w:val="Compact"/>
              <w:spacing w:after="40"/>
              <w:jc w:val="left"/>
            </w:pPr>
            <w:r>
              <w:rPr>
                <w:sz w:val="18"/>
              </w:rPr>
              <w:t xml:space="preserve">Arbitration blocked for that relief</w:t>
            </w:r>
          </w:p>
        </w:tc>
        <w:tc>
          <w:tcPr>
            <w:tcW w:w="3153" w:type="dxa"/>
          </w:tcPr>
          <w:p>
            <w:pPr>
              <w:pStyle w:val="Compact"/>
              <w:spacing w:after="40"/>
              <w:jc w:val="left"/>
            </w:pPr>
            <w:r>
              <w:rPr>
                <w:iCs/>
                <w:i/>
                <w:sz w:val="18"/>
              </w:rPr>
              <w:t xml:space="preserve">Booz Allen</w:t>
            </w:r>
            <w:r>
              <w:rPr>
                <w:sz w:val="18"/>
              </w:rPr>
              <w:t xml:space="preserve"> </w:t>
            </w:r>
            <w:r>
              <w:rPr>
                <w:sz w:val="18"/>
              </w:rPr>
              <w:t xml:space="preserve">(2011) 5 SCC 532</w:t>
            </w:r>
          </w:p>
        </w:tc>
      </w:tr>
      <w:tr>
        <w:tc>
          <w:tcPr>
            <w:tcW w:w="3230" w:type="dxa"/>
          </w:tcPr>
          <w:p>
            <w:pPr>
              <w:pStyle w:val="Compact"/>
              <w:spacing w:after="40"/>
              <w:jc w:val="left"/>
            </w:pPr>
            <w:r>
              <w:rPr>
                <w:sz w:val="18"/>
              </w:rPr>
              <w:t xml:space="preserve">IBC moratorium (ss.14, 96, 101)</w:t>
            </w:r>
          </w:p>
        </w:tc>
        <w:tc>
          <w:tcPr>
            <w:tcW w:w="3255" w:type="dxa"/>
          </w:tcPr>
          <w:p>
            <w:pPr>
              <w:pStyle w:val="Compact"/>
              <w:spacing w:after="40"/>
              <w:jc w:val="left"/>
            </w:pPr>
            <w:r>
              <w:rPr>
                <w:sz w:val="18"/>
              </w:rPr>
              <w:t xml:space="preserve">All ADR on hold</w:t>
            </w:r>
          </w:p>
        </w:tc>
        <w:tc>
          <w:tcPr>
            <w:tcW w:w="3153" w:type="dxa"/>
          </w:tcPr>
          <w:p>
            <w:pPr>
              <w:pStyle w:val="Compact"/>
              <w:spacing w:after="40"/>
              <w:jc w:val="left"/>
            </w:pPr>
            <w:r>
              <w:rPr>
                <w:sz w:val="18"/>
              </w:rPr>
              <w:t xml:space="preserve">IBC</w:t>
            </w:r>
          </w:p>
        </w:tc>
      </w:tr>
      <w:tr>
        <w:tc>
          <w:tcPr>
            <w:tcW w:w="3230" w:type="dxa"/>
          </w:tcPr>
          <w:p>
            <w:pPr>
              <w:pStyle w:val="Compact"/>
              <w:spacing w:after="40"/>
              <w:jc w:val="left"/>
            </w:pPr>
            <w:r>
              <w:rPr>
                <w:sz w:val="18"/>
              </w:rPr>
              <w:t xml:space="preserve">Fraud or wilful defaulter</w:t>
            </w:r>
          </w:p>
        </w:tc>
        <w:tc>
          <w:tcPr>
            <w:tcW w:w="3255" w:type="dxa"/>
          </w:tcPr>
          <w:p>
            <w:pPr>
              <w:pStyle w:val="Compact"/>
              <w:spacing w:after="40"/>
              <w:jc w:val="left"/>
            </w:pPr>
            <w:r>
              <w:rPr>
                <w:sz w:val="18"/>
              </w:rPr>
              <w:t xml:space="preserve">Board approval; criminal track continues</w:t>
            </w:r>
          </w:p>
        </w:tc>
        <w:tc>
          <w:tcPr>
            <w:tcW w:w="3153" w:type="dxa"/>
          </w:tcPr>
          <w:p>
            <w:pPr>
              <w:pStyle w:val="Compact"/>
              <w:spacing w:after="40"/>
              <w:jc w:val="left"/>
            </w:pPr>
            <w:r>
              <w:rPr>
                <w:sz w:val="18"/>
              </w:rPr>
              <w:t xml:space="preserve">RSA paras 16(5)(ii), 97</w:t>
            </w:r>
          </w:p>
        </w:tc>
      </w:tr>
      <w:tr>
        <w:tc>
          <w:tcPr>
            <w:tcW w:w="3230" w:type="dxa"/>
          </w:tcPr>
          <w:p>
            <w:pPr>
              <w:pStyle w:val="Compact"/>
              <w:spacing w:after="40"/>
              <w:jc w:val="left"/>
            </w:pPr>
            <w:r>
              <w:rPr>
                <w:sz w:val="18"/>
              </w:rPr>
              <w:t xml:space="preserve">Proceeding pending</w:t>
            </w:r>
          </w:p>
        </w:tc>
        <w:tc>
          <w:tcPr>
            <w:tcW w:w="3255" w:type="dxa"/>
          </w:tcPr>
          <w:p>
            <w:pPr>
              <w:pStyle w:val="Compact"/>
              <w:spacing w:after="40"/>
              <w:jc w:val="left"/>
            </w:pPr>
            <w:r>
              <w:rPr>
                <w:sz w:val="18"/>
              </w:rPr>
              <w:t xml:space="preserve">Settlement needs consent decree</w:t>
            </w:r>
          </w:p>
        </w:tc>
        <w:tc>
          <w:tcPr>
            <w:tcW w:w="3153" w:type="dxa"/>
          </w:tcPr>
          <w:p>
            <w:pPr>
              <w:pStyle w:val="Compact"/>
              <w:spacing w:after="40"/>
              <w:jc w:val="left"/>
            </w:pPr>
            <w:r>
              <w:rPr>
                <w:sz w:val="18"/>
              </w:rPr>
              <w:t xml:space="preserve">RSA para 100</w:t>
            </w:r>
          </w:p>
        </w:tc>
      </w:tr>
      <w:tr>
        <w:tc>
          <w:tcPr>
            <w:tcW w:w="3230" w:type="dxa"/>
          </w:tcPr>
          <w:p>
            <w:pPr>
              <w:pStyle w:val="Compact"/>
              <w:spacing w:after="40"/>
              <w:jc w:val="left"/>
            </w:pPr>
            <w:r>
              <w:rPr>
                <w:sz w:val="18"/>
              </w:rPr>
              <w:t xml:space="preserve">Consumer complaint pending</w:t>
            </w:r>
          </w:p>
        </w:tc>
        <w:tc>
          <w:tcPr>
            <w:tcW w:w="3255" w:type="dxa"/>
          </w:tcPr>
          <w:p>
            <w:pPr>
              <w:pStyle w:val="Compact"/>
              <w:spacing w:after="40"/>
              <w:jc w:val="left"/>
            </w:pPr>
            <w:r>
              <w:rPr>
                <w:sz w:val="18"/>
              </w:rPr>
              <w:t xml:space="preserve">Cannot compel arbitration</w:t>
            </w:r>
          </w:p>
        </w:tc>
        <w:tc>
          <w:tcPr>
            <w:tcW w:w="3153" w:type="dxa"/>
          </w:tcPr>
          <w:p>
            <w:pPr>
              <w:pStyle w:val="Compact"/>
              <w:spacing w:after="40"/>
              <w:jc w:val="left"/>
            </w:pPr>
            <w:r>
              <w:rPr>
                <w:iCs/>
                <w:i/>
                <w:sz w:val="18"/>
              </w:rPr>
              <w:t xml:space="preserve">Emaar MGF v Aftab Singh</w:t>
            </w:r>
            <w:r>
              <w:rPr>
                <w:sz w:val="18"/>
              </w:rPr>
              <w:t xml:space="preserve"> </w:t>
            </w:r>
            <w:r>
              <w:rPr>
                <w:sz w:val="18"/>
              </w:rPr>
              <w:t xml:space="preserve">(2019) 12 SCC 751</w:t>
            </w:r>
          </w:p>
        </w:tc>
      </w:tr>
      <w:tr>
        <w:tc>
          <w:tcPr>
            <w:tcW w:w="3230" w:type="dxa"/>
          </w:tcPr>
          <w:p>
            <w:pPr>
              <w:pStyle w:val="Compact"/>
              <w:spacing w:after="40"/>
              <w:jc w:val="left"/>
            </w:pPr>
            <w:r>
              <w:rPr>
                <w:sz w:val="18"/>
              </w:rPr>
              <w:t xml:space="preserve">Clause absent, unilateral or no institution</w:t>
            </w:r>
          </w:p>
        </w:tc>
        <w:tc>
          <w:tcPr>
            <w:tcW w:w="3255" w:type="dxa"/>
          </w:tcPr>
          <w:p>
            <w:pPr>
              <w:pStyle w:val="Compact"/>
              <w:spacing w:after="40"/>
              <w:jc w:val="left"/>
            </w:pPr>
            <w:r>
              <w:rPr>
                <w:sz w:val="18"/>
              </w:rPr>
              <w:t xml:space="preserve">Post-dispute e-signed consent or s.11 petition; never auto-refer</w:t>
            </w:r>
          </w:p>
        </w:tc>
        <w:tc>
          <w:tcPr>
            <w:tcW w:w="3153" w:type="dxa"/>
          </w:tcPr>
          <w:p>
            <w:pPr>
              <w:pStyle w:val="Compact"/>
              <w:spacing w:after="40"/>
              <w:jc w:val="left"/>
            </w:pPr>
            <w:r>
              <w:rPr>
                <w:iCs/>
                <w:i/>
                <w:sz w:val="18"/>
              </w:rPr>
              <w:t xml:space="preserve">L&amp;T Finance</w:t>
            </w:r>
          </w:p>
        </w:tc>
      </w:tr>
      <w:tr>
        <w:tc>
          <w:tcPr>
            <w:tcW w:w="3230" w:type="dxa"/>
          </w:tcPr>
          <w:p>
            <w:pPr>
              <w:pStyle w:val="Compact"/>
              <w:spacing w:after="40"/>
              <w:jc w:val="left"/>
            </w:pPr>
            <w:r>
              <w:rPr>
                <w:sz w:val="18"/>
              </w:rPr>
              <w:t xml:space="preserve">s.21 notice lacks service evidence at known addresses and email</w:t>
            </w:r>
          </w:p>
        </w:tc>
        <w:tc>
          <w:tcPr>
            <w:tcW w:w="3255" w:type="dxa"/>
          </w:tcPr>
          <w:p>
            <w:pPr>
              <w:pStyle w:val="Compact"/>
              <w:spacing w:after="40"/>
              <w:jc w:val="left"/>
            </w:pPr>
            <w:r>
              <w:rPr>
                <w:sz w:val="18"/>
              </w:rPr>
              <w:t xml:space="preserve">Blocked</w:t>
            </w:r>
          </w:p>
        </w:tc>
        <w:tc>
          <w:tcPr>
            <w:tcW w:w="3153" w:type="dxa"/>
          </w:tcPr>
          <w:p>
            <w:pPr>
              <w:pStyle w:val="Compact"/>
              <w:spacing w:after="40"/>
              <w:jc w:val="left"/>
            </w:pPr>
            <w:r>
              <w:rPr>
                <w:iCs/>
                <w:i/>
                <w:sz w:val="18"/>
              </w:rPr>
              <w:t xml:space="preserve">Sedhram Nilkanth Muglikar v M.R. Makhare</w:t>
            </w:r>
            <w:r>
              <w:rPr>
                <w:sz w:val="18"/>
              </w:rPr>
              <w:t xml:space="preserve"> </w:t>
            </w:r>
            <w:r>
              <w:rPr>
                <w:sz w:val="18"/>
              </w:rPr>
              <w:t xml:space="preserve">(Bom HC, 2026)</w:t>
            </w:r>
          </w:p>
        </w:tc>
      </w:tr>
      <w:tr>
        <w:tc>
          <w:tcPr>
            <w:tcW w:w="3230" w:type="dxa"/>
          </w:tcPr>
          <w:p>
            <w:pPr>
              <w:pStyle w:val="Compact"/>
              <w:spacing w:after="40"/>
              <w:jc w:val="left"/>
            </w:pPr>
            <w:r>
              <w:rPr>
                <w:sz w:val="18"/>
              </w:rPr>
              <w:t xml:space="preserve">Suit route ≥ ₹3 lakh, no urgent relief</w:t>
            </w:r>
          </w:p>
        </w:tc>
        <w:tc>
          <w:tcPr>
            <w:tcW w:w="3255" w:type="dxa"/>
          </w:tcPr>
          <w:p>
            <w:pPr>
              <w:pStyle w:val="Compact"/>
              <w:spacing w:after="40"/>
              <w:jc w:val="left"/>
            </w:pPr>
            <w:r>
              <w:rPr>
                <w:sz w:val="18"/>
              </w:rPr>
              <w:t xml:space="preserve">s.12A mediation (3 + 2 months) first</w:t>
            </w:r>
          </w:p>
        </w:tc>
        <w:tc>
          <w:tcPr>
            <w:tcW w:w="3153" w:type="dxa"/>
          </w:tcPr>
          <w:p>
            <w:pPr>
              <w:pStyle w:val="Compact"/>
              <w:spacing w:after="40"/>
              <w:jc w:val="left"/>
            </w:pPr>
            <w:r>
              <w:rPr>
                <w:sz w:val="18"/>
              </w:rPr>
              <w:t xml:space="preserve">Commercial Courts Act s.12A;</w:t>
            </w:r>
            <w:r>
              <w:rPr>
                <w:sz w:val="18"/>
              </w:rPr>
              <w:t xml:space="preserve"> </w:t>
            </w:r>
            <w:r>
              <w:rPr>
                <w:iCs/>
                <w:i/>
                <w:sz w:val="18"/>
              </w:rPr>
              <w:t xml:space="preserve">Dhanbad Fuels</w:t>
            </w:r>
            <w:r>
              <w:rPr>
                <w:sz w:val="18"/>
              </w:rPr>
              <w:t xml:space="preserve"> </w:t>
            </w:r>
            <w:r>
              <w:rPr>
                <w:sz w:val="18"/>
              </w:rPr>
              <w:t xml:space="preserve">(SC, 15 May 2025)</w:t>
            </w:r>
          </w:p>
        </w:tc>
      </w:tr>
      <w:tr>
        <w:tc>
          <w:tcPr>
            <w:tcW w:w="3230" w:type="dxa"/>
          </w:tcPr>
          <w:p>
            <w:pPr>
              <w:pStyle w:val="Compact"/>
              <w:spacing w:after="40"/>
              <w:jc w:val="left"/>
            </w:pPr>
            <w:r>
              <w:rPr>
                <w:sz w:val="18"/>
              </w:rPr>
              <w:t xml:space="preserve">Retail, contactable</w:t>
            </w:r>
          </w:p>
        </w:tc>
        <w:tc>
          <w:tcPr>
            <w:tcW w:w="3255" w:type="dxa"/>
          </w:tcPr>
          <w:p>
            <w:pPr>
              <w:pStyle w:val="Compact"/>
              <w:spacing w:after="40"/>
              <w:jc w:val="left"/>
            </w:pPr>
            <w:r>
              <w:rPr>
                <w:sz w:val="18"/>
              </w:rPr>
              <w:t xml:space="preserve">Conciliation or Lok Adalat first [REC]</w:t>
            </w:r>
          </w:p>
        </w:tc>
        <w:tc>
          <w:tcPr>
            <w:tcW w:w="3153" w:type="dxa"/>
          </w:tcPr>
          <w:p>
            <w:pPr>
              <w:pStyle w:val="Compact"/>
              <w:spacing w:after="40"/>
              <w:jc w:val="left"/>
            </w:pPr>
            <w:r>
              <w:rPr>
                <w:sz w:val="18"/>
              </w:rPr>
              <w:t xml:space="preserve">A&amp;C Act Part III; LSA Act</w:t>
            </w:r>
          </w:p>
        </w:tc>
      </w:tr>
    </w:tbl>
    <w:p>
      <w:pPr>
        <w:pStyle w:val="BodyText"/>
      </w:pPr>
      <w:r>
        <w:rPr>
          <w:bCs/>
          <w:b/>
        </w:rPr>
        <w:t xml:space="preserve">Process status (19 Oct 2026).</w:t>
      </w:r>
      <w:r>
        <w:t xml:space="preserve"> </w:t>
      </w:r>
      <w:r>
        <w:rPr>
          <w:bCs/>
          <w:b/>
        </w:rPr>
        <w:t xml:space="preserve">Conciliation</w:t>
      </w:r>
      <w:r>
        <w:t xml:space="preserve"> </w:t>
      </w:r>
      <w:r>
        <w:t xml:space="preserve">is the default enforceable route: a s.73 settlement authenticated by the conciliator has arbitral-award status (s.74, s.30), enforceable under s.36; 30 days’ silence rejects an invitation (s.62(4)).</w:t>
      </w:r>
      <w:r>
        <w:t xml:space="preserve"> </w:t>
      </w:r>
      <w:r>
        <w:rPr>
          <w:bCs/>
          <w:b/>
        </w:rPr>
        <w:t xml:space="preserve">Mediation Act 2023:</w:t>
      </w:r>
      <w:r>
        <w:t xml:space="preserve"> </w:t>
      </w:r>
      <w:r>
        <w:t xml:space="preserve">only ss.1, 3, 26, 31–38, 45–47, 50–54, 56–57 in force (S.O. 4384(E), 9 Oct 2023); Mediation Council established 27 Aug 2026; ss.4–25, 27–30 and 39–44 (incl. s.27 enforcement, s.30 online mediation) not in force (s.26 is in force), so a private mediated settlement is only a contract [VERIFY: e-Gazette each release].</w:t>
      </w:r>
      <w:r>
        <w:t xml:space="preserve"> </w:t>
      </w:r>
      <w:r>
        <w:rPr>
          <w:bCs/>
          <w:b/>
        </w:rPr>
        <w:t xml:space="preserve">Lok Adalat</w:t>
      </w:r>
      <w:r>
        <w:t xml:space="preserve"> </w:t>
      </w:r>
      <w:r>
        <w:t xml:space="preserve">awards are deemed decrees, final (LSA Act s.21); Permanent Lok Adalat covers financial services only where notified, up to ₹1 crore [VERIFY: per state]; next National Lok Adalat 12 Dec 2026 [VERIFY].</w:t>
      </w:r>
      <w:r>
        <w:t xml:space="preserve"> </w:t>
      </w:r>
      <w:r>
        <w:rPr>
          <w:bCs/>
          <w:b/>
        </w:rPr>
        <w:t xml:space="preserve">Arbitration:</w:t>
      </w:r>
      <w:r>
        <w:t xml:space="preserve"> </w:t>
      </w:r>
      <w:r>
        <w:t xml:space="preserve">pleadings ≤ 6 months (s.23(4)); award ≤ 12 months from pleadings + 6 by consent (s.29A); fast track 6 months (s.29B).</w:t>
      </w:r>
    </w:p>
    <w:bookmarkEnd w:id="71"/>
    <w:bookmarkStart w:id="72" w:name="case-state-machine"/>
    <w:p>
      <w:pPr>
        <w:pStyle w:val="Heading2"/>
      </w:pPr>
      <w:r>
        <w:t xml:space="preserve">8.3 Case state machine</w:t>
      </w:r>
    </w:p>
    <w:p>
      <w:pPr>
        <w:pStyle w:val="SourceCode"/>
      </w:pPr>
      <w:r>
        <w:rPr>
          <w:rStyle w:val="VerbatimChar"/>
        </w:rPr>
        <w:t xml:space="preserve">DRAFT(RE) → REFERRED → SCREENING → {RETURNED_FOR_INFO | SCREEN_REJECTED | ACCEPTED}</w:t>
      </w:r>
      <w:r>
        <w:br/>
      </w:r>
      <w:r>
        <w:rPr>
          <w:rStyle w:val="VerbatimChar"/>
        </w:rPr>
        <w:t xml:space="preserve">ACCEPTED → NOTICE_ISSUED → {SERVED | SERVICE_FAILED → RE_SERVICE(n) → COURT_SUBSTITUTED_SERVICE}</w:t>
      </w:r>
      <w:r>
        <w:br/>
      </w:r>
      <w:r>
        <w:rPr>
          <w:rStyle w:val="VerbatimChar"/>
        </w:rPr>
        <w:t xml:space="preserve">SERVED → TRACK{NEGOTIATION | CONCILIATION | MEDIATION | ARBITRATION | LOK_ADALAT_HANDOFF}</w:t>
      </w:r>
      <w:r>
        <w:br/>
      </w:r>
      <w:r>
        <w:rPr>
          <w:rStyle w:val="VerbatimChar"/>
        </w:rPr>
        <w:t xml:space="preserve">CONC/MED: INVITED → {CONSENTED | DECLINED | DEEMED_DECLINED(30d)} → NEUTRAL_APPOINTED → SESSIONS</w:t>
      </w:r>
      <w:r>
        <w:br/>
      </w:r>
      <w:r>
        <w:rPr>
          <w:rStyle w:val="VerbatimChar"/>
        </w:rPr>
        <w:t xml:space="preserve">          → {SETTLEMENT_PROPOSED → SETTLED | NON_SETTLEMENT}</w:t>
      </w:r>
      <w:r>
        <w:br/>
      </w:r>
      <w:r>
        <w:rPr>
          <w:rStyle w:val="VerbatimChar"/>
        </w:rPr>
        <w:t xml:space="preserve">ARB: APPOINTMENT_PENDING → DISCLOSURE_FILED → CHALLENGE_WINDOW → CONSTITUTED → PLEADINGS(6m)</w:t>
      </w:r>
      <w:r>
        <w:br/>
      </w:r>
      <w:r>
        <w:rPr>
          <w:rStyle w:val="VerbatimChar"/>
        </w:rPr>
        <w:t xml:space="preserve">     → HEARING | DOCS_ONLY → AWARD_SIGNED → AWARD_STAMPED → AWARD_SERVED → CORRECTION(30d)</w:t>
      </w:r>
      <w:r>
        <w:br/>
      </w:r>
      <w:r>
        <w:rPr>
          <w:rStyle w:val="VerbatimChar"/>
        </w:rPr>
        <w:t xml:space="preserve">     → CHALLENGE_WINDOW(3m+30d) → {FINAL | CHALLENGED}</w:t>
      </w:r>
      <w:r>
        <w:br/>
      </w:r>
      <w:r>
        <w:rPr>
          <w:rStyle w:val="VerbatimChar"/>
        </w:rPr>
        <w:t xml:space="preserve">SETTLED | FINAL → COMPLIANCE → {PAID → CLOSED | BREACH → ENFORCEMENT_REFERRED → CLOSED}</w:t>
      </w:r>
      <w:r>
        <w:br/>
      </w:r>
      <w:r>
        <w:rPr>
          <w:rStyle w:val="VerbatimChar"/>
        </w:rPr>
        <w:t xml:space="preserve">any → WITHDRAWN | TERMINATED | STAYED | MANDATE_EXPIRED → MANDATE_EXTENDED(s.29A)</w:t>
      </w:r>
    </w:p>
    <w:p>
      <w:pPr>
        <w:pStyle w:val="FirstParagraph"/>
      </w:pPr>
      <w:r>
        <w:t xml:space="preserve">Transitions emit</w:t>
      </w:r>
      <w:r>
        <w:t xml:space="preserve"> </w:t>
      </w:r>
      <w:r>
        <w:rPr>
          <w:rStyle w:val="VerbatimChar"/>
        </w:rPr>
        <w:t xml:space="preserve">ADRCaseStatusChanged</w:t>
      </w:r>
      <w:r>
        <w:t xml:space="preserve">; consents</w:t>
      </w:r>
      <w:r>
        <w:t xml:space="preserve"> </w:t>
      </w:r>
      <w:r>
        <w:rPr>
          <w:rStyle w:val="VerbatimChar"/>
        </w:rPr>
        <w:t xml:space="preserve">ADRConsentRecorded</w:t>
      </w:r>
      <w:r>
        <w:t xml:space="preserve">; appointments</w:t>
      </w:r>
      <w:r>
        <w:t xml:space="preserve"> </w:t>
      </w:r>
      <w:r>
        <w:rPr>
          <w:rStyle w:val="VerbatimChar"/>
        </w:rPr>
        <w:t xml:space="preserve">ADRNeutralAppointed</w:t>
      </w:r>
      <w:r>
        <w:t xml:space="preserve">; hearings</w:t>
      </w:r>
      <w:r>
        <w:t xml:space="preserve"> </w:t>
      </w:r>
      <w:r>
        <w:rPr>
          <w:rStyle w:val="VerbatimChar"/>
        </w:rPr>
        <w:t xml:space="preserve">ADRHearingScheduled</w:t>
      </w:r>
      <w:r>
        <w:t xml:space="preserve">; deliveries</w:t>
      </w:r>
      <w:r>
        <w:t xml:space="preserve"> </w:t>
      </w:r>
      <w:r>
        <w:rPr>
          <w:rStyle w:val="VerbatimChar"/>
        </w:rPr>
        <w:t xml:space="preserve">NoticeServiceUpdated</w:t>
      </w:r>
      <w:r>
        <w:t xml:space="preserve">; outcomes</w:t>
      </w:r>
      <w:r>
        <w:t xml:space="preserve"> </w:t>
      </w:r>
      <w:r>
        <w:rPr>
          <w:rStyle w:val="VerbatimChar"/>
        </w:rPr>
        <w:t xml:space="preserve">ADROutcomeRecorded</w:t>
      </w:r>
      <w:r>
        <w:t xml:space="preserve">. A</w:t>
      </w:r>
      <w:r>
        <w:t xml:space="preserve"> </w:t>
      </w:r>
      <w:r>
        <w:rPr>
          <w:rStyle w:val="VerbatimChar"/>
        </w:rPr>
        <w:t xml:space="preserve">SETTLEMENT_PROPOSED</w:t>
      </w:r>
      <w:r>
        <w:t xml:space="preserve"> </w:t>
      </w:r>
      <w:r>
        <w:t xml:space="preserve">outside the RE’s mandate needs</w:t>
      </w:r>
      <w:r>
        <w:t xml:space="preserve"> </w:t>
      </w:r>
      <w:r>
        <w:rPr>
          <w:rStyle w:val="VerbatimChar"/>
        </w:rPr>
        <w:t xml:space="preserve">SettlementApproved</w:t>
      </w:r>
      <w:r>
        <w:t xml:space="preserve"> </w:t>
      </w:r>
      <w:r>
        <w:t xml:space="preserve">before signing.</w:t>
      </w:r>
    </w:p>
    <w:bookmarkEnd w:id="72"/>
    <w:bookmarkStart w:id="73" w:name="data-ownership-and-evidence-pack"/>
    <w:p>
      <w:pPr>
        <w:pStyle w:val="Heading2"/>
      </w:pPr>
      <w:r>
        <w:t xml:space="preserve">8.4 Data ownership and evidence pack</w:t>
      </w:r>
    </w:p>
    <w:p>
      <w:pPr>
        <w:numPr>
          <w:ilvl w:val="0"/>
          <w:numId w:val="1008"/>
        </w:numPr>
        <w:pStyle w:val="Compact"/>
      </w:pPr>
      <w:r>
        <w:rPr>
          <w:bCs/>
          <w:b/>
        </w:rPr>
        <w:t xml:space="preserve">RE (FX, RS):</w:t>
      </w:r>
      <w:r>
        <w:t xml:space="preserve"> </w:t>
      </w:r>
      <w:r>
        <w:t xml:space="preserve">loan, KYC, contacts, statement of account, claim, agreement with clause and stamp proof, recall and s.21 notices, mandate and approvals, accounting, classification, CIC reporting, execution litigation.</w:t>
      </w:r>
      <w:r>
        <w:t xml:space="preserve"> </w:t>
      </w:r>
      <w:r>
        <w:rPr>
          <w:bCs/>
          <w:b/>
        </w:rPr>
        <w:t xml:space="preserve">Equator:</w:t>
      </w:r>
      <w:r>
        <w:t xml:space="preserve"> </w:t>
      </w:r>
      <w:r>
        <w:t xml:space="preserve">docket, panel, selection log, disclosures, orders, hearing records, original instruments and certified copies, service logs, fees.</w:t>
      </w:r>
      <w:r>
        <w:t xml:space="preserve"> </w:t>
      </w:r>
      <w:r>
        <w:rPr>
          <w:bCs/>
          <w:b/>
        </w:rPr>
        <w:t xml:space="preserve">Udofin:</w:t>
      </w:r>
      <w:r>
        <w:t xml:space="preserve"> </w:t>
      </w:r>
      <w:r>
        <w:t xml:space="preserve">presentation, grievance intake, relay only. DPDP: RE is fiduciary for loan data; Equator processes referral data and is fiduciary for case records [INTERP] [VERIFY: s.17(1)(a)].</w:t>
      </w:r>
    </w:p>
    <w:p>
      <w:pPr>
        <w:numPr>
          <w:ilvl w:val="0"/>
          <w:numId w:val="1008"/>
        </w:numPr>
        <w:pStyle w:val="Compact"/>
      </w:pPr>
      <w:r>
        <w:rPr>
          <w:bCs/>
          <w:b/>
        </w:rPr>
        <w:t xml:space="preserve">Referral pack</w:t>
      </w:r>
      <w:r>
        <w:t xml:space="preserve"> </w:t>
      </w:r>
      <w:r>
        <w:t xml:space="preserve">(hash and JWS each): agreement with clause and stamp certificate, KFS, sanction letter, certified statement with electronic-record certificate (Bharatiya Sakshya Adhiniyam 2023 [VERIFY: section]), recall and s.21 notices with proofs, claim, authority letter, sealed settlement band.</w:t>
      </w:r>
      <w:r>
        <w:t xml:space="preserve"> </w:t>
      </w:r>
      <w:r>
        <w:rPr>
          <w:bCs/>
          <w:b/>
        </w:rPr>
        <w:t xml:space="preserve">Outputs:</w:t>
      </w:r>
      <w:r>
        <w:t xml:space="preserve"> </w:t>
      </w:r>
      <w:r>
        <w:t xml:space="preserve">notices, orders (no mediation record), s.73 or s.19 settlement, award (eSigned, e-stamped, PDF/A-2b), certified copies, non-settlement report.</w:t>
      </w:r>
    </w:p>
    <w:bookmarkEnd w:id="73"/>
    <w:bookmarkStart w:id="74" w:name="onboarding-hearings-outcomes-and-payment"/>
    <w:p>
      <w:pPr>
        <w:pStyle w:val="Heading2"/>
      </w:pPr>
      <w:r>
        <w:t xml:space="preserve">8.5 Onboarding, hearings, outcomes and payment</w:t>
      </w:r>
    </w:p>
    <w:p>
      <w:pPr>
        <w:numPr>
          <w:ilvl w:val="0"/>
          <w:numId w:val="1009"/>
        </w:numPr>
        <w:pStyle w:val="Compact"/>
      </w:pPr>
      <w:r>
        <w:t xml:space="preserve">Borrowers enter per Part 4.4; staff and counsel by SCIM. Udofin shows only status, next action, hearing launch, RE payment instructions and outcome summary.</w:t>
      </w:r>
    </w:p>
    <w:p>
      <w:pPr>
        <w:numPr>
          <w:ilvl w:val="0"/>
          <w:numId w:val="1009"/>
        </w:numPr>
        <w:pStyle w:val="Compact"/>
      </w:pPr>
      <w:r>
        <w:t xml:space="preserve">Video, documents-only and witness sessions; venue distinct from seat (s.20(3)) [REC: borrower-proximate seat]; links ≥ 3 days ahead;</w:t>
      </w:r>
      <w:r>
        <w:t xml:space="preserve"> </w:t>
      </w:r>
      <w:r>
        <w:rPr>
          <w:bCs/>
          <w:b/>
        </w:rPr>
        <w:t xml:space="preserve">mediation and conciliation never recorded</w:t>
      </w:r>
      <w:r>
        <w:t xml:space="preserve"> </w:t>
      </w:r>
      <w:r>
        <w:t xml:space="preserve">(A&amp;C Act s.75; Mediation Act ss.22–23 once in force).</w:t>
      </w:r>
    </w:p>
    <w:p>
      <w:pPr>
        <w:numPr>
          <w:ilvl w:val="0"/>
          <w:numId w:val="1009"/>
        </w:numPr>
        <w:pStyle w:val="Compact"/>
      </w:pPr>
      <w:r>
        <w:t xml:space="preserve">Instruments are eSigned and</w:t>
      </w:r>
      <w:r>
        <w:t xml:space="preserve"> </w:t>
      </w:r>
      <w:r>
        <w:rPr>
          <w:bCs/>
          <w:b/>
        </w:rPr>
        <w:t xml:space="preserve">e-stamped at signing</w:t>
      </w:r>
      <w:r>
        <w:t xml:space="preserve">; late stamping needs impounding and penalty (</w:t>
      </w:r>
      <w:r>
        <w:rPr>
          <w:iCs/>
          <w:i/>
        </w:rPr>
        <w:t xml:space="preserve">URC Construction v AAI</w:t>
      </w:r>
      <w:r>
        <w:t xml:space="preserve">, Del HC, 1 Sep 2026) [VERIFY: article per state for s.73 settlements].</w:t>
      </w:r>
    </w:p>
    <w:p>
      <w:pPr>
        <w:numPr>
          <w:ilvl w:val="0"/>
          <w:numId w:val="1009"/>
        </w:numPr>
        <w:pStyle w:val="Compact"/>
      </w:pPr>
      <w:r>
        <w:t xml:space="preserve">RS starts s.33 (30 days) and s.34(3) (3 months + 30 days) clocks from each party’s receipt and maps the outcome to the RE’s settlement record (RSA paras 16(5), 89, 95, 100) or award execution; CIC</w:t>
      </w:r>
      <w:r>
        <w:t xml:space="preserve"> </w:t>
      </w:r>
      <w:r>
        <w:t xml:space="preserve">“</w:t>
      </w:r>
      <w:r>
        <w:t xml:space="preserve">Settled</w:t>
      </w:r>
      <w:r>
        <w:t xml:space="preserve">”</w:t>
      </w:r>
      <w:r>
        <w:t xml:space="preserve"> </w:t>
      </w:r>
      <w:r>
        <w:t xml:space="preserve">only for waivers for financial inability (CIR para 12(4)); Lok Adalat awards import as</w:t>
      </w:r>
      <w:r>
        <w:t xml:space="preserve"> </w:t>
      </w:r>
      <w:r>
        <w:rPr>
          <w:rStyle w:val="VerbatimChar"/>
        </w:rPr>
        <w:t xml:space="preserve">OrderRecorded</w:t>
      </w:r>
      <w:r>
        <w:t xml:space="preserve">.</w:t>
      </w:r>
    </w:p>
    <w:p>
      <w:pPr>
        <w:numPr>
          <w:ilvl w:val="0"/>
          <w:numId w:val="1009"/>
        </w:numPr>
        <w:pStyle w:val="Compact"/>
      </w:pPr>
      <w:r>
        <w:t xml:space="preserve">Payments go only to the RE via RE-issued links (CF para 10); receipts reach Equator as</w:t>
      </w:r>
      <w:r>
        <w:t xml:space="preserve"> </w:t>
      </w:r>
      <w:r>
        <w:rPr>
          <w:rStyle w:val="VerbatimChar"/>
        </w:rPr>
        <w:t xml:space="preserve">RecoveryReceiptPosted</w:t>
      </w:r>
      <w:r>
        <w:t xml:space="preserve">; a provider configuration that collects borrower money fails certification.</w:t>
      </w:r>
    </w:p>
    <w:bookmarkEnd w:id="74"/>
    <w:bookmarkStart w:id="75" w:name="independence-controls"/>
    <w:p>
      <w:pPr>
        <w:pStyle w:val="Heading2"/>
      </w:pPr>
      <w:r>
        <w:t xml:space="preserve">8.6 Independence controls</w:t>
      </w:r>
    </w:p>
    <w:p>
      <w:pPr>
        <w:pStyle w:val="FirstParagraph"/>
      </w:pPr>
      <w:r>
        <w:t xml:space="preserve">Random allocation from the provider’s panel filtered by language, region and conflicts; the RE cannot pick, rank or veto. Per-lender concentration caps with a 3-year count against Fifth Schedule item 22 [VERIFY: defensible cap]; selection log (pool, exclusions, seed, counts). Sixth Schedule disclosure before acceptance; Seventh Schedule conflicts flagged; challenge within 15 days (s.13(2)). No outcome-linked fees, no neutral paid through RE counsel, no Finbyx or Udofin user as neutral; published rules, fees and code; annual independence audit.</w:t>
      </w:r>
    </w:p>
    <w:bookmarkEnd w:id="75"/>
    <w:bookmarkStart w:id="76" w:name="Xc84acda2870602ab2ba5b2b5b577150f41ea51b"/>
    <w:p>
      <w:pPr>
        <w:pStyle w:val="Heading2"/>
      </w:pPr>
      <w:r>
        <w:t xml:space="preserve">8.7 Compliance monitoring, enforcement and fees</w:t>
      </w:r>
    </w:p>
    <w:p>
      <w:pPr>
        <w:pStyle w:val="FirstParagraph"/>
      </w:pPr>
      <w:r>
        <w:t xml:space="preserve">RS emits</w:t>
      </w:r>
      <w:r>
        <w:t xml:space="preserve"> </w:t>
      </w:r>
      <w:r>
        <w:rPr>
          <w:rStyle w:val="VerbatimChar"/>
        </w:rPr>
        <w:t xml:space="preserve">ADROutcomeComplianceUpdated</w:t>
      </w:r>
      <w:r>
        <w:t xml:space="preserve"> </w:t>
      </w:r>
      <w:r>
        <w:t xml:space="preserve">from its ledger; Equator assembles the enforcement pack (certified instrument, stamp and service proofs, s.34 status). On breach RS emits</w:t>
      </w:r>
      <w:r>
        <w:t xml:space="preserve"> </w:t>
      </w:r>
      <w:r>
        <w:rPr>
          <w:rStyle w:val="VerbatimChar"/>
        </w:rPr>
        <w:t xml:space="preserve">SettlementBreached</w:t>
      </w:r>
      <w:r>
        <w:t xml:space="preserve"> </w:t>
      </w:r>
      <w:r>
        <w:t xml:space="preserve">and opens</w:t>
      </w:r>
      <w:r>
        <w:t xml:space="preserve"> </w:t>
      </w:r>
      <w:r>
        <w:rPr>
          <w:rStyle w:val="VerbatimChar"/>
        </w:rPr>
        <w:t xml:space="preserve">LitigationCaseOpened</w:t>
      </w:r>
      <w:r>
        <w:t xml:space="preserve"> </w:t>
      </w:r>
      <w:r>
        <w:t xml:space="preserve">(S36_EXECUTION) where assets lie (</w:t>
      </w:r>
      <w:r>
        <w:rPr>
          <w:iCs/>
          <w:i/>
        </w:rPr>
        <w:t xml:space="preserve">Sundaram Finance v Abdul Samad</w:t>
      </w:r>
      <w:r>
        <w:t xml:space="preserve"> </w:t>
      </w:r>
      <w:r>
        <w:t xml:space="preserve">(2018) 3 SCC 622); High Courts split on executing unilateral-appointment awards, hence the gates. The referring RE pays published fees; debiting costs to the borrower depends on contract and RBC fair-practice rules [VERIFY]; GST on arbitral tribunal services is reverse charge (Notification 13/2017-CT(Rate), Sl. 3) [VERIFY].</w:t>
      </w:r>
    </w:p>
    <w:bookmarkEnd w:id="76"/>
    <w:bookmarkStart w:id="77" w:name="clocks-and-audit-evidence"/>
    <w:p>
      <w:pPr>
        <w:pStyle w:val="Heading2"/>
      </w:pPr>
      <w:r>
        <w:t xml:space="preserve">8.8 Clocks and audit evidence</w:t>
      </w:r>
    </w:p>
    <w:p>
      <w:pPr>
        <w:pStyle w:val="FirstParagraph"/>
      </w:pPr>
      <w:r>
        <w:rPr>
          <w:rStyle w:val="VerbatimChar"/>
        </w:rPr>
        <w:t xml:space="preserve">ADRCaseStatusChanged.clocks</w:t>
      </w:r>
      <w:r>
        <w:t xml:space="preserve"> </w:t>
      </w:r>
      <w:r>
        <w:t xml:space="preserve">carries: s.62(4) 30 days; s.13(2) 15 days; s.23(4) 6 months; s.29A 12 + 6 months; s.29B 6 months; s.33 30/60 days; s.34(3) 3 months + 30 days; s.11 petition 3 years after failure to appoint on a valid s.21 notice (</w:t>
      </w:r>
      <w:r>
        <w:rPr>
          <w:iCs/>
          <w:i/>
        </w:rPr>
        <w:t xml:space="preserve">Arif Azim v Aptech</w:t>
      </w:r>
      <w:r>
        <w:t xml:space="preserve">, 2024); s.12A 3 + 2 months; Mediation Act s.18 120 + 60 days once in force. Evidence kept ≥ 12 years after closure [REC]: notice template hash, address source, per-channel delivery proof, selection log, disclosures, consent artefacts, attendance, eSign and e-stamp ids, fee receipts; no</w:t>
      </w:r>
      <w:r>
        <w:t xml:space="preserve"> </w:t>
      </w:r>
      <w:r>
        <w:t xml:space="preserve">“</w:t>
      </w:r>
      <w:r>
        <w:t xml:space="preserve">deemed served</w:t>
      </w:r>
      <w:r>
        <w:t xml:space="preserve">”</w:t>
      </w:r>
      <w:r>
        <w:t xml:space="preserve"> </w:t>
      </w:r>
      <w:r>
        <w:t xml:space="preserve">without evidence.</w:t>
      </w:r>
    </w:p>
    <w:bookmarkEnd w:id="77"/>
    <w:bookmarkStart w:id="78" w:name="provider-neutral-adapter-odrprovider"/>
    <w:p>
      <w:pPr>
        <w:pStyle w:val="Heading2"/>
      </w:pPr>
      <w:r>
        <w:t xml:space="preserve">8.9 Provider-neutral adapter (</w:t>
      </w:r>
      <w:r>
        <w:rPr>
          <w:rStyle w:val="VerbatimChar"/>
        </w:rPr>
        <w:t xml:space="preserve">OdrProvider</w:t>
      </w:r>
      <w:r>
        <w:t xml:space="preserve">)</w:t>
      </w:r>
    </w:p>
    <w:p>
      <w:pPr>
        <w:pStyle w:val="FirstParagraph"/>
      </w:pPr>
      <w:r>
        <w:t xml:space="preserve">Each capability (referral, withdrawal, mandate, documents, status, delivery, consent, appointment, hearing, outcome, party launch, Lok Adalat lists and awards) is declared as API, WEBHOOK, FILE or PORTAL_MANUAL. Equator native names map: case.refer →</w:t>
      </w:r>
      <w:r>
        <w:t xml:space="preserve"> </w:t>
      </w:r>
      <w:r>
        <w:rPr>
          <w:rStyle w:val="VerbatimChar"/>
        </w:rPr>
        <w:t xml:space="preserve">ADRReferralCreated</w:t>
      </w:r>
      <w:r>
        <w:t xml:space="preserve">; settlement.mandate → mandate API; case.screening_result, notice.dispatched, party.joined, tribunal.constituted, hearing.held, deadline.warning, challenge.notified, case.closed →</w:t>
      </w:r>
      <w:r>
        <w:t xml:space="preserve"> </w:t>
      </w:r>
      <w:r>
        <w:rPr>
          <w:rStyle w:val="VerbatimChar"/>
        </w:rPr>
        <w:t xml:space="preserve">ADRCaseStatusChanged</w:t>
      </w:r>
      <w:r>
        <w:t xml:space="preserve">; notice.delivery →</w:t>
      </w:r>
      <w:r>
        <w:t xml:space="preserve"> </w:t>
      </w:r>
      <w:r>
        <w:rPr>
          <w:rStyle w:val="VerbatimChar"/>
        </w:rPr>
        <w:t xml:space="preserve">NoticeServiceUpdated</w:t>
      </w:r>
      <w:r>
        <w:t xml:space="preserve">; consent.recorded →</w:t>
      </w:r>
      <w:r>
        <w:t xml:space="preserve"> </w:t>
      </w:r>
      <w:r>
        <w:rPr>
          <w:rStyle w:val="VerbatimChar"/>
        </w:rPr>
        <w:t xml:space="preserve">ADRConsentRecorded</w:t>
      </w:r>
      <w:r>
        <w:t xml:space="preserve">; neutral.appointed →</w:t>
      </w:r>
      <w:r>
        <w:t xml:space="preserve"> </w:t>
      </w:r>
      <w:r>
        <w:rPr>
          <w:rStyle w:val="VerbatimChar"/>
        </w:rPr>
        <w:t xml:space="preserve">ADRNeutralAppointed</w:t>
      </w:r>
      <w:r>
        <w:t xml:space="preserve">; hearing.scheduled →</w:t>
      </w:r>
      <w:r>
        <w:t xml:space="preserve"> </w:t>
      </w:r>
      <w:r>
        <w:rPr>
          <w:rStyle w:val="VerbatimChar"/>
        </w:rPr>
        <w:t xml:space="preserve">ADRHearingScheduled</w:t>
      </w:r>
      <w:r>
        <w:t xml:space="preserve">; settlement.proposed →</w:t>
      </w:r>
      <w:r>
        <w:t xml:space="preserve"> </w:t>
      </w:r>
      <w:r>
        <w:rPr>
          <w:rStyle w:val="VerbatimChar"/>
        </w:rPr>
        <w:t xml:space="preserve">ADRCaseStatusChanged</w:t>
      </w:r>
      <w:r>
        <w:t xml:space="preserve"> </w:t>
      </w:r>
      <w:r>
        <w:t xml:space="preserve">(SETTLEMENT_PROPOSED) answered by</w:t>
      </w:r>
      <w:r>
        <w:t xml:space="preserve"> </w:t>
      </w:r>
      <w:r>
        <w:rPr>
          <w:rStyle w:val="VerbatimChar"/>
        </w:rPr>
        <w:t xml:space="preserve">SettlementApproved</w:t>
      </w:r>
      <w:r>
        <w:t xml:space="preserve">; settlement.executed and award.issued, stamped or served →</w:t>
      </w:r>
      <w:r>
        <w:t xml:space="preserve"> </w:t>
      </w:r>
      <w:r>
        <w:rPr>
          <w:rStyle w:val="VerbatimChar"/>
        </w:rPr>
        <w:t xml:space="preserve">ADROutcomeRecorded</w:t>
      </w:r>
      <w:r>
        <w:t xml:space="preserve">; payment.received →</w:t>
      </w:r>
      <w:r>
        <w:t xml:space="preserve"> </w:t>
      </w:r>
      <w:r>
        <w:rPr>
          <w:rStyle w:val="VerbatimChar"/>
        </w:rPr>
        <w:t xml:space="preserve">RecoveryReceiptPosted</w:t>
      </w:r>
      <w:r>
        <w:t xml:space="preserve">. Providers without APIs use</w:t>
      </w:r>
      <w:r>
        <w:t xml:space="preserve"> </w:t>
      </w:r>
      <w:r>
        <w:rPr>
          <w:rStyle w:val="VerbatimChar"/>
        </w:rPr>
        <w:t xml:space="preserve">adr_referral_v1</w:t>
      </w:r>
      <w:r>
        <w:t xml:space="preserve">,</w:t>
      </w:r>
      <w:r>
        <w:t xml:space="preserve"> </w:t>
      </w:r>
      <w:r>
        <w:rPr>
          <w:rStyle w:val="VerbatimChar"/>
        </w:rPr>
        <w:t xml:space="preserve">adr_status_v1</w:t>
      </w:r>
      <w:r>
        <w:t xml:space="preserve">,</w:t>
      </w:r>
      <w:r>
        <w:t xml:space="preserve"> </w:t>
      </w:r>
      <w:r>
        <w:rPr>
          <w:rStyle w:val="VerbatimChar"/>
        </w:rPr>
        <w:t xml:space="preserve">adr_outcome_v1</w:t>
      </w:r>
      <w:r>
        <w:t xml:space="preserve"> </w:t>
      </w:r>
      <w:r>
        <w:t xml:space="preserve">(Part 12); Lok Adalat lists use registered DLSA formats [VERIFY: per DLSA].</w:t>
      </w:r>
    </w:p>
    <w:p>
      <w:r>
        <w:pict>
          <v:rect style="width:0;height:1.5pt" o:hralign="center" o:hrstd="t" o:hr="t"/>
        </w:pict>
      </w:r>
    </w:p>
    <w:bookmarkEnd w:id="78"/>
    <w:bookmarkEnd w:id="79"/>
    <w:bookmarkStart w:id="84" w:name="compliance-and-grc-integration"/>
    <w:p>
      <w:pPr>
        <w:pStyle w:val="Heading1"/>
      </w:pPr>
      <w:r>
        <w:t xml:space="preserve">9 — COMPLIANCE AND GRC INTEGRATION</w:t>
      </w:r>
    </w:p>
    <w:bookmarkStart w:id="80" w:name="compliance-mode-switch"/>
    <w:p>
      <w:pPr>
        <w:pStyle w:val="Heading2"/>
      </w:pPr>
      <w:r>
        <w:t xml:space="preserve">9.1 Compliance-mode switch</w:t>
      </w:r>
    </w:p>
    <w:p>
      <w:pPr>
        <w:pStyle w:val="FirstParagraph"/>
      </w:pPr>
      <w:r>
        <w:t xml:space="preserve">Per RE tenant (and for Udofin’s own compliance), recorded in</w:t>
      </w:r>
      <w:r>
        <w:t xml:space="preserve"> </w:t>
      </w:r>
      <w:r>
        <w:rPr>
          <w:rStyle w:val="VerbatimChar"/>
        </w:rPr>
        <w:t xml:space="preserve">re_grc_link</w:t>
      </w:r>
      <w:r>
        <w:t xml:space="preserve"> </w:t>
      </w:r>
      <w:r>
        <w:t xml:space="preserve">and changed by configuration with maker-checker (Finbyx M14; Udofin Part 2):</w:t>
      </w:r>
      <w:r>
        <w:t xml:space="preserve"> </w:t>
      </w:r>
      <w:r>
        <w:rPr>
          <w:bCs/>
          <w:b/>
        </w:rPr>
        <w:t xml:space="preserve">EMBEDDED</w:t>
      </w:r>
      <w:r>
        <w:t xml:space="preserve"> </w:t>
      </w:r>
      <w:r>
        <w:t xml:space="preserve">(Finbyx compliance module),</w:t>
      </w:r>
      <w:r>
        <w:t xml:space="preserve"> </w:t>
      </w:r>
      <w:r>
        <w:rPr>
          <w:bCs/>
          <w:b/>
        </w:rPr>
        <w:t xml:space="preserve">LDC_EXTERNAL</w:t>
      </w:r>
      <w:r>
        <w:t xml:space="preserve"> </w:t>
      </w:r>
      <w:r>
        <w:t xml:space="preserve">(LawDocsComply; products push evidence and pull obligations),</w:t>
      </w:r>
      <w:r>
        <w:t xml:space="preserve"> </w:t>
      </w:r>
      <w:r>
        <w:rPr>
          <w:bCs/>
          <w:b/>
        </w:rPr>
        <w:t xml:space="preserve">LDC_GROUP</w:t>
      </w:r>
      <w:r>
        <w:t xml:space="preserve"> </w:t>
      </w:r>
      <w:r>
        <w:t xml:space="preserve">(one instance per</w:t>
      </w:r>
      <w:r>
        <w:t xml:space="preserve"> </w:t>
      </w:r>
      <w:r>
        <w:rPr>
          <w:rStyle w:val="VerbatimChar"/>
        </w:rPr>
        <w:t xml:space="preserve">group_id</w:t>
      </w:r>
      <w:r>
        <w:t xml:space="preserve">, every record tagged by</w:t>
      </w:r>
      <w:r>
        <w:t xml:space="preserve"> </w:t>
      </w:r>
      <w:r>
        <w:rPr>
          <w:rStyle w:val="VerbatimChar"/>
        </w:rPr>
        <w:t xml:space="preserve">reid</w:t>
      </w:r>
      <w:r>
        <w:t xml:space="preserve">, group roll-ups),</w:t>
      </w:r>
      <w:r>
        <w:t xml:space="preserve"> </w:t>
      </w:r>
      <w:r>
        <w:rPr>
          <w:bCs/>
          <w:b/>
        </w:rPr>
        <w:t xml:space="preserve">THIRD_PARTY_GRC</w:t>
      </w:r>
      <w:r>
        <w:t xml:space="preserve"> </w:t>
      </w:r>
      <w:r>
        <w:t xml:space="preserve">(RE’s tool via certified adapter),</w:t>
      </w:r>
      <w:r>
        <w:t xml:space="preserve"> </w:t>
      </w:r>
      <w:r>
        <w:rPr>
          <w:bCs/>
          <w:b/>
        </w:rPr>
        <w:t xml:space="preserve">EXPORT_ONLY</w:t>
      </w:r>
      <w:r>
        <w:t xml:space="preserve"> </w:t>
      </w:r>
      <w:r>
        <w:t xml:space="preserve">(evidence packs and OSCAL; Udofin default until a bridge exists). A switch never loses data: the outgoing system exports obligations, controls, open issues and the evidence index with hash-chain heads; the incoming system imports before the effective date; producers dual-publish for one compliance period. The grievance-host switch is separate.</w:t>
      </w:r>
    </w:p>
    <w:bookmarkEnd w:id="80"/>
    <w:bookmarkStart w:id="81" w:name="generic-grc-connector-contract"/>
    <w:p>
      <w:pPr>
        <w:pStyle w:val="Heading2"/>
      </w:pPr>
      <w:r>
        <w:t xml:space="preserve">9.2 Generic GRC connector contract</w:t>
      </w:r>
    </w:p>
    <w:p>
      <w:pPr>
        <w:pStyle w:val="FirstParagraph"/>
      </w:pPr>
      <w:r>
        <w:t xml:space="preserve">REST (JSON Schema 2020-12, cursor pagination) plus event push and periodic OSCAL;</w:t>
      </w:r>
      <w:r>
        <w:t xml:space="preserve"> </w:t>
      </w:r>
      <w:r>
        <w:rPr>
          <w:rStyle w:val="VerbatimChar"/>
        </w:rPr>
        <w:t xml:space="preserve">Idempotency-Key</w:t>
      </w:r>
      <w:r>
        <w:t xml:space="preserve"> </w:t>
      </w:r>
      <w:r>
        <w:t xml:space="preserve">on every POST; users by SCIM with OIDC or SAML; machines by mTLS-bound client credentials. Evidence is hash-chained, stored in India in the producing product, with aggregate counts and masked sample ids, never raw personal data; GRC systems hold references and hashes.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93"/>
        <w:gridCol w:w="3490"/>
        <w:gridCol w:w="2193"/>
        <w:gridCol w:w="1762"/>
      </w:tblGrid>
      <w:tr>
        <w:trPr>
          <w:tblHeader w:val="true"/>
          <w:tblHeader w:val="true"/>
        </w:trPr>
        <w:tc>
          <w:tcPr>
            <w:tcW w:w="2193" w:type="dxa"/>
            <w:shd w:val="clear" w:color="auto" w:fill="1F3A5F"/>
          </w:tcPr>
          <w:p>
            <w:pPr>
              <w:pStyle w:val="Compact"/>
              <w:spacing w:after="40"/>
              <w:jc w:val="left"/>
            </w:pPr>
            <w:r>
              <w:rPr>
                <w:b/>
                <w:color w:val="FFFFFF"/>
                <w:sz w:val="18"/>
              </w:rPr>
              <w:t xml:space="preserve">Resource</w:t>
            </w:r>
          </w:p>
        </w:tc>
        <w:tc>
          <w:tcPr>
            <w:tcW w:w="3490" w:type="dxa"/>
            <w:shd w:val="clear" w:color="auto" w:fill="1F3A5F"/>
          </w:tcPr>
          <w:p>
            <w:pPr>
              <w:pStyle w:val="Compact"/>
              <w:spacing w:after="40"/>
              <w:jc w:val="left"/>
            </w:pPr>
            <w:r>
              <w:rPr>
                <w:b/>
                <w:color w:val="FFFFFF"/>
                <w:sz w:val="18"/>
              </w:rPr>
              <w:t xml:space="preserve">Key fields</w:t>
            </w:r>
          </w:p>
        </w:tc>
        <w:tc>
          <w:tcPr>
            <w:tcW w:w="2193" w:type="dxa"/>
            <w:shd w:val="clear" w:color="auto" w:fill="1F3A5F"/>
          </w:tcPr>
          <w:p>
            <w:pPr>
              <w:pStyle w:val="Compact"/>
              <w:spacing w:after="40"/>
              <w:jc w:val="left"/>
            </w:pPr>
            <w:r>
              <w:rPr>
                <w:b/>
                <w:color w:val="FFFFFF"/>
                <w:sz w:val="18"/>
              </w:rPr>
              <w:t xml:space="preserve">Event</w:t>
            </w:r>
          </w:p>
        </w:tc>
        <w:tc>
          <w:tcPr>
            <w:tcW w:w="1762" w:type="dxa"/>
            <w:shd w:val="clear" w:color="auto" w:fill="1F3A5F"/>
          </w:tcPr>
          <w:p>
            <w:pPr>
              <w:pStyle w:val="Compact"/>
              <w:spacing w:after="40"/>
              <w:jc w:val="left"/>
            </w:pPr>
            <w:r>
              <w:rPr>
                <w:b/>
                <w:color w:val="FFFFFF"/>
                <w:sz w:val="18"/>
              </w:rPr>
              <w:t xml:space="preserve">OSCAL</w:t>
            </w:r>
          </w:p>
        </w:tc>
      </w:tr>
      <w:tr>
        <w:tc>
          <w:tcPr>
            <w:tcW w:w="2193" w:type="dxa"/>
          </w:tcPr>
          <w:p>
            <w:pPr>
              <w:pStyle w:val="Compact"/>
              <w:spacing w:after="40"/>
              <w:jc w:val="left"/>
            </w:pPr>
            <w:r>
              <w:rPr>
                <w:rStyle w:val="VerbatimChar"/>
                <w:sz w:val="18"/>
              </w:rPr>
              <w:t xml:space="preserve">Obligation</w:t>
            </w:r>
          </w:p>
        </w:tc>
        <w:tc>
          <w:tcPr>
            <w:tcW w:w="3490" w:type="dxa"/>
          </w:tcPr>
          <w:p>
            <w:pPr>
              <w:pStyle w:val="Compact"/>
              <w:spacing w:after="40"/>
              <w:jc w:val="left"/>
            </w:pPr>
            <w:r>
              <w:rPr>
                <w:sz w:val="18"/>
              </w:rPr>
              <w:t xml:space="preserve">obligation_ref, paragraph, text hash, applicability, dates, owner, status</w:t>
            </w:r>
          </w:p>
        </w:tc>
        <w:tc>
          <w:tcPr>
            <w:tcW w:w="2193" w:type="dxa"/>
          </w:tcPr>
          <w:p>
            <w:pPr>
              <w:pStyle w:val="Compact"/>
              <w:spacing w:after="40"/>
              <w:jc w:val="left"/>
            </w:pPr>
            <w:r>
              <w:rPr>
                <w:rStyle w:val="VerbatimChar"/>
                <w:sz w:val="18"/>
              </w:rPr>
              <w:t xml:space="preserve">ObligationPublished</w:t>
            </w:r>
          </w:p>
        </w:tc>
        <w:tc>
          <w:tcPr>
            <w:tcW w:w="1762" w:type="dxa"/>
          </w:tcPr>
          <w:p>
            <w:pPr>
              <w:pStyle w:val="Compact"/>
              <w:spacing w:after="40"/>
              <w:jc w:val="left"/>
            </w:pPr>
            <w:r>
              <w:rPr>
                <w:sz w:val="18"/>
              </w:rPr>
              <w:t xml:space="preserve">catalog, profile</w:t>
            </w:r>
          </w:p>
        </w:tc>
      </w:tr>
      <w:tr>
        <w:tc>
          <w:tcPr>
            <w:tcW w:w="2193" w:type="dxa"/>
          </w:tcPr>
          <w:p>
            <w:pPr>
              <w:pStyle w:val="Compact"/>
              <w:spacing w:after="40"/>
              <w:jc w:val="left"/>
            </w:pPr>
            <w:r>
              <w:rPr>
                <w:rStyle w:val="VerbatimChar"/>
                <w:sz w:val="18"/>
              </w:rPr>
              <w:t xml:space="preserve">Control</w:t>
            </w:r>
          </w:p>
        </w:tc>
        <w:tc>
          <w:tcPr>
            <w:tcW w:w="3490" w:type="dxa"/>
          </w:tcPr>
          <w:p>
            <w:pPr>
              <w:pStyle w:val="Compact"/>
              <w:spacing w:after="40"/>
              <w:jc w:val="left"/>
            </w:pPr>
            <w:r>
              <w:rPr>
                <w:sz w:val="18"/>
              </w:rPr>
              <w:t xml:space="preserve">obligation_refs, component, frequency, automated</w:t>
            </w:r>
          </w:p>
        </w:tc>
        <w:tc>
          <w:tcPr>
            <w:tcW w:w="2193" w:type="dxa"/>
          </w:tcPr>
          <w:p>
            <w:pPr>
              <w:pStyle w:val="Compact"/>
              <w:spacing w:after="40"/>
              <w:jc w:val="left"/>
            </w:pPr>
            <w:r>
              <w:rPr>
                <w:sz w:val="18"/>
              </w:rPr>
              <w:t xml:space="preserve">—</w:t>
            </w:r>
          </w:p>
        </w:tc>
        <w:tc>
          <w:tcPr>
            <w:tcW w:w="1762" w:type="dxa"/>
          </w:tcPr>
          <w:p>
            <w:pPr>
              <w:pStyle w:val="Compact"/>
              <w:spacing w:after="40"/>
              <w:jc w:val="left"/>
            </w:pPr>
            <w:r>
              <w:rPr>
                <w:sz w:val="18"/>
              </w:rPr>
              <w:t xml:space="preserve">component-definition</w:t>
            </w:r>
          </w:p>
        </w:tc>
      </w:tr>
      <w:tr>
        <w:tc>
          <w:tcPr>
            <w:tcW w:w="2193" w:type="dxa"/>
          </w:tcPr>
          <w:p>
            <w:pPr>
              <w:pStyle w:val="Compact"/>
              <w:spacing w:after="40"/>
              <w:jc w:val="left"/>
            </w:pPr>
            <w:r>
              <w:rPr>
                <w:rStyle w:val="VerbatimChar"/>
                <w:sz w:val="18"/>
              </w:rPr>
              <w:t xml:space="preserve">ControlTestResult</w:t>
            </w:r>
            <w:r>
              <w:rPr>
                <w:sz w:val="18"/>
              </w:rPr>
              <w:t xml:space="preserve">,</w:t>
            </w:r>
            <w:r>
              <w:rPr>
                <w:sz w:val="18"/>
              </w:rPr>
              <w:t xml:space="preserve"> </w:t>
            </w:r>
            <w:r>
              <w:rPr>
                <w:rStyle w:val="VerbatimChar"/>
                <w:sz w:val="18"/>
              </w:rPr>
              <w:t xml:space="preserve">Evidence</w:t>
            </w:r>
          </w:p>
        </w:tc>
        <w:tc>
          <w:tcPr>
            <w:tcW w:w="3490" w:type="dxa"/>
          </w:tcPr>
          <w:p>
            <w:pPr>
              <w:pStyle w:val="Compact"/>
              <w:spacing w:after="40"/>
              <w:jc w:val="left"/>
            </w:pPr>
            <w:r>
              <w:rPr>
                <w:sz w:val="18"/>
              </w:rPr>
              <w:t xml:space="preserve">run, period, result, population, masked sample, artefact hashes, signer</w:t>
            </w:r>
          </w:p>
        </w:tc>
        <w:tc>
          <w:tcPr>
            <w:tcW w:w="2193" w:type="dxa"/>
          </w:tcPr>
          <w:p>
            <w:pPr>
              <w:pStyle w:val="Compact"/>
              <w:spacing w:after="40"/>
              <w:jc w:val="left"/>
            </w:pPr>
            <w:r>
              <w:rPr>
                <w:rStyle w:val="VerbatimChar"/>
                <w:sz w:val="18"/>
              </w:rPr>
              <w:t xml:space="preserve">ControlTestResultPublished</w:t>
            </w:r>
            <w:r>
              <w:rPr>
                <w:sz w:val="18"/>
              </w:rPr>
              <w:t xml:space="preserve">,</w:t>
            </w:r>
            <w:r>
              <w:rPr>
                <w:sz w:val="18"/>
              </w:rPr>
              <w:t xml:space="preserve"> </w:t>
            </w:r>
            <w:r>
              <w:rPr>
                <w:rStyle w:val="VerbatimChar"/>
                <w:sz w:val="18"/>
              </w:rPr>
              <w:t xml:space="preserve">EvidenceSubmitted</w:t>
            </w:r>
          </w:p>
        </w:tc>
        <w:tc>
          <w:tcPr>
            <w:tcW w:w="1762" w:type="dxa"/>
          </w:tcPr>
          <w:p>
            <w:pPr>
              <w:pStyle w:val="Compact"/>
              <w:spacing w:after="40"/>
              <w:jc w:val="left"/>
            </w:pPr>
            <w:r>
              <w:rPr>
                <w:sz w:val="18"/>
              </w:rPr>
              <w:t xml:space="preserve">assessment-results</w:t>
            </w:r>
          </w:p>
        </w:tc>
      </w:tr>
      <w:tr>
        <w:tc>
          <w:tcPr>
            <w:tcW w:w="2193" w:type="dxa"/>
          </w:tcPr>
          <w:p>
            <w:pPr>
              <w:pStyle w:val="Compact"/>
              <w:spacing w:after="40"/>
              <w:jc w:val="left"/>
            </w:pPr>
            <w:r>
              <w:rPr>
                <w:rStyle w:val="VerbatimChar"/>
                <w:sz w:val="18"/>
              </w:rPr>
              <w:t xml:space="preserve">Issue</w:t>
            </w:r>
          </w:p>
        </w:tc>
        <w:tc>
          <w:tcPr>
            <w:tcW w:w="3490" w:type="dxa"/>
          </w:tcPr>
          <w:p>
            <w:pPr>
              <w:pStyle w:val="Compact"/>
              <w:spacing w:after="40"/>
              <w:jc w:val="left"/>
            </w:pPr>
            <w:r>
              <w:rPr>
                <w:sz w:val="18"/>
              </w:rPr>
              <w:t xml:space="preserve">source (TEST, AUDIT, RBI, INCIDENT), severity, owner, due</w:t>
            </w:r>
          </w:p>
        </w:tc>
        <w:tc>
          <w:tcPr>
            <w:tcW w:w="2193" w:type="dxa"/>
          </w:tcPr>
          <w:p>
            <w:pPr>
              <w:pStyle w:val="Compact"/>
              <w:spacing w:after="40"/>
              <w:jc w:val="left"/>
            </w:pPr>
            <w:r>
              <w:rPr>
                <w:rStyle w:val="VerbatimChar"/>
                <w:sz w:val="18"/>
              </w:rPr>
              <w:t xml:space="preserve">ComplianceIssueRaised</w:t>
            </w:r>
          </w:p>
        </w:tc>
        <w:tc>
          <w:tcPr>
            <w:tcW w:w="1762" w:type="dxa"/>
          </w:tcPr>
          <w:p>
            <w:pPr>
              <w:pStyle w:val="Compact"/>
              <w:spacing w:after="40"/>
              <w:jc w:val="left"/>
            </w:pPr>
            <w:r>
              <w:rPr>
                <w:sz w:val="18"/>
              </w:rPr>
              <w:t xml:space="preserve">plan-of-action-and-milestones</w:t>
            </w:r>
          </w:p>
        </w:tc>
      </w:tr>
      <w:tr>
        <w:tc>
          <w:tcPr>
            <w:tcW w:w="2193" w:type="dxa"/>
          </w:tcPr>
          <w:p>
            <w:pPr>
              <w:pStyle w:val="Compact"/>
              <w:spacing w:after="40"/>
              <w:jc w:val="left"/>
            </w:pPr>
            <w:r>
              <w:rPr>
                <w:rStyle w:val="VerbatimChar"/>
                <w:sz w:val="18"/>
              </w:rPr>
              <w:t xml:space="preserve">Incident</w:t>
            </w:r>
          </w:p>
        </w:tc>
        <w:tc>
          <w:tcPr>
            <w:tcW w:w="3490" w:type="dxa"/>
          </w:tcPr>
          <w:p>
            <w:pPr>
              <w:pStyle w:val="Compact"/>
              <w:spacing w:after="40"/>
              <w:jc w:val="left"/>
            </w:pPr>
            <w:r>
              <w:rPr>
                <w:sz w:val="18"/>
              </w:rPr>
              <w:t xml:space="preserve">detected_at, notified_re_at, rbi_reported_at</w:t>
            </w:r>
          </w:p>
        </w:tc>
        <w:tc>
          <w:tcPr>
            <w:tcW w:w="2193" w:type="dxa"/>
          </w:tcPr>
          <w:p>
            <w:pPr>
              <w:pStyle w:val="Compact"/>
              <w:spacing w:after="40"/>
              <w:jc w:val="left"/>
            </w:pPr>
            <w:r>
              <w:rPr>
                <w:rStyle w:val="VerbatimChar"/>
                <w:sz w:val="18"/>
              </w:rPr>
              <w:t xml:space="preserve">SecurityIncidentNotified</w:t>
            </w:r>
          </w:p>
        </w:tc>
        <w:tc>
          <w:tcPr>
            <w:tcW w:w="1762" w:type="dxa"/>
          </w:tcPr>
          <w:p>
            <w:pPr>
              <w:pStyle w:val="Compact"/>
              <w:spacing w:after="40"/>
              <w:jc w:val="left"/>
            </w:pPr>
            <w:r>
              <w:rPr>
                <w:sz w:val="18"/>
              </w:rPr>
              <w:t xml:space="preserve">—</w:t>
            </w:r>
          </w:p>
        </w:tc>
      </w:tr>
      <w:tr>
        <w:tc>
          <w:tcPr>
            <w:tcW w:w="2193" w:type="dxa"/>
          </w:tcPr>
          <w:p>
            <w:pPr>
              <w:pStyle w:val="Compact"/>
              <w:spacing w:after="40"/>
              <w:jc w:val="left"/>
            </w:pPr>
            <w:r>
              <w:rPr>
                <w:rStyle w:val="VerbatimChar"/>
                <w:sz w:val="18"/>
              </w:rPr>
              <w:t xml:space="preserve">RegulatoryReturn</w:t>
            </w:r>
            <w:r>
              <w:rPr>
                <w:sz w:val="18"/>
              </w:rPr>
              <w:t xml:space="preserve">,</w:t>
            </w:r>
            <w:r>
              <w:rPr>
                <w:sz w:val="18"/>
              </w:rPr>
              <w:t xml:space="preserve"> </w:t>
            </w:r>
            <w:r>
              <w:rPr>
                <w:rStyle w:val="VerbatimChar"/>
                <w:sz w:val="18"/>
              </w:rPr>
              <w:t xml:space="preserve">PolicyAttestation</w:t>
            </w:r>
          </w:p>
        </w:tc>
        <w:tc>
          <w:tcPr>
            <w:tcW w:w="3490" w:type="dxa"/>
          </w:tcPr>
          <w:p>
            <w:pPr>
              <w:pStyle w:val="Compact"/>
              <w:spacing w:after="40"/>
              <w:jc w:val="left"/>
            </w:pPr>
            <w:r>
              <w:rPr>
                <w:sz w:val="18"/>
              </w:rPr>
              <w:t xml:space="preserve">code, period, status, ack; policy, version, Board date, user</w:t>
            </w:r>
          </w:p>
        </w:tc>
        <w:tc>
          <w:tcPr>
            <w:tcW w:w="2193" w:type="dxa"/>
          </w:tcPr>
          <w:p>
            <w:pPr>
              <w:pStyle w:val="Compact"/>
              <w:spacing w:after="40"/>
              <w:jc w:val="left"/>
            </w:pPr>
            <w:r>
              <w:rPr>
                <w:rStyle w:val="VerbatimChar"/>
                <w:sz w:val="18"/>
              </w:rPr>
              <w:t xml:space="preserve">ReturnStatusUpdated</w:t>
            </w:r>
            <w:r>
              <w:rPr>
                <w:sz w:val="18"/>
              </w:rPr>
              <w:t xml:space="preserve">,</w:t>
            </w:r>
            <w:r>
              <w:rPr>
                <w:sz w:val="18"/>
              </w:rPr>
              <w:t xml:space="preserve"> </w:t>
            </w:r>
            <w:r>
              <w:rPr>
                <w:rStyle w:val="VerbatimChar"/>
                <w:sz w:val="18"/>
              </w:rPr>
              <w:t xml:space="preserve">PolicyAttested</w:t>
            </w:r>
          </w:p>
        </w:tc>
        <w:tc>
          <w:tcPr>
            <w:tcW w:w="1762" w:type="dxa"/>
          </w:tcPr>
          <w:p>
            <w:pPr>
              <w:pStyle w:val="Compact"/>
              <w:spacing w:after="40"/>
              <w:jc w:val="left"/>
            </w:pPr>
            <w:r>
              <w:rPr>
                <w:sz w:val="18"/>
              </w:rPr>
              <w:t xml:space="preserve">—</w:t>
            </w:r>
          </w:p>
        </w:tc>
      </w:tr>
      <w:tr>
        <w:tc>
          <w:tcPr>
            <w:tcW w:w="2193" w:type="dxa"/>
          </w:tcPr>
          <w:p>
            <w:pPr>
              <w:pStyle w:val="Compact"/>
              <w:spacing w:after="40"/>
              <w:jc w:val="left"/>
            </w:pPr>
            <w:r>
              <w:rPr>
                <w:rStyle w:val="VerbatimChar"/>
                <w:sz w:val="18"/>
              </w:rPr>
              <w:t xml:space="preserve">OutsourcingArrangement</w:t>
            </w:r>
            <w:r>
              <w:rPr>
                <w:sz w:val="18"/>
              </w:rPr>
              <w:t xml:space="preserve">,</w:t>
            </w:r>
            <w:r>
              <w:rPr>
                <w:sz w:val="18"/>
              </w:rPr>
              <w:t xml:space="preserve"> </w:t>
            </w:r>
            <w:r>
              <w:rPr>
                <w:rStyle w:val="VerbatimChar"/>
                <w:sz w:val="18"/>
              </w:rPr>
              <w:t xml:space="preserve">KRI</w:t>
            </w:r>
            <w:r>
              <w:rPr>
                <w:sz w:val="18"/>
              </w:rPr>
              <w:t xml:space="preserve">,</w:t>
            </w:r>
            <w:r>
              <w:rPr>
                <w:sz w:val="18"/>
              </w:rPr>
              <w:t xml:space="preserve"> </w:t>
            </w:r>
            <w:r>
              <w:rPr>
                <w:rStyle w:val="VerbatimChar"/>
                <w:sz w:val="18"/>
              </w:rPr>
              <w:t xml:space="preserve">RegulatoryChange</w:t>
            </w:r>
          </w:p>
        </w:tc>
        <w:tc>
          <w:tcPr>
            <w:tcW w:w="3490" w:type="dxa"/>
          </w:tcPr>
          <w:p>
            <w:pPr>
              <w:pStyle w:val="Compact"/>
              <w:spacing w:after="40"/>
              <w:jc w:val="left"/>
            </w:pPr>
            <w:r>
              <w:rPr>
                <w:sz w:val="18"/>
              </w:rPr>
              <w:t xml:space="preserve">provider, materiality, group flag (OUT paras 45–51, 90–92), data location; metric, threshold; impacted obligations</w:t>
            </w:r>
          </w:p>
        </w:tc>
        <w:tc>
          <w:tcPr>
            <w:tcW w:w="2193" w:type="dxa"/>
          </w:tcPr>
          <w:p>
            <w:pPr>
              <w:pStyle w:val="Compact"/>
              <w:spacing w:after="40"/>
              <w:jc w:val="left"/>
            </w:pPr>
            <w:r>
              <w:rPr>
                <w:rStyle w:val="VerbatimChar"/>
                <w:sz w:val="18"/>
              </w:rPr>
              <w:t xml:space="preserve">ObligationPublished</w:t>
            </w:r>
            <w:r>
              <w:rPr>
                <w:sz w:val="18"/>
              </w:rPr>
              <w:t xml:space="preserve"> </w:t>
            </w:r>
            <w:r>
              <w:rPr>
                <w:sz w:val="18"/>
              </w:rPr>
              <w:t xml:space="preserve">(changes)</w:t>
            </w:r>
          </w:p>
        </w:tc>
        <w:tc>
          <w:tcPr>
            <w:tcW w:w="1762" w:type="dxa"/>
          </w:tcPr>
          <w:p>
            <w:pPr>
              <w:pStyle w:val="Compact"/>
              <w:spacing w:after="40"/>
              <w:jc w:val="left"/>
            </w:pPr>
            <w:r>
              <w:rPr>
                <w:sz w:val="18"/>
              </w:rPr>
              <w:t xml:space="preserve">—</w:t>
            </w:r>
          </w:p>
        </w:tc>
      </w:tr>
    </w:tbl>
    <w:p>
      <w:pPr>
        <w:pStyle w:val="BodyText"/>
      </w:pPr>
      <w:r>
        <w:rPr>
          <w:bCs/>
          <w:b/>
        </w:rPr>
        <w:t xml:space="preserve">Minimum control feed:</w:t>
      </w:r>
      <w:r>
        <w:t xml:space="preserve"> </w:t>
      </w:r>
      <w:r>
        <w:t xml:space="preserve">classification sync T+1 (TDCR para 124); agent notice before contact (CF para 9(6)); contact windows (RBC paras 90, 91(2), 100); same-day agent cash posting (CF para 10(5)); no LSP-controlled account (CF para 10); KFS before execution (RBC para 29); DLG cap, window and disclosure (CF paras 24, 27, 28); release timelines (RBC paras 35, 58, 69); settlement approval and cooling (RSA paras 16(5), 95); ADR basis (A&amp;C Act ss.7, 12); consentref (CF para 13); incident notice (OUT para 61).</w:t>
      </w:r>
    </w:p>
    <w:bookmarkEnd w:id="81"/>
    <w:bookmarkStart w:id="82" w:name="lawdocscomply-native-connector"/>
    <w:p>
      <w:pPr>
        <w:pStyle w:val="Heading2"/>
      </w:pPr>
      <w:r>
        <w:t xml:space="preserve">9.3 LawDocsComply native connector</w:t>
      </w:r>
    </w:p>
    <w:p>
      <w:pPr>
        <w:pStyle w:val="FirstParagraph"/>
      </w:pPr>
      <w:r>
        <w:t xml:space="preserve">Checkpoint banks →</w:t>
      </w:r>
      <w:r>
        <w:t xml:space="preserve"> </w:t>
      </w:r>
      <w:r>
        <w:rPr>
          <w:rStyle w:val="VerbatimChar"/>
        </w:rPr>
        <w:t xml:space="preserve">Obligation</w:t>
      </w:r>
      <w:r>
        <w:t xml:space="preserve"> </w:t>
      </w:r>
      <w:r>
        <w:t xml:space="preserve">(each checkpoint carries the canonical</w:t>
      </w:r>
      <w:r>
        <w:t xml:space="preserve"> </w:t>
      </w:r>
      <w:r>
        <w:rPr>
          <w:rStyle w:val="VerbatimChar"/>
        </w:rPr>
        <w:t xml:space="preserve">obligation_ref</w:t>
      </w:r>
      <w:r>
        <w:t xml:space="preserve">); questionnaire responses and product tests →</w:t>
      </w:r>
      <w:r>
        <w:t xml:space="preserve"> </w:t>
      </w:r>
      <w:r>
        <w:rPr>
          <w:rStyle w:val="VerbatimChar"/>
        </w:rPr>
        <w:t xml:space="preserve">ControlTestResult</w:t>
      </w:r>
      <w:r>
        <w:t xml:space="preserve">; calendar → returns and policy reviews; litigation module → consumer of the five litigation events. LawDocsComply (Node, TypeScript, MongoDB) builds the connector in its own repository against this specification and certifies it like any other [VERIFY: public API; one-to-one mapping of questionnaire rows to OSCAL controls].</w:t>
      </w:r>
    </w:p>
    <w:bookmarkEnd w:id="82"/>
    <w:bookmarkStart w:id="83" w:name="oscal-and-third-party-grc-adapters"/>
    <w:p>
      <w:pPr>
        <w:pStyle w:val="Heading2"/>
      </w:pPr>
      <w:r>
        <w:t xml:space="preserve">9.4 OSCAL and third-party GRC adapters</w:t>
      </w:r>
    </w:p>
    <w:p>
      <w:pPr>
        <w:pStyle w:val="FirstParagraph"/>
      </w:pPr>
      <w:r>
        <w:t xml:space="preserve">On request, a JWS-signed OSCAL JSON package (NIST OSCAL v1.2.x: catalog, profile, component-definition, system-security-plan, assessment-results, plan-of-action-and-milestones). Adapters are versioned mapping packs (10.3):</w:t>
      </w:r>
      <w:r>
        <w:t xml:space="preserve"> </w:t>
      </w:r>
      <w:r>
        <w:rPr>
          <w:bCs/>
          <w:b/>
        </w:rPr>
        <w:t xml:space="preserve">MetricStream</w:t>
      </w:r>
      <w:r>
        <w:t xml:space="preserve"> </w:t>
      </w:r>
      <w:r>
        <w:t xml:space="preserve">(OpenAPI REST, REST or Kafka connectors, bulk loads);</w:t>
      </w:r>
      <w:r>
        <w:t xml:space="preserve"> </w:t>
      </w:r>
      <w:r>
        <w:rPr>
          <w:bCs/>
          <w:b/>
        </w:rPr>
        <w:t xml:space="preserve">ServiceNow IRM</w:t>
      </w:r>
      <w:r>
        <w:t xml:space="preserve"> </w:t>
      </w:r>
      <w:r>
        <w:t xml:space="preserve">(Policy and Compliance staging tables; roles</w:t>
      </w:r>
      <w:r>
        <w:t xml:space="preserve"> </w:t>
      </w:r>
      <w:r>
        <w:rPr>
          <w:rStyle w:val="VerbatimChar"/>
        </w:rPr>
        <w:t xml:space="preserve">sn_compliance.admin</w:t>
      </w:r>
      <w:r>
        <w:t xml:space="preserve">,</w:t>
      </w:r>
      <w:r>
        <w:t xml:space="preserve"> </w:t>
      </w:r>
      <w:r>
        <w:rPr>
          <w:rStyle w:val="VerbatimChar"/>
        </w:rPr>
        <w:t xml:space="preserve">sn_grc_cim.admin</w:t>
      </w:r>
      <w:r>
        <w:t xml:space="preserve">; never core tables);</w:t>
      </w:r>
      <w:r>
        <w:t xml:space="preserve"> </w:t>
      </w:r>
      <w:r>
        <w:rPr>
          <w:bCs/>
          <w:b/>
        </w:rPr>
        <w:t xml:space="preserve">Archer</w:t>
      </w:r>
      <w:r>
        <w:t xml:space="preserve"> </w:t>
      </w:r>
      <w:r>
        <w:t xml:space="preserve">(REST, Content and GRC APIs);</w:t>
      </w:r>
      <w:r>
        <w:t xml:space="preserve"> </w:t>
      </w:r>
      <w:r>
        <w:rPr>
          <w:bCs/>
          <w:b/>
        </w:rPr>
        <w:t xml:space="preserve">IBM OpenPages</w:t>
      </w:r>
      <w:r>
        <w:t xml:space="preserve"> </w:t>
      </w:r>
      <w:r>
        <w:t xml:space="preserve">(GRC REST, App Connect, regulatory-content connectors);</w:t>
      </w:r>
      <w:r>
        <w:t xml:space="preserve"> </w:t>
      </w:r>
      <w:r>
        <w:rPr>
          <w:bCs/>
          <w:b/>
        </w:rPr>
        <w:t xml:space="preserve">Komrisk, Komply360, Compfie, TeamLease RegTech, Lawrbit, OnFinance</w:t>
      </w:r>
      <w:r>
        <w:t xml:space="preserve"> </w:t>
      </w:r>
      <w:r>
        <w:t xml:space="preserve">(REST where available, else CSV or OSCAL) [VERIFY: APIs per tool]; others through 9.2.</w:t>
      </w:r>
    </w:p>
    <w:p>
      <w:r>
        <w:pict>
          <v:rect style="width:0;height:1.5pt" o:hralign="center" o:hrstd="t" o:hr="t"/>
        </w:pict>
      </w:r>
    </w:p>
    <w:bookmarkEnd w:id="83"/>
    <w:bookmarkEnd w:id="84"/>
    <w:bookmarkStart w:id="88" w:name="third-party-integration-framework"/>
    <w:p>
      <w:pPr>
        <w:pStyle w:val="Heading1"/>
      </w:pPr>
      <w:r>
        <w:t xml:space="preserve">10 — THIRD-PARTY INTEGRATION FRAMEWORK</w:t>
      </w:r>
    </w:p>
    <w:bookmarkStart w:id="85" w:name="connector-spi-and-certification"/>
    <w:p>
      <w:pPr>
        <w:pStyle w:val="Heading2"/>
      </w:pPr>
      <w:r>
        <w:t xml:space="preserve">10.1 Connector SPI and certification</w:t>
      </w:r>
    </w:p>
    <w:p>
      <w:pPr>
        <w:pStyle w:val="FirstParagraph"/>
      </w:pPr>
      <w:r>
        <w:t xml:space="preserve">Every connector implements</w:t>
      </w:r>
      <w:r>
        <w:t xml:space="preserve"> </w:t>
      </w:r>
      <w:r>
        <w:rPr>
          <w:rStyle w:val="VerbatimChar"/>
        </w:rPr>
        <w:t xml:space="preserve">@infrabyx/connector-sdk</w:t>
      </w:r>
      <w:r>
        <w:t xml:space="preserve"> </w:t>
      </w:r>
      <w:r>
        <w:t xml:space="preserve">and runs out of process with APIs and events only:</w:t>
      </w:r>
    </w:p>
    <w:p>
      <w:pPr>
        <w:pStyle w:val="SourceCode"/>
      </w:pPr>
      <w:r>
        <w:rPr>
          <w:rStyle w:val="KeywordTok"/>
        </w:rPr>
        <w:t xml:space="preserve">interface</w:t>
      </w:r>
      <w:r>
        <w:rPr>
          <w:rStyle w:val="NormalTok"/>
        </w:rPr>
        <w:t xml:space="preserve"> Connector {</w:t>
      </w:r>
      <w:r>
        <w:br/>
      </w:r>
      <w:r>
        <w:rPr>
          <w:rStyle w:val="NormalTok"/>
        </w:rPr>
        <w:t xml:space="preserve">  </w:t>
      </w:r>
      <w:r>
        <w:rPr>
          <w:rStyle w:val="FunctionTok"/>
        </w:rPr>
        <w:t xml:space="preserve">manifest</w:t>
      </w:r>
      <w:r>
        <w:rPr>
          <w:rStyle w:val="NormalTok"/>
        </w:rPr>
        <w:t xml:space="preserve">()</w:t>
      </w:r>
      <w:r>
        <w:rPr>
          <w:rStyle w:val="OperatorTok"/>
        </w:rPr>
        <w:t xml:space="preserve">:</w:t>
      </w:r>
      <w:r>
        <w:rPr>
          <w:rStyle w:val="NormalTok"/>
        </w:rPr>
        <w:t xml:space="preserve"> ConnectorManifest</w:t>
      </w:r>
      <w:r>
        <w:rPr>
          <w:rStyle w:val="OperatorTok"/>
        </w:rPr>
        <w:t xml:space="preserve">;</w:t>
      </w:r>
      <w:r>
        <w:rPr>
          <w:rStyle w:val="NormalTok"/>
        </w:rPr>
        <w:t xml:space="preserve">            </w:t>
      </w:r>
      <w:r>
        <w:rPr>
          <w:rStyle w:val="CommentTok"/>
        </w:rPr>
        <w:t xml:space="preserve">// id, version, counterparty, capabilities, schemas, scopes, residency</w:t>
      </w:r>
      <w:r>
        <w:br/>
      </w:r>
      <w:r>
        <w:rPr>
          <w:rStyle w:val="NormalTok"/>
        </w:rPr>
        <w:t xml:space="preserve">  </w:t>
      </w:r>
      <w:r>
        <w:rPr>
          <w:rStyle w:val="FunctionTok"/>
        </w:rPr>
        <w:t xml:space="preserve">capabilities</w:t>
      </w:r>
      <w:r>
        <w:rPr>
          <w:rStyle w:val="NormalTok"/>
        </w:rPr>
        <w:t xml:space="preserve">()</w:t>
      </w:r>
      <w:r>
        <w:rPr>
          <w:rStyle w:val="OperatorTok"/>
        </w:rPr>
        <w:t xml:space="preserve">:</w:t>
      </w:r>
      <w:r>
        <w:rPr>
          <w:rStyle w:val="NormalTok"/>
        </w:rPr>
        <w:t xml:space="preserve"> CapabilityDeclaration[]</w:t>
      </w:r>
      <w:r>
        <w:rPr>
          <w:rStyle w:val="OperatorTok"/>
        </w:rPr>
        <w:t xml:space="preserve">;</w:t>
      </w:r>
      <w:r>
        <w:rPr>
          <w:rStyle w:val="NormalTok"/>
        </w:rPr>
        <w:t xml:space="preserve">  </w:t>
      </w:r>
      <w:r>
        <w:rPr>
          <w:rStyle w:val="CommentTok"/>
        </w:rPr>
        <w:t xml:space="preserve">// API, WEBHOOK, POLL, FILE or PORTAL_MANUAL per capability</w:t>
      </w:r>
      <w:r>
        <w:br/>
      </w:r>
      <w:r>
        <w:rPr>
          <w:rStyle w:val="NormalTok"/>
        </w:rPr>
        <w:t xml:space="preserve">  </w:t>
      </w:r>
      <w:r>
        <w:rPr>
          <w:rStyle w:val="FunctionTok"/>
        </w:rPr>
        <w:t xml:space="preserve">healthCheck</w:t>
      </w:r>
      <w:r>
        <w:rPr>
          <w:rStyle w:val="NormalTok"/>
        </w:rPr>
        <w:t xml:space="preserve">(ctx</w:t>
      </w:r>
      <w:r>
        <w:rPr>
          <w:rStyle w:val="OperatorTok"/>
        </w:rPr>
        <w:t xml:space="preserve">:</w:t>
      </w:r>
      <w:r>
        <w:rPr>
          <w:rStyle w:val="NormalTok"/>
        </w:rPr>
        <w:t xml:space="preserve"> TenantContext)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Health</w:t>
      </w:r>
      <w:r>
        <w:rPr>
          <w:rStyle w:val="OperatorTok"/>
        </w:rPr>
        <w:t xml:space="preserve">&gt;;</w:t>
      </w:r>
      <w:r>
        <w:br/>
      </w:r>
      <w:r>
        <w:rPr>
          <w:rStyle w:val="NormalTok"/>
        </w:rPr>
        <w:t xml:space="preserve">  </w:t>
      </w:r>
      <w:r>
        <w:rPr>
          <w:rStyle w:val="FunctionTok"/>
        </w:rPr>
        <w:t xml:space="preserve">send</w:t>
      </w:r>
      <w:r>
        <w:rPr>
          <w:rStyle w:val="NormalTok"/>
        </w:rPr>
        <w:t xml:space="preserve">(ctx</w:t>
      </w:r>
      <w:r>
        <w:rPr>
          <w:rStyle w:val="OperatorTok"/>
        </w:rPr>
        <w:t xml:space="preserve">:</w:t>
      </w:r>
      <w:r>
        <w:rPr>
          <w:rStyle w:val="NormalTok"/>
        </w:rPr>
        <w:t xml:space="preserve"> TenantContext</w:t>
      </w:r>
      <w:r>
        <w:rPr>
          <w:rStyle w:val="OperatorTok"/>
        </w:rPr>
        <w:t xml:space="preserve">,</w:t>
      </w:r>
      <w:r>
        <w:rPr>
          <w:rStyle w:val="NormalTok"/>
        </w:rPr>
        <w:t xml:space="preserve"> event</w:t>
      </w:r>
      <w:r>
        <w:rPr>
          <w:rStyle w:val="OperatorTok"/>
        </w:rPr>
        <w:t xml:space="preserve">:</w:t>
      </w:r>
      <w:r>
        <w:rPr>
          <w:rStyle w:val="NormalTok"/>
        </w:rPr>
        <w:t xml:space="preserve"> CloudEvent)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DeliveryResult</w:t>
      </w:r>
      <w:r>
        <w:rPr>
          <w:rStyle w:val="OperatorTok"/>
        </w:rPr>
        <w:t xml:space="preserve">&gt;;</w:t>
      </w:r>
      <w:r>
        <w:rPr>
          <w:rStyle w:val="NormalTok"/>
        </w:rPr>
        <w:t xml:space="preserve">     </w:t>
      </w:r>
      <w:r>
        <w:rPr>
          <w:rStyle w:val="CommentTok"/>
        </w:rPr>
        <w:t xml:space="preserve">// canonical → counterparty</w:t>
      </w:r>
      <w:r>
        <w:br/>
      </w:r>
      <w:r>
        <w:rPr>
          <w:rStyle w:val="NormalTok"/>
        </w:rPr>
        <w:t xml:space="preserve">  </w:t>
      </w:r>
      <w:r>
        <w:rPr>
          <w:rStyle w:val="FunctionTok"/>
        </w:rPr>
        <w:t xml:space="preserve">receive</w:t>
      </w:r>
      <w:r>
        <w:rPr>
          <w:rStyle w:val="NormalTok"/>
        </w:rPr>
        <w:t xml:space="preserve">(ctx</w:t>
      </w:r>
      <w:r>
        <w:rPr>
          <w:rStyle w:val="OperatorTok"/>
        </w:rPr>
        <w:t xml:space="preserve">:</w:t>
      </w:r>
      <w:r>
        <w:rPr>
          <w:rStyle w:val="NormalTok"/>
        </w:rPr>
        <w:t xml:space="preserve"> TenantContext</w:t>
      </w:r>
      <w:r>
        <w:rPr>
          <w:rStyle w:val="OperatorTok"/>
        </w:rPr>
        <w:t xml:space="preserve">,</w:t>
      </w:r>
      <w:r>
        <w:rPr>
          <w:rStyle w:val="NormalTok"/>
        </w:rPr>
        <w:t xml:space="preserve"> raw</w:t>
      </w:r>
      <w:r>
        <w:rPr>
          <w:rStyle w:val="OperatorTok"/>
        </w:rPr>
        <w:t xml:space="preserve">:</w:t>
      </w:r>
      <w:r>
        <w:rPr>
          <w:rStyle w:val="NormalTok"/>
        </w:rPr>
        <w:t xml:space="preserve"> InboundMessage)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CloudEvent[]</w:t>
      </w:r>
      <w:r>
        <w:rPr>
          <w:rStyle w:val="OperatorTok"/>
        </w:rPr>
        <w:t xml:space="preserve">&gt;;</w:t>
      </w:r>
      <w:r>
        <w:rPr>
          <w:rStyle w:val="NormalTok"/>
        </w:rPr>
        <w:t xml:space="preserve">  </w:t>
      </w:r>
      <w:r>
        <w:rPr>
          <w:rStyle w:val="CommentTok"/>
        </w:rPr>
        <w:t xml:space="preserve">// counterparty → canonical</w:t>
      </w:r>
      <w:r>
        <w:br/>
      </w:r>
      <w:r>
        <w:rPr>
          <w:rStyle w:val="NormalTok"/>
        </w:rPr>
        <w:t xml:space="preserve">  </w:t>
      </w:r>
      <w:r>
        <w:rPr>
          <w:rStyle w:val="FunctionTok"/>
        </w:rPr>
        <w:t xml:space="preserve">call</w:t>
      </w:r>
      <w:r>
        <w:rPr>
          <w:rStyle w:val="NormalTok"/>
        </w:rPr>
        <w:t xml:space="preserve">(ctx</w:t>
      </w:r>
      <w:r>
        <w:rPr>
          <w:rStyle w:val="OperatorTok"/>
        </w:rPr>
        <w:t xml:space="preserve">:</w:t>
      </w:r>
      <w:r>
        <w:rPr>
          <w:rStyle w:val="NormalTok"/>
        </w:rPr>
        <w:t xml:space="preserve"> TenantContext</w:t>
      </w:r>
      <w:r>
        <w:rPr>
          <w:rStyle w:val="OperatorTok"/>
        </w:rPr>
        <w:t xml:space="preserve">,</w:t>
      </w:r>
      <w:r>
        <w:rPr>
          <w:rStyle w:val="NormalTok"/>
        </w:rPr>
        <w:t xml:space="preserve"> op</w:t>
      </w:r>
      <w:r>
        <w:rPr>
          <w:rStyle w:val="OperatorTok"/>
        </w:rPr>
        <w:t xml:space="preserve">:</w:t>
      </w:r>
      <w:r>
        <w:rPr>
          <w:rStyle w:val="NormalTok"/>
        </w:rPr>
        <w:t xml:space="preserve"> OperationId</w:t>
      </w:r>
      <w:r>
        <w:rPr>
          <w:rStyle w:val="OperatorTok"/>
        </w:rPr>
        <w:t xml:space="preserve">,</w:t>
      </w:r>
      <w:r>
        <w:rPr>
          <w:rStyle w:val="NormalTok"/>
        </w:rPr>
        <w:t xml:space="preserve"> body</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idemKey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OperationResult</w:t>
      </w:r>
      <w:r>
        <w:rPr>
          <w:rStyle w:val="OperatorTok"/>
        </w:rPr>
        <w:t xml:space="preserve">&gt;;</w:t>
      </w:r>
      <w:r>
        <w:br/>
      </w:r>
      <w:r>
        <w:rPr>
          <w:rStyle w:val="NormalTok"/>
        </w:rPr>
        <w:t xml:space="preserve">  </w:t>
      </w:r>
      <w:r>
        <w:rPr>
          <w:rStyle w:val="FunctionTok"/>
        </w:rPr>
        <w:t xml:space="preserve">reconcile</w:t>
      </w:r>
      <w:r>
        <w:rPr>
          <w:rStyle w:val="NormalTok"/>
        </w:rPr>
        <w:t xml:space="preserve">(ctx</w:t>
      </w:r>
      <w:r>
        <w:rPr>
          <w:rStyle w:val="OperatorTok"/>
        </w:rPr>
        <w:t xml:space="preserve">:</w:t>
      </w:r>
      <w:r>
        <w:rPr>
          <w:rStyle w:val="NormalTok"/>
        </w:rPr>
        <w:t xml:space="preserve"> TenantContext</w:t>
      </w:r>
      <w:r>
        <w:rPr>
          <w:rStyle w:val="OperatorTok"/>
        </w:rPr>
        <w:t xml:space="preserve">,</w:t>
      </w:r>
      <w:r>
        <w:rPr>
          <w:rStyle w:val="NormalTok"/>
        </w:rPr>
        <w:t xml:space="preserve"> businessDate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ReconciliationReport</w:t>
      </w:r>
      <w:r>
        <w:rPr>
          <w:rStyle w:val="OperatorTok"/>
        </w:rPr>
        <w:t xml:space="preserve">&gt;;</w:t>
      </w:r>
      <w:r>
        <w:br/>
      </w:r>
      <w:r>
        <w:rPr>
          <w:rStyle w:val="NormalTok"/>
        </w:rPr>
        <w:t xml:space="preserve">}</w:t>
      </w:r>
    </w:p>
    <w:p>
      <w:pPr>
        <w:pStyle w:val="FirstParagraph"/>
      </w:pPr>
      <w:r>
        <w:rPr>
          <w:rStyle w:val="VerbatimChar"/>
        </w:rPr>
        <w:t xml:space="preserve">TenantContext</w:t>
      </w:r>
      <w:r>
        <w:t xml:space="preserve"> </w:t>
      </w:r>
      <w:r>
        <w:t xml:space="preserve">carries</w:t>
      </w:r>
      <w:r>
        <w:t xml:space="preserve"> </w:t>
      </w:r>
      <w:r>
        <w:rPr>
          <w:rStyle w:val="VerbatimChar"/>
        </w:rPr>
        <w:t xml:space="preserve">tenantid</w:t>
      </w:r>
      <w:r>
        <w:t xml:space="preserve">,</w:t>
      </w:r>
      <w:r>
        <w:t xml:space="preserve"> </w:t>
      </w:r>
      <w:r>
        <w:rPr>
          <w:rStyle w:val="VerbatimChar"/>
        </w:rPr>
        <w:t xml:space="preserve">reid</w:t>
      </w:r>
      <w:r>
        <w:t xml:space="preserve">, a vault handle, mapping version and environment; calls without RE context fail. Third-party connectors also need residency and sub-processor review, VAPT ≤ 12 months old, and the outsourcing clauses in the counterparty contract (OUT paras 33–34, 74).</w:t>
      </w:r>
    </w:p>
    <w:bookmarkEnd w:id="85"/>
    <w:bookmarkStart w:id="86" w:name="adapter-catalogue"/>
    <w:p>
      <w:pPr>
        <w:pStyle w:val="Heading2"/>
      </w:pPr>
      <w:r>
        <w:t xml:space="preserve">10.2 Adapter catalogue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46"/>
        <w:gridCol w:w="3286"/>
        <w:gridCol w:w="4206"/>
      </w:tblGrid>
      <w:tr>
        <w:trPr>
          <w:tblHeader w:val="true"/>
          <w:tblHeader w:val="true"/>
        </w:trPr>
        <w:tc>
          <w:tcPr>
            <w:tcW w:w="2146" w:type="dxa"/>
            <w:shd w:val="clear" w:color="auto" w:fill="1F3A5F"/>
          </w:tcPr>
          <w:p>
            <w:pPr>
              <w:pStyle w:val="Compact"/>
              <w:spacing w:after="40"/>
              <w:jc w:val="left"/>
            </w:pPr>
            <w:r>
              <w:rPr>
                <w:b/>
                <w:color w:val="FFFFFF"/>
                <w:sz w:val="18"/>
              </w:rPr>
              <w:t xml:space="preserve">Category</w:t>
            </w:r>
          </w:p>
        </w:tc>
        <w:tc>
          <w:tcPr>
            <w:tcW w:w="3286" w:type="dxa"/>
            <w:shd w:val="clear" w:color="auto" w:fill="1F3A5F"/>
          </w:tcPr>
          <w:p>
            <w:pPr>
              <w:pStyle w:val="Compact"/>
              <w:spacing w:after="40"/>
              <w:jc w:val="left"/>
            </w:pPr>
            <w:r>
              <w:rPr>
                <w:b/>
                <w:color w:val="FFFFFF"/>
                <w:sz w:val="18"/>
              </w:rPr>
              <w:t xml:space="preserve">Examples</w:t>
            </w:r>
          </w:p>
        </w:tc>
        <w:tc>
          <w:tcPr>
            <w:tcW w:w="4206" w:type="dxa"/>
            <w:shd w:val="clear" w:color="auto" w:fill="1F3A5F"/>
          </w:tcPr>
          <w:p>
            <w:pPr>
              <w:pStyle w:val="Compact"/>
              <w:spacing w:after="40"/>
              <w:jc w:val="left"/>
            </w:pPr>
            <w:r>
              <w:rPr>
                <w:b/>
                <w:color w:val="FFFFFF"/>
                <w:sz w:val="18"/>
              </w:rPr>
              <w:t xml:space="preserve">Pattern and rules</w:t>
            </w:r>
          </w:p>
        </w:tc>
      </w:tr>
      <w:tr>
        <w:tc>
          <w:tcPr>
            <w:tcW w:w="2146" w:type="dxa"/>
          </w:tcPr>
          <w:p>
            <w:pPr>
              <w:pStyle w:val="Compact"/>
              <w:spacing w:after="40"/>
              <w:jc w:val="left"/>
            </w:pPr>
            <w:r>
              <w:rPr>
                <w:sz w:val="18"/>
              </w:rPr>
              <w:t xml:space="preserve">LOS/LMS in place of Finbyx</w:t>
            </w:r>
          </w:p>
        </w:tc>
        <w:tc>
          <w:tcPr>
            <w:tcW w:w="3286" w:type="dxa"/>
          </w:tcPr>
          <w:p>
            <w:pPr>
              <w:pStyle w:val="Compact"/>
              <w:spacing w:after="40"/>
              <w:jc w:val="left"/>
            </w:pPr>
            <w:r>
              <w:rPr>
                <w:sz w:val="18"/>
              </w:rPr>
              <w:t xml:space="preserve">Apache Fineract and Fineract-based cores (</w:t>
            </w:r>
            <w:r>
              <w:rPr>
                <w:rStyle w:val="VerbatimChar"/>
                <w:sz w:val="18"/>
              </w:rPr>
              <w:t xml:space="preserve">/fineract-provider/api/v1/</w:t>
            </w:r>
            <w:r>
              <w:rPr>
                <w:sz w:val="18"/>
              </w:rPr>
              <w:t xml:space="preserve">), vendor cores</w:t>
            </w:r>
          </w:p>
        </w:tc>
        <w:tc>
          <w:tcPr>
            <w:tcW w:w="4206" w:type="dxa"/>
          </w:tcPr>
          <w:p>
            <w:pPr>
              <w:pStyle w:val="Compact"/>
              <w:spacing w:after="40"/>
              <w:jc w:val="left"/>
            </w:pPr>
            <w:r>
              <w:rPr>
                <w:sz w:val="18"/>
              </w:rPr>
              <w:t xml:space="preserve">Certified lender connector, generic REST or webhook, or SFTP; that LMS becomes system of record [VERIFY: Fineract external events in deployed version]</w:t>
            </w:r>
          </w:p>
        </w:tc>
      </w:tr>
      <w:tr>
        <w:tc>
          <w:tcPr>
            <w:tcW w:w="2146" w:type="dxa"/>
          </w:tcPr>
          <w:p>
            <w:pPr>
              <w:pStyle w:val="Compact"/>
              <w:spacing w:after="40"/>
              <w:jc w:val="left"/>
            </w:pPr>
            <w:r>
              <w:rPr>
                <w:sz w:val="18"/>
              </w:rPr>
              <w:t xml:space="preserve">Accounting</w:t>
            </w:r>
          </w:p>
        </w:tc>
        <w:tc>
          <w:tcPr>
            <w:tcW w:w="3286" w:type="dxa"/>
          </w:tcPr>
          <w:p>
            <w:pPr>
              <w:pStyle w:val="Compact"/>
              <w:spacing w:after="40"/>
              <w:jc w:val="left"/>
            </w:pPr>
            <w:r>
              <w:rPr>
                <w:sz w:val="18"/>
              </w:rPr>
              <w:t xml:space="preserve">TallyPrime (XML over HTTP port 9000 or file), SAP S/4HANA (OData, BAPI_ACC_DOCUMENT_POST, ACC_DOCUMENT IDoc), SAP Business One, Zoho Books, CSV</w:t>
            </w:r>
          </w:p>
        </w:tc>
        <w:tc>
          <w:tcPr>
            <w:tcW w:w="4206" w:type="dxa"/>
          </w:tcPr>
          <w:p>
            <w:pPr>
              <w:pStyle w:val="Compact"/>
              <w:spacing w:after="40"/>
              <w:jc w:val="left"/>
            </w:pPr>
            <w:r>
              <w:rPr>
                <w:rStyle w:val="VerbatimChar"/>
                <w:sz w:val="18"/>
              </w:rPr>
              <w:t xml:space="preserve">AccountingSink</w:t>
            </w:r>
            <w:r>
              <w:rPr>
                <w:sz w:val="18"/>
              </w:rPr>
              <w:t xml:space="preserve"> </w:t>
            </w:r>
            <w:r>
              <w:rPr>
                <w:sz w:val="18"/>
              </w:rPr>
              <w:t xml:space="preserve">from the RE ledger; hashed, signed, no manual edits (CYB paras 119–120) [VERIFY: SAP per release]</w:t>
            </w:r>
          </w:p>
        </w:tc>
      </w:tr>
      <w:tr>
        <w:tc>
          <w:tcPr>
            <w:tcW w:w="2146" w:type="dxa"/>
          </w:tcPr>
          <w:p>
            <w:pPr>
              <w:pStyle w:val="Compact"/>
              <w:spacing w:after="40"/>
              <w:jc w:val="left"/>
            </w:pPr>
            <w:r>
              <w:rPr>
                <w:sz w:val="18"/>
              </w:rPr>
              <w:t xml:space="preserve">Legal-tech, court data</w:t>
            </w:r>
          </w:p>
        </w:tc>
        <w:tc>
          <w:tcPr>
            <w:tcW w:w="3286" w:type="dxa"/>
          </w:tcPr>
          <w:p>
            <w:pPr>
              <w:pStyle w:val="Compact"/>
              <w:spacing w:after="40"/>
              <w:jc w:val="left"/>
            </w:pPr>
            <w:r>
              <w:rPr>
                <w:sz w:val="18"/>
              </w:rPr>
              <w:t xml:space="preserve">eCourts CNR [VERIFY: NBFC API eligibility], aggregators, e-DRT (no API found), NCLT, e-Jagriti, LawDocs</w:t>
            </w:r>
          </w:p>
        </w:tc>
        <w:tc>
          <w:tcPr>
            <w:tcW w:w="4206" w:type="dxa"/>
          </w:tcPr>
          <w:p>
            <w:pPr>
              <w:pStyle w:val="Compact"/>
              <w:spacing w:after="40"/>
              <w:jc w:val="left"/>
            </w:pPr>
            <w:r>
              <w:rPr>
                <w:sz w:val="18"/>
              </w:rPr>
              <w:t xml:space="preserve">CNR polling, cause-list match, orders; counsel updates prevail</w:t>
            </w:r>
          </w:p>
        </w:tc>
      </w:tr>
      <w:tr>
        <w:tc>
          <w:tcPr>
            <w:tcW w:w="2146" w:type="dxa"/>
          </w:tcPr>
          <w:p>
            <w:pPr>
              <w:pStyle w:val="Compact"/>
              <w:spacing w:after="40"/>
              <w:jc w:val="left"/>
            </w:pPr>
            <w:r>
              <w:rPr>
                <w:sz w:val="18"/>
              </w:rPr>
              <w:t xml:space="preserve">E-auction</w:t>
            </w:r>
          </w:p>
        </w:tc>
        <w:tc>
          <w:tcPr>
            <w:tcW w:w="3286" w:type="dxa"/>
          </w:tcPr>
          <w:p>
            <w:pPr>
              <w:pStyle w:val="Compact"/>
              <w:spacing w:after="40"/>
              <w:jc w:val="left"/>
            </w:pPr>
            <w:r>
              <w:rPr>
                <w:sz w:val="18"/>
              </w:rPr>
              <w:t xml:space="preserve">BAANKNET (mandatory for IBC liquidation auctions noticed from 1 Apr 2025), C1 India, auctiontiger, MSTC, Shriram Automall</w:t>
            </w:r>
          </w:p>
        </w:tc>
        <w:tc>
          <w:tcPr>
            <w:tcW w:w="4206" w:type="dxa"/>
          </w:tcPr>
          <w:p>
            <w:pPr>
              <w:pStyle w:val="Compact"/>
              <w:spacing w:after="40"/>
              <w:jc w:val="left"/>
            </w:pPr>
            <w:r>
              <w:rPr>
                <w:rStyle w:val="VerbatimChar"/>
                <w:sz w:val="18"/>
              </w:rPr>
              <w:t xml:space="preserve">AuctionPlatformAdapter</w:t>
            </w:r>
            <w:r>
              <w:rPr>
                <w:sz w:val="18"/>
              </w:rPr>
              <w:t xml:space="preserve">: listing, EMD and bidder KYC, bid log, result [VERIFY: NBFC access and APIs]</w:t>
            </w:r>
          </w:p>
        </w:tc>
      </w:tr>
      <w:tr>
        <w:tc>
          <w:tcPr>
            <w:tcW w:w="2146" w:type="dxa"/>
          </w:tcPr>
          <w:p>
            <w:pPr>
              <w:pStyle w:val="Compact"/>
              <w:spacing w:after="40"/>
              <w:jc w:val="left"/>
            </w:pPr>
            <w:r>
              <w:rPr>
                <w:sz w:val="18"/>
              </w:rPr>
              <w:t xml:space="preserve">Agencies, diallers</w:t>
            </w:r>
          </w:p>
        </w:tc>
        <w:tc>
          <w:tcPr>
            <w:tcW w:w="3286" w:type="dxa"/>
          </w:tcPr>
          <w:p>
            <w:pPr>
              <w:pStyle w:val="Compact"/>
              <w:spacing w:after="40"/>
              <w:jc w:val="left"/>
            </w:pPr>
            <w:r>
              <w:rPr>
                <w:sz w:val="18"/>
              </w:rPr>
              <w:t xml:space="preserve">Agency portals, Credgenics, Spocto, 1600-series voice vendors</w:t>
            </w:r>
          </w:p>
        </w:tc>
        <w:tc>
          <w:tcPr>
            <w:tcW w:w="4206" w:type="dxa"/>
          </w:tcPr>
          <w:p>
            <w:pPr>
              <w:pStyle w:val="Compact"/>
              <w:spacing w:after="40"/>
              <w:jc w:val="left"/>
            </w:pPr>
            <w:r>
              <w:rPr>
                <w:sz w:val="18"/>
              </w:rPr>
              <w:t xml:space="preserve">Allocations in, activity out; police verification (RBC paras 93–99); IIBF from 1 Jan 2027 [VERIFY]</w:t>
            </w:r>
          </w:p>
        </w:tc>
      </w:tr>
      <w:tr>
        <w:tc>
          <w:tcPr>
            <w:tcW w:w="2146" w:type="dxa"/>
          </w:tcPr>
          <w:p>
            <w:pPr>
              <w:pStyle w:val="Compact"/>
              <w:spacing w:after="40"/>
              <w:jc w:val="left"/>
            </w:pPr>
            <w:r>
              <w:rPr>
                <w:sz w:val="18"/>
              </w:rPr>
              <w:t xml:space="preserve">Notice dispatch</w:t>
            </w:r>
          </w:p>
        </w:tc>
        <w:tc>
          <w:tcPr>
            <w:tcW w:w="3286" w:type="dxa"/>
          </w:tcPr>
          <w:p>
            <w:pPr>
              <w:pStyle w:val="Compact"/>
              <w:spacing w:after="40"/>
              <w:jc w:val="left"/>
            </w:pPr>
            <w:r>
              <w:rPr>
                <w:sz w:val="18"/>
              </w:rPr>
              <w:t xml:space="preserve">India Post bulk API (CEPT onboarding), couriers, DLT SMS, email, print-to-post</w:t>
            </w:r>
          </w:p>
        </w:tc>
        <w:tc>
          <w:tcPr>
            <w:tcW w:w="4206" w:type="dxa"/>
          </w:tcPr>
          <w:p>
            <w:pPr>
              <w:pStyle w:val="Compact"/>
              <w:spacing w:after="40"/>
              <w:jc w:val="left"/>
            </w:pPr>
            <w:r>
              <w:rPr>
                <w:sz w:val="18"/>
              </w:rPr>
              <w:t xml:space="preserve">→</w:t>
            </w:r>
            <w:r>
              <w:rPr>
                <w:sz w:val="18"/>
              </w:rPr>
              <w:t xml:space="preserve"> </w:t>
            </w:r>
            <w:r>
              <w:rPr>
                <w:rStyle w:val="VerbatimChar"/>
                <w:sz w:val="18"/>
              </w:rPr>
              <w:t xml:space="preserve">NoticeServiceUpdated</w:t>
            </w:r>
            <w:r>
              <w:rPr>
                <w:sz w:val="18"/>
              </w:rPr>
              <w:t xml:space="preserve">; Registered Post merged into Speed Post (1 Sep 2025); WhatsApp never used for collection, recovery or legal notices (WhatsApp Business Messaging Policy bars debt collection; Finbyx 7A.0.6 guard-rail, Udofin UR3)</w:t>
            </w:r>
          </w:p>
        </w:tc>
      </w:tr>
      <w:tr>
        <w:tc>
          <w:tcPr>
            <w:tcW w:w="2146" w:type="dxa"/>
          </w:tcPr>
          <w:p>
            <w:pPr>
              <w:pStyle w:val="Compact"/>
              <w:spacing w:after="40"/>
              <w:jc w:val="left"/>
            </w:pPr>
            <w:r>
              <w:rPr>
                <w:sz w:val="18"/>
              </w:rPr>
              <w:t xml:space="preserve">ODR providers</w:t>
            </w:r>
          </w:p>
        </w:tc>
        <w:tc>
          <w:tcPr>
            <w:tcW w:w="3286" w:type="dxa"/>
          </w:tcPr>
          <w:p>
            <w:pPr>
              <w:pStyle w:val="Compact"/>
              <w:spacing w:after="40"/>
              <w:jc w:val="left"/>
            </w:pPr>
            <w:r>
              <w:rPr>
                <w:sz w:val="18"/>
              </w:rPr>
              <w:t xml:space="preserve">Equator, Presolv360, Sama, Jupitice, CADRE, Webnyay</w:t>
            </w:r>
          </w:p>
        </w:tc>
        <w:tc>
          <w:tcPr>
            <w:tcW w:w="4206" w:type="dxa"/>
          </w:tcPr>
          <w:p>
            <w:pPr>
              <w:pStyle w:val="Compact"/>
              <w:spacing w:after="40"/>
              <w:jc w:val="left"/>
            </w:pPr>
            <w:r>
              <w:rPr>
                <w:rStyle w:val="VerbatimChar"/>
                <w:sz w:val="18"/>
              </w:rPr>
              <w:t xml:space="preserve">OdrProvider</w:t>
            </w:r>
            <w:r>
              <w:rPr>
                <w:sz w:val="18"/>
              </w:rPr>
              <w:t xml:space="preserve"> </w:t>
            </w:r>
            <w:r>
              <w:rPr>
                <w:sz w:val="18"/>
              </w:rPr>
              <w:t xml:space="preserve">(8.9)</w:t>
            </w:r>
          </w:p>
        </w:tc>
      </w:tr>
      <w:tr>
        <w:tc>
          <w:tcPr>
            <w:tcW w:w="2146" w:type="dxa"/>
          </w:tcPr>
          <w:p>
            <w:pPr>
              <w:pStyle w:val="Compact"/>
              <w:spacing w:after="40"/>
              <w:jc w:val="left"/>
            </w:pPr>
            <w:r>
              <w:rPr>
                <w:sz w:val="18"/>
              </w:rPr>
              <w:t xml:space="preserve">Depository, RTA, registries, KYC, bureau, AA, eSign, payments</w:t>
            </w:r>
          </w:p>
        </w:tc>
        <w:tc>
          <w:tcPr>
            <w:tcW w:w="3286" w:type="dxa"/>
          </w:tcPr>
          <w:p>
            <w:pPr>
              <w:pStyle w:val="Compact"/>
              <w:spacing w:after="40"/>
              <w:jc w:val="left"/>
            </w:pPr>
            <w:r>
              <w:rPr>
                <w:sz w:val="18"/>
              </w:rPr>
              <w:t xml:space="preserve">NSDL, CDSL, CAMS, KFintech, MF Central, CERSAI, Vahan, TReDS, CGTMSE; Finbyx and Udofin Part 9.2</w:t>
            </w:r>
          </w:p>
        </w:tc>
        <w:tc>
          <w:tcPr>
            <w:tcW w:w="4206" w:type="dxa"/>
          </w:tcPr>
          <w:p>
            <w:pPr>
              <w:pStyle w:val="Compact"/>
              <w:spacing w:after="40"/>
              <w:jc w:val="left"/>
            </w:pPr>
            <w:r>
              <w:rPr>
                <w:sz w:val="18"/>
              </w:rPr>
              <w:t xml:space="preserve">RE contracts where law requires; no LSP account in money flows [VERIFY: Vahan financier API]</w:t>
            </w:r>
          </w:p>
        </w:tc>
      </w:tr>
    </w:tbl>
    <w:bookmarkEnd w:id="86"/>
    <w:bookmarkStart w:id="87" w:name="data-mapping-configuration"/>
    <w:p>
      <w:pPr>
        <w:pStyle w:val="Heading2"/>
      </w:pPr>
      <w:r>
        <w:t xml:space="preserve">10.3 Data-mapping configuration</w:t>
      </w:r>
    </w:p>
    <w:p>
      <w:pPr>
        <w:pStyle w:val="FirstParagraph"/>
      </w:pPr>
      <w:r>
        <w:t xml:space="preserve">Each adapter ships a semantically versioned mapping pack (</w:t>
      </w:r>
      <w:r>
        <w:rPr>
          <w:rStyle w:val="VerbatimChar"/>
        </w:rPr>
        <w:t xml:space="preserve">infrabyx-contracts/mappings/[connector-id]/[version]/mapping.yaml</w:t>
      </w:r>
      <w:r>
        <w:t xml:space="preserve">): canonical JSON Pointer ↔ counterparty field maps, code-table maps, approved transformations, defaults, validation rules and golden fixtures run in CI. Tenants override only</w:t>
      </w:r>
      <w:r>
        <w:t xml:space="preserve"> </w:t>
      </w:r>
      <w:r>
        <w:rPr>
          <w:rStyle w:val="VerbatimChar"/>
        </w:rPr>
        <w:t xml:space="preserve">x-tenant-overridable</w:t>
      </w:r>
      <w:r>
        <w:t xml:space="preserve"> </w:t>
      </w:r>
      <w:r>
        <w:t xml:space="preserve">fields by maker-checker, creating a patch version (</w:t>
      </w:r>
      <w:r>
        <w:rPr>
          <w:rStyle w:val="VerbatimChar"/>
        </w:rPr>
        <w:t xml:space="preserve">1.4.0+re_01J…</w:t>
      </w:r>
      <w:r>
        <w:t xml:space="preserve">); meaning-changing edits need recertification.</w:t>
      </w:r>
    </w:p>
    <w:p>
      <w:r>
        <w:pict>
          <v:rect style="width:0;height:1.5pt" o:hralign="center" o:hrstd="t" o:hr="t"/>
        </w:pict>
      </w:r>
    </w:p>
    <w:bookmarkEnd w:id="87"/>
    <w:bookmarkEnd w:id="88"/>
    <w:bookmarkStart w:id="93" w:name="extensibility-and-new-products"/>
    <w:p>
      <w:pPr>
        <w:pStyle w:val="Heading1"/>
      </w:pPr>
      <w:r>
        <w:t xml:space="preserve">11 — EXTENSIBILITY AND NEW PRODUCTS</w:t>
      </w:r>
    </w:p>
    <w:bookmarkStart w:id="89" w:name="X733a55cba2388b682c837cb8a6af15d8ade57d8"/>
    <w:p>
      <w:pPr>
        <w:pStyle w:val="Heading2"/>
      </w:pPr>
      <w:r>
        <w:t xml:space="preserve">11.1 Module registry, entitlement and lifecycle</w:t>
      </w:r>
    </w:p>
    <w:p>
      <w:pPr>
        <w:numPr>
          <w:ilvl w:val="0"/>
          <w:numId w:val="1010"/>
        </w:numPr>
        <w:pStyle w:val="Compact"/>
      </w:pPr>
      <w:r>
        <w:rPr>
          <w:rStyle w:val="VerbatimChar"/>
          <w:bCs/>
          <w:b/>
        </w:rPr>
        <w:t xml:space="preserve">module.yaml</w:t>
      </w:r>
      <w:r>
        <w:t xml:space="preserve"> </w:t>
      </w:r>
      <w:r>
        <w:t xml:space="preserve">per attachable module (Recovery Suite modules, product templates, connectors, apps):</w:t>
      </w:r>
      <w:r>
        <w:t xml:space="preserve"> </w:t>
      </w:r>
      <w:r>
        <w:rPr>
          <w:rStyle w:val="VerbatimChar"/>
        </w:rPr>
        <w:t xml:space="preserve">id</w:t>
      </w:r>
      <w:r>
        <w:t xml:space="preserve"> </w:t>
      </w:r>
      <w:r>
        <w:t xml:space="preserve">(</w:t>
      </w:r>
      <w:r>
        <w:rPr>
          <w:rStyle w:val="VerbatimChar"/>
        </w:rPr>
        <w:t xml:space="preserve">namespace.module</w:t>
      </w:r>
      <w:r>
        <w:t xml:space="preserve">),</w:t>
      </w:r>
      <w:r>
        <w:t xml:space="preserve"> </w:t>
      </w:r>
      <w:r>
        <w:rPr>
          <w:rStyle w:val="VerbatimChar"/>
        </w:rPr>
        <w:t xml:space="preserve">version</w:t>
      </w:r>
      <w:r>
        <w:t xml:space="preserve">,</w:t>
      </w:r>
      <w:r>
        <w:t xml:space="preserve"> </w:t>
      </w:r>
      <w:r>
        <w:rPr>
          <w:rStyle w:val="VerbatimChar"/>
        </w:rPr>
        <w:t xml:space="preserve">product</w:t>
      </w:r>
      <w:r>
        <w:t xml:space="preserve">,</w:t>
      </w:r>
      <w:r>
        <w:t xml:space="preserve"> </w:t>
      </w:r>
      <w:r>
        <w:rPr>
          <w:rStyle w:val="VerbatimChar"/>
        </w:rPr>
        <w:t xml:space="preserve">requires</w:t>
      </w:r>
      <w:r>
        <w:t xml:space="preserve">,</w:t>
      </w:r>
      <w:r>
        <w:t xml:space="preserve"> </w:t>
      </w:r>
      <w:r>
        <w:rPr>
          <w:rStyle w:val="VerbatimChar"/>
        </w:rPr>
        <w:t xml:space="preserve">capabilities</w:t>
      </w:r>
      <w:r>
        <w:t xml:space="preserve">,</w:t>
      </w:r>
      <w:r>
        <w:t xml:space="preserve"> </w:t>
      </w:r>
      <w:r>
        <w:rPr>
          <w:rStyle w:val="VerbatimChar"/>
        </w:rPr>
        <w:t xml:space="preserve">events_produced</w:t>
      </w:r>
      <w:r>
        <w:t xml:space="preserve">,</w:t>
      </w:r>
      <w:r>
        <w:t xml:space="preserve"> </w:t>
      </w:r>
      <w:r>
        <w:rPr>
          <w:rStyle w:val="VerbatimChar"/>
        </w:rPr>
        <w:t xml:space="preserve">events_consumed</w:t>
      </w:r>
      <w:r>
        <w:t xml:space="preserve">,</w:t>
      </w:r>
      <w:r>
        <w:t xml:space="preserve"> </w:t>
      </w:r>
      <w:r>
        <w:rPr>
          <w:rStyle w:val="VerbatimChar"/>
        </w:rPr>
        <w:t xml:space="preserve">apis</w:t>
      </w:r>
      <w:r>
        <w:t xml:space="preserve">,</w:t>
      </w:r>
      <w:r>
        <w:t xml:space="preserve"> </w:t>
      </w:r>
      <w:r>
        <w:rPr>
          <w:rStyle w:val="VerbatimChar"/>
        </w:rPr>
        <w:t xml:space="preserve">permissions</w:t>
      </w:r>
      <w:r>
        <w:t xml:space="preserve">,</w:t>
      </w:r>
      <w:r>
        <w:t xml:space="preserve"> </w:t>
      </w:r>
      <w:r>
        <w:rPr>
          <w:rStyle w:val="VerbatimChar"/>
        </w:rPr>
        <w:t xml:space="preserve">data_categories</w:t>
      </w:r>
      <w:r>
        <w:t xml:space="preserve">,</w:t>
      </w:r>
      <w:r>
        <w:t xml:space="preserve"> </w:t>
      </w:r>
      <w:r>
        <w:rPr>
          <w:rStyle w:val="VerbatimChar"/>
        </w:rPr>
        <w:t xml:space="preserve">regulatory_refs</w:t>
      </w:r>
      <w:r>
        <w:t xml:space="preserve">,</w:t>
      </w:r>
      <w:r>
        <w:t xml:space="preserve"> </w:t>
      </w:r>
      <w:r>
        <w:rPr>
          <w:rStyle w:val="VerbatimChar"/>
        </w:rPr>
        <w:t xml:space="preserve">retention_class</w:t>
      </w:r>
      <w:r>
        <w:t xml:space="preserve">,</w:t>
      </w:r>
      <w:r>
        <w:t xml:space="preserve"> </w:t>
      </w:r>
      <w:r>
        <w:rPr>
          <w:rStyle w:val="VerbatimChar"/>
        </w:rPr>
        <w:t xml:space="preserve">licence_sku</w:t>
      </w:r>
      <w:r>
        <w:t xml:space="preserve">,</w:t>
      </w:r>
      <w:r>
        <w:t xml:space="preserve"> </w:t>
      </w:r>
      <w:r>
        <w:rPr>
          <w:rStyle w:val="VerbatimChar"/>
        </w:rPr>
        <w:t xml:space="preserve">ui_slots</w:t>
      </w:r>
      <w:r>
        <w:t xml:space="preserve">,</w:t>
      </w:r>
      <w:r>
        <w:t xml:space="preserve"> </w:t>
      </w:r>
      <w:r>
        <w:rPr>
          <w:rStyle w:val="VerbatimChar"/>
        </w:rPr>
        <w:t xml:space="preserve">migrations</w:t>
      </w:r>
      <w:r>
        <w:t xml:space="preserve">.</w:t>
      </w:r>
    </w:p>
    <w:p>
      <w:pPr>
        <w:numPr>
          <w:ilvl w:val="0"/>
          <w:numId w:val="1010"/>
        </w:numPr>
        <w:pStyle w:val="Compact"/>
      </w:pPr>
      <w:r>
        <w:rPr>
          <w:bCs/>
          <w:b/>
        </w:rPr>
        <w:t xml:space="preserve">Entitlement</w:t>
      </w:r>
      <w:r>
        <w:t xml:space="preserve"> </w:t>
      </w:r>
      <w:r>
        <w:t xml:space="preserve">is checked server-side on every call and handler through an OpenFeature-compatible provider (SKU, tenant, entity, product family, branch, role); flag keys</w:t>
      </w:r>
      <w:r>
        <w:t xml:space="preserve"> </w:t>
      </w:r>
      <w:r>
        <w:rPr>
          <w:rStyle w:val="VerbatimChar"/>
        </w:rPr>
        <w:t xml:space="preserve">mod.[id].[capability]</w:t>
      </w:r>
      <w:r>
        <w:t xml:space="preserve"> </w:t>
      </w:r>
      <w:r>
        <w:t xml:space="preserve">(e.g. </w:t>
      </w:r>
      <w:r>
        <w:rPr>
          <w:rStyle w:val="VerbatimChar"/>
        </w:rPr>
        <w:t xml:space="preserve">mod.recovery.adr.referral</w:t>
      </w:r>
      <w:r>
        <w:t xml:space="preserve">,</w:t>
      </w:r>
      <w:r>
        <w:t xml:space="preserve"> </w:t>
      </w:r>
      <w:r>
        <w:rPr>
          <w:rStyle w:val="VerbatimChar"/>
        </w:rPr>
        <w:t xml:space="preserve">mod.las.revolving</w:t>
      </w:r>
      <w:r>
        <w:t xml:space="preserve">).</w:t>
      </w:r>
    </w:p>
    <w:p>
      <w:pPr>
        <w:numPr>
          <w:ilvl w:val="0"/>
          <w:numId w:val="1010"/>
        </w:numPr>
        <w:pStyle w:val="Compact"/>
      </w:pPr>
      <w:r>
        <w:rPr>
          <w:bCs/>
          <w:b/>
        </w:rPr>
        <w:t xml:space="preserve">Lifecycle:</w:t>
      </w:r>
      <w:r>
        <w:t xml:space="preserve"> </w:t>
      </w:r>
      <w:r>
        <w:rPr>
          <w:rStyle w:val="VerbatimChar"/>
        </w:rPr>
        <w:t xml:space="preserve">AVAILABLE → LICENSED → INSTALLED → CONFIGURED (maker-checker) → CERTIFIED → ENABLED → READ_ONLY → DETACHED</w:t>
      </w:r>
      <w:r>
        <w:t xml:space="preserve">;</w:t>
      </w:r>
      <w:r>
        <w:t xml:space="preserve"> </w:t>
      </w:r>
      <w:r>
        <w:rPr>
          <w:rStyle w:val="VerbatimChar"/>
        </w:rPr>
        <w:t xml:space="preserve">ModuleAttached</w:t>
      </w:r>
      <w:r>
        <w:t xml:space="preserve"> </w:t>
      </w:r>
      <w:r>
        <w:t xml:space="preserve">on ENABLED,</w:t>
      </w:r>
      <w:r>
        <w:t xml:space="preserve"> </w:t>
      </w:r>
      <w:r>
        <w:rPr>
          <w:rStyle w:val="VerbatimChar"/>
        </w:rPr>
        <w:t xml:space="preserve">ModuleDetached</w:t>
      </w:r>
      <w:r>
        <w:t xml:space="preserve"> </w:t>
      </w:r>
      <w:r>
        <w:t xml:space="preserve">on entering READ_ONLY (writes stop); the export pack is produced before DETACHED.</w:t>
      </w:r>
      <w:r>
        <w:t xml:space="preserve"> </w:t>
      </w:r>
      <w:r>
        <w:rPr>
          <w:bCs/>
          <w:b/>
        </w:rPr>
        <w:t xml:space="preserve">Detaching never deletes regulated records:</w:t>
      </w:r>
      <w:r>
        <w:t xml:space="preserve"> </w:t>
      </w:r>
      <w:r>
        <w:t xml:space="preserve">recovery, litigation and ADR files stay on legal hold until closure plus retention; KYC and transaction records follow PMLA and the KYC Directions [VERIFY: periods]. Detachment is blocked while statutory clocks are open (s.34 window, SARFAESI balance deadline, s.138 complaint deadline) unless each is transferred with acknowledgement.</w:t>
      </w:r>
    </w:p>
    <w:bookmarkEnd w:id="89"/>
    <w:bookmarkStart w:id="90" w:name="extension-points-and-sdk"/>
    <w:p>
      <w:pPr>
        <w:pStyle w:val="Heading2"/>
      </w:pPr>
      <w:r>
        <w:t xml:space="preserve">11.2 Extension points and SDK</w:t>
      </w:r>
    </w:p>
    <w:p>
      <w:pPr>
        <w:pStyle w:val="FirstParagraph"/>
      </w:pPr>
      <w:r>
        <w:t xml:space="preserve">Extension points: event subscriptions, gateway APIs, external task workers claiming named queues (</w:t>
      </w:r>
      <w:r>
        <w:rPr>
          <w:rStyle w:val="VerbatimChar"/>
        </w:rPr>
        <w:t xml:space="preserve">fi.visit</w:t>
      </w:r>
      <w:r>
        <w:t xml:space="preserve">,</w:t>
      </w:r>
      <w:r>
        <w:t xml:space="preserve"> </w:t>
      </w:r>
      <w:r>
        <w:rPr>
          <w:rStyle w:val="VerbatimChar"/>
        </w:rPr>
        <w:t xml:space="preserve">notice.print</w:t>
      </w:r>
      <w:r>
        <w:t xml:space="preserve">,</w:t>
      </w:r>
      <w:r>
        <w:t xml:space="preserve"> </w:t>
      </w:r>
      <w:r>
        <w:rPr>
          <w:rStyle w:val="VerbatimChar"/>
        </w:rPr>
        <w:t xml:space="preserve">valuation.report</w:t>
      </w:r>
      <w:r>
        <w:t xml:space="preserve">,</w:t>
      </w:r>
      <w:r>
        <w:t xml:space="preserve"> </w:t>
      </w:r>
      <w:r>
        <w:rPr>
          <w:rStyle w:val="VerbatimChar"/>
        </w:rPr>
        <w:t xml:space="preserve">counsel.update</w:t>
      </w:r>
      <w:r>
        <w:t xml:space="preserve">) through a task API with tenant-scoped tokens (Finbyx 7A.0.7), GoRules JDM rule tables per tenant and product, document template packs, Temporal workflow hooks, UI slots, mapping packs, export layouts. The SDK provides envelope validation, registry client, Standard Webhooks and RFC 9421 signing, idempotency, outbox and inbox helpers, mapping runtime, simulators and the certification runner.</w:t>
      </w:r>
    </w:p>
    <w:bookmarkEnd w:id="90"/>
    <w:bookmarkStart w:id="91" w:name="onboarding-a-new-ecosystem-app"/>
    <w:p>
      <w:pPr>
        <w:pStyle w:val="Heading2"/>
      </w:pPr>
      <w:r>
        <w:t xml:space="preserve">11.3 Onboarding a new ecosystem app</w:t>
      </w:r>
    </w:p>
    <w:p>
      <w:pPr>
        <w:pStyle w:val="FirstParagraph"/>
      </w:pPr>
      <w:r>
        <w:t xml:space="preserve">Checklist: (1) legal role per RE (OUT Ch III or IV), materiality, group policy (OUT paras 45–51, 90–92), OUT paras 34 and 74 clauses; (2) DPIA, India-only, need-to-know (OUT para 24),</w:t>
      </w:r>
      <w:r>
        <w:t xml:space="preserve"> </w:t>
      </w:r>
      <w:r>
        <w:rPr>
          <w:rStyle w:val="VerbatimChar"/>
        </w:rPr>
        <w:t xml:space="preserve">x-dataclass</w:t>
      </w:r>
      <w:r>
        <w:t xml:space="preserve"> </w:t>
      </w:r>
      <w:r>
        <w:t xml:space="preserve">per field, no phone-resource access in borrower components (CF para 13(1)); (3) OIDC, SCIM, product roles, MFA; (4) registered events, APIs and files with AsyncAPI, OpenAPI and Pact; (5) mTLS, RFC 9421 keys, VAPT, SBOM, SIEM feed, incident notice enabling the RE’s 6-hour report (OUT para 61); (6) manifest, SKU, flags; (7) BCP and DR tests, exit plan, RE outsourcing-register entry; (8) for recovery use, agent authorisation and ID, contact-policy engine, grievance routing; (9) certification,</w:t>
      </w:r>
      <w:r>
        <w:t xml:space="preserve"> </w:t>
      </w:r>
      <w:r>
        <w:rPr>
          <w:rStyle w:val="VerbatimChar"/>
        </w:rPr>
        <w:t xml:space="preserve">ConnectorCertified</w:t>
      </w:r>
      <w:r>
        <w:t xml:space="preserve">, evidence to GRC.</w:t>
      </w:r>
    </w:p>
    <w:p>
      <w:pPr>
        <w:pStyle w:val="BodyText"/>
      </w:pPr>
      <w:r>
        <w:rPr>
          <w:bCs/>
          <w:b/>
        </w:rPr>
        <w:t xml:space="preserve">Worked example — field-investigation app:</w:t>
      </w:r>
      <w:r>
        <w:t xml:space="preserve"> </w:t>
      </w:r>
      <w:r>
        <w:t xml:space="preserve">service provider to the RE (OUT Ch III), not an LSP unless it performs digital lending functions. Consumes</w:t>
      </w:r>
      <w:r>
        <w:t xml:space="preserve"> </w:t>
      </w:r>
      <w:r>
        <w:rPr>
          <w:rStyle w:val="VerbatimChar"/>
        </w:rPr>
        <w:t xml:space="preserve">VerificationRequested</w:t>
      </w:r>
      <w:r>
        <w:t xml:space="preserve">,</w:t>
      </w:r>
      <w:r>
        <w:t xml:space="preserve"> </w:t>
      </w:r>
      <w:r>
        <w:rPr>
          <w:rStyle w:val="VerbatimChar"/>
        </w:rPr>
        <w:t xml:space="preserve">CollectionAllocated</w:t>
      </w:r>
      <w:r>
        <w:t xml:space="preserve"> </w:t>
      </w:r>
      <w:r>
        <w:t xml:space="preserve">and</w:t>
      </w:r>
      <w:r>
        <w:t xml:space="preserve"> </w:t>
      </w:r>
      <w:r>
        <w:rPr>
          <w:rStyle w:val="VerbatimChar"/>
        </w:rPr>
        <w:t xml:space="preserve">CollectionDeallocated</w:t>
      </w:r>
      <w:r>
        <w:t xml:space="preserve"> </w:t>
      </w:r>
      <w:r>
        <w:t xml:space="preserve">(where the RE appoints its agents),</w:t>
      </w:r>
      <w:r>
        <w:t xml:space="preserve"> </w:t>
      </w:r>
      <w:r>
        <w:rPr>
          <w:rStyle w:val="VerbatimChar"/>
        </w:rPr>
        <w:t xml:space="preserve">LegalHoldChanged</w:t>
      </w:r>
      <w:r>
        <w:t xml:space="preserve">,</w:t>
      </w:r>
      <w:r>
        <w:t xml:space="preserve"> </w:t>
      </w:r>
      <w:r>
        <w:rPr>
          <w:rStyle w:val="VerbatimChar"/>
        </w:rPr>
        <w:t xml:space="preserve">ConsentWithdrawn</w:t>
      </w:r>
      <w:r>
        <w:t xml:space="preserve">. Produces</w:t>
      </w:r>
      <w:r>
        <w:t xml:space="preserve"> </w:t>
      </w:r>
      <w:r>
        <w:rPr>
          <w:rStyle w:val="VerbatimChar"/>
        </w:rPr>
        <w:t xml:space="preserve">VerificationCompleted</w:t>
      </w:r>
      <w:r>
        <w:t xml:space="preserve">,</w:t>
      </w:r>
      <w:r>
        <w:t xml:space="preserve"> </w:t>
      </w:r>
      <w:r>
        <w:rPr>
          <w:rStyle w:val="VerbatimChar"/>
        </w:rPr>
        <w:t xml:space="preserve">FieldVisitLogged</w:t>
      </w:r>
      <w:r>
        <w:t xml:space="preserve">,</w:t>
      </w:r>
      <w:r>
        <w:t xml:space="preserve"> </w:t>
      </w:r>
      <w:r>
        <w:rPr>
          <w:rStyle w:val="VerbatimChar"/>
        </w:rPr>
        <w:t xml:space="preserve">CollectionActivityLogged</w:t>
      </w:r>
      <w:r>
        <w:t xml:space="preserve">,</w:t>
      </w:r>
      <w:r>
        <w:t xml:space="preserve"> </w:t>
      </w:r>
      <w:r>
        <w:rPr>
          <w:rStyle w:val="VerbatimChar"/>
        </w:rPr>
        <w:t xml:space="preserve">PTPCaptured</w:t>
      </w:r>
      <w:r>
        <w:t xml:space="preserve">,</w:t>
      </w:r>
      <w:r>
        <w:t xml:space="preserve"> </w:t>
      </w:r>
      <w:r>
        <w:rPr>
          <w:rStyle w:val="VerbatimChar"/>
        </w:rPr>
        <w:t xml:space="preserve">ReceiptIssued</w:t>
      </w:r>
      <w:r>
        <w:t xml:space="preserve">,</w:t>
      </w:r>
      <w:r>
        <w:t xml:space="preserve"> </w:t>
      </w:r>
      <w:r>
        <w:rPr>
          <w:rStyle w:val="VerbatimChar"/>
        </w:rPr>
        <w:t xml:space="preserve">RiskSignalRaised</w:t>
      </w:r>
      <w:r>
        <w:t xml:space="preserve">,</w:t>
      </w:r>
      <w:r>
        <w:t xml:space="preserve"> </w:t>
      </w:r>
      <w:r>
        <w:rPr>
          <w:rStyle w:val="VerbatimChar"/>
        </w:rPr>
        <w:t xml:space="preserve">SecurityIncidentNotified</w:t>
      </w:r>
      <w:r>
        <w:t xml:space="preserve">. Address token resolved only at visit time; premises photos only; geo, time and evidence hashes; scopes</w:t>
      </w:r>
      <w:r>
        <w:t xml:space="preserve"> </w:t>
      </w:r>
      <w:r>
        <w:rPr>
          <w:rStyle w:val="VerbatimChar"/>
        </w:rPr>
        <w:t xml:space="preserve">collections.allocation:read</w:t>
      </w:r>
      <w:r>
        <w:t xml:space="preserve">,</w:t>
      </w:r>
      <w:r>
        <w:t xml:space="preserve"> </w:t>
      </w:r>
      <w:r>
        <w:rPr>
          <w:rStyle w:val="VerbatimChar"/>
        </w:rPr>
        <w:t xml:space="preserve">collections.activity:write</w:t>
      </w:r>
      <w:r>
        <w:t xml:space="preserve">; contact-policy check before each visit; findings feed Finbyx R2 and the service-proof register (affixation, hand delivery); certification adds offline-sync idempotency tests.</w:t>
      </w:r>
    </w:p>
    <w:bookmarkEnd w:id="91"/>
    <w:bookmarkStart w:id="92" w:name="naming-rules-and-standalone-udolex"/>
    <w:p>
      <w:pPr>
        <w:pStyle w:val="Heading2"/>
      </w:pPr>
      <w:r>
        <w:t xml:space="preserve">11.4 Naming rules and standalone Udolex</w:t>
      </w:r>
    </w:p>
    <w:p>
      <w:pPr>
        <w:pStyle w:val="FirstParagraph"/>
      </w:pPr>
      <w:r>
        <w:t xml:space="preserve">Event names PascalCase, past tense, unique, never product-prefixed; API paths plural with action sub-resources; schema subjects</w:t>
      </w:r>
      <w:r>
        <w:t xml:space="preserve"> </w:t>
      </w:r>
      <w:r>
        <w:rPr>
          <w:rStyle w:val="VerbatimChar"/>
        </w:rPr>
        <w:t xml:space="preserve">[domain]/[EventName]</w:t>
      </w:r>
      <w:r>
        <w:t xml:space="preserve"> </w:t>
      </w:r>
      <w:r>
        <w:t xml:space="preserve">and</w:t>
      </w:r>
      <w:r>
        <w:t xml:space="preserve"> </w:t>
      </w:r>
      <w:r>
        <w:rPr>
          <w:rStyle w:val="VerbatimChar"/>
        </w:rPr>
        <w:t xml:space="preserve">.lsp</w:t>
      </w:r>
      <w:r>
        <w:t xml:space="preserve">; connector ids</w:t>
      </w:r>
      <w:r>
        <w:t xml:space="preserve"> </w:t>
      </w:r>
      <w:r>
        <w:rPr>
          <w:rStyle w:val="VerbatimChar"/>
        </w:rPr>
        <w:t xml:space="preserve">[counterparty]-[capability]-[product]</w:t>
      </w:r>
      <w:r>
        <w:t xml:space="preserve">; identifiers prefix + ULID, never reused.</w:t>
      </w:r>
      <w:r>
        <w:t xml:space="preserve"> </w:t>
      </w:r>
      <w:r>
        <w:rPr>
          <w:bCs/>
          <w:b/>
        </w:rPr>
        <w:t xml:space="preserve">Udolex</w:t>
      </w:r>
      <w:r>
        <w:t xml:space="preserve"> </w:t>
      </w:r>
      <w:r>
        <w:t xml:space="preserve">changes only</w:t>
      </w:r>
      <w:r>
        <w:t xml:space="preserve"> </w:t>
      </w:r>
      <w:r>
        <w:rPr>
          <w:rStyle w:val="VerbatimChar"/>
        </w:rPr>
        <w:t xml:space="preserve">source</w:t>
      </w:r>
      <w:r>
        <w:t xml:space="preserve"> </w:t>
      </w:r>
      <w:r>
        <w:t xml:space="preserve">(</w:t>
      </w:r>
      <w:r>
        <w:rPr>
          <w:rStyle w:val="VerbatimChar"/>
        </w:rPr>
        <w:t xml:space="preserve">urn:infrabyx:udolex:[tenantid]</w:t>
      </w:r>
      <w:r>
        <w:t xml:space="preserve">); the ledger stays in the RE’s LMS and</w:t>
      </w:r>
      <w:r>
        <w:t xml:space="preserve"> </w:t>
      </w:r>
      <w:r>
        <w:rPr>
          <w:rStyle w:val="VerbatimChar"/>
        </w:rPr>
        <w:t xml:space="preserve">RecoveryReceiptPosted</w:t>
      </w:r>
      <w:r>
        <w:t xml:space="preserve"> </w:t>
      </w:r>
      <w:r>
        <w:t xml:space="preserve">becomes a posting request confirmed by the LMS’s</w:t>
      </w:r>
      <w:r>
        <w:t xml:space="preserve"> </w:t>
      </w:r>
      <w:r>
        <w:rPr>
          <w:rStyle w:val="VerbatimChar"/>
        </w:rPr>
        <w:t xml:space="preserve">PaymentReceived</w:t>
      </w:r>
      <w:r>
        <w:t xml:space="preserve">.</w:t>
      </w:r>
    </w:p>
    <w:p>
      <w:r>
        <w:pict>
          <v:rect style="width:0;height:1.5pt" o:hralign="center" o:hrstd="t" o:hr="t"/>
        </w:pict>
      </w:r>
    </w:p>
    <w:bookmarkEnd w:id="92"/>
    <w:bookmarkEnd w:id="93"/>
    <w:bookmarkStart w:id="94" w:name="data-export-and-interoperability-formats"/>
    <w:p>
      <w:pPr>
        <w:pStyle w:val="Heading1"/>
      </w:pPr>
      <w:r>
        <w:t xml:space="preserve">12 — DATA EXPORT AND INTEROPERABILITY FORMATS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39"/>
        <w:gridCol w:w="3021"/>
        <w:gridCol w:w="4378"/>
      </w:tblGrid>
      <w:tr>
        <w:trPr>
          <w:tblHeader w:val="true"/>
          <w:tblHeader w:val="true"/>
        </w:trPr>
        <w:tc>
          <w:tcPr>
            <w:tcW w:w="2239" w:type="dxa"/>
            <w:shd w:val="clear" w:color="auto" w:fill="1F3A5F"/>
          </w:tcPr>
          <w:p>
            <w:pPr>
              <w:pStyle w:val="Compact"/>
              <w:spacing w:after="40"/>
              <w:jc w:val="left"/>
            </w:pPr>
            <w:r>
              <w:rPr>
                <w:b/>
                <w:color w:val="FFFFFF"/>
                <w:sz w:val="18"/>
              </w:rPr>
              <w:t xml:space="preserve">Format</w:t>
            </w:r>
          </w:p>
        </w:tc>
        <w:tc>
          <w:tcPr>
            <w:tcW w:w="3021" w:type="dxa"/>
            <w:shd w:val="clear" w:color="auto" w:fill="1F3A5F"/>
          </w:tcPr>
          <w:p>
            <w:pPr>
              <w:pStyle w:val="Compact"/>
              <w:spacing w:after="40"/>
              <w:jc w:val="left"/>
            </w:pPr>
            <w:r>
              <w:rPr>
                <w:b/>
                <w:color w:val="FFFFFF"/>
                <w:sz w:val="18"/>
              </w:rPr>
              <w:t xml:space="preserve">Use</w:t>
            </w:r>
          </w:p>
        </w:tc>
        <w:tc>
          <w:tcPr>
            <w:tcW w:w="4378" w:type="dxa"/>
            <w:shd w:val="clear" w:color="auto" w:fill="1F3A5F"/>
          </w:tcPr>
          <w:p>
            <w:pPr>
              <w:pStyle w:val="Compact"/>
              <w:spacing w:after="40"/>
              <w:jc w:val="left"/>
            </w:pPr>
            <w:r>
              <w:rPr>
                <w:b/>
                <w:color w:val="FFFFFF"/>
                <w:sz w:val="18"/>
              </w:rPr>
              <w:t xml:space="preserve">Specification</w:t>
            </w:r>
          </w:p>
        </w:tc>
      </w:tr>
      <w:tr>
        <w:tc>
          <w:tcPr>
            <w:tcW w:w="2239" w:type="dxa"/>
          </w:tcPr>
          <w:p>
            <w:pPr>
              <w:pStyle w:val="Compact"/>
              <w:spacing w:after="40"/>
              <w:jc w:val="left"/>
            </w:pPr>
            <w:r>
              <w:rPr>
                <w:sz w:val="18"/>
              </w:rPr>
              <w:t xml:space="preserve">CSV, XLSX, JSON, NDJSON, XML</w:t>
            </w:r>
          </w:p>
        </w:tc>
        <w:tc>
          <w:tcPr>
            <w:tcW w:w="3021" w:type="dxa"/>
          </w:tcPr>
          <w:p>
            <w:pPr>
              <w:pStyle w:val="Compact"/>
              <w:spacing w:after="40"/>
              <w:jc w:val="left"/>
            </w:pPr>
            <w:r>
              <w:rPr>
                <w:sz w:val="18"/>
              </w:rPr>
              <w:t xml:space="preserve">Registers, lists, bulk and counterparty layouts</w:t>
            </w:r>
          </w:p>
        </w:tc>
        <w:tc>
          <w:tcPr>
            <w:tcW w:w="4378" w:type="dxa"/>
          </w:tcPr>
          <w:p>
            <w:pPr>
              <w:pStyle w:val="Compact"/>
              <w:spacing w:after="40"/>
              <w:jc w:val="left"/>
            </w:pPr>
            <w:r>
              <w:rPr>
                <w:sz w:val="18"/>
              </w:rPr>
              <w:t xml:space="preserve">RFC 4180 UTF-8 CSV; JSON Schema 2020-12 or XSD per layout</w:t>
            </w:r>
          </w:p>
        </w:tc>
      </w:tr>
      <w:tr>
        <w:tc>
          <w:tcPr>
            <w:tcW w:w="2239" w:type="dxa"/>
          </w:tcPr>
          <w:p>
            <w:pPr>
              <w:pStyle w:val="Compact"/>
              <w:spacing w:after="40"/>
              <w:jc w:val="left"/>
            </w:pPr>
            <w:r>
              <w:rPr>
                <w:sz w:val="18"/>
              </w:rPr>
              <w:t xml:space="preserve">PDF/A</w:t>
            </w:r>
          </w:p>
        </w:tc>
        <w:tc>
          <w:tcPr>
            <w:tcW w:w="3021" w:type="dxa"/>
          </w:tcPr>
          <w:p>
            <w:pPr>
              <w:pStyle w:val="Compact"/>
              <w:spacing w:after="40"/>
              <w:jc w:val="left"/>
            </w:pPr>
            <w:r>
              <w:rPr>
                <w:sz w:val="18"/>
              </w:rPr>
              <w:t xml:space="preserve">Notices, awards, orders, statements, evidence packs</w:t>
            </w:r>
          </w:p>
        </w:tc>
        <w:tc>
          <w:tcPr>
            <w:tcW w:w="4378" w:type="dxa"/>
          </w:tcPr>
          <w:p>
            <w:pPr>
              <w:pStyle w:val="Compact"/>
              <w:spacing w:after="40"/>
              <w:jc w:val="left"/>
            </w:pPr>
            <w:r>
              <w:rPr>
                <w:sz w:val="18"/>
              </w:rPr>
              <w:t xml:space="preserve">PDF/A-2b; XMP block with document_id and source hash; eSign, DSC or PAdES</w:t>
            </w:r>
          </w:p>
        </w:tc>
      </w:tr>
      <w:tr>
        <w:tc>
          <w:tcPr>
            <w:tcW w:w="2239" w:type="dxa"/>
          </w:tcPr>
          <w:p>
            <w:pPr>
              <w:pStyle w:val="Compact"/>
              <w:spacing w:after="40"/>
              <w:jc w:val="left"/>
            </w:pPr>
            <w:r>
              <w:rPr>
                <w:sz w:val="18"/>
              </w:rPr>
              <w:t xml:space="preserve">Tally XML</w:t>
            </w:r>
          </w:p>
        </w:tc>
        <w:tc>
          <w:tcPr>
            <w:tcW w:w="3021" w:type="dxa"/>
          </w:tcPr>
          <w:p>
            <w:pPr>
              <w:pStyle w:val="Compact"/>
              <w:spacing w:after="40"/>
              <w:jc w:val="left"/>
            </w:pPr>
            <w:r>
              <w:rPr>
                <w:sz w:val="18"/>
              </w:rPr>
              <w:t xml:space="preserve">Journals to TallyPrime</w:t>
            </w:r>
          </w:p>
        </w:tc>
        <w:tc>
          <w:tcPr>
            <w:tcW w:w="4378" w:type="dxa"/>
          </w:tcPr>
          <w:p>
            <w:pPr>
              <w:pStyle w:val="Compact"/>
              <w:spacing w:after="40"/>
              <w:jc w:val="left"/>
            </w:pPr>
            <w:r>
              <w:rPr>
                <w:sz w:val="18"/>
              </w:rPr>
              <w:t xml:space="preserve">ENVELOPE, HEADER (Import Data), BODY, IMPORTDATA, REQUESTDESC, REQUESTDATA, TALLYMESSAGE; port 9000 or file</w:t>
            </w:r>
          </w:p>
        </w:tc>
      </w:tr>
      <w:tr>
        <w:tc>
          <w:tcPr>
            <w:tcW w:w="2239" w:type="dxa"/>
          </w:tcPr>
          <w:p>
            <w:pPr>
              <w:pStyle w:val="Compact"/>
              <w:spacing w:after="40"/>
              <w:jc w:val="left"/>
            </w:pPr>
            <w:r>
              <w:rPr>
                <w:sz w:val="18"/>
              </w:rPr>
              <w:t xml:space="preserve">SAP</w:t>
            </w:r>
          </w:p>
        </w:tc>
        <w:tc>
          <w:tcPr>
            <w:tcW w:w="3021" w:type="dxa"/>
          </w:tcPr>
          <w:p>
            <w:pPr>
              <w:pStyle w:val="Compact"/>
              <w:spacing w:after="40"/>
              <w:jc w:val="left"/>
            </w:pPr>
            <w:r>
              <w:rPr>
                <w:sz w:val="18"/>
              </w:rPr>
              <w:t xml:space="preserve">Journals to S/4HANA or ECC</w:t>
            </w:r>
          </w:p>
        </w:tc>
        <w:tc>
          <w:tcPr>
            <w:tcW w:w="4378" w:type="dxa"/>
          </w:tcPr>
          <w:p>
            <w:pPr>
              <w:pStyle w:val="Compact"/>
              <w:spacing w:after="40"/>
              <w:jc w:val="left"/>
            </w:pPr>
            <w:r>
              <w:rPr>
                <w:sz w:val="18"/>
              </w:rPr>
              <w:t xml:space="preserve">ACC_DOCUMENT IDoc, BAPI_ACC_DOCUMENT_POST or OData [VERIFY: per release]</w:t>
            </w:r>
          </w:p>
        </w:tc>
      </w:tr>
      <w:tr>
        <w:tc>
          <w:tcPr>
            <w:tcW w:w="2239" w:type="dxa"/>
          </w:tcPr>
          <w:p>
            <w:pPr>
              <w:pStyle w:val="Compact"/>
              <w:spacing w:after="40"/>
              <w:jc w:val="left"/>
            </w:pPr>
            <w:r>
              <w:rPr>
                <w:sz w:val="18"/>
              </w:rPr>
              <w:t xml:space="preserve">XBRL</w:t>
            </w:r>
          </w:p>
        </w:tc>
        <w:tc>
          <w:tcPr>
            <w:tcW w:w="3021" w:type="dxa"/>
          </w:tcPr>
          <w:p>
            <w:pPr>
              <w:pStyle w:val="Compact"/>
              <w:spacing w:after="40"/>
              <w:jc w:val="left"/>
            </w:pPr>
            <w:r>
              <w:rPr>
                <w:sz w:val="18"/>
              </w:rPr>
              <w:t xml:space="preserve">Where a regulator requires it (e.g. MCA)</w:t>
            </w:r>
          </w:p>
        </w:tc>
        <w:tc>
          <w:tcPr>
            <w:tcW w:w="4378" w:type="dxa"/>
          </w:tcPr>
          <w:p>
            <w:pPr>
              <w:pStyle w:val="Compact"/>
              <w:spacing w:after="40"/>
              <w:jc w:val="left"/>
            </w:pPr>
            <w:r>
              <w:rPr>
                <w:sz w:val="18"/>
              </w:rPr>
              <w:t xml:space="preserve">Filing taxonomy; RBI returns moving to CIMS templates [VERIFY: NBFC returns]</w:t>
            </w:r>
          </w:p>
        </w:tc>
      </w:tr>
      <w:tr>
        <w:tc>
          <w:tcPr>
            <w:tcW w:w="2239" w:type="dxa"/>
          </w:tcPr>
          <w:p>
            <w:pPr>
              <w:pStyle w:val="Compact"/>
              <w:spacing w:after="40"/>
              <w:jc w:val="left"/>
            </w:pPr>
            <w:r>
              <w:rPr>
                <w:sz w:val="18"/>
              </w:rPr>
              <w:t xml:space="preserve">CloudEvents batch</w:t>
            </w:r>
          </w:p>
        </w:tc>
        <w:tc>
          <w:tcPr>
            <w:tcW w:w="3021" w:type="dxa"/>
          </w:tcPr>
          <w:p>
            <w:pPr>
              <w:pStyle w:val="Compact"/>
              <w:spacing w:after="40"/>
              <w:jc w:val="left"/>
            </w:pPr>
            <w:r>
              <w:rPr>
                <w:sz w:val="18"/>
              </w:rPr>
              <w:t xml:space="preserve">Replay and file fallback</w:t>
            </w:r>
          </w:p>
        </w:tc>
        <w:tc>
          <w:tcPr>
            <w:tcW w:w="4378" w:type="dxa"/>
          </w:tcPr>
          <w:p>
            <w:pPr>
              <w:pStyle w:val="Compact"/>
              <w:spacing w:after="40"/>
              <w:jc w:val="left"/>
            </w:pPr>
            <w:r>
              <w:rPr>
                <w:rStyle w:val="VerbatimChar"/>
                <w:sz w:val="18"/>
              </w:rPr>
              <w:t xml:space="preserve">application/cloudevents-batch+json</w:t>
            </w:r>
            <w:r>
              <w:rPr>
                <w:sz w:val="18"/>
              </w:rPr>
              <w:t xml:space="preserve"> </w:t>
            </w:r>
            <w:r>
              <w:rPr>
                <w:sz w:val="18"/>
              </w:rPr>
              <w:t xml:space="preserve">or NDJSON</w:t>
            </w:r>
          </w:p>
        </w:tc>
      </w:tr>
    </w:tbl>
    <w:p>
      <w:pPr>
        <w:pStyle w:val="BodyText"/>
      </w:pPr>
      <w:r>
        <w:rPr>
          <w:bCs/>
          <w:b/>
        </w:rPr>
        <w:t xml:space="preserve">Registered layouts (minimum):</w:t>
      </w:r>
      <w:r>
        <w:t xml:space="preserve"> </w:t>
      </w:r>
      <w:r>
        <w:rPr>
          <w:rStyle w:val="VerbatimChar"/>
        </w:rPr>
        <w:t xml:space="preserve">loan_master_v1</w:t>
      </w:r>
      <w:r>
        <w:t xml:space="preserve">,</w:t>
      </w:r>
      <w:r>
        <w:t xml:space="preserve"> </w:t>
      </w:r>
      <w:r>
        <w:rPr>
          <w:rStyle w:val="VerbatimChar"/>
        </w:rPr>
        <w:t xml:space="preserve">schedule_v1</w:t>
      </w:r>
      <w:r>
        <w:t xml:space="preserve">,</w:t>
      </w:r>
      <w:r>
        <w:t xml:space="preserve"> </w:t>
      </w:r>
      <w:r>
        <w:rPr>
          <w:rStyle w:val="VerbatimChar"/>
        </w:rPr>
        <w:t xml:space="preserve">payment_v1</w:t>
      </w:r>
      <w:r>
        <w:t xml:space="preserve">,</w:t>
      </w:r>
      <w:r>
        <w:t xml:space="preserve"> </w:t>
      </w:r>
      <w:r>
        <w:rPr>
          <w:rStyle w:val="VerbatimChar"/>
        </w:rPr>
        <w:t xml:space="preserve">collateral_register_v1</w:t>
      </w:r>
      <w:r>
        <w:t xml:space="preserve">,</w:t>
      </w:r>
      <w:r>
        <w:t xml:space="preserve"> </w:t>
      </w:r>
      <w:r>
        <w:rPr>
          <w:rStyle w:val="VerbatimChar"/>
        </w:rPr>
        <w:t xml:space="preserve">pledge_position_v1</w:t>
      </w:r>
      <w:r>
        <w:t xml:space="preserve">,</w:t>
      </w:r>
      <w:r>
        <w:t xml:space="preserve"> </w:t>
      </w:r>
      <w:r>
        <w:rPr>
          <w:rStyle w:val="VerbatimChar"/>
        </w:rPr>
        <w:t xml:space="preserve">dlg_position_v1</w:t>
      </w:r>
      <w:r>
        <w:t xml:space="preserve">,</w:t>
      </w:r>
      <w:r>
        <w:t xml:space="preserve"> </w:t>
      </w:r>
      <w:r>
        <w:rPr>
          <w:rStyle w:val="VerbatimChar"/>
        </w:rPr>
        <w:t xml:space="preserve">colending_escrow_v1</w:t>
      </w:r>
      <w:r>
        <w:t xml:space="preserve">,</w:t>
      </w:r>
      <w:r>
        <w:t xml:space="preserve"> </w:t>
      </w:r>
      <w:r>
        <w:rPr>
          <w:rStyle w:val="VerbatimChar"/>
        </w:rPr>
        <w:t xml:space="preserve">recovery_case_v1</w:t>
      </w:r>
      <w:r>
        <w:t xml:space="preserve">,</w:t>
      </w:r>
      <w:r>
        <w:t xml:space="preserve"> </w:t>
      </w:r>
      <w:r>
        <w:rPr>
          <w:rStyle w:val="VerbatimChar"/>
        </w:rPr>
        <w:t xml:space="preserve">notice_register_v1</w:t>
      </w:r>
      <w:r>
        <w:t xml:space="preserve">,</w:t>
      </w:r>
      <w:r>
        <w:t xml:space="preserve"> </w:t>
      </w:r>
      <w:r>
        <w:rPr>
          <w:rStyle w:val="VerbatimChar"/>
        </w:rPr>
        <w:t xml:space="preserve">service_proof_v1</w:t>
      </w:r>
      <w:r>
        <w:t xml:space="preserve">,</w:t>
      </w:r>
      <w:r>
        <w:t xml:space="preserve"> </w:t>
      </w:r>
      <w:r>
        <w:rPr>
          <w:rStyle w:val="VerbatimChar"/>
        </w:rPr>
        <w:t xml:space="preserve">litigation_register_v1</w:t>
      </w:r>
      <w:r>
        <w:t xml:space="preserve">,</w:t>
      </w:r>
      <w:r>
        <w:t xml:space="preserve"> </w:t>
      </w:r>
      <w:r>
        <w:rPr>
          <w:rStyle w:val="VerbatimChar"/>
        </w:rPr>
        <w:t xml:space="preserve">settlement_register_v1</w:t>
      </w:r>
      <w:r>
        <w:t xml:space="preserve">,</w:t>
      </w:r>
      <w:r>
        <w:t xml:space="preserve"> </w:t>
      </w:r>
      <w:r>
        <w:rPr>
          <w:rStyle w:val="VerbatimChar"/>
        </w:rPr>
        <w:t xml:space="preserve">adr_referral_v1</w:t>
      </w:r>
      <w:r>
        <w:t xml:space="preserve">,</w:t>
      </w:r>
      <w:r>
        <w:t xml:space="preserve"> </w:t>
      </w:r>
      <w:r>
        <w:rPr>
          <w:rStyle w:val="VerbatimChar"/>
        </w:rPr>
        <w:t xml:space="preserve">adr_status_v1</w:t>
      </w:r>
      <w:r>
        <w:t xml:space="preserve">,</w:t>
      </w:r>
      <w:r>
        <w:t xml:space="preserve"> </w:t>
      </w:r>
      <w:r>
        <w:rPr>
          <w:rStyle w:val="VerbatimChar"/>
        </w:rPr>
        <w:t xml:space="preserve">adr_outcome_v1</w:t>
      </w:r>
      <w:r>
        <w:t xml:space="preserve">,</w:t>
      </w:r>
      <w:r>
        <w:t xml:space="preserve"> </w:t>
      </w:r>
      <w:r>
        <w:rPr>
          <w:rStyle w:val="VerbatimChar"/>
        </w:rPr>
        <w:t xml:space="preserve">asset_sale_v1</w:t>
      </w:r>
      <w:r>
        <w:t xml:space="preserve">,</w:t>
      </w:r>
      <w:r>
        <w:t xml:space="preserve"> </w:t>
      </w:r>
      <w:r>
        <w:rPr>
          <w:rStyle w:val="VerbatimChar"/>
        </w:rPr>
        <w:t xml:space="preserve">possessed_assets_web_v1</w:t>
      </w:r>
      <w:r>
        <w:t xml:space="preserve"> </w:t>
      </w:r>
      <w:r>
        <w:t xml:space="preserve">(monthly website list, CIR para 21),</w:t>
      </w:r>
      <w:r>
        <w:t xml:space="preserve"> </w:t>
      </w:r>
      <w:r>
        <w:rPr>
          <w:rStyle w:val="VerbatimChar"/>
        </w:rPr>
        <w:t xml:space="preserve">agency_list_web_v1</w:t>
      </w:r>
      <w:r>
        <w:t xml:space="preserve">,</w:t>
      </w:r>
      <w:r>
        <w:t xml:space="preserve"> </w:t>
      </w:r>
      <w:r>
        <w:rPr>
          <w:rStyle w:val="VerbatimChar"/>
        </w:rPr>
        <w:t xml:space="preserve">gl_journal_v1</w:t>
      </w:r>
      <w:r>
        <w:t xml:space="preserve">,</w:t>
      </w:r>
      <w:r>
        <w:t xml:space="preserve"> </w:t>
      </w:r>
      <w:r>
        <w:rPr>
          <w:rStyle w:val="VerbatimChar"/>
        </w:rPr>
        <w:t xml:space="preserve">grc_evidence_index_v1</w:t>
      </w:r>
      <w:r>
        <w:t xml:space="preserve">,</w:t>
      </w:r>
      <w:r>
        <w:t xml:space="preserve"> </w:t>
      </w:r>
      <w:r>
        <w:rPr>
          <w:rStyle w:val="VerbatimChar"/>
        </w:rPr>
        <w:t xml:space="preserve">reconciliation_breaks_v1</w:t>
      </w:r>
      <w:r>
        <w:t xml:space="preserve">.</w:t>
      </w:r>
    </w:p>
    <w:p>
      <w:pPr>
        <w:pStyle w:val="BodyText"/>
      </w:pPr>
      <w:r>
        <w:rPr>
          <w:bCs/>
          <w:b/>
        </w:rPr>
        <w:t xml:space="preserve">Dictionaries and checksums.</w:t>
      </w:r>
      <w:r>
        <w:t xml:space="preserve"> </w:t>
      </w:r>
      <w:r>
        <w:t xml:space="preserve">Each layout’s dictionary gives field, canonical JSON Pointer, type, length, mandatory flag,</w:t>
      </w:r>
      <w:r>
        <w:t xml:space="preserve"> </w:t>
      </w:r>
      <w:r>
        <w:rPr>
          <w:rStyle w:val="VerbatimChar"/>
        </w:rPr>
        <w:t xml:space="preserve">x-dataclass</w:t>
      </w:r>
      <w:r>
        <w:t xml:space="preserve"> </w:t>
      </w:r>
      <w:r>
        <w:t xml:space="preserve">and code table; each file has a JWS-signed manifest with counts, control totals and SHA-256 (3.11). Detached-module and tenant-exit exports (Finbyx Part 10.6 item 24) use these layouts.</w:t>
      </w:r>
    </w:p>
    <w:p>
      <w:r>
        <w:pict>
          <v:rect style="width:0;height:1.5pt" o:hralign="center" o:hrstd="t" o:hr="t"/>
        </w:pict>
      </w:r>
    </w:p>
    <w:bookmarkEnd w:id="94"/>
    <w:bookmarkStart w:id="98" w:name="security-privacy-and-audit"/>
    <w:p>
      <w:pPr>
        <w:pStyle w:val="Heading1"/>
      </w:pPr>
      <w:r>
        <w:t xml:space="preserve">13 — SECURITY, PRIVACY AND AUDIT</w:t>
      </w:r>
    </w:p>
    <w:bookmarkStart w:id="95" w:name="legal-baseline"/>
    <w:p>
      <w:pPr>
        <w:pStyle w:val="Heading2"/>
      </w:pPr>
      <w:r>
        <w:t xml:space="preserve">13.1 Legal baseline</w:t>
      </w:r>
    </w:p>
    <w:p>
      <w:pPr>
        <w:pStyle w:val="FirstParagraph"/>
      </w:pPr>
      <w:r>
        <w:t xml:space="preserve">DPDP Act 2023 and Rules 2025 (notified 14 Nov 2025, phased over 12–18 months) apply alongside RBI rules, the stricter prevailing [VERIFY: commencement per provision]; each product records its fiduciary or processor role per purpose. RBI digital-lending data rules (CF paras 13–15) and outsourcing and cyber rules (OUT paras 28, 34, 61, 74, 81, 97(vii)(b); CYB paras 119–120) are implemented through Parts 2, 3 and 6; each product also meets its own CERT-In reporting duties [VERIFY: timelines].</w:t>
      </w:r>
    </w:p>
    <w:bookmarkEnd w:id="95"/>
    <w:bookmarkStart w:id="96" w:name="data-classification-per-field"/>
    <w:p>
      <w:pPr>
        <w:pStyle w:val="Heading2"/>
      </w:pPr>
      <w:r>
        <w:t xml:space="preserve">13.2 Data classification per field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876"/>
        <w:gridCol w:w="3724"/>
        <w:gridCol w:w="4038"/>
      </w:tblGrid>
      <w:tr>
        <w:trPr>
          <w:tblHeader w:val="true"/>
          <w:tblHeader w:val="true"/>
        </w:trPr>
        <w:tc>
          <w:tcPr>
            <w:tcW w:w="1876" w:type="dxa"/>
            <w:shd w:val="clear" w:color="auto" w:fill="1F3A5F"/>
          </w:tcPr>
          <w:p>
            <w:pPr>
              <w:pStyle w:val="Compact"/>
              <w:spacing w:after="40"/>
              <w:jc w:val="left"/>
            </w:pPr>
            <w:r>
              <w:rPr>
                <w:b/>
                <w:color w:val="FFFFFF"/>
                <w:sz w:val="18"/>
              </w:rPr>
              <w:t xml:space="preserve">Class</w:t>
            </w:r>
          </w:p>
        </w:tc>
        <w:tc>
          <w:tcPr>
            <w:tcW w:w="3724" w:type="dxa"/>
            <w:shd w:val="clear" w:color="auto" w:fill="1F3A5F"/>
          </w:tcPr>
          <w:p>
            <w:pPr>
              <w:pStyle w:val="Compact"/>
              <w:spacing w:after="40"/>
              <w:jc w:val="left"/>
            </w:pPr>
            <w:r>
              <w:rPr>
                <w:b/>
                <w:color w:val="FFFFFF"/>
                <w:sz w:val="18"/>
              </w:rPr>
              <w:t xml:space="preserve">Examples</w:t>
            </w:r>
          </w:p>
        </w:tc>
        <w:tc>
          <w:tcPr>
            <w:tcW w:w="4038" w:type="dxa"/>
            <w:shd w:val="clear" w:color="auto" w:fill="1F3A5F"/>
          </w:tcPr>
          <w:p>
            <w:pPr>
              <w:pStyle w:val="Compact"/>
              <w:spacing w:after="40"/>
              <w:jc w:val="left"/>
            </w:pPr>
            <w:r>
              <w:rPr>
                <w:b/>
                <w:color w:val="FFFFFF"/>
                <w:sz w:val="18"/>
              </w:rPr>
              <w:t xml:space="preserve">Handling</w:t>
            </w:r>
          </w:p>
        </w:tc>
      </w:tr>
      <w:tr>
        <w:tc>
          <w:tcPr>
            <w:tcW w:w="1876" w:type="dxa"/>
          </w:tcPr>
          <w:p>
            <w:pPr>
              <w:pStyle w:val="Compact"/>
              <w:spacing w:after="40"/>
              <w:jc w:val="left"/>
            </w:pPr>
            <w:r>
              <w:rPr>
                <w:rStyle w:val="VerbatimChar"/>
                <w:sz w:val="18"/>
              </w:rPr>
              <w:t xml:space="preserve">PUBLIC</w:t>
            </w:r>
            <w:r>
              <w:rPr>
                <w:sz w:val="18"/>
              </w:rPr>
              <w:t xml:space="preserve">,</w:t>
            </w:r>
            <w:r>
              <w:rPr>
                <w:sz w:val="18"/>
              </w:rPr>
              <w:t xml:space="preserve"> </w:t>
            </w:r>
            <w:r>
              <w:rPr>
                <w:rStyle w:val="VerbatimChar"/>
                <w:sz w:val="18"/>
              </w:rPr>
              <w:t xml:space="preserve">INTERNAL</w:t>
            </w:r>
          </w:p>
        </w:tc>
        <w:tc>
          <w:tcPr>
            <w:tcW w:w="3724" w:type="dxa"/>
          </w:tcPr>
          <w:p>
            <w:pPr>
              <w:pStyle w:val="Compact"/>
              <w:spacing w:after="40"/>
              <w:jc w:val="left"/>
            </w:pPr>
            <w:r>
              <w:rPr>
                <w:sz w:val="18"/>
              </w:rPr>
              <w:t xml:space="preserve">Disclosures; configuration, aggregates</w:t>
            </w:r>
          </w:p>
        </w:tc>
        <w:tc>
          <w:tcPr>
            <w:tcW w:w="4038" w:type="dxa"/>
          </w:tcPr>
          <w:p>
            <w:pPr>
              <w:pStyle w:val="Compact"/>
              <w:spacing w:after="40"/>
              <w:jc w:val="left"/>
            </w:pPr>
            <w:r>
              <w:rPr>
                <w:sz w:val="18"/>
              </w:rPr>
              <w:t xml:space="preserve">None; authenticated</w:t>
            </w:r>
          </w:p>
        </w:tc>
      </w:tr>
      <w:tr>
        <w:tc>
          <w:tcPr>
            <w:tcW w:w="1876" w:type="dxa"/>
          </w:tcPr>
          <w:p>
            <w:pPr>
              <w:pStyle w:val="Compact"/>
              <w:spacing w:after="40"/>
              <w:jc w:val="left"/>
            </w:pPr>
            <w:r>
              <w:rPr>
                <w:rStyle w:val="VerbatimChar"/>
                <w:sz w:val="18"/>
              </w:rPr>
              <w:t xml:space="preserve">CONFIDENTIAL</w:t>
            </w:r>
          </w:p>
        </w:tc>
        <w:tc>
          <w:tcPr>
            <w:tcW w:w="3724" w:type="dxa"/>
          </w:tcPr>
          <w:p>
            <w:pPr>
              <w:pStyle w:val="Compact"/>
              <w:spacing w:after="40"/>
              <w:jc w:val="left"/>
            </w:pPr>
            <w:r>
              <w:rPr>
                <w:sz w:val="18"/>
              </w:rPr>
              <w:t xml:space="preserve">Settlement mandates, selection logs, commercial terms</w:t>
            </w:r>
          </w:p>
        </w:tc>
        <w:tc>
          <w:tcPr>
            <w:tcW w:w="4038" w:type="dxa"/>
          </w:tcPr>
          <w:p>
            <w:pPr>
              <w:pStyle w:val="Compact"/>
              <w:spacing w:after="40"/>
              <w:jc w:val="left"/>
            </w:pPr>
            <w:r>
              <w:rPr>
                <w:sz w:val="18"/>
              </w:rPr>
              <w:t xml:space="preserve">Need-to-know, encrypted</w:t>
            </w:r>
          </w:p>
        </w:tc>
      </w:tr>
      <w:tr>
        <w:tc>
          <w:tcPr>
            <w:tcW w:w="1876" w:type="dxa"/>
          </w:tcPr>
          <w:p>
            <w:pPr>
              <w:pStyle w:val="Compact"/>
              <w:spacing w:after="40"/>
              <w:jc w:val="left"/>
            </w:pPr>
            <w:r>
              <w:rPr>
                <w:rStyle w:val="VerbatimChar"/>
                <w:sz w:val="18"/>
              </w:rPr>
              <w:t xml:space="preserve">PII</w:t>
            </w:r>
          </w:p>
        </w:tc>
        <w:tc>
          <w:tcPr>
            <w:tcW w:w="3724" w:type="dxa"/>
          </w:tcPr>
          <w:p>
            <w:pPr>
              <w:pStyle w:val="Compact"/>
              <w:spacing w:after="40"/>
              <w:jc w:val="left"/>
            </w:pPr>
            <w:r>
              <w:rPr>
                <w:sz w:val="18"/>
              </w:rPr>
              <w:t xml:space="preserve">Name, contact, address, masked ids</w:t>
            </w:r>
          </w:p>
        </w:tc>
        <w:tc>
          <w:tcPr>
            <w:tcW w:w="4038" w:type="dxa"/>
          </w:tcPr>
          <w:p>
            <w:pPr>
              <w:pStyle w:val="Compact"/>
              <w:spacing w:after="40"/>
              <w:jc w:val="left"/>
            </w:pPr>
            <w:r>
              <w:rPr>
                <w:sz w:val="18"/>
              </w:rPr>
              <w:t xml:space="preserve">Consent or legal basis; role masking; never logged</w:t>
            </w:r>
          </w:p>
        </w:tc>
      </w:tr>
      <w:tr>
        <w:tc>
          <w:tcPr>
            <w:tcW w:w="1876" w:type="dxa"/>
          </w:tcPr>
          <w:p>
            <w:pPr>
              <w:pStyle w:val="Compact"/>
              <w:spacing w:after="40"/>
              <w:jc w:val="left"/>
            </w:pPr>
            <w:r>
              <w:rPr>
                <w:rStyle w:val="VerbatimChar"/>
                <w:sz w:val="18"/>
              </w:rPr>
              <w:t xml:space="preserve">SPI</w:t>
            </w:r>
          </w:p>
        </w:tc>
        <w:tc>
          <w:tcPr>
            <w:tcW w:w="3724" w:type="dxa"/>
          </w:tcPr>
          <w:p>
            <w:pPr>
              <w:pStyle w:val="Compact"/>
              <w:spacing w:after="40"/>
              <w:jc w:val="left"/>
            </w:pPr>
            <w:r>
              <w:rPr>
                <w:sz w:val="18"/>
              </w:rPr>
              <w:t xml:space="preserve">Clear PAN or account, KYC images, V-CIP recordings, health data</w:t>
            </w:r>
          </w:p>
        </w:tc>
        <w:tc>
          <w:tcPr>
            <w:tcW w:w="4038" w:type="dxa"/>
          </w:tcPr>
          <w:p>
            <w:pPr>
              <w:pStyle w:val="Compact"/>
              <w:spacing w:after="40"/>
              <w:jc w:val="left"/>
            </w:pPr>
            <w:r>
              <w:rPr>
                <w:sz w:val="18"/>
              </w:rPr>
              <w:t xml:space="preserve">Field encryption; RE-scoped vault; RE only</w:t>
            </w:r>
          </w:p>
        </w:tc>
      </w:tr>
      <w:tr>
        <w:tc>
          <w:tcPr>
            <w:tcW w:w="1876" w:type="dxa"/>
          </w:tcPr>
          <w:p>
            <w:pPr>
              <w:pStyle w:val="Compact"/>
              <w:spacing w:after="40"/>
              <w:jc w:val="left"/>
            </w:pPr>
            <w:r>
              <w:rPr>
                <w:rStyle w:val="VerbatimChar"/>
                <w:sz w:val="18"/>
              </w:rPr>
              <w:t xml:space="preserve">FINANCIAL</w:t>
            </w:r>
          </w:p>
        </w:tc>
        <w:tc>
          <w:tcPr>
            <w:tcW w:w="3724" w:type="dxa"/>
          </w:tcPr>
          <w:p>
            <w:pPr>
              <w:pStyle w:val="Compact"/>
              <w:spacing w:after="40"/>
              <w:jc w:val="left"/>
            </w:pPr>
            <w:r>
              <w:rPr>
                <w:sz w:val="18"/>
              </w:rPr>
              <w:t xml:space="preserve">Balances, payments, classification</w:t>
            </w:r>
          </w:p>
        </w:tc>
        <w:tc>
          <w:tcPr>
            <w:tcW w:w="4038" w:type="dxa"/>
          </w:tcPr>
          <w:p>
            <w:pPr>
              <w:pStyle w:val="Compact"/>
              <w:spacing w:after="40"/>
              <w:jc w:val="left"/>
            </w:pPr>
            <w:r>
              <w:rPr>
                <w:sz w:val="18"/>
              </w:rPr>
              <w:t xml:space="preserve">RE and authorised projections</w:t>
            </w:r>
          </w:p>
        </w:tc>
      </w:tr>
      <w:tr>
        <w:tc>
          <w:tcPr>
            <w:tcW w:w="1876" w:type="dxa"/>
          </w:tcPr>
          <w:p>
            <w:pPr>
              <w:pStyle w:val="Compact"/>
              <w:spacing w:after="40"/>
              <w:jc w:val="left"/>
            </w:pPr>
            <w:r>
              <w:rPr>
                <w:rStyle w:val="VerbatimChar"/>
                <w:sz w:val="18"/>
              </w:rPr>
              <w:t xml:space="preserve">LEGAL</w:t>
            </w:r>
          </w:p>
        </w:tc>
        <w:tc>
          <w:tcPr>
            <w:tcW w:w="3724" w:type="dxa"/>
          </w:tcPr>
          <w:p>
            <w:pPr>
              <w:pStyle w:val="Compact"/>
              <w:spacing w:after="40"/>
              <w:jc w:val="left"/>
            </w:pPr>
            <w:r>
              <w:rPr>
                <w:sz w:val="18"/>
              </w:rPr>
              <w:t xml:space="preserve">Notices, pleadings, orders, awards, privileged advice</w:t>
            </w:r>
          </w:p>
        </w:tc>
        <w:tc>
          <w:tcPr>
            <w:tcW w:w="4038" w:type="dxa"/>
          </w:tcPr>
          <w:p>
            <w:pPr>
              <w:pStyle w:val="Compact"/>
              <w:spacing w:after="40"/>
              <w:jc w:val="left"/>
            </w:pPr>
            <w:r>
              <w:rPr>
                <w:sz w:val="18"/>
              </w:rPr>
              <w:t xml:space="preserve">Legal-hold aware; privileged material leaves RS only with counsel approval</w:t>
            </w:r>
          </w:p>
        </w:tc>
      </w:tr>
    </w:tbl>
    <w:p>
      <w:pPr>
        <w:pStyle w:val="BodyText"/>
      </w:pPr>
      <w:r>
        <w:t xml:space="preserve">The envelope</w:t>
      </w:r>
      <w:r>
        <w:t xml:space="preserve"> </w:t>
      </w:r>
      <w:r>
        <w:rPr>
          <w:rStyle w:val="VerbatimChar"/>
        </w:rPr>
        <w:t xml:space="preserve">dataclass</w:t>
      </w:r>
      <w:r>
        <w:t xml:space="preserve"> </w:t>
      </w:r>
      <w:r>
        <w:t xml:space="preserve">is the highest field class; gateways reject messages above the consumer’s scope.</w:t>
      </w:r>
    </w:p>
    <w:bookmarkEnd w:id="96"/>
    <w:bookmarkStart w:id="97" w:name="X68f7d7c4e65e80dae3cd28bf11218a38d292887"/>
    <w:p>
      <w:pPr>
        <w:pStyle w:val="Heading2"/>
      </w:pPr>
      <w:r>
        <w:t xml:space="preserve">13.3 Keys, logging, retention, incidents and audit</w:t>
      </w:r>
    </w:p>
    <w:p>
      <w:pPr>
        <w:numPr>
          <w:ilvl w:val="0"/>
          <w:numId w:val="1011"/>
        </w:numPr>
        <w:pStyle w:val="Compact"/>
      </w:pPr>
      <w:r>
        <w:rPr>
          <w:bCs/>
          <w:b/>
        </w:rPr>
        <w:t xml:space="preserve">Keys:</w:t>
      </w:r>
      <w:r>
        <w:t xml:space="preserve"> </w:t>
      </w:r>
      <w:r>
        <w:t xml:space="preserve">per-tenant envelope keys in India KMS; BYOK or HYOK for ML/UL tenants; signing keys HSM-backed, rotated annually with overlapping JWKS; webhook secrets every 90 days.</w:t>
      </w:r>
    </w:p>
    <w:p>
      <w:pPr>
        <w:numPr>
          <w:ilvl w:val="0"/>
          <w:numId w:val="1011"/>
        </w:numPr>
        <w:pStyle w:val="Compact"/>
      </w:pPr>
      <w:r>
        <w:rPr>
          <w:bCs/>
          <w:b/>
        </w:rPr>
        <w:t xml:space="preserve">Logging:</w:t>
      </w:r>
      <w:r>
        <w:t xml:space="preserve"> </w:t>
      </w:r>
      <w:r>
        <w:t xml:space="preserve">no Aadhaar, PAN, OTP, account numbers, bureau data or images in logs, traces, analytics, push payloads or DLQ metadata.</w:t>
      </w:r>
    </w:p>
    <w:p>
      <w:pPr>
        <w:numPr>
          <w:ilvl w:val="0"/>
          <w:numId w:val="1011"/>
        </w:numPr>
        <w:pStyle w:val="Compact"/>
      </w:pPr>
      <w:r>
        <w:rPr>
          <w:bCs/>
          <w:b/>
        </w:rPr>
        <w:t xml:space="preserve">Retention:</w:t>
      </w:r>
      <w:r>
        <w:t xml:space="preserve"> </w:t>
      </w:r>
      <w:r>
        <w:t xml:space="preserve">KYC and transaction records 5 years after relationship or transaction (PMLA s.12; KYC para 47); call recordings ≥ 6 months, longer if sub judice (RBC Third Amendment para 100P [VERIFY]); recovery and litigation records until proceedings close plus the 12-year execution period (Limitation Act Art. 136) [REC]; ADR records ≥ 12 years [REC]; event replay per 3.5; security logs ≥ 180 days in India [VERIFY: CERT-In].</w:t>
      </w:r>
      <w:r>
        <w:t xml:space="preserve"> </w:t>
      </w:r>
      <w:r>
        <w:rPr>
          <w:rStyle w:val="VerbatimChar"/>
        </w:rPr>
        <w:t xml:space="preserve">LegalHoldChanged</w:t>
      </w:r>
      <w:r>
        <w:t xml:space="preserve"> </w:t>
      </w:r>
      <w:r>
        <w:t xml:space="preserve">suspends deletion across all copies; DPDP erasure applies only where no retention or hold applies, and the requester is told what was kept and why.</w:t>
      </w:r>
    </w:p>
    <w:p>
      <w:pPr>
        <w:numPr>
          <w:ilvl w:val="0"/>
          <w:numId w:val="1011"/>
        </w:numPr>
        <w:pStyle w:val="Compact"/>
      </w:pPr>
      <w:r>
        <w:rPr>
          <w:bCs/>
          <w:b/>
        </w:rPr>
        <w:t xml:space="preserve">Incidents:</w:t>
      </w:r>
      <w:r>
        <w:t xml:space="preserve"> </w:t>
      </w:r>
      <w:r>
        <w:t xml:space="preserve">detection → triage (≤ 30 minutes, severity 1) →</w:t>
      </w:r>
      <w:r>
        <w:t xml:space="preserve"> </w:t>
      </w:r>
      <w:r>
        <w:rPr>
          <w:rStyle w:val="VerbatimChar"/>
        </w:rPr>
        <w:t xml:space="preserve">SecurityIncidentNotified</w:t>
      </w:r>
      <w:r>
        <w:t xml:space="preserve"> </w:t>
      </w:r>
      <w:r>
        <w:t xml:space="preserve">to each affected RE (≤ 2 hours) → updates by</w:t>
      </w:r>
      <w:r>
        <w:t xml:space="preserve"> </w:t>
      </w:r>
      <w:r>
        <w:rPr>
          <w:rStyle w:val="VerbatimChar"/>
        </w:rPr>
        <w:t xml:space="preserve">update_seq</w:t>
      </w:r>
      <w:r>
        <w:t xml:space="preserve"> </w:t>
      </w:r>
      <w:r>
        <w:t xml:space="preserve">→ RCA → lessons learned (ORM paras 99–101) → closure; the RE, never the provider, files with RBI.</w:t>
      </w:r>
    </w:p>
    <w:p>
      <w:pPr>
        <w:numPr>
          <w:ilvl w:val="0"/>
          <w:numId w:val="1011"/>
        </w:numPr>
        <w:pStyle w:val="Compact"/>
      </w:pPr>
      <w:r>
        <w:rPr>
          <w:bCs/>
          <w:b/>
        </w:rPr>
        <w:t xml:space="preserve">Audit:</w:t>
      </w:r>
      <w:r>
        <w:t xml:space="preserve"> </w:t>
      </w:r>
      <w:r>
        <w:t xml:space="preserve">message hashes, retained signatures, hash-chained decision events, time-boxed read-only access for RE auditors and RBI.</w:t>
      </w:r>
    </w:p>
    <w:p>
      <w:r>
        <w:pict>
          <v:rect style="width:0;height:1.5pt" o:hralign="center" o:hrstd="t" o:hr="t"/>
        </w:pict>
      </w:r>
    </w:p>
    <w:bookmarkEnd w:id="97"/>
    <w:bookmarkEnd w:id="98"/>
    <w:bookmarkStart w:id="102" w:name="Xb3e57f43cd53c3d62217571fa1927bebc91668d"/>
    <w:p>
      <w:pPr>
        <w:pStyle w:val="Heading1"/>
      </w:pPr>
      <w:r>
        <w:t xml:space="preserve">14 — VERSIONING, CHANGE CONTROL AND CERTIFICATION</w:t>
      </w:r>
    </w:p>
    <w:bookmarkStart w:id="99" w:name="versions"/>
    <w:p>
      <w:pPr>
        <w:pStyle w:val="Heading2"/>
      </w:pPr>
      <w:r>
        <w:t xml:space="preserve">14.1 Versions</w:t>
      </w:r>
    </w:p>
    <w:p>
      <w:pPr>
        <w:pStyle w:val="FirstParagraph"/>
      </w:pPr>
      <w:r>
        <w:t xml:space="preserve">Specification:</w:t>
      </w:r>
      <w:r>
        <w:t xml:space="preserve"> </w:t>
      </w:r>
      <w:r>
        <w:rPr>
          <w:bCs/>
          <w:b/>
        </w:rPr>
        <w:t xml:space="preserve">major</w:t>
      </w:r>
      <w:r>
        <w:t xml:space="preserve"> </w:t>
      </w:r>
      <w:r>
        <w:t xml:space="preserve">for breaking meaning, ownership or mandatory fields;</w:t>
      </w:r>
      <w:r>
        <w:t xml:space="preserve"> </w:t>
      </w:r>
      <w:r>
        <w:rPr>
          <w:bCs/>
          <w:b/>
        </w:rPr>
        <w:t xml:space="preserve">minor</w:t>
      </w:r>
      <w:r>
        <w:t xml:space="preserve"> </w:t>
      </w:r>
      <w:r>
        <w:t xml:space="preserve">for new events, APIs, optional fields, codes or connectors;</w:t>
      </w:r>
      <w:r>
        <w:t xml:space="preserve"> </w:t>
      </w:r>
      <w:r>
        <w:rPr>
          <w:bCs/>
          <w:b/>
        </w:rPr>
        <w:t xml:space="preserve">patch</w:t>
      </w:r>
      <w:r>
        <w:t xml:space="preserve"> </w:t>
      </w:r>
      <w:r>
        <w:t xml:space="preserve">for clarifications; a revision-log appendix starts at v1.1. Schemas are BACKWARD-compatible within a major; a breaking change publishes</w:t>
      </w:r>
      <w:r>
        <w:t xml:space="preserve"> </w:t>
      </w:r>
      <w:r>
        <w:rPr>
          <w:rStyle w:val="VerbatimChar"/>
        </w:rPr>
        <w:t xml:space="preserve">v[major+1]</w:t>
      </w:r>
      <w:r>
        <w:t xml:space="preserve"> </w:t>
      </w:r>
      <w:r>
        <w:t xml:space="preserve">and both run ≥ 90 days. Superseded API majors return</w:t>
      </w:r>
      <w:r>
        <w:t xml:space="preserve"> </w:t>
      </w:r>
      <w:r>
        <w:rPr>
          <w:rStyle w:val="VerbatimChar"/>
        </w:rPr>
        <w:t xml:space="preserve">Deprecation</w:t>
      </w:r>
      <w:r>
        <w:t xml:space="preserve"> </w:t>
      </w:r>
      <w:r>
        <w:t xml:space="preserve">(RFC 9745) and</w:t>
      </w:r>
      <w:r>
        <w:t xml:space="preserve"> </w:t>
      </w:r>
      <w:r>
        <w:rPr>
          <w:rStyle w:val="VerbatimChar"/>
        </w:rPr>
        <w:t xml:space="preserve">Sunset</w:t>
      </w:r>
      <w:r>
        <w:t xml:space="preserve"> </w:t>
      </w:r>
      <w:r>
        <w:t xml:space="preserve">(RFC 8594) headers. Connectors recertify when a field they use changes.</w:t>
      </w:r>
    </w:p>
    <w:bookmarkEnd w:id="99"/>
    <w:bookmarkStart w:id="100" w:name="change-process"/>
    <w:p>
      <w:pPr>
        <w:pStyle w:val="Heading2"/>
      </w:pPr>
      <w:r>
        <w:t xml:space="preserve">14.2 Change process</w:t>
      </w:r>
    </w:p>
    <w:p>
      <w:pPr>
        <w:pStyle w:val="FirstParagraph"/>
      </w:pPr>
      <w:r>
        <w:t xml:space="preserve">Proposal</w:t>
      </w:r>
      <w:r>
        <w:t xml:space="preserve"> </w:t>
      </w:r>
      <w:r>
        <w:rPr>
          <w:rStyle w:val="VerbatimChar"/>
        </w:rPr>
        <w:t xml:space="preserve">infrabyx-contracts/proposals/[date]-[slug].md</w:t>
      </w:r>
      <w:r>
        <w:t xml:space="preserve"> </w:t>
      </w:r>
      <w:r>
        <w:t xml:space="preserve">(motivation, regulatory basis, affected products, events, APIs, schemas, mappings, tests, rollout, rollback) → impact review by each product lead → approval by every affected owner in the pull request → registry, SDK and Pact publication → parallel run and recertification → propagation within 10 working days.</w:t>
      </w:r>
    </w:p>
    <w:bookmarkEnd w:id="100"/>
    <w:bookmarkStart w:id="101" w:name="certification-suite"/>
    <w:p>
      <w:pPr>
        <w:pStyle w:val="Heading2"/>
      </w:pPr>
      <w:r>
        <w:t xml:space="preserve">14.3 Certification suite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558"/>
        <w:gridCol w:w="7080"/>
      </w:tblGrid>
      <w:tr>
        <w:trPr>
          <w:tblHeader w:val="true"/>
          <w:tblHeader w:val="true"/>
        </w:trPr>
        <w:tc>
          <w:tcPr>
            <w:tcW w:w="2558" w:type="dxa"/>
            <w:shd w:val="clear" w:color="auto" w:fill="1F3A5F"/>
          </w:tcPr>
          <w:p>
            <w:pPr>
              <w:pStyle w:val="Compact"/>
              <w:spacing w:after="40"/>
              <w:jc w:val="left"/>
            </w:pPr>
            <w:r>
              <w:rPr>
                <w:b/>
                <w:color w:val="FFFFFF"/>
                <w:sz w:val="18"/>
              </w:rPr>
              <w:t xml:space="preserve">Group</w:t>
            </w:r>
          </w:p>
        </w:tc>
        <w:tc>
          <w:tcPr>
            <w:tcW w:w="7080" w:type="dxa"/>
            <w:shd w:val="clear" w:color="auto" w:fill="1F3A5F"/>
          </w:tcPr>
          <w:p>
            <w:pPr>
              <w:pStyle w:val="Compact"/>
              <w:spacing w:after="40"/>
              <w:jc w:val="left"/>
            </w:pPr>
            <w:r>
              <w:rPr>
                <w:b/>
                <w:color w:val="FFFFFF"/>
                <w:sz w:val="18"/>
              </w:rPr>
              <w:t xml:space="preserve">Tests</w:t>
            </w:r>
          </w:p>
        </w:tc>
      </w:tr>
      <w:tr>
        <w:tc>
          <w:tcPr>
            <w:tcW w:w="2558" w:type="dxa"/>
          </w:tcPr>
          <w:p>
            <w:pPr>
              <w:pStyle w:val="Compact"/>
              <w:spacing w:after="40"/>
              <w:jc w:val="left"/>
            </w:pPr>
            <w:r>
              <w:rPr>
                <w:sz w:val="18"/>
              </w:rPr>
              <w:t xml:space="preserve">Contract</w:t>
            </w:r>
          </w:p>
        </w:tc>
        <w:tc>
          <w:tcPr>
            <w:tcW w:w="7080" w:type="dxa"/>
          </w:tcPr>
          <w:p>
            <w:pPr>
              <w:pStyle w:val="Compact"/>
              <w:spacing w:after="40"/>
              <w:jc w:val="left"/>
            </w:pPr>
            <w:r>
              <w:rPr>
                <w:sz w:val="18"/>
              </w:rPr>
              <w:t xml:space="preserve">Messages validate; required attributes; projections carry no forbidden fields</w:t>
            </w:r>
          </w:p>
        </w:tc>
      </w:tr>
      <w:tr>
        <w:tc>
          <w:tcPr>
            <w:tcW w:w="2558" w:type="dxa"/>
          </w:tcPr>
          <w:p>
            <w:pPr>
              <w:pStyle w:val="Compact"/>
              <w:spacing w:after="40"/>
              <w:jc w:val="left"/>
            </w:pPr>
            <w:r>
              <w:rPr>
                <w:sz w:val="18"/>
              </w:rPr>
              <w:t xml:space="preserve">Security</w:t>
            </w:r>
          </w:p>
        </w:tc>
        <w:tc>
          <w:tcPr>
            <w:tcW w:w="7080" w:type="dxa"/>
          </w:tcPr>
          <w:p>
            <w:pPr>
              <w:pStyle w:val="Compact"/>
              <w:spacing w:after="40"/>
              <w:jc w:val="left"/>
            </w:pPr>
            <w:r>
              <w:rPr>
                <w:sz w:val="18"/>
              </w:rPr>
              <w:t xml:space="preserve">mTLS enforced; RFC 9421 verified; tampered body, wrong key, stale timestamp rejected; scope, audience and tenant isolation enforced</w:t>
            </w:r>
          </w:p>
        </w:tc>
      </w:tr>
      <w:tr>
        <w:tc>
          <w:tcPr>
            <w:tcW w:w="2558" w:type="dxa"/>
          </w:tcPr>
          <w:p>
            <w:pPr>
              <w:pStyle w:val="Compact"/>
              <w:spacing w:after="40"/>
              <w:jc w:val="left"/>
            </w:pPr>
            <w:r>
              <w:rPr>
                <w:sz w:val="18"/>
              </w:rPr>
              <w:t xml:space="preserve">Idempotency and ordering</w:t>
            </w:r>
          </w:p>
        </w:tc>
        <w:tc>
          <w:tcPr>
            <w:tcW w:w="7080" w:type="dxa"/>
          </w:tcPr>
          <w:p>
            <w:pPr>
              <w:pStyle w:val="Compact"/>
              <w:spacing w:after="40"/>
              <w:jc w:val="left"/>
            </w:pPr>
            <w:r>
              <w:rPr>
                <w:sz w:val="18"/>
              </w:rPr>
              <w:t xml:space="preserve">Duplicates harmless; key reuse with new body gives 422; concurrent retry gives 409; out-of-order resolved; replay reproduces state</w:t>
            </w:r>
          </w:p>
        </w:tc>
      </w:tr>
      <w:tr>
        <w:tc>
          <w:tcPr>
            <w:tcW w:w="2558" w:type="dxa"/>
          </w:tcPr>
          <w:p>
            <w:pPr>
              <w:pStyle w:val="Compact"/>
              <w:spacing w:after="40"/>
              <w:jc w:val="left"/>
            </w:pPr>
            <w:r>
              <w:rPr>
                <w:sz w:val="18"/>
              </w:rPr>
              <w:t xml:space="preserve">Resilience</w:t>
            </w:r>
          </w:p>
        </w:tc>
        <w:tc>
          <w:tcPr>
            <w:tcW w:w="7080" w:type="dxa"/>
          </w:tcPr>
          <w:p>
            <w:pPr>
              <w:pStyle w:val="Compact"/>
              <w:spacing w:after="40"/>
              <w:jc w:val="left"/>
            </w:pPr>
            <w:r>
              <w:rPr>
                <w:sz w:val="18"/>
              </w:rPr>
              <w:t xml:space="preserve">4-hour outage; slow and partial failures; DLQ replay under maker-checker; per-tenant circuit breakers</w:t>
            </w:r>
          </w:p>
        </w:tc>
      </w:tr>
      <w:tr>
        <w:tc>
          <w:tcPr>
            <w:tcW w:w="2558" w:type="dxa"/>
          </w:tcPr>
          <w:p>
            <w:pPr>
              <w:pStyle w:val="Compact"/>
              <w:spacing w:after="40"/>
              <w:jc w:val="left"/>
            </w:pPr>
            <w:r>
              <w:rPr>
                <w:sz w:val="18"/>
              </w:rPr>
              <w:t xml:space="preserve">Regulatory guards</w:t>
            </w:r>
          </w:p>
        </w:tc>
        <w:tc>
          <w:tcPr>
            <w:tcW w:w="7080" w:type="dxa"/>
          </w:tcPr>
          <w:p>
            <w:pPr>
              <w:pStyle w:val="Compact"/>
              <w:spacing w:after="40"/>
              <w:jc w:val="left"/>
            </w:pPr>
            <w:r>
              <w:rPr>
                <w:sz w:val="18"/>
              </w:rPr>
              <w:t xml:space="preserve">LSP-controlled account rejected; referral without basis rejected; Udofin cannot refer, approve, issue notices or invoke; personal data without consentref rejected; contact before agent notice blocked</w:t>
            </w:r>
          </w:p>
        </w:tc>
      </w:tr>
      <w:tr>
        <w:tc>
          <w:tcPr>
            <w:tcW w:w="2558" w:type="dxa"/>
          </w:tcPr>
          <w:p>
            <w:pPr>
              <w:pStyle w:val="Compact"/>
              <w:spacing w:after="40"/>
              <w:jc w:val="left"/>
            </w:pPr>
            <w:r>
              <w:rPr>
                <w:sz w:val="18"/>
              </w:rPr>
              <w:t xml:space="preserve">Reconciliation and privacy</w:t>
            </w:r>
          </w:p>
        </w:tc>
        <w:tc>
          <w:tcPr>
            <w:tcW w:w="7080" w:type="dxa"/>
          </w:tcPr>
          <w:p>
            <w:pPr>
              <w:pStyle w:val="Compact"/>
              <w:spacing w:after="40"/>
              <w:jc w:val="left"/>
            </w:pPr>
            <w:r>
              <w:rPr>
                <w:sz w:val="18"/>
              </w:rPr>
              <w:t xml:space="preserve">Synthetic month reconciles; injected breaks caught; withdrawal stops processing; legal hold blocks erasure; no personal data in logs</w:t>
            </w:r>
          </w:p>
        </w:tc>
      </w:tr>
      <w:tr>
        <w:tc>
          <w:tcPr>
            <w:tcW w:w="2558" w:type="dxa"/>
          </w:tcPr>
          <w:p>
            <w:pPr>
              <w:pStyle w:val="Compact"/>
              <w:spacing w:after="40"/>
              <w:jc w:val="left"/>
            </w:pPr>
            <w:r>
              <w:rPr>
                <w:sz w:val="18"/>
              </w:rPr>
              <w:t xml:space="preserve">Operations</w:t>
            </w:r>
          </w:p>
        </w:tc>
        <w:tc>
          <w:tcPr>
            <w:tcW w:w="7080" w:type="dxa"/>
          </w:tcPr>
          <w:p>
            <w:pPr>
              <w:pStyle w:val="Compact"/>
              <w:spacing w:after="40"/>
              <w:jc w:val="left"/>
            </w:pPr>
            <w:r>
              <w:rPr>
                <w:sz w:val="18"/>
              </w:rPr>
              <w:t xml:space="preserve">Health, metrics, traces, monitor visibility</w:t>
            </w:r>
          </w:p>
        </w:tc>
      </w:tr>
    </w:tbl>
    <w:p>
      <w:pPr>
        <w:pStyle w:val="BodyText"/>
      </w:pPr>
      <w:r>
        <w:t xml:space="preserve">Results emit</w:t>
      </w:r>
      <w:r>
        <w:t xml:space="preserve"> </w:t>
      </w:r>
      <w:r>
        <w:rPr>
          <w:rStyle w:val="VerbatimChar"/>
        </w:rPr>
        <w:t xml:space="preserve">ConnectorCertified</w:t>
      </w:r>
      <w:r>
        <w:t xml:space="preserve"> </w:t>
      </w:r>
      <w:r>
        <w:t xml:space="preserve">and</w:t>
      </w:r>
      <w:r>
        <w:t xml:space="preserve"> </w:t>
      </w:r>
      <w:r>
        <w:rPr>
          <w:rStyle w:val="VerbatimChar"/>
        </w:rPr>
        <w:t xml:space="preserve">ControlTestResultPublished</w:t>
      </w:r>
      <w:r>
        <w:t xml:space="preserve">.</w:t>
      </w:r>
    </w:p>
    <w:p>
      <w:r>
        <w:pict>
          <v:rect style="width:0;height:1.5pt" o:hralign="center" o:hrstd="t" o:hr="t"/>
        </w:pict>
      </w:r>
    </w:p>
    <w:bookmarkEnd w:id="101"/>
    <w:bookmarkEnd w:id="102"/>
    <w:bookmarkStart w:id="103" w:name="rollout-plan-across-products"/>
    <w:p>
      <w:pPr>
        <w:pStyle w:val="Heading1"/>
      </w:pPr>
      <w:r>
        <w:t xml:space="preserve">15 — ROLLOUT PLAN ACROSS PRODUCTS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66"/>
        <w:gridCol w:w="4874"/>
        <w:gridCol w:w="2498"/>
      </w:tblGrid>
      <w:tr>
        <w:trPr>
          <w:tblHeader w:val="true"/>
          <w:tblHeader w:val="true"/>
        </w:trPr>
        <w:tc>
          <w:tcPr>
            <w:tcW w:w="2266" w:type="dxa"/>
            <w:shd w:val="clear" w:color="auto" w:fill="1F3A5F"/>
          </w:tcPr>
          <w:p>
            <w:pPr>
              <w:pStyle w:val="Compact"/>
              <w:spacing w:after="40"/>
              <w:jc w:val="left"/>
            </w:pPr>
            <w:r>
              <w:rPr>
                <w:b/>
                <w:color w:val="FFFFFF"/>
                <w:sz w:val="18"/>
              </w:rPr>
              <w:t xml:space="preserve">Phase</w:t>
            </w:r>
          </w:p>
        </w:tc>
        <w:tc>
          <w:tcPr>
            <w:tcW w:w="4874" w:type="dxa"/>
            <w:shd w:val="clear" w:color="auto" w:fill="1F3A5F"/>
          </w:tcPr>
          <w:p>
            <w:pPr>
              <w:pStyle w:val="Compact"/>
              <w:spacing w:after="40"/>
              <w:jc w:val="left"/>
            </w:pPr>
            <w:r>
              <w:rPr>
                <w:b/>
                <w:color w:val="FFFFFF"/>
                <w:sz w:val="18"/>
              </w:rPr>
              <w:t xml:space="preserve">Implements</w:t>
            </w:r>
          </w:p>
        </w:tc>
        <w:tc>
          <w:tcPr>
            <w:tcW w:w="2498" w:type="dxa"/>
            <w:shd w:val="clear" w:color="auto" w:fill="1F3A5F"/>
          </w:tcPr>
          <w:p>
            <w:pPr>
              <w:pStyle w:val="Compact"/>
              <w:spacing w:after="40"/>
              <w:jc w:val="left"/>
            </w:pPr>
            <w:r>
              <w:rPr>
                <w:b/>
                <w:color w:val="FFFFFF"/>
                <w:sz w:val="18"/>
              </w:rPr>
              <w:t xml:space="preserve">Exit evidence</w:t>
            </w:r>
          </w:p>
        </w:tc>
      </w:tr>
      <w:tr>
        <w:tc>
          <w:tcPr>
            <w:tcW w:w="2266" w:type="dxa"/>
          </w:tcPr>
          <w:p>
            <w:pPr>
              <w:pStyle w:val="Compact"/>
              <w:spacing w:after="40"/>
              <w:jc w:val="left"/>
            </w:pPr>
            <w:r>
              <w:rPr>
                <w:sz w:val="18"/>
              </w:rPr>
              <w:t xml:space="preserve">Finbyx 8c</w:t>
            </w:r>
          </w:p>
        </w:tc>
        <w:tc>
          <w:tcPr>
            <w:tcW w:w="4874" w:type="dxa"/>
          </w:tcPr>
          <w:p>
            <w:pPr>
              <w:pStyle w:val="Compact"/>
              <w:spacing w:after="40"/>
              <w:jc w:val="left"/>
            </w:pPr>
            <w:r>
              <w:rPr>
                <w:sz w:val="18"/>
              </w:rPr>
              <w:t xml:space="preserve">Part 3 core; 6.2–6.4; consentref</w:t>
            </w:r>
          </w:p>
        </w:tc>
        <w:tc>
          <w:tcPr>
            <w:tcW w:w="2498" w:type="dxa"/>
          </w:tcPr>
          <w:p>
            <w:pPr>
              <w:pStyle w:val="Compact"/>
              <w:spacing w:after="40"/>
              <w:jc w:val="left"/>
            </w:pPr>
            <w:r>
              <w:rPr>
                <w:sz w:val="18"/>
              </w:rPr>
              <w:t xml:space="preserve">Pact with Udofin; Finbyx runs with Udofin down</w:t>
            </w:r>
          </w:p>
        </w:tc>
      </w:tr>
      <w:tr>
        <w:tc>
          <w:tcPr>
            <w:tcW w:w="2266" w:type="dxa"/>
          </w:tcPr>
          <w:p>
            <w:pPr>
              <w:pStyle w:val="Compact"/>
              <w:spacing w:after="40"/>
              <w:jc w:val="left"/>
            </w:pPr>
            <w:r>
              <w:rPr>
                <w:sz w:val="18"/>
              </w:rPr>
              <w:t xml:space="preserve">Udofin 9</w:t>
            </w:r>
          </w:p>
        </w:tc>
        <w:tc>
          <w:tcPr>
            <w:tcW w:w="4874" w:type="dxa"/>
          </w:tcPr>
          <w:p>
            <w:pPr>
              <w:pStyle w:val="Compact"/>
              <w:spacing w:after="40"/>
              <w:jc w:val="left"/>
            </w:pPr>
            <w:r>
              <w:rPr>
                <w:sz w:val="18"/>
              </w:rPr>
              <w:t xml:space="preserve">LSP side of 8c; generic LOS/LMS connector; certification runner</w:t>
            </w:r>
          </w:p>
        </w:tc>
        <w:tc>
          <w:tcPr>
            <w:tcW w:w="2498" w:type="dxa"/>
          </w:tcPr>
          <w:p>
            <w:pPr>
              <w:pStyle w:val="Compact"/>
              <w:spacing w:after="40"/>
              <w:jc w:val="left"/>
            </w:pPr>
            <w:r>
              <w:rPr>
                <w:sz w:val="18"/>
              </w:rPr>
              <w:t xml:space="preserve">Finbyx connector certified</w:t>
            </w:r>
          </w:p>
        </w:tc>
      </w:tr>
      <w:tr>
        <w:tc>
          <w:tcPr>
            <w:tcW w:w="2266" w:type="dxa"/>
          </w:tcPr>
          <w:p>
            <w:pPr>
              <w:pStyle w:val="Compact"/>
              <w:spacing w:after="40"/>
              <w:jc w:val="left"/>
            </w:pPr>
            <w:r>
              <w:rPr>
                <w:sz w:val="18"/>
              </w:rPr>
              <w:t xml:space="preserve">Finbyx 12 — Recovery Suite core</w:t>
            </w:r>
          </w:p>
        </w:tc>
        <w:tc>
          <w:tcPr>
            <w:tcW w:w="4874" w:type="dxa"/>
          </w:tcPr>
          <w:p>
            <w:pPr>
              <w:pStyle w:val="Compact"/>
              <w:spacing w:after="40"/>
              <w:jc w:val="left"/>
            </w:pPr>
            <w:r>
              <w:rPr>
                <w:sz w:val="18"/>
              </w:rPr>
              <w:t xml:space="preserve">6.7 (</w:t>
            </w:r>
            <w:r>
              <w:rPr>
                <w:rStyle w:val="VerbatimChar"/>
                <w:sz w:val="18"/>
              </w:rPr>
              <w:t xml:space="preserve">RecoveryAgentNoticeSent</w:t>
            </w:r>
            <w:r>
              <w:rPr>
                <w:sz w:val="18"/>
              </w:rPr>
              <w:t xml:space="preserve">); 6.8 case, strategy, notice, service, receipt and closure events (settlement events in 12b; repossession, auction and surplus in 17b); 6.10;</w:t>
            </w:r>
            <w:r>
              <w:rPr>
                <w:sz w:val="18"/>
              </w:rPr>
              <w:t xml:space="preserve"> </w:t>
            </w:r>
            <w:r>
              <w:rPr>
                <w:rStyle w:val="VerbatimChar"/>
                <w:sz w:val="18"/>
              </w:rPr>
              <w:t xml:space="preserve">LegalHoldChanged</w:t>
            </w:r>
            <w:r>
              <w:rPr>
                <w:sz w:val="18"/>
              </w:rPr>
              <w:t xml:space="preserve">; dispatch and court-data adapters; module registry, attach and detach (11.1); recovery layouts</w:t>
            </w:r>
          </w:p>
        </w:tc>
        <w:tc>
          <w:tcPr>
            <w:tcW w:w="2498" w:type="dxa"/>
          </w:tcPr>
          <w:p>
            <w:pPr>
              <w:pStyle w:val="Compact"/>
              <w:spacing w:after="40"/>
              <w:jc w:val="left"/>
            </w:pPr>
            <w:r>
              <w:rPr>
                <w:sz w:val="18"/>
              </w:rPr>
              <w:t xml:space="preserve">Attach and detach with export pack</w:t>
            </w:r>
          </w:p>
        </w:tc>
      </w:tr>
      <w:tr>
        <w:tc>
          <w:tcPr>
            <w:tcW w:w="2266" w:type="dxa"/>
          </w:tcPr>
          <w:p>
            <w:pPr>
              <w:pStyle w:val="Compact"/>
              <w:spacing w:after="40"/>
              <w:jc w:val="left"/>
            </w:pPr>
            <w:r>
              <w:rPr>
                <w:sz w:val="18"/>
              </w:rPr>
              <w:t xml:space="preserve">Finbyx 12b — Settlement and ADR with Equator</w:t>
            </w:r>
          </w:p>
        </w:tc>
        <w:tc>
          <w:tcPr>
            <w:tcW w:w="4874" w:type="dxa"/>
          </w:tcPr>
          <w:p>
            <w:pPr>
              <w:pStyle w:val="Compact"/>
              <w:spacing w:after="40"/>
              <w:jc w:val="left"/>
            </w:pPr>
            <w:r>
              <w:rPr>
                <w:sz w:val="18"/>
              </w:rPr>
              <w:t xml:space="preserve">6.9; Part 8 gates and</w:t>
            </w:r>
            <w:r>
              <w:rPr>
                <w:sz w:val="18"/>
              </w:rPr>
              <w:t xml:space="preserve"> </w:t>
            </w:r>
            <w:r>
              <w:rPr>
                <w:rStyle w:val="VerbatimChar"/>
                <w:sz w:val="18"/>
              </w:rPr>
              <w:t xml:space="preserve">OdrProvider</w:t>
            </w:r>
            <w:r>
              <w:rPr>
                <w:sz w:val="18"/>
              </w:rPr>
              <w:t xml:space="preserve">; settlement events</w:t>
            </w:r>
          </w:p>
        </w:tc>
        <w:tc>
          <w:tcPr>
            <w:tcW w:w="2498" w:type="dxa"/>
          </w:tcPr>
          <w:p>
            <w:pPr>
              <w:pStyle w:val="Compact"/>
              <w:spacing w:after="40"/>
              <w:jc w:val="left"/>
            </w:pPr>
            <w:r>
              <w:rPr>
                <w:sz w:val="18"/>
              </w:rPr>
              <w:t xml:space="preserve">Equator certified; referral to compliance on sandbox</w:t>
            </w:r>
          </w:p>
        </w:tc>
      </w:tr>
      <w:tr>
        <w:tc>
          <w:tcPr>
            <w:tcW w:w="2266" w:type="dxa"/>
          </w:tcPr>
          <w:p>
            <w:pPr>
              <w:pStyle w:val="Compact"/>
              <w:spacing w:after="40"/>
              <w:jc w:val="left"/>
            </w:pPr>
            <w:r>
              <w:rPr>
                <w:sz w:val="18"/>
              </w:rPr>
              <w:t xml:space="preserve">Udofin 12b — Recovery support, notices, ADR access</w:t>
            </w:r>
          </w:p>
        </w:tc>
        <w:tc>
          <w:tcPr>
            <w:tcW w:w="4874" w:type="dxa"/>
          </w:tcPr>
          <w:p>
            <w:pPr>
              <w:pStyle w:val="Compact"/>
              <w:spacing w:after="40"/>
              <w:jc w:val="left"/>
            </w:pPr>
            <w:r>
              <w:rPr>
                <w:sz w:val="18"/>
              </w:rPr>
              <w:t xml:space="preserve">LSP projections; settlement relay and acceptance; agent-notice gate; Equator launch (4.4)</w:t>
            </w:r>
          </w:p>
        </w:tc>
        <w:tc>
          <w:tcPr>
            <w:tcW w:w="2498" w:type="dxa"/>
          </w:tcPr>
          <w:p>
            <w:pPr>
              <w:pStyle w:val="Compact"/>
              <w:spacing w:after="40"/>
              <w:jc w:val="left"/>
            </w:pPr>
            <w:r>
              <w:rPr>
                <w:sz w:val="18"/>
              </w:rPr>
              <w:t xml:space="preserve">Guard tests pass</w:t>
            </w:r>
          </w:p>
        </w:tc>
      </w:tr>
      <w:tr>
        <w:tc>
          <w:tcPr>
            <w:tcW w:w="2266" w:type="dxa"/>
          </w:tcPr>
          <w:p>
            <w:pPr>
              <w:pStyle w:val="Compact"/>
              <w:spacing w:after="40"/>
              <w:jc w:val="left"/>
            </w:pPr>
            <w:r>
              <w:rPr>
                <w:sz w:val="18"/>
              </w:rPr>
              <w:t xml:space="preserve">Udofin 13 — DLG</w:t>
            </w:r>
          </w:p>
        </w:tc>
        <w:tc>
          <w:tcPr>
            <w:tcW w:w="4874" w:type="dxa"/>
          </w:tcPr>
          <w:p>
            <w:pPr>
              <w:pStyle w:val="Compact"/>
              <w:spacing w:after="40"/>
              <w:jc w:val="left"/>
            </w:pPr>
            <w:r>
              <w:rPr>
                <w:sz w:val="18"/>
              </w:rPr>
              <w:t xml:space="preserve">DLG domain (6.11)</w:t>
            </w:r>
          </w:p>
        </w:tc>
        <w:tc>
          <w:tcPr>
            <w:tcW w:w="2498" w:type="dxa"/>
          </w:tcPr>
          <w:p>
            <w:pPr>
              <w:pStyle w:val="Compact"/>
              <w:spacing w:after="40"/>
              <w:jc w:val="left"/>
            </w:pPr>
            <w:r>
              <w:rPr>
                <w:sz w:val="18"/>
              </w:rPr>
              <w:t xml:space="preserve">Disclosure and ledger reconciliation</w:t>
            </w:r>
          </w:p>
        </w:tc>
      </w:tr>
      <w:tr>
        <w:tc>
          <w:tcPr>
            <w:tcW w:w="2266" w:type="dxa"/>
          </w:tcPr>
          <w:p>
            <w:pPr>
              <w:pStyle w:val="Compact"/>
              <w:spacing w:after="40"/>
              <w:jc w:val="left"/>
            </w:pPr>
            <w:r>
              <w:rPr>
                <w:sz w:val="18"/>
              </w:rPr>
              <w:t xml:space="preserve">Finbyx 16</w:t>
            </w:r>
          </w:p>
        </w:tc>
        <w:tc>
          <w:tcPr>
            <w:tcW w:w="4874" w:type="dxa"/>
          </w:tcPr>
          <w:p>
            <w:pPr>
              <w:pStyle w:val="Compact"/>
              <w:spacing w:after="40"/>
              <w:jc w:val="left"/>
            </w:pPr>
            <w:r>
              <w:rPr>
                <w:sz w:val="18"/>
              </w:rPr>
              <w:t xml:space="preserve">6.6; RE-side DLG</w:t>
            </w:r>
          </w:p>
        </w:tc>
        <w:tc>
          <w:tcPr>
            <w:tcW w:w="2498" w:type="dxa"/>
          </w:tcPr>
          <w:p>
            <w:pPr>
              <w:pStyle w:val="Compact"/>
              <w:spacing w:after="40"/>
              <w:jc w:val="left"/>
            </w:pPr>
            <w:r>
              <w:rPr>
                <w:sz w:val="18"/>
              </w:rPr>
              <w:t xml:space="preserve">T+1 sync; three-way escrow</w:t>
            </w:r>
          </w:p>
        </w:tc>
      </w:tr>
      <w:tr>
        <w:tc>
          <w:tcPr>
            <w:tcW w:w="2266" w:type="dxa"/>
          </w:tcPr>
          <w:p>
            <w:pPr>
              <w:pStyle w:val="Compact"/>
              <w:spacing w:after="40"/>
              <w:jc w:val="left"/>
            </w:pPr>
            <w:r>
              <w:rPr>
                <w:sz w:val="18"/>
              </w:rPr>
              <w:t xml:space="preserve">Finbyx 16b — Ecosystem integration hub v2</w:t>
            </w:r>
          </w:p>
        </w:tc>
        <w:tc>
          <w:tcPr>
            <w:tcW w:w="4874" w:type="dxa"/>
          </w:tcPr>
          <w:p>
            <w:pPr>
              <w:pStyle w:val="Compact"/>
              <w:spacing w:after="40"/>
              <w:jc w:val="left"/>
            </w:pPr>
            <w:r>
              <w:rPr>
                <w:sz w:val="18"/>
              </w:rPr>
              <w:t xml:space="preserve">Part 7 lifecycles incl. LAS; Parts 9, 10, 12; certification service; privacy and incident events</w:t>
            </w:r>
          </w:p>
        </w:tc>
        <w:tc>
          <w:tcPr>
            <w:tcW w:w="2498" w:type="dxa"/>
          </w:tcPr>
          <w:p>
            <w:pPr>
              <w:pStyle w:val="Compact"/>
              <w:spacing w:after="40"/>
              <w:jc w:val="left"/>
            </w:pPr>
            <w:r>
              <w:rPr>
                <w:sz w:val="18"/>
              </w:rPr>
              <w:t xml:space="preserve">All connectors certified; OSCAL package</w:t>
            </w:r>
          </w:p>
        </w:tc>
      </w:tr>
      <w:tr>
        <w:tc>
          <w:tcPr>
            <w:tcW w:w="2266" w:type="dxa"/>
          </w:tcPr>
          <w:p>
            <w:pPr>
              <w:pStyle w:val="Compact"/>
              <w:spacing w:after="40"/>
              <w:jc w:val="left"/>
            </w:pPr>
            <w:r>
              <w:rPr>
                <w:sz w:val="18"/>
              </w:rPr>
              <w:t xml:space="preserve">Udofin 16b — Ecosystem integration v2</w:t>
            </w:r>
          </w:p>
        </w:tc>
        <w:tc>
          <w:tcPr>
            <w:tcW w:w="4874" w:type="dxa"/>
          </w:tcPr>
          <w:p>
            <w:pPr>
              <w:pStyle w:val="Compact"/>
              <w:spacing w:after="40"/>
              <w:jc w:val="left"/>
            </w:pPr>
            <w:r>
              <w:rPr>
                <w:sz w:val="18"/>
              </w:rPr>
              <w:t xml:space="preserve">Part 7 incl. LAS event contracts; Equator; GRC; privacy and incident events (first built in Udofin Phases 3b and 16)</w:t>
            </w:r>
          </w:p>
        </w:tc>
        <w:tc>
          <w:tcPr>
            <w:tcW w:w="2498" w:type="dxa"/>
          </w:tcPr>
          <w:p>
            <w:pPr>
              <w:pStyle w:val="Compact"/>
              <w:spacing w:after="40"/>
              <w:jc w:val="left"/>
            </w:pPr>
            <w:r>
              <w:rPr>
                <w:sz w:val="18"/>
              </w:rPr>
              <w:t xml:space="preserve">Recertified; Pact suite passes per product lifecycle</w:t>
            </w:r>
          </w:p>
        </w:tc>
      </w:tr>
      <w:tr>
        <w:tc>
          <w:tcPr>
            <w:tcW w:w="2266" w:type="dxa"/>
          </w:tcPr>
          <w:p>
            <w:pPr>
              <w:pStyle w:val="Compact"/>
              <w:spacing w:after="40"/>
              <w:jc w:val="left"/>
            </w:pPr>
            <w:r>
              <w:rPr>
                <w:sz w:val="18"/>
              </w:rPr>
              <w:t xml:space="preserve">Finbyx 17 — Secured products</w:t>
            </w:r>
          </w:p>
        </w:tc>
        <w:tc>
          <w:tcPr>
            <w:tcW w:w="4874" w:type="dxa"/>
          </w:tcPr>
          <w:p>
            <w:pPr>
              <w:pStyle w:val="Compact"/>
              <w:spacing w:after="40"/>
              <w:jc w:val="left"/>
            </w:pPr>
            <w:r>
              <w:rPr>
                <w:sz w:val="18"/>
              </w:rPr>
              <w:t xml:space="preserve">Collateral domain (6.5); LAS engine (7.3)</w:t>
            </w:r>
          </w:p>
        </w:tc>
        <w:tc>
          <w:tcPr>
            <w:tcW w:w="2498" w:type="dxa"/>
          </w:tcPr>
          <w:p>
            <w:pPr>
              <w:pStyle w:val="Compact"/>
              <w:spacing w:after="40"/>
              <w:jc w:val="left"/>
            </w:pPr>
            <w:r>
              <w:rPr>
                <w:sz w:val="18"/>
              </w:rPr>
              <w:t xml:space="preserve">Pledge, valuation, margin call, release on sandbox rails</w:t>
            </w:r>
          </w:p>
        </w:tc>
      </w:tr>
      <w:tr>
        <w:tc>
          <w:tcPr>
            <w:tcW w:w="2266" w:type="dxa"/>
          </w:tcPr>
          <w:p>
            <w:pPr>
              <w:pStyle w:val="Compact"/>
              <w:spacing w:after="40"/>
              <w:jc w:val="left"/>
            </w:pPr>
            <w:r>
              <w:rPr>
                <w:sz w:val="18"/>
              </w:rPr>
              <w:t xml:space="preserve">Finbyx 17b — Secured enforcement and shared-exposure recovery</w:t>
            </w:r>
          </w:p>
        </w:tc>
        <w:tc>
          <w:tcPr>
            <w:tcW w:w="4874" w:type="dxa"/>
          </w:tcPr>
          <w:p>
            <w:pPr>
              <w:pStyle w:val="Compact"/>
              <w:spacing w:after="40"/>
              <w:jc w:val="left"/>
            </w:pPr>
            <w:r>
              <w:rPr>
                <w:sz w:val="18"/>
              </w:rPr>
              <w:t xml:space="preserve">Repossession, auction, surplus, invocation; e-auction listings through the 16b adapter; ICA votes; shared-exposure rules</w:t>
            </w:r>
          </w:p>
        </w:tc>
        <w:tc>
          <w:tcPr>
            <w:tcW w:w="2498" w:type="dxa"/>
          </w:tcPr>
          <w:p>
            <w:pPr>
              <w:pStyle w:val="Compact"/>
              <w:spacing w:after="40"/>
              <w:jc w:val="left"/>
            </w:pPr>
            <w:r>
              <w:rPr>
                <w:sz w:val="18"/>
              </w:rPr>
              <w:t xml:space="preserve">Statutory-clock tests pass</w:t>
            </w:r>
          </w:p>
        </w:tc>
      </w:tr>
      <w:tr>
        <w:tc>
          <w:tcPr>
            <w:tcW w:w="2266" w:type="dxa"/>
          </w:tcPr>
          <w:p>
            <w:pPr>
              <w:pStyle w:val="Compact"/>
              <w:spacing w:after="40"/>
              <w:jc w:val="left"/>
            </w:pPr>
            <w:r>
              <w:rPr>
                <w:sz w:val="18"/>
              </w:rPr>
              <w:t xml:space="preserve">Udofin 18, 18b</w:t>
            </w:r>
          </w:p>
        </w:tc>
        <w:tc>
          <w:tcPr>
            <w:tcW w:w="4874" w:type="dxa"/>
          </w:tcPr>
          <w:p>
            <w:pPr>
              <w:pStyle w:val="Compact"/>
              <w:spacing w:after="40"/>
              <w:jc w:val="left"/>
            </w:pPr>
            <w:r>
              <w:rPr>
                <w:sz w:val="18"/>
              </w:rPr>
              <w:t xml:space="preserve">LAS, Home, LAP, Vehicle; then Gold, MSME, Microfinance, Supply-chain and TReDS, Education (Products 11–15)</w:t>
            </w:r>
          </w:p>
        </w:tc>
        <w:tc>
          <w:tcPr>
            <w:tcW w:w="2498" w:type="dxa"/>
          </w:tcPr>
          <w:p>
            <w:pPr>
              <w:pStyle w:val="Compact"/>
              <w:spacing w:after="40"/>
              <w:jc w:val="left"/>
            </w:pPr>
            <w:r>
              <w:rPr>
                <w:sz w:val="18"/>
              </w:rPr>
              <w:t xml:space="preserve">Per-product fixtures pass; LAS journey end to end on the Finbyx 17 sandbox</w:t>
            </w:r>
          </w:p>
        </w:tc>
      </w:tr>
      <w:tr>
        <w:tc>
          <w:tcPr>
            <w:tcW w:w="2266" w:type="dxa"/>
          </w:tcPr>
          <w:p>
            <w:pPr>
              <w:pStyle w:val="Compact"/>
              <w:spacing w:after="40"/>
              <w:jc w:val="left"/>
            </w:pPr>
            <w:r>
              <w:rPr>
                <w:sz w:val="18"/>
              </w:rPr>
              <w:t xml:space="preserve">LawDocsComply</w:t>
            </w:r>
          </w:p>
        </w:tc>
        <w:tc>
          <w:tcPr>
            <w:tcW w:w="4874" w:type="dxa"/>
          </w:tcPr>
          <w:p>
            <w:pPr>
              <w:pStyle w:val="Compact"/>
              <w:spacing w:after="40"/>
              <w:jc w:val="left"/>
            </w:pPr>
            <w:r>
              <w:rPr>
                <w:sz w:val="18"/>
              </w:rPr>
              <w:t xml:space="preserve">9.3 connector</w:t>
            </w:r>
          </w:p>
        </w:tc>
        <w:tc>
          <w:tcPr>
            <w:tcW w:w="2498" w:type="dxa"/>
          </w:tcPr>
          <w:p>
            <w:pPr>
              <w:pStyle w:val="Compact"/>
              <w:spacing w:after="40"/>
              <w:jc w:val="left"/>
            </w:pPr>
            <w:r>
              <w:rPr>
                <w:sz w:val="18"/>
              </w:rPr>
              <w:t xml:space="preserve">Certified against both 16b phases</w:t>
            </w:r>
          </w:p>
        </w:tc>
      </w:tr>
    </w:tbl>
    <w:p>
      <w:pPr>
        <w:pStyle w:val="BodyText"/>
      </w:pPr>
      <w:r>
        <w:rPr>
          <w:bCs/>
          <w:b/>
        </w:rPr>
        <w:t xml:space="preserve">Sequencing:</w:t>
      </w:r>
      <w:r>
        <w:t xml:space="preserve"> </w:t>
      </w:r>
      <w:r>
        <w:t xml:space="preserve">Udofin 16b needs the Finbyx 16b sandbox; Udofin LAS needs Finbyx 17; Finbyx 12b production needs Equator certification.</w:t>
      </w:r>
    </w:p>
    <w:p>
      <w:r>
        <w:pict>
          <v:rect style="width:0;height:1.5pt" o:hralign="center" o:hrstd="t" o:hr="t"/>
        </w:pict>
      </w:r>
    </w:p>
    <w:bookmarkEnd w:id="103"/>
    <w:bookmarkStart w:id="104" w:name="appendix-a-example-payloads"/>
    <w:p>
      <w:pPr>
        <w:pStyle w:val="Heading1"/>
      </w:pPr>
      <w:r>
        <w:t xml:space="preserve">APPENDIX A — EXAMPLE PAYLOADS</w:t>
      </w:r>
    </w:p>
    <w:p>
      <w:pPr>
        <w:pStyle w:val="FirstParagraph"/>
      </w:pPr>
      <w:r>
        <w:t xml:space="preserve">Illustrative: identifiers, hosts and values are synthetic;</w:t>
      </w:r>
      <w:r>
        <w:t xml:space="preserve"> </w:t>
      </w:r>
      <w:r>
        <w:rPr>
          <w:rStyle w:val="VerbatimChar"/>
        </w:rPr>
        <w:t xml:space="preserve">registry.infrabyx.example</w:t>
      </w:r>
      <w:r>
        <w:t xml:space="preserve"> </w:t>
      </w:r>
      <w:r>
        <w:t xml:space="preserve">stands for the registry host fixed by ADR. A.1 shows the full envelope; A.2–A.5 abbreviate the common attributes as</w:t>
      </w:r>
      <w:r>
        <w:t xml:space="preserve"> </w:t>
      </w:r>
      <w:r>
        <w:rPr>
          <w:rStyle w:val="VerbatimChar"/>
        </w:rPr>
        <w:t xml:space="preserve">"…"</w:t>
      </w:r>
      <w:r>
        <w:t xml:space="preserve">.</w:t>
      </w:r>
    </w:p>
    <w:p>
      <w:pPr>
        <w:pStyle w:val="BodyText"/>
      </w:pPr>
      <w:r>
        <w:rPr>
          <w:bCs/>
          <w:b/>
        </w:rPr>
        <w:t xml:space="preserve">A.1</w:t>
      </w:r>
      <w:r>
        <w:rPr>
          <w:bCs/>
          <w:b/>
        </w:rPr>
        <w:t xml:space="preserve"> </w:t>
      </w:r>
      <w:r>
        <w:rPr>
          <w:rStyle w:val="VerbatimChar"/>
          <w:bCs/>
          <w:b/>
        </w:rPr>
        <w:t xml:space="preserve">ApplicationSubmitted</w:t>
      </w:r>
      <w:r>
        <w:rPr>
          <w:bCs/>
          <w:b/>
        </w:rPr>
        <w:t xml:space="preserve"> </w:t>
      </w:r>
      <w:r>
        <w:rPr>
          <w:bCs/>
          <w:b/>
        </w:rPr>
        <w:t xml:space="preserve">(Udofin → Finbyx)</w:t>
      </w:r>
    </w:p>
    <w:p>
      <w:pPr>
        <w:pStyle w:val="SourceCode"/>
      </w:pPr>
      <w:r>
        <w:rPr>
          <w:rStyle w:val="FunctionTok"/>
        </w:rPr>
        <w:t xml:space="preserve">{</w:t>
      </w:r>
      <w:r>
        <w:rPr>
          <w:rStyle w:val="DataTypeTok"/>
        </w:rPr>
        <w:t xml:space="preserve">"specversion"</w:t>
      </w:r>
      <w:r>
        <w:rPr>
          <w:rStyle w:val="FunctionTok"/>
        </w:rPr>
        <w:t xml:space="preserve">:</w:t>
      </w:r>
      <w:r>
        <w:rPr>
          <w:rStyle w:val="NormalTok"/>
        </w:rPr>
        <w:t xml:space="preserve"> </w:t>
      </w:r>
      <w:r>
        <w:rPr>
          <w:rStyle w:val="StringTok"/>
        </w:rPr>
        <w:t xml:space="preserve">"1.0"</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"01a152c9-ead8-7b2e-9a1d-3f6c2b8e4d10"</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"urn:infrabyx:udofin:ten_01J9ZQ8K7H"</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"in.infrabyx.origination.ApplicationSubmitted.v1"</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"app_01J9ZQB3W4X6"</w:t>
      </w:r>
      <w:r>
        <w:rPr>
          <w:rStyle w:val="FunctionTok"/>
        </w:rPr>
        <w:t xml:space="preserve">,</w:t>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"2026-10-19T11:42:07+05:30"</w:t>
      </w:r>
      <w:r>
        <w:rPr>
          <w:rStyle w:val="FunctionTok"/>
        </w:rPr>
        <w:t xml:space="preserve">,</w:t>
      </w:r>
      <w:r>
        <w:rPr>
          <w:rStyle w:val="NormalTok"/>
        </w:rPr>
        <w:t xml:space="preserve"> </w:t>
      </w:r>
      <w:r>
        <w:rPr>
          <w:rStyle w:val="DataTypeTok"/>
        </w:rPr>
        <w:t xml:space="preserve">"datacontenttype"</w:t>
      </w:r>
      <w:r>
        <w:rPr>
          <w:rStyle w:val="FunctionTok"/>
        </w:rPr>
        <w:t xml:space="preserve">:</w:t>
      </w:r>
      <w:r>
        <w:rPr>
          <w:rStyle w:val="NormalTok"/>
        </w:rPr>
        <w:t xml:space="preserve"> </w:t>
      </w:r>
      <w:r>
        <w:rPr>
          <w:rStyle w:val="StringTok"/>
        </w:rPr>
        <w:t xml:space="preserve">"application/json"</w:t>
      </w:r>
      <w:r>
        <w:rPr>
          <w:rStyle w:val="FunctionTok"/>
        </w:rPr>
        <w:t xml:space="preserve">,</w:t>
      </w:r>
      <w:r>
        <w:br/>
      </w:r>
      <w:r>
        <w:rPr>
          <w:rStyle w:val="NormalTok"/>
        </w:rPr>
        <w:t xml:space="preserve"> </w:t>
      </w:r>
      <w:r>
        <w:rPr>
          <w:rStyle w:val="DataTypeTok"/>
        </w:rPr>
        <w:t xml:space="preserve">"dataschema"</w:t>
      </w:r>
      <w:r>
        <w:rPr>
          <w:rStyle w:val="FunctionTok"/>
        </w:rPr>
        <w:t xml:space="preserve">:</w:t>
      </w:r>
      <w:r>
        <w:rPr>
          <w:rStyle w:val="NormalTok"/>
        </w:rPr>
        <w:t xml:space="preserve"> </w:t>
      </w:r>
      <w:r>
        <w:rPr>
          <w:rStyle w:val="StringTok"/>
        </w:rPr>
        <w:t xml:space="preserve">"https://registry.infrabyx.example/schemas/origination/ApplicationSubmitted/1.2.0.json"</w:t>
      </w:r>
      <w:r>
        <w:rPr>
          <w:rStyle w:val="FunctionTok"/>
        </w:rPr>
        <w:t xml:space="preserve">,</w:t>
      </w:r>
      <w:r>
        <w:br/>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"ten_01J9ZQ8K7H"</w:t>
      </w:r>
      <w:r>
        <w:rPr>
          <w:rStyle w:val="FunctionTok"/>
        </w:rPr>
        <w:t xml:space="preserve">,</w:t>
      </w:r>
      <w:r>
        <w:rPr>
          <w:rStyle w:val="NormalTok"/>
        </w:rPr>
        <w:t xml:space="preserve"> </w:t>
      </w:r>
      <w:r>
        <w:rPr>
          <w:rStyle w:val="DataTypeTok"/>
        </w:rPr>
        <w:t xml:space="preserve">"reid"</w:t>
      </w:r>
      <w:r>
        <w:rPr>
          <w:rStyle w:val="FunctionTok"/>
        </w:rPr>
        <w:t xml:space="preserve">:</w:t>
      </w:r>
      <w:r>
        <w:rPr>
          <w:rStyle w:val="NormalTok"/>
        </w:rPr>
        <w:t xml:space="preserve"> </w:t>
      </w:r>
      <w:r>
        <w:rPr>
          <w:rStyle w:val="StringTok"/>
        </w:rPr>
        <w:t xml:space="preserve">"re_01J8Y2M0PQ"</w:t>
      </w:r>
      <w:r>
        <w:rPr>
          <w:rStyle w:val="FunctionTok"/>
        </w:rPr>
        <w:t xml:space="preserve">,</w:t>
      </w:r>
      <w:r>
        <w:rPr>
          <w:rStyle w:val="NormalTok"/>
        </w:rPr>
        <w:t xml:space="preserve"> </w:t>
      </w:r>
      <w:r>
        <w:rPr>
          <w:rStyle w:val="DataTypeTok"/>
        </w:rPr>
        <w:t xml:space="preserve">"productfamily"</w:t>
      </w:r>
      <w:r>
        <w:rPr>
          <w:rStyle w:val="FunctionTok"/>
        </w:rPr>
        <w:t xml:space="preserve">:</w:t>
      </w:r>
      <w:r>
        <w:rPr>
          <w:rStyle w:val="NormalTok"/>
        </w:rPr>
        <w:t xml:space="preserve"> </w:t>
      </w:r>
      <w:r>
        <w:rPr>
          <w:rStyle w:val="StringTok"/>
        </w:rPr>
        <w:t xml:space="preserve">"PL"</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"app_01J9ZQB3W4X6"</w:t>
      </w:r>
      <w:r>
        <w:rPr>
          <w:rStyle w:val="FunctionTok"/>
        </w:rPr>
        <w:t xml:space="preserve">,</w:t>
      </w:r>
      <w:r>
        <w:rPr>
          <w:rStyle w:val="NormalTok"/>
        </w:rPr>
        <w:t xml:space="preserve"> </w:t>
      </w:r>
      <w:r>
        <w:rPr>
          <w:rStyle w:val="DataTypeTok"/>
        </w:rPr>
        <w:t xml:space="preserve">"consentref"</w:t>
      </w:r>
      <w:r>
        <w:rPr>
          <w:rStyle w:val="FunctionTok"/>
        </w:rPr>
        <w:t xml:space="preserve">:</w:t>
      </w:r>
      <w:r>
        <w:rPr>
          <w:rStyle w:val="NormalTok"/>
        </w:rPr>
        <w:t xml:space="preserve"> </w:t>
      </w:r>
      <w:r>
        <w:rPr>
          <w:rStyle w:val="StringTok"/>
        </w:rPr>
        <w:t xml:space="preserve">"cns_01J9ZQA9R2T5"</w:t>
      </w:r>
      <w:r>
        <w:rPr>
          <w:rStyle w:val="FunctionTok"/>
        </w:rPr>
        <w:t xml:space="preserve">,</w:t>
      </w:r>
      <w:r>
        <w:rPr>
          <w:rStyle w:val="NormalTok"/>
        </w:rPr>
        <w:t xml:space="preserve"> </w:t>
      </w:r>
      <w:r>
        <w:rPr>
          <w:rStyle w:val="DataTypeTok"/>
        </w:rPr>
        <w:t xml:space="preserve">"dataclass"</w:t>
      </w:r>
      <w:r>
        <w:rPr>
          <w:rStyle w:val="FunctionTok"/>
        </w:rPr>
        <w:t xml:space="preserve">:</w:t>
      </w:r>
      <w:r>
        <w:rPr>
          <w:rStyle w:val="NormalTok"/>
        </w:rPr>
        <w:t xml:space="preserve"> </w:t>
      </w:r>
      <w:r>
        <w:rPr>
          <w:rStyle w:val="StringTok"/>
        </w:rPr>
        <w:t xml:space="preserve">"PII"</w:t>
      </w:r>
      <w:r>
        <w:rPr>
          <w:rStyle w:val="FunctionTok"/>
        </w:rPr>
        <w:t xml:space="preserve">,</w:t>
      </w:r>
      <w:r>
        <w:br/>
      </w:r>
      <w:r>
        <w:rPr>
          <w:rStyle w:val="NormalTok"/>
        </w:rPr>
        <w:t xml:space="preserve"> </w:t>
      </w:r>
      <w:r>
        <w:rPr>
          <w:rStyle w:val="DataTypeTok"/>
        </w:rPr>
        <w:t xml:space="preserve">"schemaver"</w:t>
      </w:r>
      <w:r>
        <w:rPr>
          <w:rStyle w:val="FunctionTok"/>
        </w:rPr>
        <w:t xml:space="preserve">:</w:t>
      </w:r>
      <w:r>
        <w:rPr>
          <w:rStyle w:val="NormalTok"/>
        </w:rPr>
        <w:t xml:space="preserve"> </w:t>
      </w:r>
      <w:r>
        <w:rPr>
          <w:rStyle w:val="StringTok"/>
        </w:rPr>
        <w:t xml:space="preserve">"1.2.0"</w:t>
      </w:r>
      <w:r>
        <w:rPr>
          <w:rStyle w:val="FunctionTok"/>
        </w:rPr>
        <w:t xml:space="preserve">,</w:t>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"traceparent"</w:t>
      </w:r>
      <w:r>
        <w:rPr>
          <w:rStyle w:val="FunctionTok"/>
        </w:rPr>
        <w:t xml:space="preserve">:</w:t>
      </w:r>
      <w:r>
        <w:rPr>
          <w:rStyle w:val="NormalTok"/>
        </w:rPr>
        <w:t xml:space="preserve"> </w:t>
      </w:r>
      <w:r>
        <w:rPr>
          <w:rStyle w:val="StringTok"/>
        </w:rPr>
        <w:t xml:space="preserve">"00-4bf92f3577b34da6a3ce929d0e0e4736-00f067aa0ba902b7-01"</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DataTypeTok"/>
        </w:rPr>
        <w:t xml:space="preserve">"lsp_application_ref"</w:t>
      </w:r>
      <w:r>
        <w:rPr>
          <w:rStyle w:val="FunctionTok"/>
        </w:rPr>
        <w:t xml:space="preserve">:</w:t>
      </w:r>
      <w:r>
        <w:rPr>
          <w:rStyle w:val="NormalTok"/>
        </w:rPr>
        <w:t xml:space="preserve"> </w:t>
      </w:r>
      <w:r>
        <w:rPr>
          <w:rStyle w:val="StringTok"/>
        </w:rPr>
        <w:t xml:space="preserve">"UDF-APP-2026-000184321"</w:t>
      </w:r>
      <w:r>
        <w:rPr>
          <w:rStyle w:val="FunctionTok"/>
        </w:rPr>
        <w:t xml:space="preserve">,</w:t>
      </w:r>
      <w:r>
        <w:rPr>
          <w:rStyle w:val="NormalTok"/>
        </w:rPr>
        <w:t xml:space="preserve"> </w:t>
      </w:r>
      <w:r>
        <w:rPr>
          <w:rStyle w:val="DataTypeTok"/>
        </w:rPr>
        <w:t xml:space="preserve">"product_code"</w:t>
      </w:r>
      <w:r>
        <w:rPr>
          <w:rStyle w:val="FunctionTok"/>
        </w:rPr>
        <w:t xml:space="preserve">:</w:t>
      </w:r>
      <w:r>
        <w:rPr>
          <w:rStyle w:val="NormalTok"/>
        </w:rPr>
        <w:t xml:space="preserve"> </w:t>
      </w:r>
      <w:r>
        <w:rPr>
          <w:rStyle w:val="StringTok"/>
        </w:rPr>
        <w:t xml:space="preserve">"PL-SAL-01"</w:t>
      </w:r>
      <w:r>
        <w:rPr>
          <w:rStyle w:val="FunctionTok"/>
        </w:rPr>
        <w:t xml:space="preserve">,</w:t>
      </w:r>
      <w:r>
        <w:rPr>
          <w:rStyle w:val="NormalTok"/>
        </w:rPr>
        <w:t xml:space="preserve"> </w:t>
      </w:r>
      <w:r>
        <w:rPr>
          <w:rStyle w:val="DataTypeTok"/>
        </w:rPr>
        <w:t xml:space="preserve">"dla_id"</w:t>
      </w:r>
      <w:r>
        <w:rPr>
          <w:rStyle w:val="FunctionTok"/>
        </w:rPr>
        <w:t xml:space="preserve">:</w:t>
      </w:r>
      <w:r>
        <w:rPr>
          <w:rStyle w:val="NormalTok"/>
        </w:rPr>
        <w:t xml:space="preserve"> </w:t>
      </w:r>
      <w:r>
        <w:rPr>
          <w:rStyle w:val="StringTok"/>
        </w:rPr>
        <w:t xml:space="preserve">"dla_01J5UDFANDR"</w:t>
      </w:r>
      <w:r>
        <w:rPr>
          <w:rStyle w:val="FunctionTok"/>
        </w:rPr>
        <w:t xml:space="preserve">,</w:t>
      </w:r>
      <w:r>
        <w:br/>
      </w:r>
      <w:r>
        <w:rPr>
          <w:rStyle w:val="NormalTok"/>
        </w:rPr>
        <w:t xml:space="preserve">  </w:t>
      </w:r>
      <w:r>
        <w:rPr>
          <w:rStyle w:val="DataTypeTok"/>
        </w:rPr>
        <w:t xml:space="preserve">"requested_amount"</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StringTok"/>
        </w:rPr>
        <w:t xml:space="preserve">"250000.00"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rPr>
          <w:rStyle w:val="FunctionTok"/>
        </w:rPr>
        <w:t xml:space="preserve">},</w:t>
      </w:r>
      <w:r>
        <w:rPr>
          <w:rStyle w:val="NormalTok"/>
        </w:rPr>
        <w:t xml:space="preserve"> </w:t>
      </w:r>
      <w:r>
        <w:rPr>
          <w:rStyle w:val="DataTypeTok"/>
        </w:rPr>
        <w:t xml:space="preserve">"tenor_months"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"applicants"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"role"</w:t>
      </w:r>
      <w:r>
        <w:rPr>
          <w:rStyle w:val="FunctionTok"/>
        </w:rPr>
        <w:t xml:space="preserve">:</w:t>
      </w:r>
      <w:r>
        <w:rPr>
          <w:rStyle w:val="NormalTok"/>
        </w:rPr>
        <w:t xml:space="preserve"> </w:t>
      </w:r>
      <w:r>
        <w:rPr>
          <w:rStyle w:val="StringTok"/>
        </w:rPr>
        <w:t xml:space="preserve">"PRIMARY"</w:t>
      </w:r>
      <w:r>
        <w:rPr>
          <w:rStyle w:val="FunctionTok"/>
        </w:rPr>
        <w:t xml:space="preserve">,</w:t>
      </w:r>
      <w:r>
        <w:rPr>
          <w:rStyle w:val="NormalTok"/>
        </w:rPr>
        <w:t xml:space="preserve"> </w:t>
      </w:r>
      <w:r>
        <w:rPr>
          <w:rStyle w:val="DataTypeTok"/>
        </w:rPr>
        <w:t xml:space="preserve">"party_ref"</w:t>
      </w:r>
      <w:r>
        <w:rPr>
          <w:rStyle w:val="FunctionTok"/>
        </w:rPr>
        <w:t xml:space="preserve">:</w:t>
      </w:r>
      <w:r>
        <w:rPr>
          <w:rStyle w:val="NormalTok"/>
        </w:rPr>
        <w:t xml:space="preserve"> </w:t>
      </w:r>
      <w:r>
        <w:rPr>
          <w:rStyle w:val="StringTok"/>
        </w:rPr>
        <w:t xml:space="preserve">"pty_ud_fx_01J9ZQC0MN"</w:t>
      </w:r>
      <w:r>
        <w:rPr>
          <w:rStyle w:val="FunctionTok"/>
        </w:rPr>
        <w:t xml:space="preserve">,</w:t>
      </w:r>
      <w:r>
        <w:rPr>
          <w:rStyle w:val="NormalTok"/>
        </w:rPr>
        <w:t xml:space="preserve"> </w:t>
      </w:r>
      <w:r>
        <w:rPr>
          <w:rStyle w:val="DataTypeTok"/>
        </w:rPr>
        <w:t xml:space="preserve">"pan_masked"</w:t>
      </w:r>
      <w:r>
        <w:rPr>
          <w:rStyle w:val="FunctionTok"/>
        </w:rPr>
        <w:t xml:space="preserve">:</w:t>
      </w:r>
      <w:r>
        <w:rPr>
          <w:rStyle w:val="NormalTok"/>
        </w:rPr>
        <w:t xml:space="preserve"> </w:t>
      </w:r>
      <w:r>
        <w:rPr>
          <w:rStyle w:val="StringTok"/>
        </w:rPr>
        <w:t xml:space="preserve">"XXXXX1234X"</w:t>
      </w:r>
      <w:r>
        <w:rPr>
          <w:rStyle w:val="FunctionTok"/>
        </w:rPr>
        <w:t xml:space="preserve">,</w:t>
      </w:r>
      <w:r>
        <w:br/>
      </w:r>
      <w:r>
        <w:rPr>
          <w:rStyle w:val="NormalTok"/>
        </w:rPr>
        <w:t xml:space="preserve">    </w:t>
      </w:r>
      <w:r>
        <w:rPr>
          <w:rStyle w:val="DataTypeTok"/>
        </w:rPr>
        <w:t xml:space="preserve">"pan_token"</w:t>
      </w:r>
      <w:r>
        <w:rPr>
          <w:rStyle w:val="FunctionTok"/>
        </w:rPr>
        <w:t xml:space="preserve">:</w:t>
      </w:r>
      <w:r>
        <w:rPr>
          <w:rStyle w:val="NormalTok"/>
        </w:rPr>
        <w:t xml:space="preserve"> </w:t>
      </w:r>
      <w:r>
        <w:rPr>
          <w:rStyle w:val="StringTok"/>
        </w:rPr>
        <w:t xml:space="preserve">"tok_pan_6f1c9e"</w:t>
      </w:r>
      <w:r>
        <w:rPr>
          <w:rStyle w:val="FunctionTok"/>
        </w:rPr>
        <w:t xml:space="preserve">,</w:t>
      </w:r>
      <w:r>
        <w:rPr>
          <w:rStyle w:val="NormalTok"/>
        </w:rPr>
        <w:t xml:space="preserve"> </w:t>
      </w:r>
      <w:r>
        <w:rPr>
          <w:rStyle w:val="DataTypeTok"/>
        </w:rPr>
        <w:t xml:space="preserve">"household"</w:t>
      </w:r>
      <w:r>
        <w:rPr>
          <w:rStyle w:val="FunctionTok"/>
        </w:rPr>
        <w:t xml:space="preserve">:</w:t>
      </w:r>
      <w:r>
        <w:rPr>
          <w:rStyle w:val="NormalTok"/>
        </w:rPr>
        <w:t xml:space="preserve"> </w:t>
      </w:r>
      <w:r>
        <w:rPr>
          <w:rStyle w:val="FunctionTok"/>
        </w:rPr>
        <w:t xml:space="preserve">{</w:t>
      </w:r>
      <w:r>
        <w:rPr>
          <w:rStyle w:val="DataTypeTok"/>
        </w:rPr>
        <w:t xml:space="preserve">"members"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"annual_income"</w:t>
      </w:r>
      <w:r>
        <w:rPr>
          <w:rStyle w:val="FunctionTok"/>
        </w:rPr>
        <w:t xml:space="preserve">:</w:t>
      </w:r>
      <w:r>
        <w:rPr>
          <w:rStyle w:val="NormalTok"/>
        </w:rPr>
        <w:t xml:space="preserve"> </w:t>
      </w:r>
      <w:r>
        <w:rPr>
          <w:rStyle w:val="StringTok"/>
        </w:rPr>
        <w:t xml:space="preserve">"1020000.00"</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"kyc_evidence_refs"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"DIGILOCKER_AADHAAR_XML"</w:t>
      </w:r>
      <w:r>
        <w:rPr>
          <w:rStyle w:val="FunctionTok"/>
        </w:rPr>
        <w:t xml:space="preserve">,</w:t>
      </w:r>
      <w:r>
        <w:rPr>
          <w:rStyle w:val="NormalTok"/>
        </w:rPr>
        <w:t xml:space="preserve"> </w:t>
      </w:r>
      <w:r>
        <w:rPr>
          <w:rStyle w:val="DataTypeTok"/>
        </w:rPr>
        <w:t xml:space="preserve">"evidence_id"</w:t>
      </w:r>
      <w:r>
        <w:rPr>
          <w:rStyle w:val="FunctionTok"/>
        </w:rPr>
        <w:t xml:space="preserve">:</w:t>
      </w:r>
      <w:r>
        <w:rPr>
          <w:rStyle w:val="NormalTok"/>
        </w:rPr>
        <w:t xml:space="preserve"> </w:t>
      </w:r>
      <w:r>
        <w:rPr>
          <w:rStyle w:val="StringTok"/>
        </w:rPr>
        <w:t xml:space="preserve">"evd_01J9ZQ9ABC"</w:t>
      </w:r>
      <w:r>
        <w:rPr>
          <w:rStyle w:val="FunctionTok"/>
        </w:rPr>
        <w:t xml:space="preserve">,</w:t>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"9d3f…a5d7f9"</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"PRODUCTION"</w:t>
      </w:r>
      <w:r>
        <w:rPr>
          <w:rStyle w:val="FunctionTok"/>
        </w:rPr>
        <w:t xml:space="preserve">}}</w:t>
      </w:r>
    </w:p>
    <w:p>
      <w:pPr>
        <w:pStyle w:val="FirstParagraph"/>
      </w:pPr>
      <w:r>
        <w:rPr>
          <w:bCs/>
          <w:b/>
        </w:rPr>
        <w:t xml:space="preserve">A.2</w:t>
      </w:r>
      <w:r>
        <w:rPr>
          <w:bCs/>
          <w:b/>
        </w:rPr>
        <w:t xml:space="preserve"> </w:t>
      </w:r>
      <w:r>
        <w:rPr>
          <w:rStyle w:val="VerbatimChar"/>
          <w:bCs/>
          <w:b/>
        </w:rPr>
        <w:t xml:space="preserve">CollateralPledgeCreated</w:t>
      </w:r>
      <w:r>
        <w:rPr>
          <w:bCs/>
          <w:b/>
        </w:rPr>
        <w:t xml:space="preserve"> </w:t>
      </w:r>
      <w:r>
        <w:rPr>
          <w:bCs/>
          <w:b/>
        </w:rPr>
        <w:t xml:space="preserve">for LAS (Finbyx → Udofin)</w:t>
      </w:r>
    </w:p>
    <w:p>
      <w:pPr>
        <w:pStyle w:val="SourceCode"/>
      </w:pPr>
      <w:r>
        <w:rPr>
          <w:rStyle w:val="FunctionTok"/>
        </w:rPr>
        <w:t xml:space="preserve">{</w:t>
      </w:r>
      <w:r>
        <w:rPr>
          <w:rStyle w:val="DataTypeTok"/>
        </w:rPr>
        <w:t xml:space="preserv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"urn:infrabyx:finbyx:ten_01J8Y2M0PQ"</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"in.infrabyx.collateral.CollateralPledgeCreated.v1"</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"col_01J9ZTR5KQ2M"</w:t>
      </w:r>
      <w:r>
        <w:rPr>
          <w:rStyle w:val="FunctionTok"/>
        </w:rPr>
        <w:t xml:space="preserve">,</w:t>
      </w:r>
      <w:r>
        <w:rPr>
          <w:rStyle w:val="NormalTok"/>
        </w:rPr>
        <w:t xml:space="preserve"> </w:t>
      </w:r>
      <w:r>
        <w:rPr>
          <w:rStyle w:val="DataTypeTok"/>
        </w:rPr>
        <w:t xml:space="preserve">"productfamily"</w:t>
      </w:r>
      <w:r>
        <w:rPr>
          <w:rStyle w:val="FunctionTok"/>
        </w:rPr>
        <w:t xml:space="preserve">:</w:t>
      </w:r>
      <w:r>
        <w:rPr>
          <w:rStyle w:val="NormalTok"/>
        </w:rPr>
        <w:t xml:space="preserve"> </w:t>
      </w:r>
      <w:r>
        <w:rPr>
          <w:rStyle w:val="StringTok"/>
        </w:rPr>
        <w:t xml:space="preserve">"LAS"</w:t>
      </w:r>
      <w:r>
        <w:rPr>
          <w:rStyle w:val="FunctionTok"/>
        </w:rPr>
        <w:t xml:space="preserve">,</w:t>
      </w:r>
      <w:r>
        <w:rPr>
          <w:rStyle w:val="NormalTok"/>
        </w:rPr>
        <w:t xml:space="preserve"> </w:t>
      </w:r>
      <w:r>
        <w:rPr>
          <w:rStyle w:val="DataTypeTok"/>
        </w:rPr>
        <w:t xml:space="preserve">"consentref"</w:t>
      </w:r>
      <w:r>
        <w:rPr>
          <w:rStyle w:val="FunctionTok"/>
        </w:rPr>
        <w:t xml:space="preserve">:</w:t>
      </w:r>
      <w:r>
        <w:rPr>
          <w:rStyle w:val="NormalTok"/>
        </w:rPr>
        <w:t xml:space="preserve"> </w:t>
      </w:r>
      <w:r>
        <w:rPr>
          <w:rStyle w:val="StringTok"/>
        </w:rPr>
        <w:t xml:space="preserve">"cns_01J9ZT90QW"</w:t>
      </w:r>
      <w:r>
        <w:rPr>
          <w:rStyle w:val="FunctionTok"/>
        </w:rPr>
        <w:t xml:space="preserve">,</w:t>
      </w:r>
      <w:r>
        <w:rPr>
          <w:rStyle w:val="NormalTok"/>
        </w:rPr>
        <w:t xml:space="preserve"> </w:t>
      </w:r>
      <w:r>
        <w:rPr>
          <w:rStyle w:val="DataTypeTok"/>
        </w:rPr>
        <w:t xml:space="preserve">"dataclass"</w:t>
      </w:r>
      <w:r>
        <w:rPr>
          <w:rStyle w:val="FunctionTok"/>
        </w:rPr>
        <w:t xml:space="preserve">:</w:t>
      </w:r>
      <w:r>
        <w:rPr>
          <w:rStyle w:val="NormalTok"/>
        </w:rPr>
        <w:t xml:space="preserve"> </w:t>
      </w:r>
      <w:r>
        <w:rPr>
          <w:rStyle w:val="StringTok"/>
        </w:rPr>
        <w:t xml:space="preserve">"FINANCIAL"</w:t>
      </w:r>
      <w:r>
        <w:rPr>
          <w:rStyle w:val="FunctionTok"/>
        </w:rPr>
        <w:t xml:space="preserve">,</w:t>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DataTypeTok"/>
        </w:rPr>
        <w:t xml:space="preserve">"pledge_request_id"</w:t>
      </w:r>
      <w:r>
        <w:rPr>
          <w:rStyle w:val="FunctionTok"/>
        </w:rPr>
        <w:t xml:space="preserve">:</w:t>
      </w:r>
      <w:r>
        <w:rPr>
          <w:rStyle w:val="NormalTok"/>
        </w:rPr>
        <w:t xml:space="preserve"> </w:t>
      </w:r>
      <w:r>
        <w:rPr>
          <w:rStyle w:val="StringTok"/>
        </w:rPr>
        <w:t xml:space="preserve">"plr_01J9ZTQ0HH"</w:t>
      </w:r>
      <w:r>
        <w:rPr>
          <w:rStyle w:val="FunctionTok"/>
        </w:rPr>
        <w:t xml:space="preserve">,</w:t>
      </w:r>
      <w:r>
        <w:rPr>
          <w:rStyle w:val="NormalTok"/>
        </w:rPr>
        <w:t xml:space="preserve"> </w:t>
      </w:r>
      <w:r>
        <w:rPr>
          <w:rStyle w:val="DataTypeTok"/>
        </w:rPr>
        <w:t xml:space="preserve">"application_id"</w:t>
      </w:r>
      <w:r>
        <w:rPr>
          <w:rStyle w:val="FunctionTok"/>
        </w:rPr>
        <w:t xml:space="preserve">:</w:t>
      </w:r>
      <w:r>
        <w:rPr>
          <w:rStyle w:val="NormalTok"/>
        </w:rPr>
        <w:t xml:space="preserve"> </w:t>
      </w:r>
      <w:r>
        <w:rPr>
          <w:rStyle w:val="StringTok"/>
        </w:rPr>
        <w:t xml:space="preserve">"app_01J9ZT8P1A2B"</w:t>
      </w:r>
      <w:r>
        <w:rPr>
          <w:rStyle w:val="FunctionTok"/>
        </w:rPr>
        <w:t xml:space="preserve">,</w:t>
      </w:r>
      <w:r>
        <w:rPr>
          <w:rStyle w:val="NormalTok"/>
        </w:rPr>
        <w:t xml:space="preserve"> </w:t>
      </w:r>
      <w:r>
        <w:rPr>
          <w:rStyle w:val="DataTypeTok"/>
        </w:rPr>
        <w:t xml:space="preserve">"collateral_type"</w:t>
      </w:r>
      <w:r>
        <w:rPr>
          <w:rStyle w:val="FunctionTok"/>
        </w:rPr>
        <w:t xml:space="preserve">:</w:t>
      </w:r>
      <w:r>
        <w:rPr>
          <w:rStyle w:val="NormalTok"/>
        </w:rPr>
        <w:t xml:space="preserve"> </w:t>
      </w:r>
      <w:r>
        <w:rPr>
          <w:rStyle w:val="StringTok"/>
        </w:rPr>
        <w:t xml:space="preserve">"LISTED_SHARE_DEMAT"</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"CDSL"</w:t>
      </w:r>
      <w:r>
        <w:rPr>
          <w:rStyle w:val="FunctionTok"/>
        </w:rPr>
        <w:t xml:space="preserve">,</w:t>
      </w:r>
      <w:r>
        <w:rPr>
          <w:rStyle w:val="NormalTok"/>
        </w:rPr>
        <w:t xml:space="preserve"> </w:t>
      </w:r>
      <w:r>
        <w:rPr>
          <w:rStyle w:val="DataTypeTok"/>
        </w:rPr>
        <w:t xml:space="preserve">"pledge_ref"</w:t>
      </w:r>
      <w:r>
        <w:rPr>
          <w:rStyle w:val="FunctionTok"/>
        </w:rPr>
        <w:t xml:space="preserve">:</w:t>
      </w:r>
      <w:r>
        <w:rPr>
          <w:rStyle w:val="NormalTok"/>
        </w:rPr>
        <w:t xml:space="preserve"> </w:t>
      </w:r>
      <w:r>
        <w:rPr>
          <w:rStyle w:val="StringTok"/>
        </w:rPr>
        <w:t xml:space="preserve">"PLG-2026101900045871"</w:t>
      </w:r>
      <w:r>
        <w:rPr>
          <w:rStyle w:val="FunctionTok"/>
        </w:rPr>
        <w:t xml:space="preserve">,</w:t>
      </w:r>
      <w:r>
        <w:rPr>
          <w:rStyle w:val="NormalTok"/>
        </w:rPr>
        <w:t xml:space="preserve"> </w:t>
      </w:r>
      <w:r>
        <w:rPr>
          <w:rStyle w:val="DataTypeTok"/>
        </w:rPr>
        <w:t xml:space="preserve">"pledgor_boid_token"</w:t>
      </w:r>
      <w:r>
        <w:rPr>
          <w:rStyle w:val="FunctionTok"/>
        </w:rPr>
        <w:t xml:space="preserve">:</w:t>
      </w:r>
      <w:r>
        <w:rPr>
          <w:rStyle w:val="NormalTok"/>
        </w:rPr>
        <w:t xml:space="preserve"> </w:t>
      </w:r>
      <w:r>
        <w:rPr>
          <w:rStyle w:val="StringTok"/>
        </w:rPr>
        <w:t xml:space="preserve">"tok_boid_44a1c0"</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"CONFIRMED"</w:t>
      </w:r>
      <w:r>
        <w:rPr>
          <w:rStyle w:val="FunctionTok"/>
        </w:rPr>
        <w:t xml:space="preserve">,</w:t>
      </w:r>
      <w:r>
        <w:br/>
      </w:r>
      <w:r>
        <w:rPr>
          <w:rStyle w:val="NormalTok"/>
        </w:rPr>
        <w:t xml:space="preserve">  </w:t>
      </w:r>
      <w:r>
        <w:rPr>
          <w:rStyle w:val="DataTypeTok"/>
        </w:rPr>
        <w:t xml:space="preserve">"securities"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"isin"</w:t>
      </w:r>
      <w:r>
        <w:rPr>
          <w:rStyle w:val="FunctionTok"/>
        </w:rPr>
        <w:t xml:space="preserve">:</w:t>
      </w:r>
      <w:r>
        <w:rPr>
          <w:rStyle w:val="NormalTok"/>
        </w:rPr>
        <w:t xml:space="preserve"> </w:t>
      </w:r>
      <w:r>
        <w:rPr>
          <w:rStyle w:val="StringTok"/>
        </w:rPr>
        <w:t xml:space="preserve">"INE000A01019"</w:t>
      </w:r>
      <w:r>
        <w:rPr>
          <w:rStyle w:val="FunctionTok"/>
        </w:rPr>
        <w:t xml:space="preserve">,</w:t>
      </w:r>
      <w:r>
        <w:rPr>
          <w:rStyle w:val="NormalTok"/>
        </w:rPr>
        <w:t xml:space="preserve"> </w:t>
      </w:r>
      <w:r>
        <w:rPr>
          <w:rStyle w:val="DataTypeTok"/>
        </w:rPr>
        <w:t xml:space="preserve">"units"</w:t>
      </w:r>
      <w:r>
        <w:rPr>
          <w:rStyle w:val="FunctionTok"/>
        </w:rPr>
        <w:t xml:space="preserve">:</w:t>
      </w:r>
      <w:r>
        <w:rPr>
          <w:rStyle w:val="NormalTok"/>
        </w:rPr>
        <w:t xml:space="preserve"> </w:t>
      </w:r>
      <w:r>
        <w:rPr>
          <w:rStyle w:val="StringTok"/>
        </w:rPr>
        <w:t xml:space="preserve">"1200"</w:t>
      </w:r>
      <w:r>
        <w:rPr>
          <w:rStyle w:val="FunctionTok"/>
        </w:rPr>
        <w:t xml:space="preserve">,</w:t>
      </w:r>
      <w:r>
        <w:rPr>
          <w:rStyle w:val="NormalTok"/>
        </w:rPr>
        <w:t xml:space="preserve"> </w:t>
      </w:r>
      <w:r>
        <w:rPr>
          <w:rStyle w:val="DataTypeTok"/>
        </w:rPr>
        <w:t xml:space="preserve">"price"</w:t>
      </w:r>
      <w:r>
        <w:rPr>
          <w:rStyle w:val="FunctionTok"/>
        </w:rPr>
        <w:t xml:space="preserve">:</w:t>
      </w:r>
      <w:r>
        <w:rPr>
          <w:rStyle w:val="NormalTok"/>
        </w:rPr>
        <w:t xml:space="preserve"> </w:t>
      </w:r>
      <w:r>
        <w:rPr>
          <w:rStyle w:val="StringTok"/>
        </w:rPr>
        <w:t xml:space="preserve">"1530.25"</w:t>
      </w:r>
      <w:r>
        <w:rPr>
          <w:rStyle w:val="FunctionTok"/>
        </w:rPr>
        <w:t xml:space="preserve">,</w:t>
      </w:r>
      <w:r>
        <w:rPr>
          <w:rStyle w:val="NormalTok"/>
        </w:rPr>
        <w:t xml:space="preserve"> </w:t>
      </w:r>
      <w:r>
        <w:rPr>
          <w:rStyle w:val="DataTypeTok"/>
        </w:rPr>
        <w:t xml:space="preserve">"price_source"</w:t>
      </w:r>
      <w:r>
        <w:rPr>
          <w:rStyle w:val="FunctionTok"/>
        </w:rPr>
        <w:t xml:space="preserve">:</w:t>
      </w:r>
      <w:r>
        <w:rPr>
          <w:rStyle w:val="NormalTok"/>
        </w:rPr>
        <w:t xml:space="preserve"> </w:t>
      </w:r>
      <w:r>
        <w:rPr>
          <w:rStyle w:val="StringTok"/>
        </w:rPr>
        <w:t xml:space="preserve">"NSE_BHAVCOPY"</w:t>
      </w:r>
      <w:r>
        <w:rPr>
          <w:rStyle w:val="FunctionTok"/>
        </w:rPr>
        <w:t xml:space="preserve">,</w:t>
      </w:r>
      <w:r>
        <w:br/>
      </w:r>
      <w:r>
        <w:rPr>
          <w:rStyle w:val="NormalTok"/>
        </w:rPr>
        <w:t xml:space="preserve">    </w:t>
      </w:r>
      <w:r>
        <w:rPr>
          <w:rStyle w:val="DataTypeTok"/>
        </w:rPr>
        <w:t xml:space="preserve">"price_as_of"</w:t>
      </w:r>
      <w:r>
        <w:rPr>
          <w:rStyle w:val="FunctionTok"/>
        </w:rPr>
        <w:t xml:space="preserve">:</w:t>
      </w:r>
      <w:r>
        <w:rPr>
          <w:rStyle w:val="NormalTok"/>
        </w:rPr>
        <w:t xml:space="preserve"> </w:t>
      </w:r>
      <w:r>
        <w:rPr>
          <w:rStyle w:val="StringTok"/>
        </w:rPr>
        <w:t xml:space="preserve">"2026-10-16"</w:t>
      </w:r>
      <w:r>
        <w:rPr>
          <w:rStyle w:val="FunctionTok"/>
        </w:rPr>
        <w:t xml:space="preserve">,</w:t>
      </w:r>
      <w:r>
        <w:rPr>
          <w:rStyle w:val="NormalTok"/>
        </w:rPr>
        <w:t xml:space="preserve"> </w:t>
      </w:r>
      <w:r>
        <w:rPr>
          <w:rStyle w:val="DataTypeTok"/>
        </w:rPr>
        <w:t xml:space="preserve">"haircut_pct"</w:t>
      </w:r>
      <w:r>
        <w:rPr>
          <w:rStyle w:val="FunctionTok"/>
        </w:rPr>
        <w:t xml:space="preserve">:</w:t>
      </w:r>
      <w:r>
        <w:rPr>
          <w:rStyle w:val="NormalTok"/>
        </w:rPr>
        <w:t xml:space="preserve"> </w:t>
      </w:r>
      <w:r>
        <w:rPr>
          <w:rStyle w:val="StringTok"/>
        </w:rPr>
        <w:t xml:space="preserve">"50.00"</w:t>
      </w:r>
      <w:r>
        <w:rPr>
          <w:rStyle w:val="FunctionTok"/>
        </w:rPr>
        <w:t xml:space="preserve">,</w:t>
      </w:r>
      <w:r>
        <w:rPr>
          <w:rStyle w:val="NormalTok"/>
        </w:rPr>
        <w:t xml:space="preserve"> </w:t>
      </w:r>
      <w:r>
        <w:rPr>
          <w:rStyle w:val="DataTypeTok"/>
        </w:rPr>
        <w:t xml:space="preserve">"eligible_value"</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StringTok"/>
        </w:rPr>
        <w:t xml:space="preserve">"918150.00"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"haircut_table_version"</w:t>
      </w:r>
      <w:r>
        <w:rPr>
          <w:rStyle w:val="FunctionTok"/>
        </w:rPr>
        <w:t xml:space="preserve">:</w:t>
      </w:r>
      <w:r>
        <w:rPr>
          <w:rStyle w:val="NormalTok"/>
        </w:rPr>
        <w:t xml:space="preserve"> </w:t>
      </w:r>
      <w:r>
        <w:rPr>
          <w:rStyle w:val="StringTok"/>
        </w:rPr>
        <w:t xml:space="preserve">"LAS-HC-2026.10.1"</w:t>
      </w:r>
      <w:r>
        <w:rPr>
          <w:rStyle w:val="FunctionTok"/>
        </w:rPr>
        <w:t xml:space="preserve">,</w:t>
      </w:r>
      <w:r>
        <w:rPr>
          <w:rStyle w:val="NormalTok"/>
        </w:rPr>
        <w:t xml:space="preserve"> </w:t>
      </w:r>
      <w:r>
        <w:rPr>
          <w:rStyle w:val="DataTypeTok"/>
        </w:rPr>
        <w:t xml:space="preserve">"regulatory_basis"</w:t>
      </w:r>
      <w:r>
        <w:rPr>
          <w:rStyle w:val="FunctionTok"/>
        </w:rPr>
        <w:t xml:space="preserve">:</w:t>
      </w:r>
      <w:r>
        <w:rPr>
          <w:rStyle w:val="NormalTok"/>
        </w:rPr>
        <w:t xml:space="preserve"> </w:t>
      </w:r>
      <w:r>
        <w:rPr>
          <w:rStyle w:val="StringTok"/>
        </w:rPr>
        <w:t xml:space="preserve">"CF para 106(1)"</w:t>
      </w:r>
      <w:r>
        <w:rPr>
          <w:rStyle w:val="FunctionTok"/>
        </w:rPr>
        <w:t xml:space="preserve">,</w:t>
      </w:r>
      <w:r>
        <w:br/>
      </w:r>
      <w:r>
        <w:rPr>
          <w:rStyle w:val="NormalTok"/>
        </w:rPr>
        <w:t xml:space="preserve">  </w:t>
      </w:r>
      <w:r>
        <w:rPr>
          <w:rStyle w:val="DataTypeTok"/>
        </w:rPr>
        <w:t xml:space="preserve">"confirmed_at"</w:t>
      </w:r>
      <w:r>
        <w:rPr>
          <w:rStyle w:val="FunctionTok"/>
        </w:rPr>
        <w:t xml:space="preserve">:</w:t>
      </w:r>
      <w:r>
        <w:rPr>
          <w:rStyle w:val="NormalTok"/>
        </w:rPr>
        <w:t xml:space="preserve"> </w:t>
      </w:r>
      <w:r>
        <w:rPr>
          <w:rStyle w:val="StringTok"/>
        </w:rPr>
        <w:t xml:space="preserve">"2026-10-19T15:07:58+05:30"</w:t>
      </w:r>
      <w:r>
        <w:rPr>
          <w:rStyle w:val="FunctionTok"/>
        </w:rPr>
        <w:t xml:space="preserve">,</w:t>
      </w:r>
      <w:r>
        <w:rPr>
          <w:rStyle w:val="NormalTok"/>
        </w:rPr>
        <w:t xml:space="preserve"> </w:t>
      </w:r>
      <w:r>
        <w:rPr>
          <w:rStyle w:val="DataTypeTok"/>
        </w:rPr>
        <w:t xml:space="preserve">"provider_evidence"</w:t>
      </w:r>
      <w:r>
        <w:rPr>
          <w:rStyle w:val="FunctionTok"/>
        </w:rPr>
        <w:t xml:space="preserve">:</w:t>
      </w:r>
      <w:r>
        <w:rPr>
          <w:rStyle w:val="NormalTok"/>
        </w:rPr>
        <w:t xml:space="preserve"> </w:t>
      </w:r>
      <w:r>
        <w:rPr>
          <w:rStyle w:val="FunctionTok"/>
        </w:rPr>
        <w:t xml:space="preserve">{</w:t>
      </w:r>
      <w:r>
        <w:rPr>
          <w:rStyle w:val="DataTypeTok"/>
        </w:rPr>
        <w:t xml:space="preserve">"provider_txn_id"</w:t>
      </w:r>
      <w:r>
        <w:rPr>
          <w:rStyle w:val="FunctionTok"/>
        </w:rPr>
        <w:t xml:space="preserve">:</w:t>
      </w:r>
      <w:r>
        <w:rPr>
          <w:rStyle w:val="NormalTok"/>
        </w:rPr>
        <w:t xml:space="preserve"> </w:t>
      </w:r>
      <w:r>
        <w:rPr>
          <w:rStyle w:val="StringTok"/>
        </w:rPr>
        <w:t xml:space="preserve">"CDSL-LAS-7781202"</w:t>
      </w:r>
      <w:r>
        <w:rPr>
          <w:rStyle w:val="FunctionTok"/>
        </w:rPr>
        <w:t xml:space="preserve">,</w:t>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"e3b0…b855"</w:t>
      </w:r>
      <w:r>
        <w:rPr>
          <w:rStyle w:val="FunctionTok"/>
        </w:rPr>
        <w:t xml:space="preserve">},</w:t>
      </w:r>
      <w:r>
        <w:br/>
      </w:r>
      <w:r>
        <w:rPr>
          <w:rStyle w:val="NormalTok"/>
        </w:rPr>
        <w:t xml:space="preserve">  </w:t>
      </w:r>
      <w:r>
        <w:rPr>
          <w:rStyle w:val="DataTypeTok"/>
        </w:rPr>
        <w:t xml:space="preserve">"disbursement_gate_satisfied"</w:t>
      </w:r>
      <w:r>
        <w:rPr>
          <w:rStyle w:val="FunctionTok"/>
        </w:rPr>
        <w:t xml:space="preserve">:</w:t>
      </w:r>
      <w:r>
        <w:rPr>
          <w:rStyle w:val="NormalTok"/>
        </w:rPr>
        <w:t xml:space="preserve"> </w:t>
      </w:r>
      <w:r>
        <w:rPr>
          <w:rStyle w:val="KeywordTok"/>
        </w:rPr>
        <w:t xml:space="preserve">true</w:t>
      </w:r>
      <w:r>
        <w:rPr>
          <w:rStyle w:val="FunctionTok"/>
        </w:rPr>
        <w:t xml:space="preserve">}}</w:t>
      </w:r>
    </w:p>
    <w:p>
      <w:pPr>
        <w:pStyle w:val="FirstParagraph"/>
      </w:pPr>
      <w:r>
        <w:rPr>
          <w:bCs/>
          <w:b/>
        </w:rPr>
        <w:t xml:space="preserve">A.3</w:t>
      </w:r>
      <w:r>
        <w:rPr>
          <w:bCs/>
          <w:b/>
        </w:rPr>
        <w:t xml:space="preserve"> </w:t>
      </w:r>
      <w:r>
        <w:rPr>
          <w:rStyle w:val="VerbatimChar"/>
          <w:bCs/>
          <w:b/>
        </w:rPr>
        <w:t xml:space="preserve">LegalNoticeIssued</w:t>
      </w:r>
      <w:r>
        <w:rPr>
          <w:bCs/>
          <w:b/>
        </w:rPr>
        <w:t xml:space="preserve"> </w:t>
      </w:r>
      <w:r>
        <w:rPr>
          <w:bCs/>
          <w:b/>
        </w:rPr>
        <w:t xml:space="preserve">(Recovery Suite → dispatch adapters)</w:t>
      </w:r>
    </w:p>
    <w:p>
      <w:pPr>
        <w:pStyle w:val="SourceCode"/>
      </w:pPr>
      <w:r>
        <w:rPr>
          <w:rStyle w:val="FunctionTok"/>
        </w:rPr>
        <w:t xml:space="preserve">{</w:t>
      </w:r>
      <w:r>
        <w:rPr>
          <w:rStyle w:val="DataTypeTok"/>
        </w:rPr>
        <w:t xml:space="preserv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"in.infrabyx.recovery.LegalNoticeIssued.v1"</w:t>
      </w:r>
      <w:r>
        <w:rPr>
          <w:rStyle w:val="FunctionTok"/>
        </w:rPr>
        <w:t xml:space="preserve">,</w:t>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"rc_01J9ZW1F4K7P"</w:t>
      </w:r>
      <w:r>
        <w:rPr>
          <w:rStyle w:val="FunctionTok"/>
        </w:rPr>
        <w:t xml:space="preserve">,</w:t>
      </w:r>
      <w:r>
        <w:rPr>
          <w:rStyle w:val="NormalTok"/>
        </w:rPr>
        <w:t xml:space="preserve"> </w:t>
      </w:r>
      <w:r>
        <w:rPr>
          <w:rStyle w:val="DataTypeTok"/>
        </w:rPr>
        <w:t xml:space="preserve">"productfamily"</w:t>
      </w:r>
      <w:r>
        <w:rPr>
          <w:rStyle w:val="FunctionTok"/>
        </w:rPr>
        <w:t xml:space="preserve">:</w:t>
      </w:r>
      <w:r>
        <w:rPr>
          <w:rStyle w:val="NormalTok"/>
        </w:rPr>
        <w:t xml:space="preserve"> </w:t>
      </w:r>
      <w:r>
        <w:rPr>
          <w:rStyle w:val="StringTok"/>
        </w:rPr>
        <w:t xml:space="preserve">"LAP"</w:t>
      </w:r>
      <w:r>
        <w:rPr>
          <w:rStyle w:val="FunctionTok"/>
        </w:rPr>
        <w:t xml:space="preserve">,</w:t>
      </w:r>
      <w:r>
        <w:br/>
      </w:r>
      <w:r>
        <w:rPr>
          <w:rStyle w:val="NormalTok"/>
        </w:rPr>
        <w:t xml:space="preserve"> </w:t>
      </w:r>
      <w:r>
        <w:rPr>
          <w:rStyle w:val="DataTypeTok"/>
        </w:rPr>
        <w:t xml:space="preserve">"legalbasis"</w:t>
      </w:r>
      <w:r>
        <w:rPr>
          <w:rStyle w:val="FunctionTok"/>
        </w:rPr>
        <w:t xml:space="preserve">:</w:t>
      </w:r>
      <w:r>
        <w:rPr>
          <w:rStyle w:val="NormalTok"/>
        </w:rPr>
        <w:t xml:space="preserve"> </w:t>
      </w:r>
      <w:r>
        <w:rPr>
          <w:rStyle w:val="StringTok"/>
        </w:rPr>
        <w:t xml:space="preserve">"LEGAL_CLAIM"</w:t>
      </w:r>
      <w:r>
        <w:rPr>
          <w:rStyle w:val="FunctionTok"/>
        </w:rPr>
        <w:t xml:space="preserve">,</w:t>
      </w:r>
      <w:r>
        <w:rPr>
          <w:rStyle w:val="NormalTok"/>
        </w:rPr>
        <w:t xml:space="preserve"> </w:t>
      </w:r>
      <w:r>
        <w:rPr>
          <w:rStyle w:val="DataTypeTok"/>
        </w:rPr>
        <w:t xml:space="preserve">"dataclass"</w:t>
      </w:r>
      <w:r>
        <w:rPr>
          <w:rStyle w:val="FunctionTok"/>
        </w:rPr>
        <w:t xml:space="preserve">:</w:t>
      </w:r>
      <w:r>
        <w:rPr>
          <w:rStyle w:val="NormalTok"/>
        </w:rPr>
        <w:t xml:space="preserve"> </w:t>
      </w:r>
      <w:r>
        <w:rPr>
          <w:rStyle w:val="StringTok"/>
        </w:rPr>
        <w:t xml:space="preserve">"LEGAL"</w:t>
      </w:r>
      <w:r>
        <w:rPr>
          <w:rStyle w:val="FunctionTok"/>
        </w:rPr>
        <w:t xml:space="preserve">,</w:t>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DataTypeTok"/>
        </w:rPr>
        <w:t xml:space="preserve">"notice_id"</w:t>
      </w:r>
      <w:r>
        <w:rPr>
          <w:rStyle w:val="FunctionTok"/>
        </w:rPr>
        <w:t xml:space="preserve">:</w:t>
      </w:r>
      <w:r>
        <w:rPr>
          <w:rStyle w:val="NormalTok"/>
        </w:rPr>
        <w:t xml:space="preserve"> </w:t>
      </w:r>
      <w:r>
        <w:rPr>
          <w:rStyle w:val="StringTok"/>
        </w:rPr>
        <w:t xml:space="preserve">"ntc_01J9ZW8Q2R5T"</w:t>
      </w:r>
      <w:r>
        <w:rPr>
          <w:rStyle w:val="FunctionTok"/>
        </w:rPr>
        <w:t xml:space="preserve">,</w:t>
      </w:r>
      <w:r>
        <w:rPr>
          <w:rStyle w:val="NormalTok"/>
        </w:rPr>
        <w:t xml:space="preserve"> </w:t>
      </w:r>
      <w:r>
        <w:rPr>
          <w:rStyle w:val="DataTypeTok"/>
        </w:rPr>
        <w:t xml:space="preserve">"instrument"</w:t>
      </w:r>
      <w:r>
        <w:rPr>
          <w:rStyle w:val="FunctionTok"/>
        </w:rPr>
        <w:t xml:space="preserve">:</w:t>
      </w:r>
      <w:r>
        <w:rPr>
          <w:rStyle w:val="NormalTok"/>
        </w:rPr>
        <w:t xml:space="preserve"> </w:t>
      </w:r>
      <w:r>
        <w:rPr>
          <w:rStyle w:val="StringTok"/>
        </w:rPr>
        <w:t xml:space="preserve">"S13_2"</w:t>
      </w:r>
      <w:r>
        <w:rPr>
          <w:rStyle w:val="FunctionTok"/>
        </w:rPr>
        <w:t xml:space="preserve">,</w:t>
      </w:r>
      <w:r>
        <w:br/>
      </w:r>
      <w:r>
        <w:rPr>
          <w:rStyle w:val="NormalTok"/>
        </w:rPr>
        <w:t xml:space="preserve">  </w:t>
      </w:r>
      <w:r>
        <w:rPr>
          <w:rStyle w:val="DataTypeTok"/>
        </w:rPr>
        <w:t xml:space="preserve">"statute_ref"</w:t>
      </w:r>
      <w:r>
        <w:rPr>
          <w:rStyle w:val="FunctionTok"/>
        </w:rPr>
        <w:t xml:space="preserve">:</w:t>
      </w:r>
      <w:r>
        <w:rPr>
          <w:rStyle w:val="NormalTok"/>
        </w:rPr>
        <w:t xml:space="preserve"> </w:t>
      </w:r>
      <w:r>
        <w:rPr>
          <w:rStyle w:val="StringTok"/>
        </w:rPr>
        <w:t xml:space="preserve">"SARFAESI Act s.13(2); Security Interest (Enforcement) Rules r.3"</w:t>
      </w:r>
      <w:r>
        <w:rPr>
          <w:rStyle w:val="FunctionTok"/>
        </w:rPr>
        <w:t xml:space="preserve">,</w:t>
      </w:r>
      <w:r>
        <w:br/>
      </w:r>
      <w:r>
        <w:rPr>
          <w:rStyle w:val="NormalTok"/>
        </w:rPr>
        <w:t xml:space="preserve">  </w:t>
      </w:r>
      <w:r>
        <w:rPr>
          <w:rStyle w:val="DataTypeTok"/>
        </w:rPr>
        <w:t xml:space="preserve">"eligibility_checks"</w:t>
      </w:r>
      <w:r>
        <w:rPr>
          <w:rStyle w:val="FunctionTok"/>
        </w:rPr>
        <w:t xml:space="preserve">:</w:t>
      </w:r>
      <w:r>
        <w:rPr>
          <w:rStyle w:val="NormalTok"/>
        </w:rPr>
        <w:t xml:space="preserve"> </w:t>
      </w:r>
      <w:r>
        <w:rPr>
          <w:rStyle w:val="FunctionTok"/>
        </w:rPr>
        <w:t xml:space="preserve">{</w:t>
      </w:r>
      <w:r>
        <w:rPr>
          <w:rStyle w:val="DataTypeTok"/>
        </w:rPr>
        <w:t xml:space="preserve">"sarfaesi_notified"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"cersai_ref"</w:t>
      </w:r>
      <w:r>
        <w:rPr>
          <w:rStyle w:val="FunctionTok"/>
        </w:rPr>
        <w:t xml:space="preserve">:</w:t>
      </w:r>
      <w:r>
        <w:rPr>
          <w:rStyle w:val="NormalTok"/>
        </w:rPr>
        <w:t xml:space="preserve"> </w:t>
      </w:r>
      <w:r>
        <w:rPr>
          <w:rStyle w:val="StringTok"/>
        </w:rPr>
        <w:t xml:space="preserve">"CERSAI-SI-400012345678"</w:t>
      </w:r>
      <w:r>
        <w:rPr>
          <w:rStyle w:val="FunctionTok"/>
        </w:rPr>
        <w:t xml:space="preserve">,</w:t>
      </w:r>
      <w:r>
        <w:rPr>
          <w:rStyle w:val="NormalTok"/>
        </w:rPr>
        <w:t xml:space="preserve"> </w:t>
      </w:r>
      <w:r>
        <w:rPr>
          <w:rStyle w:val="DataTypeTok"/>
        </w:rPr>
        <w:t xml:space="preserve">"time_barred"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FunctionTok"/>
        </w:rPr>
        <w:t xml:space="preserve">{</w:t>
      </w:r>
      <w:r>
        <w:rPr>
          <w:rStyle w:val="DataTypeTok"/>
        </w:rPr>
        <w:t xml:space="preserve">"template_id"</w:t>
      </w:r>
      <w:r>
        <w:rPr>
          <w:rStyle w:val="FunctionTok"/>
        </w:rPr>
        <w:t xml:space="preserve">:</w:t>
      </w:r>
      <w:r>
        <w:rPr>
          <w:rStyle w:val="NormalTok"/>
        </w:rPr>
        <w:t xml:space="preserve"> </w:t>
      </w:r>
      <w:r>
        <w:rPr>
          <w:rStyle w:val="StringTok"/>
        </w:rPr>
        <w:t xml:space="preserve">"tpl_s13_2"</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"3.1.0"</w:t>
      </w:r>
      <w:r>
        <w:rPr>
          <w:rStyle w:val="FunctionTok"/>
        </w:rPr>
        <w:t xml:space="preserve">},</w:t>
      </w:r>
      <w:r>
        <w:br/>
      </w:r>
      <w:r>
        <w:rPr>
          <w:rStyle w:val="NormalTok"/>
        </w:rPr>
        <w:t xml:space="preserve">  </w:t>
      </w:r>
      <w:r>
        <w:rPr>
          <w:rStyle w:val="DataTypeTok"/>
        </w:rPr>
        <w:t xml:space="preserve">"addressees"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"party_ref"</w:t>
      </w:r>
      <w:r>
        <w:rPr>
          <w:rStyle w:val="FunctionTok"/>
        </w:rPr>
        <w:t xml:space="preserve">:</w:t>
      </w:r>
      <w:r>
        <w:rPr>
          <w:rStyle w:val="NormalTok"/>
        </w:rPr>
        <w:t xml:space="preserve"> </w:t>
      </w:r>
      <w:r>
        <w:rPr>
          <w:rStyle w:val="StringTok"/>
        </w:rPr>
        <w:t xml:space="preserve">"pty_fx_01J7MORTGAGOR"</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"BORROWER"</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"dues_snapshot"</w:t>
      </w:r>
      <w:r>
        <w:rPr>
          <w:rStyle w:val="FunctionTok"/>
        </w:rPr>
        <w:t xml:space="preserve">:</w:t>
      </w:r>
      <w:r>
        <w:rPr>
          <w:rStyle w:val="NormalTok"/>
        </w:rPr>
        <w:t xml:space="preserve"> </w:t>
      </w:r>
      <w:r>
        <w:rPr>
          <w:rStyle w:val="FunctionTok"/>
        </w:rPr>
        <w:t xml:space="preserve">{</w:t>
      </w:r>
      <w:r>
        <w:rPr>
          <w:rStyle w:val="DataTypeTok"/>
        </w:rPr>
        <w:t xml:space="preserve">"as_of"</w:t>
      </w:r>
      <w:r>
        <w:rPr>
          <w:rStyle w:val="FunctionTok"/>
        </w:rPr>
        <w:t xml:space="preserve">:</w:t>
      </w:r>
      <w:r>
        <w:rPr>
          <w:rStyle w:val="NormalTok"/>
        </w:rPr>
        <w:t xml:space="preserve"> </w:t>
      </w:r>
      <w:r>
        <w:rPr>
          <w:rStyle w:val="StringTok"/>
        </w:rPr>
        <w:t xml:space="preserve">"2026-10-19"</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StringTok"/>
        </w:rPr>
        <w:t xml:space="preserve">"3710810.40"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rPr>
          <w:rStyle w:val="FunctionTok"/>
        </w:rPr>
        <w:t xml:space="preserve">}},</w:t>
      </w:r>
      <w:r>
        <w:rPr>
          <w:rStyle w:val="NormalTok"/>
        </w:rPr>
        <w:t xml:space="preserve"> </w:t>
      </w:r>
      <w:r>
        <w:rPr>
          <w:rStyle w:val="DataTypeTok"/>
        </w:rPr>
        <w:t xml:space="preserve">"cure_period_days"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"document"</w:t>
      </w:r>
      <w:r>
        <w:rPr>
          <w:rStyle w:val="FunctionTok"/>
        </w:rPr>
        <w:t xml:space="preserve">:</w:t>
      </w:r>
      <w:r>
        <w:rPr>
          <w:rStyle w:val="NormalTok"/>
        </w:rPr>
        <w:t xml:space="preserve"> </w:t>
      </w:r>
      <w:r>
        <w:rPr>
          <w:rStyle w:val="FunctionTok"/>
        </w:rPr>
        <w:t xml:space="preserve">{</w:t>
      </w:r>
      <w:r>
        <w:rPr>
          <w:rStyle w:val="DataTypeTok"/>
        </w:rPr>
        <w:t xml:space="preserve">"document_id"</w:t>
      </w:r>
      <w:r>
        <w:rPr>
          <w:rStyle w:val="FunctionTok"/>
        </w:rPr>
        <w:t xml:space="preserve">:</w:t>
      </w:r>
      <w:r>
        <w:rPr>
          <w:rStyle w:val="NormalTok"/>
        </w:rPr>
        <w:t xml:space="preserve"> </w:t>
      </w:r>
      <w:r>
        <w:rPr>
          <w:rStyle w:val="StringTok"/>
        </w:rPr>
        <w:t xml:space="preserve">"doc_01J9ZW8Z0Y"</w:t>
      </w:r>
      <w:r>
        <w:rPr>
          <w:rStyle w:val="FunctionTok"/>
        </w:rPr>
        <w:t xml:space="preserve">,</w:t>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"4f2a…4f6a"</w:t>
      </w:r>
      <w:r>
        <w:rPr>
          <w:rStyle w:val="FunctionTok"/>
        </w:rPr>
        <w:t xml:space="preserve">,</w:t>
      </w:r>
      <w:r>
        <w:rPr>
          <w:rStyle w:val="NormalTok"/>
        </w:rPr>
        <w:t xml:space="preserve"> </w:t>
      </w:r>
      <w:r>
        <w:rPr>
          <w:rStyle w:val="DataTypeTok"/>
        </w:rPr>
        <w:t xml:space="preserve">"pdfa"</w:t>
      </w:r>
      <w:r>
        <w:rPr>
          <w:rStyle w:val="FunctionTok"/>
        </w:rPr>
        <w:t xml:space="preserve">:</w:t>
      </w:r>
      <w:r>
        <w:rPr>
          <w:rStyle w:val="NormalTok"/>
        </w:rPr>
        <w:t xml:space="preserve"> </w:t>
      </w:r>
      <w:r>
        <w:rPr>
          <w:rStyle w:val="StringTok"/>
        </w:rPr>
        <w:t xml:space="preserve">"PDF/A-2b"</w:t>
      </w:r>
      <w:r>
        <w:rPr>
          <w:rStyle w:val="FunctionTok"/>
        </w:rPr>
        <w:t xml:space="preserve">},</w:t>
      </w:r>
      <w:r>
        <w:br/>
      </w:r>
      <w:r>
        <w:rPr>
          <w:rStyle w:val="NormalTok"/>
        </w:rPr>
        <w:t xml:space="preserve">  </w:t>
      </w:r>
      <w:r>
        <w:rPr>
          <w:rStyle w:val="DataTypeTok"/>
        </w:rPr>
        <w:t xml:space="preserve">"signer"</w:t>
      </w:r>
      <w:r>
        <w:rPr>
          <w:rStyle w:val="FunctionTok"/>
        </w:rPr>
        <w:t xml:space="preserve">:</w:t>
      </w:r>
      <w:r>
        <w:rPr>
          <w:rStyle w:val="NormalTok"/>
        </w:rPr>
        <w:t xml:space="preserve"> </w:t>
      </w:r>
      <w:r>
        <w:rPr>
          <w:rStyle w:val="FunctionTok"/>
        </w:rPr>
        <w:t xml:space="preserve">{</w:t>
      </w:r>
      <w:r>
        <w:rPr>
          <w:rStyle w:val="DataTypeTok"/>
        </w:rPr>
        <w:t xml:space="preserve">"role"</w:t>
      </w:r>
      <w:r>
        <w:rPr>
          <w:rStyle w:val="FunctionTok"/>
        </w:rPr>
        <w:t xml:space="preserve">:</w:t>
      </w:r>
      <w:r>
        <w:rPr>
          <w:rStyle w:val="NormalTok"/>
        </w:rPr>
        <w:t xml:space="preserve"> </w:t>
      </w:r>
      <w:r>
        <w:rPr>
          <w:rStyle w:val="StringTok"/>
        </w:rPr>
        <w:t xml:space="preserve">"AUTHORISED_OFFICER"</w:t>
      </w:r>
      <w:r>
        <w:rPr>
          <w:rStyle w:val="FunctionTok"/>
        </w:rPr>
        <w:t xml:space="preserve">,</w:t>
      </w:r>
      <w:r>
        <w:rPr>
          <w:rStyle w:val="NormalTok"/>
        </w:rPr>
        <w:t xml:space="preserve"> </w:t>
      </w:r>
      <w:r>
        <w:rPr>
          <w:rStyle w:val="DataTypeTok"/>
        </w:rPr>
        <w:t xml:space="preserve">"signature_type"</w:t>
      </w:r>
      <w:r>
        <w:rPr>
          <w:rStyle w:val="FunctionTok"/>
        </w:rPr>
        <w:t xml:space="preserve">:</w:t>
      </w:r>
      <w:r>
        <w:rPr>
          <w:rStyle w:val="NormalTok"/>
        </w:rPr>
        <w:t xml:space="preserve"> </w:t>
      </w:r>
      <w:r>
        <w:rPr>
          <w:rStyle w:val="StringTok"/>
        </w:rPr>
        <w:t xml:space="preserve">"DSC"</w:t>
      </w:r>
      <w:r>
        <w:rPr>
          <w:rStyle w:val="FunctionTok"/>
        </w:rPr>
        <w:t xml:space="preserve">},</w:t>
      </w:r>
      <w:r>
        <w:rPr>
          <w:rStyle w:val="NormalTok"/>
        </w:rPr>
        <w:t xml:space="preserve"> </w:t>
      </w:r>
      <w:r>
        <w:rPr>
          <w:rStyle w:val="DataTypeTok"/>
        </w:rPr>
        <w:t xml:space="preserve">"dispatch_modes"</w:t>
      </w:r>
      <w:r>
        <w:rPr>
          <w:rStyle w:val="FunctionTok"/>
        </w:rPr>
        <w:t xml:space="preserve">:</w:t>
      </w:r>
      <w:r>
        <w:rPr>
          <w:rStyle w:val="NormalTok"/>
        </w:rPr>
        <w:t xml:space="preserve"> </w:t>
      </w:r>
      <w:r>
        <w:rPr>
          <w:rStyle w:val="OtherTok"/>
        </w:rPr>
        <w:t xml:space="preserve">[</w:t>
      </w:r>
      <w:r>
        <w:rPr>
          <w:rStyle w:val="StringTok"/>
        </w:rPr>
        <w:t xml:space="preserve">"SPEED_POST_POD"</w:t>
      </w:r>
      <w:r>
        <w:rPr>
          <w:rStyle w:val="OtherTok"/>
        </w:rPr>
        <w:t xml:space="preserve">,</w:t>
      </w:r>
      <w:r>
        <w:rPr>
          <w:rStyle w:val="NormalTok"/>
        </w:rPr>
        <w:t xml:space="preserve"> </w:t>
      </w:r>
      <w:r>
        <w:rPr>
          <w:rStyle w:val="StringTok"/>
        </w:rPr>
        <w:t xml:space="preserve">"COURIER"</w:t>
      </w:r>
      <w:r>
        <w:rPr>
          <w:rStyle w:val="OtherTok"/>
        </w:rPr>
        <w:t xml:space="preserve">,</w:t>
      </w:r>
      <w:r>
        <w:rPr>
          <w:rStyle w:val="NormalTok"/>
        </w:rPr>
        <w:t xml:space="preserve"> </w:t>
      </w:r>
      <w:r>
        <w:rPr>
          <w:rStyle w:val="StringTok"/>
        </w:rPr>
        <w:t xml:space="preserve">"EMAIL"</w:t>
      </w:r>
      <w:r>
        <w:rPr>
          <w:rStyle w:val="OtherTok"/>
        </w:rPr>
        <w:t xml:space="preserve">]</w:t>
      </w:r>
      <w:r>
        <w:rPr>
          <w:rStyle w:val="FunctionTok"/>
        </w:rPr>
        <w:t xml:space="preserve">}}</w:t>
      </w:r>
    </w:p>
    <w:p>
      <w:pPr>
        <w:pStyle w:val="FirstParagraph"/>
      </w:pPr>
      <w:r>
        <w:rPr>
          <w:bCs/>
          <w:b/>
        </w:rPr>
        <w:t xml:space="preserve">A.4</w:t>
      </w:r>
      <w:r>
        <w:rPr>
          <w:bCs/>
          <w:b/>
        </w:rPr>
        <w:t xml:space="preserve"> </w:t>
      </w:r>
      <w:r>
        <w:rPr>
          <w:rStyle w:val="VerbatimChar"/>
          <w:bCs/>
          <w:b/>
        </w:rPr>
        <w:t xml:space="preserve">ADRReferralCreated</w:t>
      </w:r>
      <w:r>
        <w:rPr>
          <w:bCs/>
          <w:b/>
        </w:rPr>
        <w:t xml:space="preserve"> </w:t>
      </w:r>
      <w:r>
        <w:rPr>
          <w:bCs/>
          <w:b/>
        </w:rPr>
        <w:t xml:space="preserve">(Recovery Suite → Equator)</w:t>
      </w:r>
    </w:p>
    <w:p>
      <w:pPr>
        <w:pStyle w:val="SourceCode"/>
      </w:pPr>
      <w:r>
        <w:rPr>
          <w:rStyle w:val="FunctionTok"/>
        </w:rPr>
        <w:t xml:space="preserve">{</w:t>
      </w:r>
      <w:r>
        <w:rPr>
          <w:rStyle w:val="DataTypeTok"/>
        </w:rPr>
        <w:t xml:space="preserv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"in.infrabyx.adr.ADRReferralCreated.v1"</w:t>
      </w:r>
      <w:r>
        <w:rPr>
          <w:rStyle w:val="FunctionTok"/>
        </w:rPr>
        <w:t xml:space="preserve">,</w:t>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"adrref_01J9ZX4M8N2Q"</w:t>
      </w:r>
      <w:r>
        <w:rPr>
          <w:rStyle w:val="FunctionTok"/>
        </w:rPr>
        <w:t xml:space="preserve">,</w:t>
      </w:r>
      <w:r>
        <w:rPr>
          <w:rStyle w:val="NormalTok"/>
        </w:rPr>
        <w:t xml:space="preserve"> </w:t>
      </w:r>
      <w:r>
        <w:rPr>
          <w:rStyle w:val="DataTypeTok"/>
        </w:rPr>
        <w:t xml:space="preserve">"productfamily"</w:t>
      </w:r>
      <w:r>
        <w:rPr>
          <w:rStyle w:val="FunctionTok"/>
        </w:rPr>
        <w:t xml:space="preserve">:</w:t>
      </w:r>
      <w:r>
        <w:rPr>
          <w:rStyle w:val="NormalTok"/>
        </w:rPr>
        <w:t xml:space="preserve"> </w:t>
      </w:r>
      <w:r>
        <w:rPr>
          <w:rStyle w:val="StringTok"/>
        </w:rPr>
        <w:t xml:space="preserve">"PL"</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"rc_01J9ZX0A1B2C"</w:t>
      </w:r>
      <w:r>
        <w:rPr>
          <w:rStyle w:val="FunctionTok"/>
        </w:rPr>
        <w:t xml:space="preserve">,</w:t>
      </w:r>
      <w:r>
        <w:rPr>
          <w:rStyle w:val="NormalTok"/>
        </w:rPr>
        <w:t xml:space="preserve"> </w:t>
      </w:r>
      <w:r>
        <w:rPr>
          <w:rStyle w:val="DataTypeTok"/>
        </w:rPr>
        <w:t xml:space="preserve">"legalbasis"</w:t>
      </w:r>
      <w:r>
        <w:rPr>
          <w:rStyle w:val="FunctionTok"/>
        </w:rPr>
        <w:t xml:space="preserve">:</w:t>
      </w:r>
      <w:r>
        <w:rPr>
          <w:rStyle w:val="NormalTok"/>
        </w:rPr>
        <w:t xml:space="preserve"> </w:t>
      </w:r>
      <w:r>
        <w:rPr>
          <w:rStyle w:val="StringTok"/>
        </w:rPr>
        <w:t xml:space="preserve">"LEGAL_CLAIM"</w:t>
      </w:r>
      <w:r>
        <w:rPr>
          <w:rStyle w:val="FunctionTok"/>
        </w:rPr>
        <w:t xml:space="preserve">,</w:t>
      </w:r>
      <w:r>
        <w:rPr>
          <w:rStyle w:val="NormalTok"/>
        </w:rPr>
        <w:t xml:space="preserve"> </w:t>
      </w:r>
      <w:r>
        <w:rPr>
          <w:rStyle w:val="DataTypeTok"/>
        </w:rPr>
        <w:t xml:space="preserve">"dataclass"</w:t>
      </w:r>
      <w:r>
        <w:rPr>
          <w:rStyle w:val="FunctionTok"/>
        </w:rPr>
        <w:t xml:space="preserve">:</w:t>
      </w:r>
      <w:r>
        <w:rPr>
          <w:rStyle w:val="NormalTok"/>
        </w:rPr>
        <w:t xml:space="preserve"> </w:t>
      </w:r>
      <w:r>
        <w:rPr>
          <w:rStyle w:val="StringTok"/>
        </w:rPr>
        <w:t xml:space="preserve">"LEGAL"</w:t>
      </w:r>
      <w:r>
        <w:rPr>
          <w:rStyle w:val="FunctionTok"/>
        </w:rPr>
        <w:t xml:space="preserve">,</w:t>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DataTypeTok"/>
        </w:rPr>
        <w:t xml:space="preserve">"provider"</w:t>
      </w:r>
      <w:r>
        <w:rPr>
          <w:rStyle w:val="FunctionTok"/>
        </w:rPr>
        <w:t xml:space="preserve">:</w:t>
      </w:r>
      <w:r>
        <w:rPr>
          <w:rStyle w:val="NormalTok"/>
        </w:rPr>
        <w:t xml:space="preserve"> </w:t>
      </w:r>
      <w:r>
        <w:rPr>
          <w:rStyle w:val="StringTok"/>
        </w:rPr>
        <w:t xml:space="preserve">"EQUATOR"</w:t>
      </w:r>
      <w:r>
        <w:rPr>
          <w:rStyle w:val="FunctionTok"/>
        </w:rPr>
        <w:t xml:space="preserve">,</w:t>
      </w:r>
      <w:r>
        <w:rPr>
          <w:rStyle w:val="NormalTok"/>
        </w:rPr>
        <w:t xml:space="preserve"> </w:t>
      </w:r>
      <w:r>
        <w:rPr>
          <w:rStyle w:val="DataTypeTok"/>
        </w:rPr>
        <w:t xml:space="preserve">"process"</w:t>
      </w:r>
      <w:r>
        <w:rPr>
          <w:rStyle w:val="FunctionTok"/>
        </w:rPr>
        <w:t xml:space="preserve">:</w:t>
      </w:r>
      <w:r>
        <w:rPr>
          <w:rStyle w:val="NormalTok"/>
        </w:rPr>
        <w:t xml:space="preserve"> </w:t>
      </w:r>
      <w:r>
        <w:rPr>
          <w:rStyle w:val="StringTok"/>
        </w:rPr>
        <w:t xml:space="preserve">"CONCILIATION"</w:t>
      </w:r>
      <w:r>
        <w:rPr>
          <w:rStyle w:val="FunctionTok"/>
        </w:rPr>
        <w:t xml:space="preserve">,</w:t>
      </w:r>
      <w:r>
        <w:rPr>
          <w:rStyle w:val="NormalTok"/>
        </w:rPr>
        <w:t xml:space="preserve"> </w:t>
      </w:r>
      <w:r>
        <w:rPr>
          <w:rStyle w:val="DataTypeTok"/>
        </w:rPr>
        <w:t xml:space="preserve">"basis"</w:t>
      </w:r>
      <w:r>
        <w:rPr>
          <w:rStyle w:val="FunctionTok"/>
        </w:rPr>
        <w:t xml:space="preserve">:</w:t>
      </w:r>
      <w:r>
        <w:rPr>
          <w:rStyle w:val="NormalTok"/>
        </w:rPr>
        <w:t xml:space="preserve"> </w:t>
      </w:r>
      <w:r>
        <w:rPr>
          <w:rStyle w:val="StringTok"/>
        </w:rPr>
        <w:t xml:space="preserve">"CONCILIATION_INVITATION"</w:t>
      </w:r>
      <w:r>
        <w:rPr>
          <w:rStyle w:val="FunctionTok"/>
        </w:rPr>
        <w:t xml:space="preserve">,</w:t>
      </w:r>
      <w:r>
        <w:br/>
      </w:r>
      <w:r>
        <w:rPr>
          <w:rStyle w:val="NormalTok"/>
        </w:rPr>
        <w:t xml:space="preserve">  </w:t>
      </w:r>
      <w:r>
        <w:rPr>
          <w:rStyle w:val="DataTypeTok"/>
        </w:rPr>
        <w:t xml:space="preserve">"clause"</w:t>
      </w:r>
      <w:r>
        <w:rPr>
          <w:rStyle w:val="FunctionTok"/>
        </w:rPr>
        <w:t xml:space="preserve">:</w:t>
      </w:r>
      <w:r>
        <w:rPr>
          <w:rStyle w:val="NormalTok"/>
        </w:rPr>
        <w:t xml:space="preserve"> </w:t>
      </w:r>
      <w:r>
        <w:rPr>
          <w:rStyle w:val="FunctionTok"/>
        </w:rPr>
        <w:t xml:space="preserve">{</w:t>
      </w:r>
      <w:r>
        <w:rPr>
          <w:rStyle w:val="DataTypeTok"/>
        </w:rPr>
        <w:t xml:space="preserve">"names_institution"</w:t>
      </w:r>
      <w:r>
        <w:rPr>
          <w:rStyle w:val="FunctionTok"/>
        </w:rPr>
        <w:t xml:space="preserve">:</w:t>
      </w:r>
      <w:r>
        <w:rPr>
          <w:rStyle w:val="NormalTok"/>
        </w:rPr>
        <w:t xml:space="preserve"> </w:t>
      </w:r>
      <w:r>
        <w:rPr>
          <w:rStyle w:val="StringTok"/>
        </w:rPr>
        <w:t xml:space="preserve">"EQUATOR"</w:t>
      </w:r>
      <w:r>
        <w:rPr>
          <w:rStyle w:val="FunctionTok"/>
        </w:rPr>
        <w:t xml:space="preserve">,</w:t>
      </w:r>
      <w:r>
        <w:rPr>
          <w:rStyle w:val="NormalTok"/>
        </w:rPr>
        <w:t xml:space="preserve"> </w:t>
      </w:r>
      <w:r>
        <w:rPr>
          <w:rStyle w:val="DataTypeTok"/>
        </w:rPr>
        <w:t xml:space="preserve">"clause_ref"</w:t>
      </w:r>
      <w:r>
        <w:rPr>
          <w:rStyle w:val="FunctionTok"/>
        </w:rPr>
        <w:t xml:space="preserve">:</w:t>
      </w:r>
      <w:r>
        <w:rPr>
          <w:rStyle w:val="NormalTok"/>
        </w:rPr>
        <w:t xml:space="preserve"> </w:t>
      </w:r>
      <w:r>
        <w:rPr>
          <w:rStyle w:val="StringTok"/>
        </w:rPr>
        <w:t xml:space="preserve">"LA-PL-2025-v4 cl.21"</w:t>
      </w:r>
      <w:r>
        <w:rPr>
          <w:rStyle w:val="FunctionTok"/>
        </w:rPr>
        <w:t xml:space="preserve">,</w:t>
      </w:r>
      <w:r>
        <w:rPr>
          <w:rStyle w:val="NormalTok"/>
        </w:rPr>
        <w:t xml:space="preserve"> </w:t>
      </w:r>
      <w:r>
        <w:rPr>
          <w:rStyle w:val="DataTypeTok"/>
        </w:rPr>
        <w:t xml:space="preserve">"stamp_certificate"</w:t>
      </w:r>
      <w:r>
        <w:rPr>
          <w:rStyle w:val="FunctionTok"/>
        </w:rPr>
        <w:t xml:space="preserve">:</w:t>
      </w:r>
      <w:r>
        <w:rPr>
          <w:rStyle w:val="NormalTok"/>
        </w:rPr>
        <w:t xml:space="preserve"> </w:t>
      </w:r>
      <w:r>
        <w:rPr>
          <w:rStyle w:val="StringTok"/>
        </w:rPr>
        <w:t xml:space="preserve">"IN-DL-2025-0091812"</w:t>
      </w:r>
      <w:r>
        <w:rPr>
          <w:rStyle w:val="FunctionTok"/>
        </w:rPr>
        <w:t xml:space="preserve">},</w:t>
      </w:r>
      <w:r>
        <w:br/>
      </w:r>
      <w:r>
        <w:rPr>
          <w:rStyle w:val="NormalTok"/>
        </w:rPr>
        <w:t xml:space="preserve">  </w:t>
      </w:r>
      <w:r>
        <w:rPr>
          <w:rStyle w:val="DataTypeTok"/>
        </w:rPr>
        <w:t xml:space="preserve">"gate_result"</w:t>
      </w:r>
      <w:r>
        <w:rPr>
          <w:rStyle w:val="FunctionTok"/>
        </w:rPr>
        <w:t xml:space="preserve">:</w:t>
      </w:r>
      <w:r>
        <w:rPr>
          <w:rStyle w:val="NormalTok"/>
        </w:rPr>
        <w:t xml:space="preserve"> </w:t>
      </w:r>
      <w:r>
        <w:rPr>
          <w:rStyle w:val="FunctionTok"/>
        </w:rPr>
        <w:t xml:space="preserve">{</w:t>
      </w:r>
      <w:r>
        <w:rPr>
          <w:rStyle w:val="DataTypeTok"/>
        </w:rPr>
        <w:t xml:space="preserve">"rule_version"</w:t>
      </w:r>
      <w:r>
        <w:rPr>
          <w:rStyle w:val="FunctionTok"/>
        </w:rPr>
        <w:t xml:space="preserve">:</w:t>
      </w:r>
      <w:r>
        <w:rPr>
          <w:rStyle w:val="NormalTok"/>
        </w:rPr>
        <w:t xml:space="preserve"> </w:t>
      </w:r>
      <w:r>
        <w:rPr>
          <w:rStyle w:val="StringTok"/>
        </w:rPr>
        <w:t xml:space="preserve">"ADR-GATES-2026.10"</w:t>
      </w:r>
      <w:r>
        <w:rPr>
          <w:rStyle w:val="FunctionTok"/>
        </w:rPr>
        <w:t xml:space="preserve">,</w:t>
      </w:r>
      <w:r>
        <w:rPr>
          <w:rStyle w:val="NormalTok"/>
        </w:rPr>
        <w:t xml:space="preserve"> </w:t>
      </w:r>
      <w:r>
        <w:rPr>
          <w:rStyle w:val="DataTypeTok"/>
        </w:rPr>
        <w:t xml:space="preserve">"blocked"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FunctionTok"/>
        </w:rPr>
        <w:t xml:space="preserve">{</w:t>
      </w:r>
      <w:r>
        <w:rPr>
          <w:rStyle w:val="DataTypeTok"/>
        </w:rPr>
        <w:t xml:space="preserve">"as_of"</w:t>
      </w:r>
      <w:r>
        <w:rPr>
          <w:rStyle w:val="FunctionTok"/>
        </w:rPr>
        <w:t xml:space="preserve">:</w:t>
      </w:r>
      <w:r>
        <w:rPr>
          <w:rStyle w:val="NormalTok"/>
        </w:rPr>
        <w:t xml:space="preserve"> </w:t>
      </w:r>
      <w:r>
        <w:rPr>
          <w:rStyle w:val="StringTok"/>
        </w:rPr>
        <w:t xml:space="preserve">"2026-10-19"</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StringTok"/>
        </w:rPr>
        <w:t xml:space="preserve">"158711.55"</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rPr>
          <w:rStyle w:val="FunctionTok"/>
        </w:rPr>
        <w:t xml:space="preserve">}},</w:t>
      </w:r>
      <w:r>
        <w:br/>
      </w:r>
      <w:r>
        <w:rPr>
          <w:rStyle w:val="NormalTok"/>
        </w:rPr>
        <w:t xml:space="preserve">  </w:t>
      </w:r>
      <w:r>
        <w:rPr>
          <w:rStyle w:val="DataTypeTok"/>
        </w:rPr>
        <w:t xml:space="preserve">"parties"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"party_ref"</w:t>
      </w:r>
      <w:r>
        <w:rPr>
          <w:rStyle w:val="FunctionTok"/>
        </w:rPr>
        <w:t xml:space="preserve">:</w:t>
      </w:r>
      <w:r>
        <w:rPr>
          <w:rStyle w:val="NormalTok"/>
        </w:rPr>
        <w:t xml:space="preserve"> </w:t>
      </w:r>
      <w:r>
        <w:rPr>
          <w:rStyle w:val="StringTok"/>
        </w:rPr>
        <w:t xml:space="preserve">"pty_fx_eq_01J9ZX5P"</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"RESPONDENT"</w:t>
      </w:r>
      <w:r>
        <w:rPr>
          <w:rStyle w:val="FunctionTok"/>
        </w:rPr>
        <w:t xml:space="preserve">,</w:t>
      </w:r>
      <w:r>
        <w:rPr>
          <w:rStyle w:val="NormalTok"/>
        </w:rPr>
        <w:t xml:space="preserve"> </w:t>
      </w:r>
      <w:r>
        <w:rPr>
          <w:rStyle w:val="DataTypeTok"/>
        </w:rPr>
        <w:t xml:space="preserve">"contact_tokens"</w:t>
      </w:r>
      <w:r>
        <w:rPr>
          <w:rStyle w:val="FunctionTok"/>
        </w:rPr>
        <w:t xml:space="preserve">:</w:t>
      </w:r>
      <w:r>
        <w:rPr>
          <w:rStyle w:val="NormalTok"/>
        </w:rPr>
        <w:t xml:space="preserve"> </w:t>
      </w:r>
      <w:r>
        <w:rPr>
          <w:rStyle w:val="OtherTok"/>
        </w:rPr>
        <w:t xml:space="preserve">[</w:t>
      </w:r>
      <w:r>
        <w:rPr>
          <w:rStyle w:val="StringTok"/>
        </w:rPr>
        <w:t xml:space="preserve">"tok_mob_19ab"</w:t>
      </w:r>
      <w:r>
        <w:rPr>
          <w:rStyle w:val="OtherTok"/>
        </w:rPr>
        <w:t xml:space="preserve">,</w:t>
      </w:r>
      <w:r>
        <w:rPr>
          <w:rStyle w:val="NormalTok"/>
        </w:rPr>
        <w:t xml:space="preserve"> </w:t>
      </w:r>
      <w:r>
        <w:rPr>
          <w:rStyle w:val="StringTok"/>
        </w:rPr>
        <w:t xml:space="preserve">"tok_eml_77cd"</w:t>
      </w:r>
      <w:r>
        <w:rPr>
          <w:rStyle w:val="OtherTok"/>
        </w:rPr>
        <w:t xml:space="preserve">]</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"referral_pack"</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"LOAN_AGREEMENT"</w:t>
      </w:r>
      <w:r>
        <w:rPr>
          <w:rStyle w:val="FunctionTok"/>
        </w:rPr>
        <w:t xml:space="preserve">,</w:t>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"doc_01J5LA0001"</w:t>
      </w:r>
      <w:r>
        <w:rPr>
          <w:rStyle w:val="FunctionTok"/>
        </w:rPr>
        <w:t xml:space="preserve">,</w:t>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"aa11…dd66"</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"settlement_mandate_ref"</w:t>
      </w:r>
      <w:r>
        <w:rPr>
          <w:rStyle w:val="FunctionTok"/>
        </w:rPr>
        <w:t xml:space="preserve">:</w:t>
      </w:r>
      <w:r>
        <w:rPr>
          <w:rStyle w:val="NormalTok"/>
        </w:rPr>
        <w:t xml:space="preserve"> </w:t>
      </w:r>
      <w:r>
        <w:rPr>
          <w:rStyle w:val="StringTok"/>
        </w:rPr>
        <w:t xml:space="preserve">"mdt_01J9ZX4SEAL"</w:t>
      </w:r>
      <w:r>
        <w:rPr>
          <w:rStyle w:val="FunctionTok"/>
        </w:rPr>
        <w:t xml:space="preserve">,</w:t>
      </w:r>
      <w:r>
        <w:rPr>
          <w:rStyle w:val="NormalTok"/>
        </w:rPr>
        <w:t xml:space="preserve"> </w:t>
      </w:r>
      <w:r>
        <w:rPr>
          <w:rStyle w:val="DataTypeTok"/>
        </w:rPr>
        <w:t xml:space="preserve">"udofin_presentation_permitted"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"approval_ref"</w:t>
      </w:r>
      <w:r>
        <w:rPr>
          <w:rStyle w:val="FunctionTok"/>
        </w:rPr>
        <w:t xml:space="preserve">:</w:t>
      </w:r>
      <w:r>
        <w:rPr>
          <w:rStyle w:val="NormalTok"/>
        </w:rPr>
        <w:t xml:space="preserve"> </w:t>
      </w:r>
      <w:r>
        <w:rPr>
          <w:rStyle w:val="StringTok"/>
        </w:rPr>
        <w:t xml:space="preserve">"apr_01J9ZX49QQ"</w:t>
      </w:r>
      <w:r>
        <w:rPr>
          <w:rStyle w:val="FunctionTok"/>
        </w:rPr>
        <w:t xml:space="preserve">}}</w:t>
      </w:r>
    </w:p>
    <w:p>
      <w:pPr>
        <w:pStyle w:val="FirstParagraph"/>
      </w:pPr>
      <w:r>
        <w:rPr>
          <w:bCs/>
          <w:b/>
        </w:rPr>
        <w:t xml:space="preserve">A.5</w:t>
      </w:r>
      <w:r>
        <w:rPr>
          <w:bCs/>
          <w:b/>
        </w:rPr>
        <w:t xml:space="preserve"> </w:t>
      </w:r>
      <w:r>
        <w:rPr>
          <w:rStyle w:val="VerbatimChar"/>
          <w:bCs/>
          <w:b/>
        </w:rPr>
        <w:t xml:space="preserve">ADROutcomeRecorded</w:t>
      </w:r>
      <w:r>
        <w:rPr>
          <w:bCs/>
          <w:b/>
        </w:rPr>
        <w:t xml:space="preserve"> </w:t>
      </w:r>
      <w:r>
        <w:rPr>
          <w:bCs/>
          <w:b/>
        </w:rPr>
        <w:t xml:space="preserve">(Equator → Recovery Suite)</w:t>
      </w:r>
    </w:p>
    <w:p>
      <w:pPr>
        <w:pStyle w:val="SourceCode"/>
      </w:pPr>
      <w:r>
        <w:rPr>
          <w:rStyle w:val="FunctionTok"/>
        </w:rPr>
        <w:t xml:space="preserve">{</w:t>
      </w:r>
      <w:r>
        <w:rPr>
          <w:rStyle w:val="DataTypeTok"/>
        </w:rPr>
        <w:t xml:space="preserv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"urn:infrabyx:equator:ten_eq_01J8Y2RE"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"in.infrabyx.adr.ADROutcomeRecorded.v1"</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"adr_01J9ZX7C3D4E"</w:t>
      </w:r>
      <w:r>
        <w:rPr>
          <w:rStyle w:val="FunctionTok"/>
        </w:rPr>
        <w:t xml:space="preserve">,</w:t>
      </w:r>
      <w:r>
        <w:rPr>
          <w:rStyle w:val="NormalTok"/>
        </w:rPr>
        <w:t xml:space="preserve"> </w:t>
      </w:r>
      <w:r>
        <w:rPr>
          <w:rStyle w:val="DataTypeTok"/>
        </w:rPr>
        <w:t xml:space="preserve">"reid"</w:t>
      </w:r>
      <w:r>
        <w:rPr>
          <w:rStyle w:val="FunctionTok"/>
        </w:rPr>
        <w:t xml:space="preserve">:</w:t>
      </w:r>
      <w:r>
        <w:rPr>
          <w:rStyle w:val="NormalTok"/>
        </w:rPr>
        <w:t xml:space="preserve"> </w:t>
      </w:r>
      <w:r>
        <w:rPr>
          <w:rStyle w:val="StringTok"/>
        </w:rPr>
        <w:t xml:space="preserve">"re_01J8Y2M0PQ"</w:t>
      </w:r>
      <w:r>
        <w:rPr>
          <w:rStyle w:val="FunctionTok"/>
        </w:rPr>
        <w:t xml:space="preserve">,</w:t>
      </w:r>
      <w:r>
        <w:rPr>
          <w:rStyle w:val="NormalTok"/>
        </w:rPr>
        <w:t xml:space="preserve"> </w:t>
      </w:r>
      <w:r>
        <w:rPr>
          <w:rStyle w:val="DataTypeTok"/>
        </w:rPr>
        <w:t xml:space="preserve">"legalbasis"</w:t>
      </w:r>
      <w:r>
        <w:rPr>
          <w:rStyle w:val="FunctionTok"/>
        </w:rPr>
        <w:t xml:space="preserve">:</w:t>
      </w:r>
      <w:r>
        <w:rPr>
          <w:rStyle w:val="NormalTok"/>
        </w:rPr>
        <w:t xml:space="preserve"> </w:t>
      </w:r>
      <w:r>
        <w:rPr>
          <w:rStyle w:val="StringTok"/>
        </w:rPr>
        <w:t xml:space="preserve">"LEGAL_CLAIM"</w:t>
      </w:r>
      <w:r>
        <w:rPr>
          <w:rStyle w:val="FunctionTok"/>
        </w:rPr>
        <w:t xml:space="preserve">,</w:t>
      </w:r>
      <w:r>
        <w:rPr>
          <w:rStyle w:val="NormalTok"/>
        </w:rPr>
        <w:t xml:space="preserve"> </w:t>
      </w:r>
      <w:r>
        <w:rPr>
          <w:rStyle w:val="DataTypeTok"/>
        </w:rPr>
        <w:t xml:space="preserve">"dataclass"</w:t>
      </w:r>
      <w:r>
        <w:rPr>
          <w:rStyle w:val="FunctionTok"/>
        </w:rPr>
        <w:t xml:space="preserve">:</w:t>
      </w:r>
      <w:r>
        <w:rPr>
          <w:rStyle w:val="NormalTok"/>
        </w:rPr>
        <w:t xml:space="preserve"> </w:t>
      </w:r>
      <w:r>
        <w:rPr>
          <w:rStyle w:val="StringTok"/>
        </w:rPr>
        <w:t xml:space="preserve">"LEGAL"</w:t>
      </w:r>
      <w:r>
        <w:rPr>
          <w:rStyle w:val="FunctionTok"/>
        </w:rPr>
        <w:t xml:space="preserve">,</w:t>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DataTypeTok"/>
        </w:rPr>
        <w:t xml:space="preserve">"outcome_seq"</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"outcome_type"</w:t>
      </w:r>
      <w:r>
        <w:rPr>
          <w:rStyle w:val="FunctionTok"/>
        </w:rPr>
        <w:t xml:space="preserve">:</w:t>
      </w:r>
      <w:r>
        <w:rPr>
          <w:rStyle w:val="NormalTok"/>
        </w:rPr>
        <w:t xml:space="preserve"> </w:t>
      </w:r>
      <w:r>
        <w:rPr>
          <w:rStyle w:val="StringTok"/>
        </w:rPr>
        <w:t xml:space="preserve">"CONCILIATION_SETTLEMENT_S73"</w:t>
      </w:r>
      <w:r>
        <w:rPr>
          <w:rStyle w:val="FunctionTok"/>
        </w:rPr>
        <w:t xml:space="preserve">,</w:t>
      </w:r>
      <w:r>
        <w:br/>
      </w:r>
      <w:r>
        <w:rPr>
          <w:rStyle w:val="NormalTok"/>
        </w:rPr>
        <w:t xml:space="preserve">  </w:t>
      </w:r>
      <w:r>
        <w:rPr>
          <w:rStyle w:val="DataTypeTok"/>
        </w:rPr>
        <w:t xml:space="preserve">"legal_effect"</w:t>
      </w:r>
      <w:r>
        <w:rPr>
          <w:rStyle w:val="FunctionTok"/>
        </w:rPr>
        <w:t xml:space="preserve">:</w:t>
      </w:r>
      <w:r>
        <w:rPr>
          <w:rStyle w:val="NormalTok"/>
        </w:rPr>
        <w:t xml:space="preserve"> </w:t>
      </w:r>
      <w:r>
        <w:rPr>
          <w:rStyle w:val="StringTok"/>
        </w:rPr>
        <w:t xml:space="preserve">"Arbitral award on agreed terms (A&amp;C Act ss.74, 30); enforceable under s.36"</w:t>
      </w:r>
      <w:r>
        <w:rPr>
          <w:rStyle w:val="FunctionTok"/>
        </w:rPr>
        <w:t xml:space="preserve">,</w:t>
      </w:r>
      <w:r>
        <w:br/>
      </w:r>
      <w:r>
        <w:rPr>
          <w:rStyle w:val="NormalTok"/>
        </w:rPr>
        <w:t xml:space="preserve">  </w:t>
      </w:r>
      <w:r>
        <w:rPr>
          <w:rStyle w:val="DataTypeTok"/>
        </w:rPr>
        <w:t xml:space="preserve">"within_re_mandate"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"settlement_approval_ref"</w:t>
      </w:r>
      <w:r>
        <w:rPr>
          <w:rStyle w:val="FunctionTok"/>
        </w:rPr>
        <w:t xml:space="preserve">:</w:t>
      </w:r>
      <w:r>
        <w:rPr>
          <w:rStyle w:val="NormalTok"/>
        </w:rPr>
        <w:t xml:space="preserve"> </w:t>
      </w:r>
      <w:r>
        <w:rPr>
          <w:rStyle w:val="StringTok"/>
        </w:rPr>
        <w:t xml:space="preserve">"stl_01J9ZY0APP"</w:t>
      </w:r>
      <w:r>
        <w:rPr>
          <w:rStyle w:val="FunctionTok"/>
        </w:rPr>
        <w:t xml:space="preserve">,</w:t>
      </w:r>
      <w:r>
        <w:br/>
      </w:r>
      <w:r>
        <w:rPr>
          <w:rStyle w:val="NormalTok"/>
        </w:rPr>
        <w:t xml:space="preserve">  </w:t>
      </w:r>
      <w:r>
        <w:rPr>
          <w:rStyle w:val="DataTypeTok"/>
        </w:rPr>
        <w:t xml:space="preserve">"terms"</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StringTok"/>
        </w:rPr>
        <w:t xml:space="preserve">"132000.00"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rPr>
          <w:rStyle w:val="FunctionTok"/>
        </w:rPr>
        <w:t xml:space="preserve">},</w:t>
      </w:r>
      <w:r>
        <w:rPr>
          <w:rStyle w:val="NormalTok"/>
        </w:rPr>
        <w:t xml:space="preserve"> </w:t>
      </w:r>
      <w:r>
        <w:rPr>
          <w:rStyle w:val="DataTypeTok"/>
        </w:rPr>
        <w:t xml:space="preserve">"instalments"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"due_date"</w:t>
      </w:r>
      <w:r>
        <w:rPr>
          <w:rStyle w:val="FunctionTok"/>
        </w:rPr>
        <w:t xml:space="preserve">:</w:t>
      </w:r>
      <w:r>
        <w:rPr>
          <w:rStyle w:val="NormalTok"/>
        </w:rPr>
        <w:t xml:space="preserve"> </w:t>
      </w:r>
      <w:r>
        <w:rPr>
          <w:rStyle w:val="StringTok"/>
        </w:rPr>
        <w:t xml:space="preserve">"2026-12-05"</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"66000.00"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"due_date"</w:t>
      </w:r>
      <w:r>
        <w:rPr>
          <w:rStyle w:val="FunctionTok"/>
        </w:rPr>
        <w:t xml:space="preserve">:</w:t>
      </w:r>
      <w:r>
        <w:rPr>
          <w:rStyle w:val="NormalTok"/>
        </w:rPr>
        <w:t xml:space="preserve"> </w:t>
      </w:r>
      <w:r>
        <w:rPr>
          <w:rStyle w:val="StringTok"/>
        </w:rPr>
        <w:t xml:space="preserve">"2027-01-05"</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"66000.00"</w:t>
      </w:r>
      <w:r>
        <w:rPr>
          <w:rStyle w:val="FunctionTok"/>
        </w:rPr>
        <w:t xml:space="preserve">}</w:t>
      </w:r>
      <w:r>
        <w:rPr>
          <w:rStyle w:val="OtherTok"/>
        </w:rPr>
        <w:t xml:space="preserve">]</w:t>
      </w:r>
      <w:r>
        <w:rPr>
          <w:rStyle w:val="FunctionTok"/>
        </w:rPr>
        <w:t xml:space="preserve">,</w:t>
      </w:r>
      <w:r>
        <w:rPr>
          <w:rStyle w:val="NormalTok"/>
        </w:rPr>
        <w:t xml:space="preserve"> </w:t>
      </w:r>
      <w:r>
        <w:rPr>
          <w:rStyle w:val="DataTypeTok"/>
        </w:rPr>
        <w:t xml:space="preserve">"payee"</w:t>
      </w:r>
      <w:r>
        <w:rPr>
          <w:rStyle w:val="FunctionTok"/>
        </w:rPr>
        <w:t xml:space="preserve">:</w:t>
      </w:r>
      <w:r>
        <w:rPr>
          <w:rStyle w:val="NormalTok"/>
        </w:rPr>
        <w:t xml:space="preserve"> </w:t>
      </w:r>
      <w:r>
        <w:rPr>
          <w:rStyle w:val="StringTok"/>
        </w:rPr>
        <w:t xml:space="preserve">"re_01J8Y2M0PQ"</w:t>
      </w:r>
      <w:r>
        <w:rPr>
          <w:rStyle w:val="FunctionTok"/>
        </w:rPr>
        <w:t xml:space="preserve">,</w:t>
      </w:r>
      <w:r>
        <w:rPr>
          <w:rStyle w:val="NormalTok"/>
        </w:rPr>
        <w:t xml:space="preserve"> </w:t>
      </w:r>
      <w:r>
        <w:rPr>
          <w:rStyle w:val="DataTypeTok"/>
        </w:rPr>
        <w:t xml:space="preserve">"restructuring_flag"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"instrument"</w:t>
      </w:r>
      <w:r>
        <w:rPr>
          <w:rStyle w:val="FunctionTok"/>
        </w:rPr>
        <w:t xml:space="preserve">:</w:t>
      </w:r>
      <w:r>
        <w:rPr>
          <w:rStyle w:val="NormalTok"/>
        </w:rPr>
        <w:t xml:space="preserve"> </w:t>
      </w:r>
      <w:r>
        <w:rPr>
          <w:rStyle w:val="FunctionTok"/>
        </w:rPr>
        <w:t xml:space="preserve">{</w:t>
      </w:r>
      <w:r>
        <w:rPr>
          <w:rStyle w:val="DataTypeTok"/>
        </w:rPr>
        <w:t xml:space="preserve">"document_id"</w:t>
      </w:r>
      <w:r>
        <w:rPr>
          <w:rStyle w:val="FunctionTok"/>
        </w:rPr>
        <w:t xml:space="preserve">:</w:t>
      </w:r>
      <w:r>
        <w:rPr>
          <w:rStyle w:val="NormalTok"/>
        </w:rPr>
        <w:t xml:space="preserve"> </w:t>
      </w:r>
      <w:r>
        <w:rPr>
          <w:rStyle w:val="StringTok"/>
        </w:rPr>
        <w:t xml:space="preserve">"doc_eq_01J9ZZ1SET"</w:t>
      </w:r>
      <w:r>
        <w:rPr>
          <w:rStyle w:val="FunctionTok"/>
        </w:rPr>
        <w:t xml:space="preserve">,</w:t>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"5a6b…5a6b"</w:t>
      </w:r>
      <w:r>
        <w:rPr>
          <w:rStyle w:val="FunctionTok"/>
        </w:rPr>
        <w:t xml:space="preserve">,</w:t>
      </w:r>
      <w:r>
        <w:rPr>
          <w:rStyle w:val="NormalTok"/>
        </w:rPr>
        <w:t xml:space="preserve"> </w:t>
      </w:r>
      <w:r>
        <w:rPr>
          <w:rStyle w:val="DataTypeTok"/>
        </w:rPr>
        <w:t xml:space="preserve">"pdfa"</w:t>
      </w:r>
      <w:r>
        <w:rPr>
          <w:rStyle w:val="FunctionTok"/>
        </w:rPr>
        <w:t xml:space="preserve">:</w:t>
      </w:r>
      <w:r>
        <w:rPr>
          <w:rStyle w:val="NormalTok"/>
        </w:rPr>
        <w:t xml:space="preserve"> </w:t>
      </w:r>
      <w:r>
        <w:rPr>
          <w:rStyle w:val="StringTok"/>
        </w:rPr>
        <w:t xml:space="preserve">"PDF/A-2b"</w:t>
      </w:r>
      <w:r>
        <w:rPr>
          <w:rStyle w:val="FunctionTok"/>
        </w:rPr>
        <w:t xml:space="preserve">,</w:t>
      </w:r>
      <w:r>
        <w:br/>
      </w:r>
      <w:r>
        <w:rPr>
          <w:rStyle w:val="NormalTok"/>
        </w:rPr>
        <w:t xml:space="preserve">    </w:t>
      </w:r>
      <w:r>
        <w:rPr>
          <w:rStyle w:val="DataTypeTok"/>
        </w:rPr>
        <w:t xml:space="preserve">"signatures"</w:t>
      </w:r>
      <w:r>
        <w:rPr>
          <w:rStyle w:val="FunctionTok"/>
        </w:rPr>
        <w:t xml:space="preserve">:</w:t>
      </w:r>
      <w:r>
        <w:rPr>
          <w:rStyle w:val="NormalTok"/>
        </w:rPr>
        <w:t xml:space="preserve"> </w:t>
      </w:r>
      <w:r>
        <w:rPr>
          <w:rStyle w:val="OtherTok"/>
        </w:rPr>
        <w:t xml:space="preserve">[</w:t>
      </w:r>
      <w:r>
        <w:rPr>
          <w:rStyle w:val="StringTok"/>
        </w:rPr>
        <w:t xml:space="preserve">"ESIGN_PARTY"</w:t>
      </w:r>
      <w:r>
        <w:rPr>
          <w:rStyle w:val="OtherTok"/>
        </w:rPr>
        <w:t xml:space="preserve">,</w:t>
      </w:r>
      <w:r>
        <w:rPr>
          <w:rStyle w:val="NormalTok"/>
        </w:rPr>
        <w:t xml:space="preserve"> </w:t>
      </w:r>
      <w:r>
        <w:rPr>
          <w:rStyle w:val="StringTok"/>
        </w:rPr>
        <w:t xml:space="preserve">"DSC_RE"</w:t>
      </w:r>
      <w:r>
        <w:rPr>
          <w:rStyle w:val="OtherTok"/>
        </w:rPr>
        <w:t xml:space="preserve">,</w:t>
      </w:r>
      <w:r>
        <w:rPr>
          <w:rStyle w:val="NormalTok"/>
        </w:rPr>
        <w:t xml:space="preserve"> </w:t>
      </w:r>
      <w:r>
        <w:rPr>
          <w:rStyle w:val="StringTok"/>
        </w:rPr>
        <w:t xml:space="preserve">"DSC_CONCILIATOR"</w:t>
      </w:r>
      <w:r>
        <w:rPr>
          <w:rStyle w:val="OtherTok"/>
        </w:rPr>
        <w:t xml:space="preserve">]</w:t>
      </w:r>
      <w:r>
        <w:rPr>
          <w:rStyle w:val="FunctionTok"/>
        </w:rPr>
        <w:t xml:space="preserve">},</w:t>
      </w:r>
      <w:r>
        <w:br/>
      </w:r>
      <w:r>
        <w:rPr>
          <w:rStyle w:val="NormalTok"/>
        </w:rPr>
        <w:t xml:space="preserve">  </w:t>
      </w:r>
      <w:r>
        <w:rPr>
          <w:rStyle w:val="DataTypeTok"/>
        </w:rPr>
        <w:t xml:space="preserve">"e_stamp"</w:t>
      </w:r>
      <w:r>
        <w:rPr>
          <w:rStyle w:val="FunctionTok"/>
        </w:rPr>
        <w:t xml:space="preserve">:</w:t>
      </w:r>
      <w:r>
        <w:rPr>
          <w:rStyle w:val="NormalTok"/>
        </w:rPr>
        <w:t xml:space="preserve"> </w:t>
      </w:r>
      <w:r>
        <w:rPr>
          <w:rStyle w:val="FunctionTok"/>
        </w:rPr>
        <w:t xml:space="preserve">{</w:t>
      </w:r>
      <w:r>
        <w:rPr>
          <w:rStyle w:val="DataTypeTok"/>
        </w:rPr>
        <w:t xml:space="preserve">"certificate_no"</w:t>
      </w:r>
      <w:r>
        <w:rPr>
          <w:rStyle w:val="FunctionTok"/>
        </w:rPr>
        <w:t xml:space="preserve">:</w:t>
      </w:r>
      <w:r>
        <w:rPr>
          <w:rStyle w:val="NormalTok"/>
        </w:rPr>
        <w:t xml:space="preserve"> </w:t>
      </w:r>
      <w:r>
        <w:rPr>
          <w:rStyle w:val="StringTok"/>
        </w:rPr>
        <w:t xml:space="preserve">"IN-DL-2026-11-0041771"</w:t>
      </w:r>
      <w:r>
        <w:rPr>
          <w:rStyle w:val="FunctionTok"/>
        </w:rPr>
        <w:t xml:space="preserve">,</w:t>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"DL"</w:t>
      </w:r>
      <w:r>
        <w:rPr>
          <w:rStyle w:val="FunctionTok"/>
        </w:rPr>
        <w:t xml:space="preserve">,</w:t>
      </w:r>
      <w:r>
        <w:rPr>
          <w:rStyle w:val="NormalTok"/>
        </w:rPr>
        <w:t xml:space="preserve"> </w:t>
      </w:r>
      <w:r>
        <w:rPr>
          <w:rStyle w:val="DataTypeTok"/>
        </w:rPr>
        <w:t xml:space="preserve">"stamped_at"</w:t>
      </w:r>
      <w:r>
        <w:rPr>
          <w:rStyle w:val="FunctionTok"/>
        </w:rPr>
        <w:t xml:space="preserve">:</w:t>
      </w:r>
      <w:r>
        <w:rPr>
          <w:rStyle w:val="NormalTok"/>
        </w:rPr>
        <w:t xml:space="preserve"> </w:t>
      </w:r>
      <w:r>
        <w:rPr>
          <w:rStyle w:val="StringTok"/>
        </w:rPr>
        <w:t xml:space="preserve">"2026-11-21T16:40:02+05:30"</w:t>
      </w:r>
      <w:r>
        <w:rPr>
          <w:rStyle w:val="FunctionTok"/>
        </w:rPr>
        <w:t xml:space="preserve">},</w:t>
      </w:r>
      <w:r>
        <w:br/>
      </w:r>
      <w:r>
        <w:rPr>
          <w:rStyle w:val="NormalTok"/>
        </w:rPr>
        <w:t xml:space="preserve">  </w:t>
      </w:r>
      <w:r>
        <w:rPr>
          <w:rStyle w:val="DataTypeTok"/>
        </w:rPr>
        <w:t xml:space="preserve">"served_at"</w:t>
      </w:r>
      <w:r>
        <w:rPr>
          <w:rStyle w:val="FunctionTok"/>
        </w:rPr>
        <w:t xml:space="preserve">:</w:t>
      </w:r>
      <w:r>
        <w:rPr>
          <w:rStyle w:val="NormalTok"/>
        </w:rPr>
        <w:t xml:space="preserve"> </w:t>
      </w:r>
      <w:r>
        <w:rPr>
          <w:rStyle w:val="StringTok"/>
        </w:rPr>
        <w:t xml:space="preserve">"2026-11-21T18:05:11+05:30"</w:t>
      </w:r>
      <w:r>
        <w:rPr>
          <w:rStyle w:val="FunctionTok"/>
        </w:rPr>
        <w:t xml:space="preserve">,</w:t>
      </w:r>
      <w:r>
        <w:rPr>
          <w:rStyle w:val="NormalTok"/>
        </w:rPr>
        <w:t xml:space="preserve"> </w:t>
      </w:r>
      <w:r>
        <w:rPr>
          <w:rStyle w:val="DataTypeTok"/>
        </w:rPr>
        <w:t xml:space="preserve">"clocks"</w:t>
      </w:r>
      <w:r>
        <w:rPr>
          <w:rStyle w:val="FunctionTok"/>
        </w:rPr>
        <w:t xml:space="preserve">:</w:t>
      </w:r>
      <w:r>
        <w:rPr>
          <w:rStyle w:val="NormalTok"/>
        </w:rPr>
        <w:t xml:space="preserve"> </w:t>
      </w:r>
      <w:r>
        <w:rPr>
          <w:rStyle w:val="FunctionTok"/>
        </w:rPr>
        <w:t xml:space="preserve">{</w:t>
      </w:r>
      <w:r>
        <w:rPr>
          <w:rStyle w:val="DataTypeTok"/>
        </w:rPr>
        <w:t xml:space="preserve">"s33_correction_end"</w:t>
      </w:r>
      <w:r>
        <w:rPr>
          <w:rStyle w:val="FunctionTok"/>
        </w:rPr>
        <w:t xml:space="preserve">:</w:t>
      </w:r>
      <w:r>
        <w:rPr>
          <w:rStyle w:val="NormalTok"/>
        </w:rPr>
        <w:t xml:space="preserve"> </w:t>
      </w:r>
      <w:r>
        <w:rPr>
          <w:rStyle w:val="StringTok"/>
        </w:rPr>
        <w:t xml:space="preserve">"2026-12-21"</w:t>
      </w:r>
      <w:r>
        <w:rPr>
          <w:rStyle w:val="FunctionTok"/>
        </w:rPr>
        <w:t xml:space="preserve">,</w:t>
      </w:r>
      <w:r>
        <w:rPr>
          <w:rStyle w:val="NormalTok"/>
        </w:rPr>
        <w:t xml:space="preserve"> </w:t>
      </w:r>
      <w:r>
        <w:rPr>
          <w:rStyle w:val="DataTypeTok"/>
        </w:rPr>
        <w:t xml:space="preserve">"s34_challenge_end"</w:t>
      </w:r>
      <w:r>
        <w:rPr>
          <w:rStyle w:val="FunctionTok"/>
        </w:rPr>
        <w:t xml:space="preserve">:</w:t>
      </w:r>
      <w:r>
        <w:rPr>
          <w:rStyle w:val="NormalTok"/>
        </w:rPr>
        <w:t xml:space="preserve"> </w:t>
      </w:r>
      <w:r>
        <w:rPr>
          <w:rStyle w:val="StringTok"/>
        </w:rPr>
        <w:t xml:space="preserve">"2027-02-21"</w:t>
      </w:r>
      <w:r>
        <w:rPr>
          <w:rStyle w:val="FunctionTok"/>
        </w:rPr>
        <w:t xml:space="preserve">,</w:t>
      </w:r>
      <w:r>
        <w:rPr>
          <w:rStyle w:val="NormalTok"/>
        </w:rPr>
        <w:t xml:space="preserve"> </w:t>
      </w:r>
      <w:r>
        <w:rPr>
          <w:rStyle w:val="DataTypeTok"/>
        </w:rPr>
        <w:t xml:space="preserve">"s34_outer_limit"</w:t>
      </w:r>
      <w:r>
        <w:rPr>
          <w:rStyle w:val="FunctionTok"/>
        </w:rPr>
        <w:t xml:space="preserve">:</w:t>
      </w:r>
      <w:r>
        <w:rPr>
          <w:rStyle w:val="NormalTok"/>
        </w:rPr>
        <w:t xml:space="preserve"> </w:t>
      </w:r>
      <w:r>
        <w:rPr>
          <w:rStyle w:val="StringTok"/>
        </w:rPr>
        <w:t xml:space="preserve">"2027-03-23"</w:t>
      </w:r>
      <w:r>
        <w:rPr>
          <w:rStyle w:val="FunctionTok"/>
        </w:rPr>
        <w:t xml:space="preserve">}}}</w:t>
      </w:r>
    </w:p>
    <w:p>
      <w:r>
        <w:pict>
          <v:rect style="width:0;height:1.5pt" o:hralign="center" o:hrstd="t" o:hr="t"/>
        </w:pict>
      </w:r>
    </w:p>
    <w:bookmarkEnd w:id="104"/>
    <w:bookmarkStart w:id="106" w:name="appendix-b-glossary"/>
    <w:p>
      <w:pPr>
        <w:pStyle w:val="Heading1"/>
      </w:pPr>
      <w:r>
        <w:t xml:space="preserve">APPENDIX B — GLOSSARY</w:t>
      </w:r>
    </w:p>
    <w:p>
      <w:pPr>
        <w:pStyle w:val="FirstParagraph"/>
      </w:pPr>
      <w:r>
        <w:rPr>
          <w:bCs/>
          <w:b/>
        </w:rPr>
        <w:t xml:space="preserve">A&amp;C Act</w:t>
      </w:r>
      <w:r>
        <w:t xml:space="preserve"> </w:t>
      </w:r>
      <w:r>
        <w:t xml:space="preserve">Arbitration and Conciliation Act 1996 ·</w:t>
      </w:r>
      <w:r>
        <w:t xml:space="preserve"> </w:t>
      </w:r>
      <w:r>
        <w:rPr>
          <w:bCs/>
          <w:b/>
        </w:rPr>
        <w:t xml:space="preserve">AA</w:t>
      </w:r>
      <w:r>
        <w:t xml:space="preserve"> </w:t>
      </w:r>
      <w:r>
        <w:t xml:space="preserve">Account Aggregator ·</w:t>
      </w:r>
      <w:r>
        <w:t xml:space="preserve"> </w:t>
      </w:r>
      <w:r>
        <w:rPr>
          <w:bCs/>
          <w:b/>
        </w:rPr>
        <w:t xml:space="preserve">ADR</w:t>
      </w:r>
      <w:r>
        <w:t xml:space="preserve"> </w:t>
      </w:r>
      <w:r>
        <w:t xml:space="preserve">negotiation, conciliation, mediation, arbitration, Lok Adalat ·</w:t>
      </w:r>
      <w:r>
        <w:t xml:space="preserve"> </w:t>
      </w:r>
      <w:r>
        <w:rPr>
          <w:bCs/>
          <w:b/>
        </w:rPr>
        <w:t xml:space="preserve">CERSAI</w:t>
      </w:r>
      <w:r>
        <w:t xml:space="preserve"> </w:t>
      </w:r>
      <w:r>
        <w:t xml:space="preserve">Central Registry of Securitisation Asset Reconstruction and Security Interest of India ·</w:t>
      </w:r>
      <w:r>
        <w:t xml:space="preserve"> </w:t>
      </w:r>
      <w:r>
        <w:rPr>
          <w:bCs/>
          <w:b/>
        </w:rPr>
        <w:t xml:space="preserve">CF</w:t>
      </w:r>
      <w:r>
        <w:t xml:space="preserve"> </w:t>
      </w:r>
      <w:r>
        <w:t xml:space="preserve">NBFC Credit Facilities Directions 2025 (RBI/DOR/2025-26/347) ·</w:t>
      </w:r>
      <w:r>
        <w:t xml:space="preserve"> </w:t>
      </w:r>
      <w:r>
        <w:rPr>
          <w:bCs/>
          <w:b/>
        </w:rPr>
        <w:t xml:space="preserve">CIR</w:t>
      </w:r>
      <w:r>
        <w:t xml:space="preserve"> </w:t>
      </w:r>
      <w:r>
        <w:t xml:space="preserve">Credit Information Reporting Directions (349) ·</w:t>
      </w:r>
      <w:r>
        <w:t xml:space="preserve"> </w:t>
      </w:r>
      <w:r>
        <w:rPr>
          <w:bCs/>
          <w:b/>
        </w:rPr>
        <w:t xml:space="preserve">CYB</w:t>
      </w:r>
      <w:r>
        <w:t xml:space="preserve"> </w:t>
      </w:r>
      <w:r>
        <w:t xml:space="preserve">Cybersecurity, Technology Risk, Resilience and Assurance Directions (461) ·</w:t>
      </w:r>
      <w:r>
        <w:t xml:space="preserve"> </w:t>
      </w:r>
      <w:r>
        <w:rPr>
          <w:bCs/>
          <w:b/>
        </w:rPr>
        <w:t xml:space="preserve">CLA</w:t>
      </w:r>
      <w:r>
        <w:t xml:space="preserve"> </w:t>
      </w:r>
      <w:r>
        <w:t xml:space="preserve">co-lending arrangement ·</w:t>
      </w:r>
      <w:r>
        <w:t xml:space="preserve"> </w:t>
      </w:r>
      <w:r>
        <w:rPr>
          <w:bCs/>
          <w:b/>
        </w:rPr>
        <w:t xml:space="preserve">DLA</w:t>
      </w:r>
      <w:r>
        <w:t xml:space="preserve"> </w:t>
      </w:r>
      <w:r>
        <w:t xml:space="preserve">digital lending app ·</w:t>
      </w:r>
      <w:r>
        <w:t xml:space="preserve"> </w:t>
      </w:r>
      <w:r>
        <w:rPr>
          <w:bCs/>
          <w:b/>
        </w:rPr>
        <w:t xml:space="preserve">DLG</w:t>
      </w:r>
      <w:r>
        <w:t xml:space="preserve"> </w:t>
      </w:r>
      <w:r>
        <w:t xml:space="preserve">default loss guarantee ·</w:t>
      </w:r>
      <w:r>
        <w:t xml:space="preserve"> </w:t>
      </w:r>
      <w:r>
        <w:rPr>
          <w:bCs/>
          <w:b/>
        </w:rPr>
        <w:t xml:space="preserve">DP</w:t>
      </w:r>
      <w:r>
        <w:t xml:space="preserve"> </w:t>
      </w:r>
      <w:r>
        <w:t xml:space="preserve">drawing power (or depository participant) ·</w:t>
      </w:r>
      <w:r>
        <w:t xml:space="preserve"> </w:t>
      </w:r>
      <w:r>
        <w:rPr>
          <w:bCs/>
          <w:b/>
        </w:rPr>
        <w:t xml:space="preserve">DPDP</w:t>
      </w:r>
      <w:r>
        <w:t xml:space="preserve"> </w:t>
      </w:r>
      <w:r>
        <w:t xml:space="preserve">Digital Personal Data Protection Act 2023 and Rules 2025 ·</w:t>
      </w:r>
      <w:r>
        <w:t xml:space="preserve"> </w:t>
      </w:r>
      <w:r>
        <w:rPr>
          <w:bCs/>
          <w:b/>
        </w:rPr>
        <w:t xml:space="preserve">FAPI 2.0</w:t>
      </w:r>
      <w:r>
        <w:t xml:space="preserve"> </w:t>
      </w:r>
      <w:r>
        <w:t xml:space="preserve">OpenID Financial-grade API Security Profile ·</w:t>
      </w:r>
      <w:r>
        <w:t xml:space="preserve"> </w:t>
      </w:r>
      <w:r>
        <w:rPr>
          <w:bCs/>
          <w:b/>
        </w:rPr>
        <w:t xml:space="preserve">ICA</w:t>
      </w:r>
      <w:r>
        <w:t xml:space="preserve"> </w:t>
      </w:r>
      <w:r>
        <w:t xml:space="preserve">inter-creditor agreement ·</w:t>
      </w:r>
      <w:r>
        <w:t xml:space="preserve"> </w:t>
      </w:r>
      <w:r>
        <w:rPr>
          <w:bCs/>
          <w:b/>
        </w:rPr>
        <w:t xml:space="preserve">IRACP</w:t>
      </w:r>
      <w:r>
        <w:t xml:space="preserve"> </w:t>
      </w:r>
      <w:r>
        <w:t xml:space="preserve">Income Recognition, Asset Classification and Provisioning Directions (356) ·</w:t>
      </w:r>
      <w:r>
        <w:t xml:space="preserve"> </w:t>
      </w:r>
      <w:r>
        <w:rPr>
          <w:bCs/>
          <w:b/>
        </w:rPr>
        <w:t xml:space="preserve">KFS</w:t>
      </w:r>
      <w:r>
        <w:t xml:space="preserve"> </w:t>
      </w:r>
      <w:r>
        <w:t xml:space="preserve">Key Facts Statement ·</w:t>
      </w:r>
      <w:r>
        <w:t xml:space="preserve"> </w:t>
      </w:r>
      <w:r>
        <w:rPr>
          <w:bCs/>
          <w:b/>
        </w:rPr>
        <w:t xml:space="preserve">LAS, LAMF</w:t>
      </w:r>
      <w:r>
        <w:t xml:space="preserve"> </w:t>
      </w:r>
      <w:r>
        <w:t xml:space="preserve">loans against securities and mutual funds ·</w:t>
      </w:r>
      <w:r>
        <w:t xml:space="preserve"> </w:t>
      </w:r>
      <w:r>
        <w:rPr>
          <w:bCs/>
          <w:b/>
        </w:rPr>
        <w:t xml:space="preserve">LSP</w:t>
      </w:r>
      <w:r>
        <w:t xml:space="preserve"> </w:t>
      </w:r>
      <w:r>
        <w:t xml:space="preserve">lending service provider ·</w:t>
      </w:r>
      <w:r>
        <w:t xml:space="preserve"> </w:t>
      </w:r>
      <w:r>
        <w:rPr>
          <w:bCs/>
          <w:b/>
        </w:rPr>
        <w:t xml:space="preserve">ODR</w:t>
      </w:r>
      <w:r>
        <w:t xml:space="preserve"> </w:t>
      </w:r>
      <w:r>
        <w:t xml:space="preserve">online dispute resolution ·</w:t>
      </w:r>
      <w:r>
        <w:t xml:space="preserve"> </w:t>
      </w:r>
      <w:r>
        <w:rPr>
          <w:bCs/>
          <w:b/>
        </w:rPr>
        <w:t xml:space="preserve">OSCAL</w:t>
      </w:r>
      <w:r>
        <w:t xml:space="preserve"> </w:t>
      </w:r>
      <w:r>
        <w:t xml:space="preserve">NIST Open Security Controls Assessment Language ·</w:t>
      </w:r>
      <w:r>
        <w:t xml:space="preserve"> </w:t>
      </w:r>
      <w:r>
        <w:rPr>
          <w:bCs/>
          <w:b/>
        </w:rPr>
        <w:t xml:space="preserve">OUT</w:t>
      </w:r>
      <w:r>
        <w:t xml:space="preserve"> </w:t>
      </w:r>
      <w:r>
        <w:t xml:space="preserve">Managing Risks in Outsourcing Directions (363) ·</w:t>
      </w:r>
      <w:r>
        <w:t xml:space="preserve"> </w:t>
      </w:r>
      <w:r>
        <w:rPr>
          <w:bCs/>
          <w:b/>
        </w:rPr>
        <w:t xml:space="preserve">RBC</w:t>
      </w:r>
      <w:r>
        <w:t xml:space="preserve"> </w:t>
      </w:r>
      <w:r>
        <w:t xml:space="preserve">Responsible Business Conduct Directions (362) ·</w:t>
      </w:r>
      <w:r>
        <w:t xml:space="preserve"> </w:t>
      </w:r>
      <w:r>
        <w:rPr>
          <w:bCs/>
          <w:b/>
        </w:rPr>
        <w:t xml:space="preserve">RE</w:t>
      </w:r>
      <w:r>
        <w:t xml:space="preserve"> </w:t>
      </w:r>
      <w:r>
        <w:t xml:space="preserve">regulated entity ·</w:t>
      </w:r>
      <w:r>
        <w:t xml:space="preserve"> </w:t>
      </w:r>
      <w:r>
        <w:rPr>
          <w:bCs/>
          <w:b/>
        </w:rPr>
        <w:t xml:space="preserve">RS</w:t>
      </w:r>
      <w:r>
        <w:t xml:space="preserve"> </w:t>
      </w:r>
      <w:r>
        <w:t xml:space="preserve">Recovery, Litigation and ADR Suite ·</w:t>
      </w:r>
      <w:r>
        <w:t xml:space="preserve"> </w:t>
      </w:r>
      <w:r>
        <w:rPr>
          <w:bCs/>
          <w:b/>
        </w:rPr>
        <w:t xml:space="preserve">RSA</w:t>
      </w:r>
      <w:r>
        <w:t xml:space="preserve"> </w:t>
      </w:r>
      <w:r>
        <w:t xml:space="preserve">Resolution of Stressed Assets Directions (357) ·</w:t>
      </w:r>
      <w:r>
        <w:t xml:space="preserve"> </w:t>
      </w:r>
      <w:r>
        <w:rPr>
          <w:bCs/>
          <w:b/>
        </w:rPr>
        <w:t xml:space="preserve">RTA</w:t>
      </w:r>
      <w:r>
        <w:t xml:space="preserve"> </w:t>
      </w:r>
      <w:r>
        <w:t xml:space="preserve">registrar and transfer agent ·</w:t>
      </w:r>
      <w:r>
        <w:t xml:space="preserve"> </w:t>
      </w:r>
      <w:r>
        <w:rPr>
          <w:bCs/>
          <w:b/>
        </w:rPr>
        <w:t xml:space="preserve">SEC</w:t>
      </w:r>
      <w:r>
        <w:t xml:space="preserve"> </w:t>
      </w:r>
      <w:r>
        <w:t xml:space="preserve">Securitisation Transactions Directions (353) ·</w:t>
      </w:r>
      <w:r>
        <w:t xml:space="preserve"> </w:t>
      </w:r>
      <w:r>
        <w:rPr>
          <w:bCs/>
          <w:b/>
        </w:rPr>
        <w:t xml:space="preserve">TDCR</w:t>
      </w:r>
      <w:r>
        <w:t xml:space="preserve"> </w:t>
      </w:r>
      <w:r>
        <w:t xml:space="preserve">Transfer and Distribution of Credit Risk Directions (352) ·</w:t>
      </w:r>
      <w:r>
        <w:t xml:space="preserve"> </w:t>
      </w:r>
      <w:r>
        <w:rPr>
          <w:bCs/>
          <w:b/>
        </w:rPr>
        <w:t xml:space="preserve">TReDS</w:t>
      </w:r>
      <w:r>
        <w:t xml:space="preserve"> </w:t>
      </w:r>
      <w:r>
        <w:t xml:space="preserve">Trade Receivables Discounting System ·</w:t>
      </w:r>
      <w:r>
        <w:t xml:space="preserve"> </w:t>
      </w:r>
      <w:r>
        <w:rPr>
          <w:bCs/>
          <w:b/>
        </w:rPr>
        <w:t xml:space="preserve">Udolex</w:t>
      </w:r>
      <w:r>
        <w:t xml:space="preserve"> </w:t>
      </w:r>
      <w:r>
        <w:t xml:space="preserve">standalone Recovery Suite.</w:t>
      </w:r>
    </w:p>
    <w:p>
      <w:r>
        <w:pict>
          <v:rect style="width:0;height:1.5pt" o:hralign="center" o:hrstd="t" o:hr="t"/>
        </w:pict>
      </w:r>
    </w:p>
    <w:bookmarkStart w:id="105" w:name="sources"/>
    <w:p>
      <w:pPr>
        <w:pStyle w:val="Heading2"/>
      </w:pPr>
      <w:r>
        <w:t xml:space="preserve">SOURCES</w:t>
      </w:r>
    </w:p>
    <w:p>
      <w:pPr>
        <w:pStyle w:val="FirstParagraph"/>
      </w:pPr>
      <w:r>
        <w:rPr>
          <w:bCs/>
          <w:b/>
        </w:rPr>
        <w:t xml:space="preserve">RBI Directions supplied by the project owner</w:t>
      </w:r>
      <w:r>
        <w:t xml:space="preserve"> </w:t>
      </w:r>
      <w:r>
        <w:t xml:space="preserve">(paragraphs checked against the texts in</w:t>
      </w:r>
      <w:r>
        <w:t xml:space="preserve"> </w:t>
      </w:r>
      <w:r>
        <w:rPr>
          <w:rStyle w:val="VerbatimChar"/>
        </w:rPr>
        <w:t xml:space="preserve">md/</w:t>
      </w:r>
      <w:r>
        <w:t xml:space="preserve"> </w:t>
      </w:r>
      <w:r>
        <w:t xml:space="preserve">and</w:t>
      </w:r>
      <w:r>
        <w:t xml:space="preserve"> </w:t>
      </w:r>
      <w:r>
        <w:rPr>
          <w:rStyle w:val="VerbatimChar"/>
        </w:rPr>
        <w:t xml:space="preserve">md2/</w:t>
      </w:r>
      <w:r>
        <w:t xml:space="preserve">): CF 347; CIR 349; TDCR 352; SEC 353; IRACP 356; RSA 357; RBC 362; OUT 363; KYC 361; CYB 461; FRM 463; CMP 460.</w:t>
      </w:r>
    </w:p>
    <w:p>
      <w:pPr>
        <w:pStyle w:val="BodyText"/>
      </w:pPr>
      <w:r>
        <w:rPr>
          <w:bCs/>
          <w:b/>
        </w:rPr>
        <w:t xml:space="preserve">Research notes (19 Oct 2026):</w:t>
      </w:r>
      <w:r>
        <w:t xml:space="preserve"> </w:t>
      </w:r>
      <w:r>
        <w:rPr>
          <w:rStyle w:val="VerbatimChar"/>
        </w:rPr>
        <w:t xml:space="preserve">v14/research_A_recovery_law.md</w:t>
      </w:r>
      <w:r>
        <w:t xml:space="preserve">,</w:t>
      </w:r>
      <w:r>
        <w:t xml:space="preserve"> </w:t>
      </w:r>
      <w:r>
        <w:rPr>
          <w:rStyle w:val="VerbatimChar"/>
        </w:rPr>
        <w:t xml:space="preserve">v14/research_B_adr_odr.md</w:t>
      </w:r>
      <w:r>
        <w:t xml:space="preserve">,</w:t>
      </w:r>
      <w:r>
        <w:t xml:space="preserve"> </w:t>
      </w:r>
      <w:r>
        <w:rPr>
          <w:rStyle w:val="VerbatimChar"/>
        </w:rPr>
        <w:t xml:space="preserve">v14/research_C_recovery_tech.md</w:t>
      </w:r>
      <w:r>
        <w:t xml:space="preserve">,</w:t>
      </w:r>
      <w:r>
        <w:t xml:space="preserve"> </w:t>
      </w:r>
      <w:r>
        <w:rPr>
          <w:rStyle w:val="VerbatimChar"/>
        </w:rPr>
        <w:t xml:space="preserve">v14/research_D_integration.md</w:t>
      </w:r>
      <w:r>
        <w:t xml:space="preserve"> </w:t>
      </w:r>
      <w:r>
        <w:t xml:space="preserve">(full case citations and URLs).</w:t>
      </w:r>
      <w:r>
        <w:t xml:space="preserve"> </w:t>
      </w:r>
      <w:r>
        <w:rPr>
          <w:bCs/>
          <w:b/>
        </w:rPr>
        <w:t xml:space="preserve">Owner files:</w:t>
      </w:r>
      <w:r>
        <w:t xml:space="preserve"> </w:t>
      </w:r>
      <w:r>
        <w:rPr>
          <w:rStyle w:val="VerbatimChar"/>
        </w:rPr>
        <w:t xml:space="preserve">v14in/las.txt</w:t>
      </w:r>
      <w:r>
        <w:t xml:space="preserve"> </w:t>
      </w:r>
      <w:r>
        <w:t xml:space="preserve">(LAS proposal, 15 Oct 2026; corrected in 7.3); Finbyx Master Prompt v1.3 (Parts 2, 5, 6, 9, 10, M14, M15, M21); Udofin Master Prompt v1.0 (Parts 2, 4, 5, 6, 9, 10, U18, U21).</w:t>
      </w:r>
    </w:p>
    <w:p>
      <w:pPr>
        <w:pStyle w:val="BodyText"/>
      </w:pPr>
      <w:r>
        <w:rPr>
          <w:bCs/>
          <w:b/>
        </w:rPr>
        <w:t xml:space="preserve">Standards:</w:t>
      </w:r>
      <w:r>
        <w:t xml:space="preserve"> </w:t>
      </w:r>
      <w:r>
        <w:t xml:space="preserve">CloudEvents 1.0.2; OpenAPI 3.1.1 and 3.2.0; AsyncAPI 3.0; JSON Schema 2020-12; Standard Webhooks; draft-ietf-httpapi-idempotency-key-header-07; RFC 9421, 9530, 9457, 9562, 7515, 7797, 8705, 7523, 9126, 9449, 8693, 9700, 7643, 7644, 8594, 9745; OAuth 2.1 draft; FAPI 2.0 Security Profile (Final, Feb 2025); NIST OSCAL v1.2.x; W3C Trace Context; OpenFeature.</w:t>
      </w:r>
    </w:p>
    <w:p>
      <w:pPr>
        <w:pStyle w:val="BodyText"/>
      </w:pPr>
      <w:r>
        <w:rPr>
          <w:bCs/>
          <w:b/>
        </w:rPr>
        <w:t xml:space="preserve">Market infrastructure:</w:t>
      </w:r>
      <w:r>
        <w:t xml:space="preserve"> </w:t>
      </w:r>
      <w:r>
        <w:t xml:space="preserve">NSDL pledge services; CDSL LAS and communiqué CDSL/OPS/DP/POLICY/2026/468; TReDS Directions 2026 (RBI/DPSS/2026-27/406); India Post CEPT SOP v6.1; TallyPrime XML reference; MetricStream, IBM OpenPages, ServiceNow IRM and Archer documentation; IBBI BAANKNET circulars; WhatsApp Business Messaging Policy.</w:t>
      </w:r>
    </w:p>
    <w:bookmarkEnd w:id="105"/>
    <w:bookmarkEnd w:id="106"/>
    <w:sectPr>
      <w:footerReference w:type="default" r:id="rId9"/>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Infrabyx — Ecosystem Integration Specification · v1.0 · Page </w:t>
    </w:r>
    <w:r>
      <w:rPr>
        <w:color w:val="666666"/>
        <w:sz w:val="16"/>
      </w:rPr>
      <w:fldChar w:fldCharType="begin"/>
    </w:r>
    <w:r>
      <w:rPr>
        <w:color w:val="666666"/>
        <w:sz w:val="16"/>
      </w:rPr>
      <w:instrText xml:space="preserve">PAGE</w:instrText>
    </w:r>
    <w:r>
      <w:rPr>
        <w:color w:val="666666"/>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20" w:before="180"/>
    </w:pPr>
    <w:qFormat/>
    <w:rPr>
      <w:rFonts w:ascii="Calibri" w:cs="Calibri" w:eastAsia="Calibri" w:hAnsi="Calibri"/>
      <w:sz w:val="21"/>
    </w:rPr>
  </w:style>
  <w:style w:customStyle="1" w:styleId="FirstParagraph" w:type="paragraph">
    <w:name w:val="First Paragraph"/>
    <w:basedOn w:val="BodyText"/>
    <w:next w:val="BodyText"/>
    <w:qFormat/>
    <w:pPr>
      <w:spacing w:after="120"/>
    </w:pPr>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A5F"/>
      <w:sz w:val="44"/>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color w:val="1F3A5F"/>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1F3A5F" w:space="6" w:sz="18" w:val="single"/>
      </w:pBdr>
      <w:spacing w:after="100" w:before="100"/>
      <w:ind w:firstLine="0" w:left="480" w:right="480"/>
      <w:shd w:color="auto" w:fill="EAF1F8" w:val="clear"/>
    </w:pPr>
    <w:rPr>
      <w:rFonts w:ascii="Calibri" w:cs="Calibri" w:eastAsia="Calibri" w:hAnsi="Calibri"/>
      <w:i w:val="0"/>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2026-10-19T08:38:18Z</dcterms:created>
  <dcterms:modified xsi:type="dcterms:W3CDTF">2026-10-19T08:38:18Z</dcterms:modified>
</cp:coreProperties>
</file>

<file path=docProps/custom.xml><?xml version="1.0" encoding="utf-8"?>
<Properties xmlns="http://schemas.openxmlformats.org/officeDocument/2006/custom-properties" xmlns:vt="http://schemas.openxmlformats.org/officeDocument/2006/docPropsVTypes"/>
</file>