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cbc00a1701f3971ffa417ac6c648e93a150fe31"/>
    <w:p>
      <w:pPr>
        <w:pStyle w:val="Heading1"/>
      </w:pPr>
      <w:r>
        <w:t xml:space="preserve">INFRABYX ECOSYSTEM INTEGRATION SPECIFICATION</w:t>
      </w:r>
    </w:p>
    <w:p>
      <w:pPr>
        <w:pStyle w:val="FirstParagraph"/>
      </w:pPr>
      <w:r>
        <w:rPr>
          <w:bCs/>
          <w:b/>
        </w:rPr>
        <w:t xml:space="preserve">Canonical contract for events, APIs, data ownership, identity and connectors across Finbyx, Udofin, the Infrabyx Operations Hub, Equator Resolution, LawDocsComply, the Recovery Suite (future Udolex), non-RE lenders, future ecosystem apps and third parties</w:t>
      </w:r>
    </w:p>
    <w:p>
      <w:pPr>
        <w:pStyle w:val="BodyText"/>
      </w:pPr>
      <w:r>
        <w:t xml:space="preserve">Version 1.1 · 24 October 2026 · Companion to the Finbyx Master Build Prompt v1.5, the Udofin Master Build Prompt v1.2 and the Infrabyx Operations Hub Master Build Prompt v1.0, whose event, API and layout tables remain as summaries and point here as canonical · Supersedes v1.0 of 19 October 2026 (changes in Part 16)</w:t>
      </w:r>
    </w:p>
    <w:p>
      <w:r>
        <w:pict>
          <v:rect style="width:0;height:1.5pt" o:hralign="center" o:hrstd="t" o:hr="t"/>
        </w:pict>
      </w:r>
    </w:p>
    <w:bookmarkStart w:id="20" w:name="how-to-use-this-specification"/>
    <w:p>
      <w:pPr>
        <w:pStyle w:val="Heading2"/>
      </w:pPr>
      <w:r>
        <w:t xml:space="preserve">HOW TO USE THIS SPECIFICATION</w:t>
      </w:r>
    </w:p>
    <w:p>
      <w:pPr>
        <w:pStyle w:val="FirstParagraph"/>
      </w:pPr>
      <w:r>
        <w:rPr>
          <w:bCs/>
          <w:b/>
        </w:rPr>
        <w:t xml:space="preserve">Project owner.</w:t>
      </w:r>
      <w:r>
        <w:t xml:space="preserve"> </w:t>
      </w:r>
      <w:r>
        <w:t xml:space="preserve">(1) Commit this file unchanged to every product repository (Finbyx, Udofin, the Operations Hub, Equator, LawDocsComply and every certified connector) as</w:t>
      </w:r>
      <w:r>
        <w:t xml:space="preserve"> </w:t>
      </w:r>
      <w:r>
        <w:rPr>
          <w:rStyle w:val="VerbatimChar"/>
        </w:rPr>
        <w:t xml:space="preserve">docs/ecosystem/infrabyx-integration-spec.md</w:t>
      </w:r>
      <w:r>
        <w:t xml:space="preserve">; edit it only in</w:t>
      </w:r>
      <w:r>
        <w:t xml:space="preserve"> </w:t>
      </w:r>
      <w:r>
        <w:rPr>
          <w:rStyle w:val="VerbatimChar"/>
        </w:rPr>
        <w:t xml:space="preserve">infrabyx-contracts</w:t>
      </w:r>
      <w:r>
        <w:t xml:space="preserve"> </w:t>
      </w:r>
      <w:r>
        <w:t xml:space="preserve">(Part 3.3); CI fails if a copy’s SHA-256 differs from the tagged version. (2) Approve changes once per affected product. (3)</w:t>
      </w:r>
      <w:r>
        <w:t xml:space="preserve"> </w:t>
      </w:r>
      <w:r>
        <w:rPr>
          <w:rStyle w:val="VerbatimChar"/>
        </w:rPr>
        <w:t xml:space="preserve">[VERIFY: …]</w:t>
      </w:r>
      <w:r>
        <w:t xml:space="preserve"> </w:t>
      </w:r>
      <w:r>
        <w:t xml:space="preserve">marks a fact to re-check against the primary source before the related connector goes live;</w:t>
      </w:r>
      <w:r>
        <w:t xml:space="preserve"> </w:t>
      </w:r>
      <w:r>
        <w:rPr>
          <w:bCs/>
          <w:b/>
        </w:rPr>
        <w:t xml:space="preserve">[LAW]</w:t>
      </w:r>
      <w:r>
        <w:t xml:space="preserve"> </w:t>
      </w:r>
      <w:r>
        <w:t xml:space="preserve">= statute or RBI text,</w:t>
      </w:r>
      <w:r>
        <w:t xml:space="preserve"> </w:t>
      </w:r>
      <w:r>
        <w:rPr>
          <w:bCs/>
          <w:b/>
        </w:rPr>
        <w:t xml:space="preserve">[INTERP]</w:t>
      </w:r>
      <w:r>
        <w:t xml:space="preserve"> </w:t>
      </w:r>
      <w:r>
        <w:t xml:space="preserve">= our reading,</w:t>
      </w:r>
      <w:r>
        <w:t xml:space="preserve"> </w:t>
      </w:r>
      <w:r>
        <w:rPr>
          <w:bCs/>
          <w:b/>
        </w:rPr>
        <w:t xml:space="preserve">[REC]</w:t>
      </w:r>
      <w:r>
        <w:t xml:space="preserve"> </w:t>
      </w:r>
      <w:r>
        <w:t xml:space="preserve">= recommendation.</w:t>
      </w:r>
    </w:p>
    <w:p>
      <w:pPr>
        <w:pStyle w:val="BodyText"/>
      </w:pPr>
      <w:r>
        <w:rPr>
          <w:bCs/>
          <w:b/>
        </w:rPr>
        <w:t xml:space="preserve">Claude Code (any repository).</w:t>
      </w:r>
      <w:r>
        <w:t xml:space="preserve"> </w:t>
      </w:r>
      <w:r>
        <w:t xml:space="preserve">(1) Read this file before designing or changing any cross-product event, API, file, identity flow or connector; it overrides conflicting product text, ADRs or code: raise conflicts, never resolve them silently. (2) Never invent or rename an event, add a field to a published schema version, or move ownership of an entity: write a proposal (Part 14.2) and stop for approval. (3) Generate types and validators from the registry; no hand-written duplicates. (4) No connector touches real data before certification (Part 14.3). (5) Refuse any design letting Udofin, Equator, an agency or a vendor take a credit, KYC, classification, settlement, referral or enforcement decision for the RE; any design that stores or scripts a regulator-portal credential or OTP, or files a return or bureau file without an authorised human (principle 11); any flow that sends borrower, member or tenant HR personal data to the Operations Hub (principle 12); and any flow that moves Udofin wellness add-on data out of Udofin’s separate store (principle 13).</w:t>
      </w:r>
    </w:p>
    <w:p>
      <w:pPr>
        <w:pStyle w:val="BodyText"/>
      </w:pPr>
      <w:r>
        <w:rPr>
          <w:bCs/>
          <w:b/>
        </w:rPr>
        <w:t xml:space="preserve">Companion prompts (v1.1).</w:t>
      </w:r>
      <w:r>
        <w:t xml:space="preserve"> </w:t>
      </w:r>
      <w:r>
        <w:t xml:space="preserve">The Finbyx Master Build Prompt v1.5 (Parts 7B–7L; phases 13b to 20b), the Udofin Master Build Prompt v1.2 (Parts 7B–7H; phases 3c to 20d) and the Infrabyx Operations Hub Master Build Prompt v1.0 (OH1–OH14; phases O0 to O13) implement this version. Their event, API and layout lists are summaries; where they differ from Parts 4, 6 and 12 of this specification, this specification prevails and the difference is raised as a proposal (Part 14.2).</w:t>
      </w:r>
    </w:p>
    <w:p>
      <w:pPr>
        <w:pStyle w:val="BodyText"/>
      </w:pPr>
      <w:r>
        <w:rPr>
          <w:bCs/>
          <w:b/>
        </w:rPr>
        <w:t xml:space="preserve">Change-control rule.</w:t>
      </w:r>
      <w:r>
        <w:t xml:space="preserve"> </w:t>
      </w:r>
      <w:r>
        <w:t xml:space="preserve">The specification changes only by a merged pull request to</w:t>
      </w:r>
      <w:r>
        <w:t xml:space="preserve"> </w:t>
      </w:r>
      <w:r>
        <w:rPr>
          <w:rStyle w:val="VerbatimChar"/>
        </w:rPr>
        <w:t xml:space="preserve">infrabyx-contracts</w:t>
      </w:r>
      <w:r>
        <w:t xml:space="preserve"> </w:t>
      </w:r>
      <w:r>
        <w:t xml:space="preserve">carrying an impact note (products, events, APIs, schemas, tests), approved by the owner of every affected product, with a version bump (Part 14.1), propagated to every repository within 10 working days. Published schemas are never broken in place: a new major version runs in parallel for at least 90 days. Emergency security changes may be applied first and ratified within 5 working days.</w:t>
      </w:r>
    </w:p>
    <w:p>
      <w:r>
        <w:pict>
          <v:rect style="width:0;height:1.5pt" o:hralign="center" o:hrstd="t" o:hr="t"/>
        </w:pict>
      </w:r>
    </w:p>
    <w:bookmarkEnd w:id="20"/>
    <w:bookmarkEnd w:id="21"/>
    <w:bookmarkStart w:id="22" w:name="purpose-scope-and-products"/>
    <w:p>
      <w:pPr>
        <w:pStyle w:val="Heading1"/>
      </w:pPr>
      <w:r>
        <w:t xml:space="preserve">1 — PURPOSE, SCOPE AND PRODUCTS</w:t>
      </w:r>
    </w:p>
    <w:p>
      <w:pPr>
        <w:pStyle w:val="FirstParagraph"/>
      </w:pPr>
      <w:r>
        <w:t xml:space="preserve">The single source for cross-product events, APIs, data ownership, identity, connectors, export formats and integration security, written so that a conforming producer, consumer or connector can be built without reading another product’s code. Internal module boundaries, commercial terms and legal advice are out of scope.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12"/>
        <w:gridCol w:w="3237"/>
        <w:gridCol w:w="2563"/>
        <w:gridCol w:w="2826"/>
      </w:tblGrid>
      <w:tr>
        <w:trPr>
          <w:tblHeader w:val="true"/>
          <w:tblHeader w:val="true"/>
        </w:trPr>
        <w:tc>
          <w:tcPr>
            <w:tcW w:w="1012" w:type="dxa"/>
            <w:shd w:val="clear" w:color="auto" w:fill="1F3A5F"/>
          </w:tcPr>
          <w:p>
            <w:pPr>
              <w:pStyle w:val="Compact"/>
              <w:spacing w:after="40"/>
              <w:jc w:val="left"/>
            </w:pPr>
            <w:r>
              <w:rPr>
                <w:b/>
                <w:color w:val="FFFFFF"/>
                <w:sz w:val="18"/>
              </w:rPr>
              <w:t xml:space="preserve">Product or party</w:t>
            </w:r>
          </w:p>
        </w:tc>
        <w:tc>
          <w:tcPr>
            <w:tcW w:w="3237" w:type="dxa"/>
            <w:shd w:val="clear" w:color="auto" w:fill="1F3A5F"/>
          </w:tcPr>
          <w:p>
            <w:pPr>
              <w:pStyle w:val="Compact"/>
              <w:spacing w:after="40"/>
              <w:jc w:val="left"/>
            </w:pPr>
            <w:r>
              <w:rPr>
                <w:b/>
                <w:color w:val="FFFFFF"/>
                <w:sz w:val="18"/>
              </w:rPr>
              <w:t xml:space="preserve">Role</w:t>
            </w:r>
          </w:p>
        </w:tc>
        <w:tc>
          <w:tcPr>
            <w:tcW w:w="2563" w:type="dxa"/>
            <w:shd w:val="clear" w:color="auto" w:fill="1F3A5F"/>
          </w:tcPr>
          <w:p>
            <w:pPr>
              <w:pStyle w:val="Compact"/>
              <w:spacing w:after="40"/>
              <w:jc w:val="left"/>
            </w:pPr>
            <w:r>
              <w:rPr>
                <w:b/>
                <w:color w:val="FFFFFF"/>
                <w:sz w:val="18"/>
              </w:rPr>
              <w:t xml:space="preserve">Regulatory position</w:t>
            </w:r>
          </w:p>
        </w:tc>
        <w:tc>
          <w:tcPr>
            <w:tcW w:w="2826" w:type="dxa"/>
            <w:shd w:val="clear" w:color="auto" w:fill="1F3A5F"/>
          </w:tcPr>
          <w:p>
            <w:pPr>
              <w:pStyle w:val="Compact"/>
              <w:spacing w:after="40"/>
              <w:jc w:val="left"/>
            </w:pPr>
            <w:r>
              <w:rPr>
                <w:b/>
                <w:color w:val="FFFFFF"/>
                <w:sz w:val="18"/>
              </w:rPr>
              <w:t xml:space="preserve">System of record for</w:t>
            </w:r>
          </w:p>
        </w:tc>
      </w:tr>
      <w:tr>
        <w:tc>
          <w:tcPr>
            <w:tcW w:w="1012" w:type="dxa"/>
          </w:tcPr>
          <w:p>
            <w:pPr>
              <w:pStyle w:val="Compact"/>
              <w:spacing w:after="40"/>
              <w:jc w:val="left"/>
            </w:pPr>
            <w:r>
              <w:rPr>
                <w:bCs/>
                <w:b/>
                <w:sz w:val="18"/>
              </w:rPr>
              <w:t xml:space="preserve">Finbyx</w:t>
            </w:r>
          </w:p>
        </w:tc>
        <w:tc>
          <w:tcPr>
            <w:tcW w:w="3237" w:type="dxa"/>
          </w:tcPr>
          <w:p>
            <w:pPr>
              <w:pStyle w:val="Compact"/>
              <w:spacing w:after="40"/>
              <w:jc w:val="left"/>
            </w:pPr>
            <w:r>
              <w:rPr>
                <w:sz w:val="18"/>
              </w:rPr>
              <w:t xml:space="preserve">Staff-operated LOS, LMS, accounting, collections, Recovery Suite, risk, returns, embedded compliance</w:t>
            </w:r>
          </w:p>
        </w:tc>
        <w:tc>
          <w:tcPr>
            <w:tcW w:w="2563" w:type="dxa"/>
          </w:tcPr>
          <w:p>
            <w:pPr>
              <w:pStyle w:val="Compact"/>
              <w:spacing w:after="40"/>
              <w:jc w:val="left"/>
            </w:pPr>
            <w:r>
              <w:rPr>
                <w:sz w:val="18"/>
              </w:rPr>
              <w:t xml:space="preserve">IT service provider to each RE; material outsourcing for ML/UL [INTERP] (Finbyx Part 10.6)</w:t>
            </w:r>
          </w:p>
        </w:tc>
        <w:tc>
          <w:tcPr>
            <w:tcW w:w="2826" w:type="dxa"/>
          </w:tcPr>
          <w:p>
            <w:pPr>
              <w:pStyle w:val="Compact"/>
              <w:spacing w:after="40"/>
              <w:jc w:val="left"/>
            </w:pPr>
            <w:r>
              <w:rPr>
                <w:sz w:val="18"/>
              </w:rPr>
              <w:t xml:space="preserve">The RE’s sanction, KFS, loan, ledger, classification, provisioning, CIC reporting, collateral and pledge book, DLG ledger, recovery, notices, litigation, settlements</w:t>
            </w:r>
          </w:p>
        </w:tc>
      </w:tr>
      <w:tr>
        <w:tc>
          <w:tcPr>
            <w:tcW w:w="1012" w:type="dxa"/>
          </w:tcPr>
          <w:p>
            <w:pPr>
              <w:pStyle w:val="Compact"/>
              <w:spacing w:after="40"/>
              <w:jc w:val="left"/>
            </w:pPr>
            <w:r>
              <w:rPr>
                <w:bCs/>
                <w:b/>
                <w:sz w:val="18"/>
              </w:rPr>
              <w:t xml:space="preserve">Udofin</w:t>
            </w:r>
          </w:p>
        </w:tc>
        <w:tc>
          <w:tcPr>
            <w:tcW w:w="3237" w:type="dxa"/>
          </w:tcPr>
          <w:p>
            <w:pPr>
              <w:pStyle w:val="Compact"/>
              <w:spacing w:after="40"/>
              <w:jc w:val="left"/>
            </w:pPr>
            <w:r>
              <w:rPr>
                <w:sz w:val="18"/>
              </w:rPr>
              <w:t xml:space="preserve">Borrower-facing platform of an LSP serving several REs</w:t>
            </w:r>
          </w:p>
        </w:tc>
        <w:tc>
          <w:tcPr>
            <w:tcW w:w="2563" w:type="dxa"/>
          </w:tcPr>
          <w:p>
            <w:pPr>
              <w:pStyle w:val="Compact"/>
              <w:spacing w:after="40"/>
              <w:jc w:val="left"/>
            </w:pPr>
            <w:r>
              <w:rPr>
                <w:sz w:val="18"/>
              </w:rPr>
              <w:t xml:space="preserve">LSP and agent of each RE (CF para 4(1)(xix)); RE fully liable (para 6(7))</w:t>
            </w:r>
          </w:p>
        </w:tc>
        <w:tc>
          <w:tcPr>
            <w:tcW w:w="2826" w:type="dxa"/>
          </w:tcPr>
          <w:p>
            <w:pPr>
              <w:pStyle w:val="Compact"/>
              <w:spacing w:after="40"/>
              <w:jc w:val="left"/>
            </w:pPr>
            <w:r>
              <w:rPr>
                <w:sz w:val="18"/>
              </w:rPr>
              <w:t xml:space="preserve">Borrower journey, its consents and captured evidence, DLA register, LSP grievances, its DLG records and accounts; never a loan</w:t>
            </w:r>
          </w:p>
        </w:tc>
      </w:tr>
      <w:tr>
        <w:tc>
          <w:tcPr>
            <w:tcW w:w="1012" w:type="dxa"/>
          </w:tcPr>
          <w:p>
            <w:pPr>
              <w:pStyle w:val="Compact"/>
              <w:spacing w:after="40"/>
              <w:jc w:val="left"/>
            </w:pPr>
            <w:r>
              <w:rPr>
                <w:bCs/>
                <w:b/>
                <w:sz w:val="18"/>
              </w:rPr>
              <w:t xml:space="preserve">Equator Resolution</w:t>
            </w:r>
          </w:p>
        </w:tc>
        <w:tc>
          <w:tcPr>
            <w:tcW w:w="3237" w:type="dxa"/>
          </w:tcPr>
          <w:p>
            <w:pPr>
              <w:pStyle w:val="Compact"/>
              <w:spacing w:after="40"/>
              <w:jc w:val="left"/>
            </w:pPr>
            <w:r>
              <w:rPr>
                <w:sz w:val="18"/>
              </w:rPr>
              <w:t xml:space="preserve">ODR institution: conciliation, mediation, arbitration, Lok Adalat facilitation</w:t>
            </w:r>
          </w:p>
        </w:tc>
        <w:tc>
          <w:tcPr>
            <w:tcW w:w="2563" w:type="dxa"/>
          </w:tcPr>
          <w:p>
            <w:pPr>
              <w:pStyle w:val="Compact"/>
              <w:spacing w:after="40"/>
              <w:jc w:val="left"/>
            </w:pPr>
            <w:r>
              <w:rPr>
                <w:sz w:val="18"/>
              </w:rPr>
              <w:t xml:space="preserve">Independent institution [INTERP]</w:t>
            </w:r>
          </w:p>
        </w:tc>
        <w:tc>
          <w:tcPr>
            <w:tcW w:w="2826" w:type="dxa"/>
          </w:tcPr>
          <w:p>
            <w:pPr>
              <w:pStyle w:val="Compact"/>
              <w:spacing w:after="40"/>
              <w:jc w:val="left"/>
            </w:pPr>
            <w:r>
              <w:rPr>
                <w:sz w:val="18"/>
              </w:rPr>
              <w:t xml:space="preserve">Docket, panel and selection log, disclosures, hearings, orders, original awards and settlements, service logs, fees</w:t>
            </w:r>
          </w:p>
        </w:tc>
      </w:tr>
      <w:tr>
        <w:tc>
          <w:tcPr>
            <w:tcW w:w="1012" w:type="dxa"/>
          </w:tcPr>
          <w:p>
            <w:pPr>
              <w:pStyle w:val="Compact"/>
              <w:spacing w:after="40"/>
              <w:jc w:val="left"/>
            </w:pPr>
            <w:r>
              <w:rPr>
                <w:bCs/>
                <w:b/>
                <w:sz w:val="18"/>
              </w:rPr>
              <w:t xml:space="preserve">LawDocsComply</w:t>
            </w:r>
          </w:p>
        </w:tc>
        <w:tc>
          <w:tcPr>
            <w:tcW w:w="3237" w:type="dxa"/>
          </w:tcPr>
          <w:p>
            <w:pPr>
              <w:pStyle w:val="Compact"/>
              <w:spacing w:after="40"/>
              <w:jc w:val="left"/>
            </w:pPr>
            <w:r>
              <w:rPr>
                <w:sz w:val="18"/>
              </w:rPr>
              <w:t xml:space="preserve">GRC platform for RBI, SEBI and IFSCA regulated entities</w:t>
            </w:r>
          </w:p>
        </w:tc>
        <w:tc>
          <w:tcPr>
            <w:tcW w:w="2563" w:type="dxa"/>
          </w:tcPr>
          <w:p>
            <w:pPr>
              <w:pStyle w:val="Compact"/>
              <w:spacing w:after="40"/>
              <w:jc w:val="left"/>
            </w:pPr>
            <w:r>
              <w:rPr>
                <w:sz w:val="18"/>
              </w:rPr>
              <w:t xml:space="preserve">Technology service provider</w:t>
            </w:r>
          </w:p>
        </w:tc>
        <w:tc>
          <w:tcPr>
            <w:tcW w:w="2826" w:type="dxa"/>
          </w:tcPr>
          <w:p>
            <w:pPr>
              <w:pStyle w:val="Compact"/>
              <w:spacing w:after="40"/>
              <w:jc w:val="left"/>
            </w:pPr>
            <w:r>
              <w:rPr>
                <w:sz w:val="18"/>
              </w:rPr>
              <w:t xml:space="preserve">Obligations, calendar, policies, issues, attestations (external or group mode)</w:t>
            </w:r>
          </w:p>
        </w:tc>
      </w:tr>
      <w:tr>
        <w:tc>
          <w:tcPr>
            <w:tcW w:w="1012" w:type="dxa"/>
          </w:tcPr>
          <w:p>
            <w:pPr>
              <w:pStyle w:val="Compact"/>
              <w:spacing w:after="40"/>
              <w:jc w:val="left"/>
            </w:pPr>
            <w:r>
              <w:rPr>
                <w:bCs/>
                <w:b/>
                <w:sz w:val="18"/>
              </w:rPr>
              <w:t xml:space="preserve">Infrabyx Operations Hub (OH)</w:t>
            </w:r>
          </w:p>
        </w:tc>
        <w:tc>
          <w:tcPr>
            <w:tcW w:w="3237" w:type="dxa"/>
          </w:tcPr>
          <w:p>
            <w:pPr>
              <w:pStyle w:val="Compact"/>
              <w:spacing w:after="40"/>
              <w:jc w:val="left"/>
            </w:pPr>
            <w:r>
              <w:rPr>
                <w:sz w:val="18"/>
              </w:rPr>
              <w:t xml:space="preserve">Internal operations platform of the Infrabyx group: CRM, onboarding and delivery, support desk, customer success, marketing and brand, revenue catalogue and billing (Razorpay), professional and advocate directory, staff HRMS and payroll, internal controls, workplace integration, engineering operations, certification readiness</w:t>
            </w:r>
          </w:p>
        </w:tc>
        <w:tc>
          <w:tcPr>
            <w:tcW w:w="2563" w:type="dxa"/>
          </w:tcPr>
          <w:p>
            <w:pPr>
              <w:pStyle w:val="Compact"/>
              <w:spacing w:after="40"/>
              <w:jc w:val="left"/>
            </w:pPr>
            <w:r>
              <w:rPr>
                <w:sz w:val="18"/>
              </w:rPr>
              <w:t xml:space="preserve">Infrabyx’s own system; holds no RE customer data, so it is not an outsourced service for any RE’s lending [INTERP]; group-outsourcing rules apply where a group company serves an RE (OUT paras 45–51, 90–92)</w:t>
            </w:r>
          </w:p>
        </w:tc>
        <w:tc>
          <w:tcPr>
            <w:tcW w:w="2826" w:type="dxa"/>
          </w:tcPr>
          <w:p>
            <w:pPr>
              <w:pStyle w:val="Compact"/>
              <w:spacing w:after="40"/>
              <w:jc w:val="left"/>
            </w:pPr>
            <w:r>
              <w:rPr>
                <w:sz w:val="18"/>
              </w:rPr>
              <w:t xml:space="preserve">Infrabyx commercial records (organisations, contracts, plans, invoices, payments), entitlements as issued, usage aggregates, tickets, implementation projects, professional directory, Infrabyx staff and payroll, change and control evidence (Part 4.6)</w:t>
            </w:r>
          </w:p>
        </w:tc>
      </w:tr>
      <w:tr>
        <w:tc>
          <w:tcPr>
            <w:tcW w:w="1012" w:type="dxa"/>
          </w:tcPr>
          <w:p>
            <w:pPr>
              <w:pStyle w:val="Compact"/>
              <w:spacing w:after="40"/>
              <w:jc w:val="left"/>
            </w:pPr>
            <w:r>
              <w:rPr>
                <w:bCs/>
                <w:b/>
                <w:sz w:val="18"/>
              </w:rPr>
              <w:t xml:space="preserve">Recovery Suite</w:t>
            </w:r>
          </w:p>
        </w:tc>
        <w:tc>
          <w:tcPr>
            <w:tcW w:w="3237" w:type="dxa"/>
          </w:tcPr>
          <w:p>
            <w:pPr>
              <w:pStyle w:val="Compact"/>
              <w:spacing w:after="40"/>
              <w:jc w:val="left"/>
            </w:pPr>
            <w:r>
              <w:rPr>
                <w:sz w:val="18"/>
              </w:rPr>
              <w:t xml:space="preserve">Attachable pack in Finbyx (full) and Udofin (LSP subset); later standalone</w:t>
            </w:r>
            <w:r>
              <w:rPr>
                <w:sz w:val="18"/>
              </w:rPr>
              <w:t xml:space="preserve"> </w:t>
            </w:r>
            <w:r>
              <w:rPr>
                <w:bCs/>
                <w:b/>
                <w:sz w:val="18"/>
              </w:rPr>
              <w:t xml:space="preserve">Udolex</w:t>
            </w:r>
          </w:p>
        </w:tc>
        <w:tc>
          <w:tcPr>
            <w:tcW w:w="2563" w:type="dxa"/>
          </w:tcPr>
          <w:p>
            <w:pPr>
              <w:pStyle w:val="Compact"/>
              <w:spacing w:after="40"/>
              <w:jc w:val="left"/>
            </w:pPr>
            <w:r>
              <w:rPr>
                <w:sz w:val="18"/>
              </w:rPr>
              <w:t xml:space="preserve">Runs in the RE’s tenancy</w:t>
            </w:r>
          </w:p>
        </w:tc>
        <w:tc>
          <w:tcPr>
            <w:tcW w:w="2826" w:type="dxa"/>
          </w:tcPr>
          <w:p>
            <w:pPr>
              <w:pStyle w:val="Compact"/>
              <w:spacing w:after="40"/>
              <w:jc w:val="left"/>
            </w:pPr>
            <w:r>
              <w:rPr>
                <w:sz w:val="18"/>
              </w:rPr>
              <w:t xml:space="preserve">Recovery cases, notices, settlements, litigation, asset sales</w:t>
            </w:r>
          </w:p>
        </w:tc>
      </w:tr>
      <w:tr>
        <w:tc>
          <w:tcPr>
            <w:tcW w:w="1012" w:type="dxa"/>
          </w:tcPr>
          <w:p>
            <w:pPr>
              <w:pStyle w:val="Compact"/>
              <w:spacing w:after="40"/>
              <w:jc w:val="left"/>
            </w:pPr>
            <w:r>
              <w:rPr>
                <w:bCs/>
                <w:b/>
                <w:sz w:val="18"/>
              </w:rPr>
              <w:t xml:space="preserve">Field-investigation app</w:t>
            </w:r>
            <w:r>
              <w:rPr>
                <w:sz w:val="18"/>
              </w:rPr>
              <w:t xml:space="preserve"> </w:t>
            </w:r>
            <w:r>
              <w:rPr>
                <w:sz w:val="18"/>
              </w:rPr>
              <w:t xml:space="preserve">(future)</w:t>
            </w:r>
          </w:p>
        </w:tc>
        <w:tc>
          <w:tcPr>
            <w:tcW w:w="3237" w:type="dxa"/>
          </w:tcPr>
          <w:p>
            <w:pPr>
              <w:pStyle w:val="Compact"/>
              <w:spacing w:after="40"/>
              <w:jc w:val="left"/>
            </w:pPr>
            <w:r>
              <w:rPr>
                <w:sz w:val="18"/>
              </w:rPr>
              <w:t xml:space="preserve">Field verification, skip tracing</w:t>
            </w:r>
          </w:p>
        </w:tc>
        <w:tc>
          <w:tcPr>
            <w:tcW w:w="2563" w:type="dxa"/>
          </w:tcPr>
          <w:p>
            <w:pPr>
              <w:pStyle w:val="Compact"/>
              <w:spacing w:after="40"/>
              <w:jc w:val="left"/>
            </w:pPr>
            <w:r>
              <w:rPr>
                <w:sz w:val="18"/>
              </w:rPr>
              <w:t xml:space="preserve">Service provider (OUT Ch III)</w:t>
            </w:r>
          </w:p>
        </w:tc>
        <w:tc>
          <w:tcPr>
            <w:tcW w:w="2826" w:type="dxa"/>
          </w:tcPr>
          <w:p>
            <w:pPr>
              <w:pStyle w:val="Compact"/>
              <w:spacing w:after="40"/>
              <w:jc w:val="left"/>
            </w:pPr>
            <w:r>
              <w:rPr>
                <w:sz w:val="18"/>
              </w:rPr>
              <w:t xml:space="preserve">Visit evidence</w:t>
            </w:r>
          </w:p>
        </w:tc>
      </w:tr>
      <w:tr>
        <w:tc>
          <w:tcPr>
            <w:tcW w:w="1012" w:type="dxa"/>
          </w:tcPr>
          <w:p>
            <w:pPr>
              <w:pStyle w:val="Compact"/>
              <w:spacing w:after="40"/>
              <w:jc w:val="left"/>
            </w:pPr>
            <w:r>
              <w:rPr>
                <w:bCs/>
                <w:b/>
                <w:sz w:val="18"/>
              </w:rPr>
              <w:t xml:space="preserve">Non-RE lenders</w:t>
            </w:r>
          </w:p>
        </w:tc>
        <w:tc>
          <w:tcPr>
            <w:tcW w:w="3237" w:type="dxa"/>
          </w:tcPr>
          <w:p>
            <w:pPr>
              <w:pStyle w:val="Compact"/>
              <w:spacing w:after="40"/>
              <w:jc w:val="left"/>
            </w:pPr>
            <w:r>
              <w:rPr>
                <w:sz w:val="18"/>
              </w:rPr>
              <w:t xml:space="preserve">Credit co-operative societies (State or multi-State) lending to their members through Udofin, on Finbyx or another certified LOS/LMS</w:t>
            </w:r>
          </w:p>
        </w:tc>
        <w:tc>
          <w:tcPr>
            <w:tcW w:w="2563" w:type="dxa"/>
          </w:tcPr>
          <w:p>
            <w:pPr>
              <w:pStyle w:val="Compact"/>
              <w:spacing w:after="40"/>
              <w:jc w:val="left"/>
            </w:pPr>
            <w:r>
              <w:rPr>
                <w:sz w:val="18"/>
              </w:rPr>
              <w:t xml:space="preserve">Not REs; governed by the State Co-operative Societies Act or the MSCS Act 2002 and their Registrar; never co-lenders, transferors or transferees with NBFCs (TDCR paras 7, 12(4), 97)</w:t>
            </w:r>
          </w:p>
        </w:tc>
        <w:tc>
          <w:tcPr>
            <w:tcW w:w="2826" w:type="dxa"/>
          </w:tcPr>
          <w:p>
            <w:pPr>
              <w:pStyle w:val="Compact"/>
              <w:spacing w:after="40"/>
              <w:jc w:val="left"/>
            </w:pPr>
            <w:r>
              <w:rPr>
                <w:sz w:val="18"/>
              </w:rPr>
              <w:t xml:space="preserve">Membership, share capital, deposits where the Act permits, the society’s loans and recovery</w:t>
            </w:r>
          </w:p>
        </w:tc>
      </w:tr>
      <w:tr>
        <w:tc>
          <w:tcPr>
            <w:tcW w:w="1012" w:type="dxa"/>
          </w:tcPr>
          <w:p>
            <w:pPr>
              <w:pStyle w:val="Compact"/>
              <w:spacing w:after="40"/>
              <w:jc w:val="left"/>
            </w:pPr>
            <w:r>
              <w:rPr>
                <w:bCs/>
                <w:b/>
                <w:sz w:val="18"/>
              </w:rPr>
              <w:t xml:space="preserve">Third parties</w:t>
            </w:r>
          </w:p>
        </w:tc>
        <w:tc>
          <w:tcPr>
            <w:tcW w:w="3237" w:type="dxa"/>
          </w:tcPr>
          <w:p>
            <w:pPr>
              <w:pStyle w:val="Compact"/>
              <w:spacing w:after="40"/>
              <w:jc w:val="left"/>
            </w:pPr>
            <w:r>
              <w:rPr>
                <w:sz w:val="18"/>
              </w:rPr>
              <w:t xml:space="preserve">Other LOS/LMS (incl. Fineract-based), accounting, GRC tools, legal-tech and court data, e-auction, agencies and diallers, ODR providers, KYC, credit information companies, AA, eSign, eStamp, depository, RTA, custodians and market data, payments and Razorpay, insurers, storage and workplace providers, CRM and voice providers</w:t>
            </w:r>
          </w:p>
        </w:tc>
        <w:tc>
          <w:tcPr>
            <w:tcW w:w="2563" w:type="dxa"/>
          </w:tcPr>
          <w:p>
            <w:pPr>
              <w:pStyle w:val="Compact"/>
              <w:spacing w:after="40"/>
              <w:jc w:val="left"/>
            </w:pPr>
            <w:r>
              <w:rPr>
                <w:sz w:val="18"/>
              </w:rPr>
              <w:t xml:space="preserve">Own regulation and contract</w:t>
            </w:r>
          </w:p>
        </w:tc>
        <w:tc>
          <w:tcPr>
            <w:tcW w:w="2826" w:type="dxa"/>
          </w:tcPr>
          <w:p>
            <w:pPr>
              <w:pStyle w:val="Compact"/>
              <w:spacing w:after="40"/>
              <w:jc w:val="left"/>
            </w:pPr>
            <w:r>
              <w:rPr>
                <w:sz w:val="18"/>
              </w:rPr>
              <w:t xml:space="preserve">Their own records; never RE decisions</w:t>
            </w:r>
          </w:p>
        </w:tc>
      </w:tr>
    </w:tbl>
    <w:p>
      <w:r>
        <w:pict>
          <v:rect style="width:0;height:1.5pt" o:hralign="center" o:hrstd="t" o:hr="t"/>
        </w:pict>
      </w:r>
    </w:p>
    <w:bookmarkEnd w:id="22"/>
    <w:bookmarkStart w:id="23" w:name="principles"/>
    <w:p>
      <w:pPr>
        <w:pStyle w:val="Heading1"/>
      </w:pPr>
      <w:r>
        <w:t xml:space="preserve">2 — PRINCIPLES</w:t>
      </w:r>
    </w:p>
    <w:p>
      <w:pPr>
        <w:numPr>
          <w:ilvl w:val="0"/>
          <w:numId w:val="1001"/>
        </w:numPr>
        <w:pStyle w:val="Compact"/>
      </w:pPr>
      <w:r>
        <w:rPr>
          <w:bCs/>
          <w:b/>
        </w:rPr>
        <w:t xml:space="preserve">Separate databases; contracts only.</w:t>
      </w:r>
      <w:r>
        <w:t xml:space="preserve"> </w:t>
      </w:r>
      <w:r>
        <w:t xml:space="preserve">No product touches another’s tables, stores or queues; every interaction is a registered event, API or file layout with a versioned JSON Schema.</w:t>
      </w:r>
    </w:p>
    <w:p>
      <w:pPr>
        <w:numPr>
          <w:ilvl w:val="0"/>
          <w:numId w:val="1001"/>
        </w:numPr>
        <w:pStyle w:val="Compact"/>
      </w:pPr>
      <w:r>
        <w:rPr>
          <w:bCs/>
          <w:b/>
        </w:rPr>
        <w:t xml:space="preserve">Data ownership.</w:t>
      </w:r>
      <w:r>
        <w:t xml:space="preserve"> </w:t>
      </w:r>
      <w:r>
        <w:t xml:space="preserve">One owner per canonical entity per tenant (Part 5); copies are projections with source and as-of time, never edited, reconciled daily; on conflict the owner wins and</w:t>
      </w:r>
      <w:r>
        <w:t xml:space="preserve"> </w:t>
      </w:r>
      <w:r>
        <w:rPr>
          <w:rStyle w:val="VerbatimChar"/>
        </w:rPr>
        <w:t xml:space="preserve">ReconciliationBreakRaised</w:t>
      </w:r>
      <w:r>
        <w:t xml:space="preserve"> </w:t>
      </w:r>
      <w:r>
        <w:t xml:space="preserve">is opened.</w:t>
      </w:r>
    </w:p>
    <w:p>
      <w:pPr>
        <w:numPr>
          <w:ilvl w:val="0"/>
          <w:numId w:val="1001"/>
        </w:numPr>
        <w:pStyle w:val="Compact"/>
      </w:pPr>
      <w:r>
        <w:rPr>
          <w:bCs/>
          <w:b/>
        </w:rPr>
        <w:t xml:space="preserve">Regulated decisions stay with the RE:</w:t>
      </w:r>
      <w:r>
        <w:t xml:space="preserve"> </w:t>
      </w:r>
      <w:r>
        <w:t xml:space="preserve">credit and KYC decisions, sanction, pricing, KFS, disbursement, classification, provisioning, CIC reporting, settlement and write-off approval, ADR referral, legal notices, enforcement, grievance closure (OUT para 15; KYC para 13; CF paras 6(7), 12; RSA para 16).</w:t>
      </w:r>
    </w:p>
    <w:p>
      <w:pPr>
        <w:numPr>
          <w:ilvl w:val="0"/>
          <w:numId w:val="1001"/>
        </w:numPr>
        <w:pStyle w:val="Compact"/>
      </w:pPr>
      <w:r>
        <w:rPr>
          <w:bCs/>
          <w:b/>
        </w:rPr>
        <w:t xml:space="preserve">Money never through the LSP.</w:t>
      </w:r>
      <w:r>
        <w:t xml:space="preserve"> </w:t>
      </w:r>
      <w:r>
        <w:t xml:space="preserve">RE account to borrower or permitted end-beneficiary; repayment to the RE or a co-lender-controlled escrow; no LSP pool or merchant account; LSP fees paid by the RE, never deducted from recoveries (CF para 10(1)–(5)). Equator, agencies and connectors are bound equally; validators reject any other account.</w:t>
      </w:r>
    </w:p>
    <w:p>
      <w:pPr>
        <w:numPr>
          <w:ilvl w:val="0"/>
          <w:numId w:val="1001"/>
        </w:numPr>
        <w:pStyle w:val="Compact"/>
      </w:pPr>
      <w:r>
        <w:rPr>
          <w:bCs/>
          <w:b/>
        </w:rPr>
        <w:t xml:space="preserve">Consent and purpose limitation.</w:t>
      </w:r>
      <w:r>
        <w:t xml:space="preserve"> </w:t>
      </w:r>
      <w:r>
        <w:t xml:space="preserve">Personal data travels only with a</w:t>
      </w:r>
      <w:r>
        <w:t xml:space="preserve"> </w:t>
      </w:r>
      <w:r>
        <w:rPr>
          <w:rStyle w:val="VerbatimChar"/>
        </w:rPr>
        <w:t xml:space="preserve">consentref</w:t>
      </w:r>
      <w:r>
        <w:t xml:space="preserve"> </w:t>
      </w:r>
      <w:r>
        <w:t xml:space="preserve">(purpose, named RE, categories, expiry) or a</w:t>
      </w:r>
      <w:r>
        <w:t xml:space="preserve"> </w:t>
      </w:r>
      <w:r>
        <w:rPr>
          <w:rStyle w:val="VerbatimChar"/>
        </w:rPr>
        <w:t xml:space="preserve">legalbasis</w:t>
      </w:r>
      <w:r>
        <w:t xml:space="preserve"> </w:t>
      </w:r>
      <w:r>
        <w:t xml:space="preserve">code (CF para 13(4); DPDP Act ss.7, 17(1)(a) [VERIFY: wording and commencement]), only to the RE the borrower chose.</w:t>
      </w:r>
    </w:p>
    <w:p>
      <w:pPr>
        <w:numPr>
          <w:ilvl w:val="0"/>
          <w:numId w:val="1001"/>
        </w:numPr>
        <w:pStyle w:val="Compact"/>
      </w:pPr>
      <w:r>
        <w:rPr>
          <w:bCs/>
          <w:b/>
        </w:rPr>
        <w:t xml:space="preserve">India-only residency</w:t>
      </w:r>
      <w:r>
        <w:t xml:space="preserve"> </w:t>
      </w:r>
      <w:r>
        <w:t xml:space="preserve">of data, backups, logs, event logs, DLQs and sub-processors; anything processed abroad repatriated within 24 hours (CF para 14(4); OUT para 74(vi)).</w:t>
      </w:r>
    </w:p>
    <w:p>
      <w:pPr>
        <w:numPr>
          <w:ilvl w:val="0"/>
          <w:numId w:val="1001"/>
        </w:numPr>
        <w:pStyle w:val="Compact"/>
      </w:pPr>
      <w:r>
        <w:rPr>
          <w:bCs/>
          <w:b/>
        </w:rPr>
        <w:t xml:space="preserve">Least privilege</w:t>
      </w:r>
      <w:r>
        <w:t xml:space="preserve"> </w:t>
      </w:r>
      <w:r>
        <w:t xml:space="preserve">by scope (Part 4.5); recovery and litigation data reach Udofin only as the RE-permitted LSP projection (OUT paras 15, 24).</w:t>
      </w:r>
    </w:p>
    <w:p>
      <w:pPr>
        <w:numPr>
          <w:ilvl w:val="0"/>
          <w:numId w:val="1001"/>
        </w:numPr>
        <w:pStyle w:val="Compact"/>
      </w:pPr>
      <w:r>
        <w:rPr>
          <w:bCs/>
          <w:b/>
        </w:rPr>
        <w:t xml:space="preserve">Failure containment:</w:t>
      </w:r>
      <w:r>
        <w:t xml:space="preserve"> </w:t>
      </w:r>
      <w:r>
        <w:t xml:space="preserve">each product keeps working when another fails (queues, circuit breakers, DLQs, replay, reconciliation).</w:t>
      </w:r>
    </w:p>
    <w:p>
      <w:pPr>
        <w:numPr>
          <w:ilvl w:val="0"/>
          <w:numId w:val="1001"/>
        </w:numPr>
        <w:pStyle w:val="Compact"/>
      </w:pPr>
      <w:r>
        <w:rPr>
          <w:bCs/>
          <w:b/>
        </w:rPr>
        <w:t xml:space="preserve">Versioning</w:t>
      </w:r>
      <w:r>
        <w:t xml:space="preserve"> </w:t>
      </w:r>
      <w:r>
        <w:t xml:space="preserve">of schemas, events, APIs, mappings and connectors; breaking changes get a new major with ≥ 90 days’ parallel run.</w:t>
      </w:r>
    </w:p>
    <w:p>
      <w:pPr>
        <w:numPr>
          <w:ilvl w:val="0"/>
          <w:numId w:val="1001"/>
        </w:numPr>
        <w:pStyle w:val="Compact"/>
      </w:pPr>
      <w:r>
        <w:rPr>
          <w:bCs/>
          <w:b/>
        </w:rPr>
        <w:t xml:space="preserve">Auditability:</w:t>
      </w:r>
      <w:r>
        <w:t xml:space="preserve"> </w:t>
      </w:r>
      <w:r>
        <w:t xml:space="preserve">every message signed, correlated, stored with its hash at both ends and producible to the RE, auditors and RBI (OUT paras 34, 81; CYB paras 46, 57).</w:t>
      </w:r>
    </w:p>
    <w:p>
      <w:pPr>
        <w:numPr>
          <w:ilvl w:val="0"/>
          <w:numId w:val="1001"/>
        </w:numPr>
        <w:pStyle w:val="Compact"/>
      </w:pPr>
      <w:r>
        <w:rPr>
          <w:bCs/>
          <w:b/>
        </w:rPr>
        <w:t xml:space="preserve">Prepare, validate, a human files.</w:t>
      </w:r>
      <w:r>
        <w:t xml:space="preserve"> </w:t>
      </w:r>
      <w:r>
        <w:t xml:space="preserve">Products generate, validate, reconcile, package and evidence regulatory returns, bureau files, tax returns and statutory filings; authorised humans approve and file. No regulator-portal credential, OTP, DSC PIN or session token is stored or scripted, and machine channels are used only where the regulator documents them for that entity class (Parts 6.18–6.20).</w:t>
      </w:r>
    </w:p>
    <w:p>
      <w:pPr>
        <w:numPr>
          <w:ilvl w:val="0"/>
          <w:numId w:val="1001"/>
        </w:numPr>
        <w:pStyle w:val="Compact"/>
      </w:pPr>
      <w:r>
        <w:rPr>
          <w:bCs/>
          <w:b/>
        </w:rPr>
        <w:t xml:space="preserve">Aggregates only to the Operations Hub.</w:t>
      </w:r>
      <w:r>
        <w:t xml:space="preserve"> </w:t>
      </w:r>
      <w:r>
        <w:t xml:space="preserve">The Hub receives commercial records, usage aggregates and operational metadata; never borrower, applicant, member, guarantor or depositor personal data, loan-level data or tenant HR data (Parts 4.6, 6.27).</w:t>
      </w:r>
    </w:p>
    <w:p>
      <w:pPr>
        <w:numPr>
          <w:ilvl w:val="0"/>
          <w:numId w:val="1001"/>
        </w:numPr>
        <w:pStyle w:val="Compact"/>
      </w:pPr>
      <w:r>
        <w:rPr>
          <w:bCs/>
          <w:b/>
        </w:rPr>
        <w:t xml:space="preserve">Wellness data is never shared.</w:t>
      </w:r>
      <w:r>
        <w:t xml:space="preserve"> </w:t>
      </w:r>
      <w:r>
        <w:t xml:space="preserve">Udofin’s credit-report, score-simulator and expense data live in a separate store under Udofin’s own fiduciary role, have no cross-product events and never reach an RE, Finbyx, LawDocsComply, the Hub or any RE archive (Udofin Part 7D; Part 13.2</w:t>
      </w:r>
      <w:r>
        <w:t xml:space="preserve"> </w:t>
      </w:r>
      <w:r>
        <w:rPr>
          <w:rStyle w:val="VerbatimChar"/>
        </w:rPr>
        <w:t xml:space="preserve">WELLNESS</w:t>
      </w:r>
      <w:r>
        <w:t xml:space="preserve">).</w:t>
      </w:r>
    </w:p>
    <w:p>
      <w:r>
        <w:pict>
          <v:rect style="width:0;height:1.5pt" o:hralign="center" o:hrstd="t" o:hr="t"/>
        </w:pict>
      </w:r>
    </w:p>
    <w:bookmarkEnd w:id="23"/>
    <w:bookmarkStart w:id="35" w:name="integration-architecture"/>
    <w:p>
      <w:pPr>
        <w:pStyle w:val="Heading1"/>
      </w:pPr>
      <w:r>
        <w:t xml:space="preserve">3 — INTEGRATION ARCHITECTURE</w:t>
      </w:r>
    </w:p>
    <w:bookmarkStart w:id="24" w:name="topology-and-transports"/>
    <w:p>
      <w:pPr>
        <w:pStyle w:val="Heading2"/>
      </w:pPr>
      <w:r>
        <w:t xml:space="preserve">3.1 Topology and transports</w:t>
      </w:r>
    </w:p>
    <w:p>
      <w:pPr>
        <w:pStyle w:val="FirstParagraph"/>
      </w:pPr>
      <w:r>
        <w:t xml:space="preserve">Each product exposes partner APIs through its own gateway (TLS 1.3, mTLS for machines, token and schema validation, rate limits, WAF). Events travel by</w:t>
      </w:r>
      <w:r>
        <w:t xml:space="preserve"> </w:t>
      </w:r>
      <w:r>
        <w:rPr>
          <w:bCs/>
          <w:b/>
        </w:rPr>
        <w:t xml:space="preserve">HTTP push</w:t>
      </w:r>
      <w:r>
        <w:t xml:space="preserve"> </w:t>
      </w:r>
      <w:r>
        <w:t xml:space="preserve">(default): CloudEvents structured JSON as Standard Webhooks with RFC 9421 signatures; or by</w:t>
      </w:r>
      <w:r>
        <w:t xml:space="preserve"> </w:t>
      </w:r>
      <w:r>
        <w:rPr>
          <w:bCs/>
          <w:b/>
        </w:rPr>
        <w:t xml:space="preserve">streaming</w:t>
      </w:r>
      <w:r>
        <w:t xml:space="preserve"> </w:t>
      </w:r>
      <w:r>
        <w:t xml:space="preserve">between Infrabyx products on the same AWS ap-south-1 estate (MSK or Redpanda, CloudEvents Kafka binding, one topic per domain per producer). Every producer serves</w:t>
      </w:r>
      <w:r>
        <w:t xml:space="preserve"> </w:t>
      </w:r>
      <w:r>
        <w:rPr>
          <w:rStyle w:val="VerbatimChar"/>
        </w:rPr>
        <w:t xml:space="preserve">GET /v1/events?after=[cursor]&amp;types=[list]</w:t>
      </w:r>
      <w:r>
        <w:t xml:space="preserve"> </w:t>
      </w:r>
      <w:r>
        <w:t xml:space="preserve">for catch-up; files are the fallback (3.11).</w:t>
      </w:r>
    </w:p>
    <w:bookmarkEnd w:id="24"/>
    <w:bookmarkStart w:id="25" w:name="cloudevents-1.0-envelope"/>
    <w:p>
      <w:pPr>
        <w:pStyle w:val="Heading2"/>
      </w:pPr>
      <w:r>
        <w:t xml:space="preserve">3.2 CloudEvents 1.0 envelope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65"/>
        <w:gridCol w:w="7273"/>
      </w:tblGrid>
      <w:tr>
        <w:trPr>
          <w:tblHeader w:val="true"/>
          <w:tblHeader w:val="true"/>
        </w:trPr>
        <w:tc>
          <w:tcPr>
            <w:tcW w:w="2365" w:type="dxa"/>
            <w:shd w:val="clear" w:color="auto" w:fill="1F3A5F"/>
          </w:tcPr>
          <w:p>
            <w:pPr>
              <w:pStyle w:val="Compact"/>
              <w:spacing w:after="40"/>
              <w:jc w:val="left"/>
            </w:pPr>
            <w:r>
              <w:rPr>
                <w:b/>
                <w:color w:val="FFFFFF"/>
                <w:sz w:val="18"/>
              </w:rPr>
              <w:t xml:space="preserve">Attribute</w:t>
            </w:r>
          </w:p>
        </w:tc>
        <w:tc>
          <w:tcPr>
            <w:tcW w:w="7273" w:type="dxa"/>
            <w:shd w:val="clear" w:color="auto" w:fill="1F3A5F"/>
          </w:tcPr>
          <w:p>
            <w:pPr>
              <w:pStyle w:val="Compact"/>
              <w:spacing w:after="40"/>
              <w:jc w:val="left"/>
            </w:pPr>
            <w:r>
              <w:rPr>
                <w:b/>
                <w:color w:val="FFFFFF"/>
                <w:sz w:val="18"/>
              </w:rPr>
              <w:t xml:space="preserve">Rule</w:t>
            </w:r>
          </w:p>
        </w:tc>
      </w:tr>
      <w:tr>
        <w:tc>
          <w:tcPr>
            <w:tcW w:w="2365" w:type="dxa"/>
          </w:tcPr>
          <w:p>
            <w:pPr>
              <w:pStyle w:val="Compact"/>
              <w:spacing w:after="40"/>
              <w:jc w:val="left"/>
            </w:pPr>
            <w:r>
              <w:rPr>
                <w:rStyle w:val="VerbatimChar"/>
                <w:sz w:val="18"/>
              </w:rPr>
              <w:t xml:space="preserve">id</w:t>
            </w:r>
          </w:p>
        </w:tc>
        <w:tc>
          <w:tcPr>
            <w:tcW w:w="7273" w:type="dxa"/>
          </w:tcPr>
          <w:p>
            <w:pPr>
              <w:pStyle w:val="Compact"/>
              <w:spacing w:after="40"/>
              <w:jc w:val="left"/>
            </w:pPr>
            <w:r>
              <w:rPr>
                <w:sz w:val="18"/>
              </w:rPr>
              <w:t xml:space="preserve">UUIDv7 (RFC 9562); with</w:t>
            </w:r>
            <w:r>
              <w:rPr>
                <w:sz w:val="18"/>
              </w:rPr>
              <w:t xml:space="preserve"> </w:t>
            </w:r>
            <w:r>
              <w:rPr>
                <w:rStyle w:val="VerbatimChar"/>
                <w:sz w:val="18"/>
              </w:rPr>
              <w:t xml:space="preserve">source</w:t>
            </w:r>
            <w:r>
              <w:rPr>
                <w:sz w:val="18"/>
              </w:rPr>
              <w:t xml:space="preserve">, the de-duplication key</w:t>
            </w:r>
          </w:p>
        </w:tc>
      </w:tr>
      <w:tr>
        <w:tc>
          <w:tcPr>
            <w:tcW w:w="2365" w:type="dxa"/>
          </w:tcPr>
          <w:p>
            <w:pPr>
              <w:pStyle w:val="Compact"/>
              <w:spacing w:after="40"/>
              <w:jc w:val="left"/>
            </w:pPr>
            <w:r>
              <w:rPr>
                <w:rStyle w:val="VerbatimChar"/>
                <w:sz w:val="18"/>
              </w:rPr>
              <w:t xml:space="preserve">source</w:t>
            </w:r>
          </w:p>
        </w:tc>
        <w:tc>
          <w:tcPr>
            <w:tcW w:w="7273" w:type="dxa"/>
          </w:tcPr>
          <w:p>
            <w:pPr>
              <w:pStyle w:val="Compact"/>
              <w:spacing w:after="40"/>
              <w:jc w:val="left"/>
            </w:pPr>
            <w:r>
              <w:rPr>
                <w:rStyle w:val="VerbatimChar"/>
                <w:sz w:val="18"/>
              </w:rPr>
              <w:t xml:space="preserve">urn:infrabyx:[product]:[tenantid]</w:t>
            </w:r>
            <w:r>
              <w:rPr>
                <w:sz w:val="18"/>
              </w:rPr>
              <w:t xml:space="preserve"> </w:t>
            </w:r>
            <w:r>
              <w:rPr>
                <w:sz w:val="18"/>
              </w:rPr>
              <w:t xml:space="preserve">(finbyx, udofin, oh, equator, ldc, udolex, fiapp; for</w:t>
            </w:r>
            <w:r>
              <w:rPr>
                <w:sz w:val="18"/>
              </w:rPr>
              <w:t xml:space="preserve"> </w:t>
            </w:r>
            <w:r>
              <w:rPr>
                <w:rStyle w:val="VerbatimChar"/>
                <w:sz w:val="18"/>
              </w:rPr>
              <w:t xml:space="preserve">oh</w:t>
            </w:r>
            <w:r>
              <w:rPr>
                <w:sz w:val="18"/>
              </w:rPr>
              <w:t xml:space="preserve"> </w:t>
            </w:r>
            <w:r>
              <w:rPr>
                <w:sz w:val="18"/>
              </w:rPr>
              <w:t xml:space="preserve">the tenant segment is the Infrabyx group company’s</w:t>
            </w:r>
            <w:r>
              <w:rPr>
                <w:sz w:val="18"/>
              </w:rPr>
              <w:t xml:space="preserve"> </w:t>
            </w:r>
            <w:r>
              <w:rPr>
                <w:rStyle w:val="VerbatimChar"/>
                <w:sz w:val="18"/>
              </w:rPr>
              <w:t xml:space="preserve">legal_entity_id</w:t>
            </w:r>
            <w:r>
              <w:rPr>
                <w:sz w:val="18"/>
              </w:rPr>
              <w:t xml:space="preserve">:</w:t>
            </w:r>
            <w:r>
              <w:rPr>
                <w:sz w:val="18"/>
              </w:rPr>
              <w:t xml:space="preserve"> </w:t>
            </w:r>
            <w:r>
              <w:rPr>
                <w:rStyle w:val="VerbatimChar"/>
                <w:sz w:val="18"/>
              </w:rPr>
              <w:t xml:space="preserve">urn:infrabyx:oh:[legalentityid]</w:t>
            </w:r>
            <w:r>
              <w:rPr>
                <w:sz w:val="18"/>
              </w:rPr>
              <w:t xml:space="preserve">) or</w:t>
            </w:r>
            <w:r>
              <w:rPr>
                <w:sz w:val="18"/>
              </w:rPr>
              <w:t xml:space="preserve"> </w:t>
            </w:r>
            <w:r>
              <w:rPr>
                <w:rStyle w:val="VerbatimChar"/>
                <w:sz w:val="18"/>
              </w:rPr>
              <w:t xml:space="preserve">urn:ext:[connector-id]:[tenantid]</w:t>
            </w:r>
          </w:p>
        </w:tc>
      </w:tr>
      <w:tr>
        <w:tc>
          <w:tcPr>
            <w:tcW w:w="2365" w:type="dxa"/>
          </w:tcPr>
          <w:p>
            <w:pPr>
              <w:pStyle w:val="Compact"/>
              <w:spacing w:after="40"/>
              <w:jc w:val="left"/>
            </w:pPr>
            <w:r>
              <w:rPr>
                <w:rStyle w:val="VerbatimChar"/>
                <w:sz w:val="18"/>
              </w:rPr>
              <w:t xml:space="preserve">type</w:t>
            </w:r>
          </w:p>
        </w:tc>
        <w:tc>
          <w:tcPr>
            <w:tcW w:w="7273" w:type="dxa"/>
          </w:tcPr>
          <w:p>
            <w:pPr>
              <w:pStyle w:val="Compact"/>
              <w:spacing w:after="40"/>
              <w:jc w:val="left"/>
            </w:pPr>
            <w:r>
              <w:rPr>
                <w:rStyle w:val="VerbatimChar"/>
                <w:sz w:val="18"/>
              </w:rPr>
              <w:t xml:space="preserve">in.infrabyx.[domain].[EventName].v[major]</w:t>
            </w:r>
            <w:r>
              <w:rPr>
                <w:sz w:val="18"/>
              </w:rPr>
              <w:t xml:space="preserve">,</w:t>
            </w:r>
            <w:r>
              <w:rPr>
                <w:sz w:val="18"/>
              </w:rPr>
              <w:t xml:space="preserve"> </w:t>
            </w:r>
            <w:r>
              <w:rPr>
                <w:rStyle w:val="VerbatimChar"/>
                <w:sz w:val="18"/>
              </w:rPr>
              <w:t xml:space="preserve">[EventName]</w:t>
            </w:r>
            <w:r>
              <w:rPr>
                <w:sz w:val="18"/>
              </w:rPr>
              <w:t xml:space="preserve"> </w:t>
            </w:r>
            <w:r>
              <w:rPr>
                <w:sz w:val="18"/>
              </w:rPr>
              <w:t xml:space="preserve">exactly as Part 6</w:t>
            </w:r>
          </w:p>
        </w:tc>
      </w:tr>
      <w:tr>
        <w:tc>
          <w:tcPr>
            <w:tcW w:w="2365" w:type="dxa"/>
          </w:tcPr>
          <w:p>
            <w:pPr>
              <w:pStyle w:val="Compact"/>
              <w:spacing w:after="40"/>
              <w:jc w:val="left"/>
            </w:pPr>
            <w:r>
              <w:rPr>
                <w:rStyle w:val="VerbatimChar"/>
                <w:sz w:val="18"/>
              </w:rPr>
              <w:t xml:space="preserve">subject</w:t>
            </w:r>
          </w:p>
        </w:tc>
        <w:tc>
          <w:tcPr>
            <w:tcW w:w="7273" w:type="dxa"/>
          </w:tcPr>
          <w:p>
            <w:pPr>
              <w:pStyle w:val="Compact"/>
              <w:spacing w:after="40"/>
              <w:jc w:val="left"/>
            </w:pPr>
            <w:r>
              <w:rPr>
                <w:sz w:val="18"/>
              </w:rPr>
              <w:t xml:space="preserve">Aggregate id; ordering and partition key</w:t>
            </w:r>
          </w:p>
        </w:tc>
      </w:tr>
      <w:tr>
        <w:tc>
          <w:tcPr>
            <w:tcW w:w="2365" w:type="dxa"/>
          </w:tcPr>
          <w:p>
            <w:pPr>
              <w:pStyle w:val="Compact"/>
              <w:spacing w:after="40"/>
              <w:jc w:val="left"/>
            </w:pPr>
            <w:r>
              <w:rPr>
                <w:rStyle w:val="VerbatimChar"/>
                <w:sz w:val="18"/>
              </w:rPr>
              <w:t xml:space="preserve">time</w:t>
            </w:r>
            <w:r>
              <w:rPr>
                <w:sz w:val="18"/>
              </w:rPr>
              <w:t xml:space="preserve">,</w:t>
            </w:r>
            <w:r>
              <w:rPr>
                <w:sz w:val="18"/>
              </w:rPr>
              <w:t xml:space="preserve"> </w:t>
            </w:r>
            <w:r>
              <w:rPr>
                <w:rStyle w:val="VerbatimChar"/>
                <w:sz w:val="18"/>
              </w:rPr>
              <w:t xml:space="preserve">dataschema</w:t>
            </w:r>
            <w:r>
              <w:rPr>
                <w:sz w:val="18"/>
              </w:rPr>
              <w:t xml:space="preserve">,</w:t>
            </w:r>
            <w:r>
              <w:rPr>
                <w:sz w:val="18"/>
              </w:rPr>
              <w:t xml:space="preserve"> </w:t>
            </w:r>
            <w:r>
              <w:rPr>
                <w:rStyle w:val="VerbatimChar"/>
                <w:sz w:val="18"/>
              </w:rPr>
              <w:t xml:space="preserve">data</w:t>
            </w:r>
          </w:p>
        </w:tc>
        <w:tc>
          <w:tcPr>
            <w:tcW w:w="7273" w:type="dxa"/>
          </w:tcPr>
          <w:p>
            <w:pPr>
              <w:pStyle w:val="Compact"/>
              <w:spacing w:after="40"/>
              <w:jc w:val="left"/>
            </w:pPr>
            <w:r>
              <w:rPr>
                <w:sz w:val="18"/>
              </w:rPr>
              <w:t xml:space="preserve">RFC 3339 (IST);</w:t>
            </w:r>
            <w:r>
              <w:rPr>
                <w:sz w:val="18"/>
              </w:rPr>
              <w:t xml:space="preserve"> </w:t>
            </w:r>
            <w:r>
              <w:rPr>
                <w:rStyle w:val="VerbatimChar"/>
                <w:sz w:val="18"/>
              </w:rPr>
              <w:t xml:space="preserve">[registry-base]/schemas/[domain]/[EventName]/[semver].json</w:t>
            </w:r>
            <w:r>
              <w:rPr>
                <w:sz w:val="18"/>
              </w:rPr>
              <w:t xml:space="preserve">; payload</w:t>
            </w:r>
          </w:p>
        </w:tc>
      </w:tr>
      <w:tr>
        <w:tc>
          <w:tcPr>
            <w:tcW w:w="2365" w:type="dxa"/>
          </w:tcPr>
          <w:p>
            <w:pPr>
              <w:pStyle w:val="Compact"/>
              <w:spacing w:after="40"/>
              <w:jc w:val="left"/>
            </w:pPr>
            <w:r>
              <w:rPr>
                <w:rStyle w:val="VerbatimChar"/>
                <w:sz w:val="18"/>
              </w:rPr>
              <w:t xml:space="preserve">tenantid</w:t>
            </w:r>
            <w:r>
              <w:rPr>
                <w:sz w:val="18"/>
              </w:rPr>
              <w:t xml:space="preserve">,</w:t>
            </w:r>
            <w:r>
              <w:rPr>
                <w:sz w:val="18"/>
              </w:rPr>
              <w:t xml:space="preserve"> </w:t>
            </w:r>
            <w:r>
              <w:rPr>
                <w:rStyle w:val="VerbatimChar"/>
                <w:sz w:val="18"/>
              </w:rPr>
              <w:t xml:space="preserve">reid</w:t>
            </w:r>
          </w:p>
        </w:tc>
        <w:tc>
          <w:tcPr>
            <w:tcW w:w="7273" w:type="dxa"/>
          </w:tcPr>
          <w:p>
            <w:pPr>
              <w:pStyle w:val="Compact"/>
              <w:spacing w:after="40"/>
              <w:jc w:val="left"/>
            </w:pPr>
            <w:r>
              <w:rPr>
                <w:sz w:val="18"/>
              </w:rPr>
              <w:t xml:space="preserve">Producer tenant (Part 4.1); ecosystem RE id, or for a non-RE lender its ecosystem lender id (</w:t>
            </w:r>
            <w:r>
              <w:rPr>
                <w:rStyle w:val="VerbatimChar"/>
                <w:sz w:val="18"/>
              </w:rPr>
              <w:t xml:space="preserve">lnd_</w:t>
            </w:r>
            <w:r>
              <w:rPr>
                <w:sz w:val="18"/>
              </w:rPr>
              <w:t xml:space="preserve"> </w:t>
            </w:r>
            <w:r>
              <w:rPr>
                <w:sz w:val="18"/>
              </w:rPr>
              <w:t xml:space="preserve">+ ULID, with</w:t>
            </w:r>
            <w:r>
              <w:rPr>
                <w:sz w:val="18"/>
              </w:rPr>
              <w:t xml:space="preserve"> </w:t>
            </w:r>
            <w:r>
              <w:rPr>
                <w:rStyle w:val="VerbatimChar"/>
                <w:sz w:val="18"/>
              </w:rPr>
              <w:t xml:space="preserve">lender_type</w:t>
            </w:r>
            <w:r>
              <w:rPr>
                <w:sz w:val="18"/>
              </w:rPr>
              <w:t xml:space="preserve"> </w:t>
            </w:r>
            <w:r>
              <w:rPr>
                <w:sz w:val="18"/>
              </w:rPr>
              <w:t xml:space="preserve">in the payload, Part 6.24);</w:t>
            </w:r>
            <w:r>
              <w:rPr>
                <w:sz w:val="18"/>
              </w:rPr>
              <w:t xml:space="preserve"> </w:t>
            </w:r>
            <w:r>
              <w:rPr>
                <w:rStyle w:val="VerbatimChar"/>
                <w:sz w:val="18"/>
              </w:rPr>
              <w:t xml:space="preserve">none</w:t>
            </w:r>
            <w:r>
              <w:rPr>
                <w:sz w:val="18"/>
              </w:rPr>
              <w:t xml:space="preserve"> </w:t>
            </w:r>
            <w:r>
              <w:rPr>
                <w:sz w:val="18"/>
              </w:rPr>
              <w:t xml:space="preserve">only for platform and Operations Hub internal events</w:t>
            </w:r>
          </w:p>
        </w:tc>
      </w:tr>
      <w:tr>
        <w:tc>
          <w:tcPr>
            <w:tcW w:w="2365" w:type="dxa"/>
          </w:tcPr>
          <w:p>
            <w:pPr>
              <w:pStyle w:val="Compact"/>
              <w:spacing w:after="40"/>
              <w:jc w:val="left"/>
            </w:pPr>
            <w:r>
              <w:rPr>
                <w:rStyle w:val="VerbatimChar"/>
                <w:sz w:val="18"/>
              </w:rPr>
              <w:t xml:space="preserve">productfamily</w:t>
            </w:r>
          </w:p>
        </w:tc>
        <w:tc>
          <w:tcPr>
            <w:tcW w:w="7273" w:type="dxa"/>
          </w:tcPr>
          <w:p>
            <w:pPr>
              <w:pStyle w:val="Compact"/>
              <w:spacing w:after="40"/>
              <w:jc w:val="left"/>
            </w:pPr>
            <w:r>
              <w:rPr>
                <w:sz w:val="18"/>
              </w:rPr>
              <w:t xml:space="preserve">PL, PDL, MSME, LAP, HL, VL, GOLD, LAS, LAMF, CD, MFI, SCF, MED, LEF, RF, DR, CORP, STAFF, DCL, EDU, PF (codes as Finbyx Part 6.3.3); co-lent loans</w:t>
            </w:r>
            <w:r>
              <w:rPr>
                <w:sz w:val="18"/>
              </w:rPr>
              <w:t xml:space="preserve"> </w:t>
            </w:r>
            <w:r>
              <w:rPr>
                <w:rStyle w:val="VerbatimChar"/>
                <w:sz w:val="18"/>
              </w:rPr>
              <w:t xml:space="preserve">CLN-[base]</w:t>
            </w:r>
            <w:r>
              <w:rPr>
                <w:sz w:val="18"/>
              </w:rPr>
              <w:t xml:space="preserve"> </w:t>
            </w:r>
            <w:r>
              <w:rPr>
                <w:sz w:val="18"/>
              </w:rPr>
              <w:t xml:space="preserve">(e.g. </w:t>
            </w:r>
            <w:r>
              <w:rPr>
                <w:rStyle w:val="VerbatimChar"/>
                <w:sz w:val="18"/>
              </w:rPr>
              <w:t xml:space="preserve">CLN-PL</w:t>
            </w:r>
            <w:r>
              <w:rPr>
                <w:sz w:val="18"/>
              </w:rPr>
              <w:t xml:space="preserve">);</w:t>
            </w:r>
            <w:r>
              <w:rPr>
                <w:sz w:val="18"/>
              </w:rPr>
              <w:t xml:space="preserve"> </w:t>
            </w:r>
            <w:r>
              <w:rPr>
                <w:rStyle w:val="VerbatimChar"/>
                <w:sz w:val="18"/>
              </w:rPr>
              <w:t xml:space="preserve">na</w:t>
            </w:r>
            <w:r>
              <w:rPr>
                <w:sz w:val="18"/>
              </w:rPr>
              <w:t xml:space="preserve"> </w:t>
            </w:r>
            <w:r>
              <w:rPr>
                <w:sz w:val="18"/>
              </w:rPr>
              <w:t xml:space="preserve">for non-loan events</w:t>
            </w:r>
          </w:p>
        </w:tc>
      </w:tr>
      <w:tr>
        <w:tc>
          <w:tcPr>
            <w:tcW w:w="2365" w:type="dxa"/>
          </w:tcPr>
          <w:p>
            <w:pPr>
              <w:pStyle w:val="Compact"/>
              <w:spacing w:after="40"/>
              <w:jc w:val="left"/>
            </w:pPr>
            <w:r>
              <w:rPr>
                <w:rStyle w:val="VerbatimChar"/>
                <w:sz w:val="18"/>
              </w:rPr>
              <w:t xml:space="preserve">correlationid</w:t>
            </w:r>
            <w:r>
              <w:rPr>
                <w:sz w:val="18"/>
              </w:rPr>
              <w:t xml:space="preserve">,</w:t>
            </w:r>
            <w:r>
              <w:rPr>
                <w:sz w:val="18"/>
              </w:rPr>
              <w:t xml:space="preserve"> </w:t>
            </w:r>
            <w:r>
              <w:rPr>
                <w:rStyle w:val="VerbatimChar"/>
                <w:sz w:val="18"/>
              </w:rPr>
              <w:t xml:space="preserve">causationid</w:t>
            </w:r>
          </w:p>
        </w:tc>
        <w:tc>
          <w:tcPr>
            <w:tcW w:w="7273" w:type="dxa"/>
          </w:tcPr>
          <w:p>
            <w:pPr>
              <w:pStyle w:val="Compact"/>
              <w:spacing w:after="40"/>
              <w:jc w:val="left"/>
            </w:pPr>
            <w:r>
              <w:rPr>
                <w:sz w:val="18"/>
              </w:rPr>
              <w:t xml:space="preserve">Journey id; id of the causing event or request</w:t>
            </w:r>
          </w:p>
        </w:tc>
      </w:tr>
      <w:tr>
        <w:tc>
          <w:tcPr>
            <w:tcW w:w="2365" w:type="dxa"/>
          </w:tcPr>
          <w:p>
            <w:pPr>
              <w:pStyle w:val="Compact"/>
              <w:spacing w:after="40"/>
              <w:jc w:val="left"/>
            </w:pPr>
            <w:r>
              <w:rPr>
                <w:rStyle w:val="VerbatimChar"/>
                <w:sz w:val="18"/>
              </w:rPr>
              <w:t xml:space="preserve">consentref</w:t>
            </w:r>
            <w:r>
              <w:rPr>
                <w:sz w:val="18"/>
              </w:rPr>
              <w:t xml:space="preserve"> </w:t>
            </w:r>
            <w:r>
              <w:rPr>
                <w:sz w:val="18"/>
              </w:rPr>
              <w:t xml:space="preserve">or</w:t>
            </w:r>
            <w:r>
              <w:rPr>
                <w:sz w:val="18"/>
              </w:rPr>
              <w:t xml:space="preserve"> </w:t>
            </w:r>
            <w:r>
              <w:rPr>
                <w:rStyle w:val="VerbatimChar"/>
                <w:sz w:val="18"/>
              </w:rPr>
              <w:t xml:space="preserve">legalbasis</w:t>
            </w:r>
          </w:p>
        </w:tc>
        <w:tc>
          <w:tcPr>
            <w:tcW w:w="7273" w:type="dxa"/>
          </w:tcPr>
          <w:p>
            <w:pPr>
              <w:pStyle w:val="Compact"/>
              <w:spacing w:after="40"/>
              <w:jc w:val="left"/>
            </w:pPr>
            <w:r>
              <w:rPr>
                <w:sz w:val="18"/>
              </w:rPr>
              <w:t xml:space="preserve">Required with personal data;</w:t>
            </w:r>
            <w:r>
              <w:rPr>
                <w:sz w:val="18"/>
              </w:rPr>
              <w:t xml:space="preserve"> </w:t>
            </w:r>
            <w:r>
              <w:rPr>
                <w:rStyle w:val="VerbatimChar"/>
                <w:sz w:val="18"/>
              </w:rPr>
              <w:t xml:space="preserve">legalbasis</w:t>
            </w:r>
            <w:r>
              <w:rPr>
                <w:sz w:val="18"/>
              </w:rPr>
              <w:t xml:space="preserve"> </w:t>
            </w:r>
            <w:r>
              <w:rPr>
                <w:sz w:val="18"/>
              </w:rPr>
              <w:t xml:space="preserve">∈ STATUTORY_REPORTING, LEGAL_CLAIM, CONTRACT_PERFORMANCE_RE, REGULATOR_REQUEST; from v1.1 CONTRACT_PERFORMANCE_VENDOR (business contact data of a customer’s staff exchanged under the customer’s contract with an Infrabyx company, e.g. the first-admin work email in</w:t>
            </w:r>
            <w:r>
              <w:rPr>
                <w:sz w:val="18"/>
              </w:rPr>
              <w:t xml:space="preserve"> </w:t>
            </w:r>
            <w:r>
              <w:rPr>
                <w:rStyle w:val="VerbatimChar"/>
                <w:sz w:val="18"/>
              </w:rPr>
              <w:t xml:space="preserve">TenantProvisioned</w:t>
            </w:r>
            <w:r>
              <w:rPr>
                <w:sz w:val="18"/>
              </w:rPr>
              <w:t xml:space="preserve">; never borrower, member or loan data)</w:t>
            </w:r>
          </w:p>
        </w:tc>
      </w:tr>
      <w:tr>
        <w:tc>
          <w:tcPr>
            <w:tcW w:w="2365" w:type="dxa"/>
          </w:tcPr>
          <w:p>
            <w:pPr>
              <w:pStyle w:val="Compact"/>
              <w:spacing w:after="40"/>
              <w:jc w:val="left"/>
            </w:pPr>
            <w:r>
              <w:rPr>
                <w:rStyle w:val="VerbatimChar"/>
                <w:sz w:val="18"/>
              </w:rPr>
              <w:t xml:space="preserve">dataclass</w:t>
            </w:r>
            <w:r>
              <w:rPr>
                <w:sz w:val="18"/>
              </w:rPr>
              <w:t xml:space="preserve">,</w:t>
            </w:r>
            <w:r>
              <w:rPr>
                <w:sz w:val="18"/>
              </w:rPr>
              <w:t xml:space="preserve"> </w:t>
            </w:r>
            <w:r>
              <w:rPr>
                <w:rStyle w:val="VerbatimChar"/>
                <w:sz w:val="18"/>
              </w:rPr>
              <w:t xml:space="preserve">schemaver</w:t>
            </w:r>
            <w:r>
              <w:rPr>
                <w:sz w:val="18"/>
              </w:rPr>
              <w:t xml:space="preserve">,</w:t>
            </w:r>
            <w:r>
              <w:rPr>
                <w:sz w:val="18"/>
              </w:rPr>
              <w:t xml:space="preserve"> </w:t>
            </w:r>
            <w:r>
              <w:rPr>
                <w:rStyle w:val="VerbatimChar"/>
                <w:sz w:val="18"/>
              </w:rPr>
              <w:t xml:space="preserve">seq</w:t>
            </w:r>
            <w:r>
              <w:rPr>
                <w:sz w:val="18"/>
              </w:rPr>
              <w:t xml:space="preserve">,</w:t>
            </w:r>
            <w:r>
              <w:rPr>
                <w:sz w:val="18"/>
              </w:rPr>
              <w:t xml:space="preserve"> </w:t>
            </w:r>
            <w:r>
              <w:rPr>
                <w:rStyle w:val="VerbatimChar"/>
                <w:sz w:val="18"/>
              </w:rPr>
              <w:t xml:space="preserve">traceparent</w:t>
            </w:r>
          </w:p>
        </w:tc>
        <w:tc>
          <w:tcPr>
            <w:tcW w:w="7273" w:type="dxa"/>
          </w:tcPr>
          <w:p>
            <w:pPr>
              <w:pStyle w:val="Compact"/>
              <w:spacing w:after="40"/>
              <w:jc w:val="left"/>
            </w:pPr>
            <w:r>
              <w:rPr>
                <w:sz w:val="18"/>
              </w:rPr>
              <w:t xml:space="preserve">Highest class (13.2); full schema semver; per-subject sequence; W3C Trace Context</w:t>
            </w:r>
          </w:p>
        </w:tc>
      </w:tr>
    </w:tbl>
    <w:p>
      <w:pPr>
        <w:pStyle w:val="BodyText"/>
      </w:pPr>
      <w:r>
        <w:rPr>
          <w:rStyle w:val="VerbatimChar"/>
        </w:rPr>
        <w:t xml:space="preserve">specversion</w:t>
      </w:r>
      <w:r>
        <w:t xml:space="preserve"> </w:t>
      </w:r>
      <w:r>
        <w:t xml:space="preserve">1.0 (spec 1.0.2), JSON content. Consumers reject invalid events, personal data without</w:t>
      </w:r>
      <w:r>
        <w:t xml:space="preserve"> </w:t>
      </w:r>
      <w:r>
        <w:rPr>
          <w:rStyle w:val="VerbatimChar"/>
        </w:rPr>
        <w:t xml:space="preserve">consentref</w:t>
      </w:r>
      <w:r>
        <w:t xml:space="preserve"> </w:t>
      </w:r>
      <w:r>
        <w:t xml:space="preserve">or</w:t>
      </w:r>
      <w:r>
        <w:t xml:space="preserve"> </w:t>
      </w:r>
      <w:r>
        <w:rPr>
          <w:rStyle w:val="VerbatimChar"/>
        </w:rPr>
        <w:t xml:space="preserve">legalbasis</w:t>
      </w:r>
      <w:r>
        <w:t xml:space="preserve">, and unmapped</w:t>
      </w:r>
      <w:r>
        <w:t xml:space="preserve"> </w:t>
      </w:r>
      <w:r>
        <w:rPr>
          <w:rStyle w:val="VerbatimChar"/>
        </w:rPr>
        <w:t xml:space="preserve">reid</w:t>
      </w:r>
      <w:r>
        <w:t xml:space="preserve">s.</w:t>
      </w:r>
    </w:p>
    <w:bookmarkEnd w:id="25"/>
    <w:bookmarkStart w:id="26" w:name="contracts-and-registry"/>
    <w:p>
      <w:pPr>
        <w:pStyle w:val="Heading2"/>
      </w:pPr>
      <w:r>
        <w:t xml:space="preserve">3.3 Contracts and registry</w:t>
      </w:r>
    </w:p>
    <w:p>
      <w:pPr>
        <w:pStyle w:val="FirstParagraph"/>
      </w:pPr>
      <w:r>
        <w:rPr>
          <w:rStyle w:val="VerbatimChar"/>
        </w:rPr>
        <w:t xml:space="preserve">infrabyx-contracts</w:t>
      </w:r>
      <w:r>
        <w:t xml:space="preserve"> </w:t>
      </w:r>
      <w:r>
        <w:t xml:space="preserve">holds this specification, JSON Schema 2020-12 documents, OpenAPI 3.1 (3.2 only for streaming after an ADR) and AsyncAPI 3.0 documents, code tables, mapping packs and the certification suite. An India-hosted registry serves immutable versions; compatibility is</w:t>
      </w:r>
      <w:r>
        <w:t xml:space="preserve"> </w:t>
      </w:r>
      <w:r>
        <w:rPr>
          <w:bCs/>
          <w:b/>
        </w:rPr>
        <w:t xml:space="preserve">BACKWARD</w:t>
      </w:r>
      <w:r>
        <w:t xml:space="preserve"> </w:t>
      </w:r>
      <w:r>
        <w:t xml:space="preserve">(minors add optional fields or</w:t>
      </w:r>
      <w:r>
        <w:t xml:space="preserve"> </w:t>
      </w:r>
      <w:r>
        <w:rPr>
          <w:rStyle w:val="VerbatimChar"/>
        </w:rPr>
        <w:t xml:space="preserve">x-extensible-enum</w:t>
      </w:r>
      <w:r>
        <w:t xml:space="preserve"> </w:t>
      </w:r>
      <w:r>
        <w:t xml:space="preserve">values only). Paths</w:t>
      </w:r>
      <w:r>
        <w:t xml:space="preserve"> </w:t>
      </w:r>
      <w:r>
        <w:rPr>
          <w:rStyle w:val="VerbatimChar"/>
        </w:rPr>
        <w:t xml:space="preserve">/v[major]/</w:t>
      </w:r>
      <w:r>
        <w:t xml:space="preserve">,</w:t>
      </w:r>
      <w:r>
        <w:t xml:space="preserve"> </w:t>
      </w:r>
      <w:r>
        <w:rPr>
          <w:rStyle w:val="VerbatimChar"/>
        </w:rPr>
        <w:t xml:space="preserve">snake_case</w:t>
      </w:r>
      <w:r>
        <w:t xml:space="preserve"> </w:t>
      </w:r>
      <w:r>
        <w:t xml:space="preserve">fields,</w:t>
      </w:r>
      <w:r>
        <w:t xml:space="preserve"> </w:t>
      </w:r>
      <w:r>
        <w:rPr>
          <w:rStyle w:val="VerbatimChar"/>
        </w:rPr>
        <w:t xml:space="preserve">UPPER_SNAKE_CASE</w:t>
      </w:r>
      <w:r>
        <w:t xml:space="preserve"> </w:t>
      </w:r>
      <w:r>
        <w:t xml:space="preserve">enums, prefixed opaque ids, cursor pagination (</w:t>
      </w:r>
      <w:r>
        <w:rPr>
          <w:rStyle w:val="VerbatimChar"/>
        </w:rPr>
        <w:t xml:space="preserve">limit</w:t>
      </w:r>
      <w:r>
        <w:t xml:space="preserve"> </w:t>
      </w:r>
      <w:r>
        <w:t xml:space="preserve">≤ 500),</w:t>
      </w:r>
      <w:r>
        <w:t xml:space="preserve"> </w:t>
      </w:r>
      <w:r>
        <w:rPr>
          <w:rStyle w:val="VerbatimChar"/>
        </w:rPr>
        <w:t xml:space="preserve">updated_since</w:t>
      </w:r>
      <w:r>
        <w:t xml:space="preserve"> </w:t>
      </w:r>
      <w:r>
        <w:t xml:space="preserve">on reconciliation lists. Products pin versions in</w:t>
      </w:r>
      <w:r>
        <w:t xml:space="preserve"> </w:t>
      </w:r>
      <w:r>
        <w:rPr>
          <w:rStyle w:val="VerbatimChar"/>
        </w:rPr>
        <w:t xml:space="preserve">contracts.lock</w:t>
      </w:r>
      <w:r>
        <w:t xml:space="preserve">; Pact consumer-driven tests gate every deployment.</w:t>
      </w:r>
    </w:p>
    <w:bookmarkEnd w:id="26"/>
    <w:bookmarkStart w:id="27" w:name="webhooks-and-idempotency"/>
    <w:p>
      <w:pPr>
        <w:pStyle w:val="Heading2"/>
      </w:pPr>
      <w:r>
        <w:t xml:space="preserve">3.4 Webhooks and idempotency</w:t>
      </w:r>
    </w:p>
    <w:p>
      <w:pPr>
        <w:numPr>
          <w:ilvl w:val="0"/>
          <w:numId w:val="1002"/>
        </w:numPr>
        <w:pStyle w:val="Compact"/>
      </w:pPr>
      <w:r>
        <w:rPr>
          <w:bCs/>
          <w:b/>
        </w:rPr>
        <w:t xml:space="preserve">Standard Webhooks:</w:t>
      </w:r>
      <w:r>
        <w:t xml:space="preserve"> </w:t>
      </w:r>
      <w:r>
        <w:rPr>
          <w:rStyle w:val="VerbatimChar"/>
        </w:rPr>
        <w:t xml:space="preserve">webhook-id</w:t>
      </w:r>
      <w:r>
        <w:t xml:space="preserve"> </w:t>
      </w:r>
      <w:r>
        <w:t xml:space="preserve">(=</w:t>
      </w:r>
      <w:r>
        <w:t xml:space="preserve"> </w:t>
      </w:r>
      <w:r>
        <w:rPr>
          <w:rStyle w:val="VerbatimChar"/>
        </w:rPr>
        <w:t xml:space="preserve">id</w:t>
      </w:r>
      <w:r>
        <w:t xml:space="preserve">),</w:t>
      </w:r>
      <w:r>
        <w:t xml:space="preserve"> </w:t>
      </w:r>
      <w:r>
        <w:rPr>
          <w:rStyle w:val="VerbatimChar"/>
        </w:rPr>
        <w:t xml:space="preserve">webhook-timestamp</w:t>
      </w:r>
      <w:r>
        <w:t xml:space="preserve">,</w:t>
      </w:r>
      <w:r>
        <w:t xml:space="preserve"> </w:t>
      </w:r>
      <w:r>
        <w:rPr>
          <w:rStyle w:val="VerbatimChar"/>
        </w:rPr>
        <w:t xml:space="preserve">webhook-signature</w:t>
      </w:r>
      <w:r>
        <w:t xml:space="preserve"> </w:t>
      </w:r>
      <w:r>
        <w:t xml:space="preserve">(HMAC-SHA256 over</w:t>
      </w:r>
      <w:r>
        <w:t xml:space="preserve"> </w:t>
      </w:r>
      <w:r>
        <w:rPr>
          <w:rStyle w:val="VerbatimChar"/>
        </w:rPr>
        <w:t xml:space="preserve">id.timestamp.body</w:t>
      </w:r>
      <w:r>
        <w:t xml:space="preserve">,</w:t>
      </w:r>
      <w:r>
        <w:t xml:space="preserve"> </w:t>
      </w:r>
      <w:r>
        <w:rPr>
          <w:rStyle w:val="VerbatimChar"/>
        </w:rPr>
        <w:t xml:space="preserve">whsec_</w:t>
      </w:r>
      <w:r>
        <w:t xml:space="preserve"> </w:t>
      </w:r>
      <w:r>
        <w:t xml:space="preserve">secret); Infrabyx-to-Infrabyx deliveries add RFC 9421. Timestamps more than 5 minutes off are rejected.</w:t>
      </w:r>
    </w:p>
    <w:p>
      <w:pPr>
        <w:numPr>
          <w:ilvl w:val="0"/>
          <w:numId w:val="1002"/>
        </w:numPr>
        <w:pStyle w:val="Compact"/>
      </w:pPr>
      <w:r>
        <w:rPr>
          <w:bCs/>
          <w:b/>
        </w:rPr>
        <w:t xml:space="preserve">At-least-once:</w:t>
      </w:r>
      <w:r>
        <w:t xml:space="preserve"> </w:t>
      </w:r>
      <w:r>
        <w:rPr>
          <w:rStyle w:val="VerbatimChar"/>
        </w:rPr>
        <w:t xml:space="preserve">2xx</w:t>
      </w:r>
      <w:r>
        <w:t xml:space="preserve"> </w:t>
      </w:r>
      <w:r>
        <w:t xml:space="preserve">only after durable inbox write; exponential back-off with jitter for 72 hours, then DLQ and alert to both sides.</w:t>
      </w:r>
    </w:p>
    <w:p>
      <w:pPr>
        <w:numPr>
          <w:ilvl w:val="0"/>
          <w:numId w:val="1002"/>
        </w:numPr>
        <w:pStyle w:val="Compact"/>
      </w:pPr>
      <w:r>
        <w:rPr>
          <w:bCs/>
          <w:b/>
        </w:rPr>
        <w:t xml:space="preserve">Idempotency-Key</w:t>
      </w:r>
      <w:r>
        <w:t xml:space="preserve"> </w:t>
      </w:r>
      <w:r>
        <w:t xml:space="preserve">(UUIDv7) on every state-changing request (</w:t>
      </w:r>
      <w:r>
        <w:rPr>
          <w:rStyle w:val="VerbatimChar"/>
        </w:rPr>
        <w:t xml:space="preserve">draft-ietf-httpapi-idempotency-key-header</w:t>
      </w:r>
      <w:r>
        <w:t xml:space="preserve">, still a draft [VERIFY: status]); stored with body hash and response ≥ 24 hours (7 days for money); same key with a different body returns 422 and a retry while the original is still processing returns 409, as the draft specifies.</w:t>
      </w:r>
    </w:p>
    <w:p>
      <w:pPr>
        <w:numPr>
          <w:ilvl w:val="0"/>
          <w:numId w:val="1002"/>
        </w:numPr>
        <w:pStyle w:val="Compact"/>
      </w:pPr>
      <w:r>
        <w:rPr>
          <w:bCs/>
          <w:b/>
        </w:rPr>
        <w:t xml:space="preserve">Business keys</w:t>
      </w:r>
      <w:r>
        <w:t xml:space="preserve"> </w:t>
      </w:r>
      <w:r>
        <w:t xml:space="preserve">(Part 6) are unique constraints at the consumer.</w:t>
      </w:r>
    </w:p>
    <w:bookmarkEnd w:id="27"/>
    <w:bookmarkStart w:id="28" w:name="outbox-inbox-ordering-and-replay"/>
    <w:p>
      <w:pPr>
        <w:pStyle w:val="Heading2"/>
      </w:pPr>
      <w:r>
        <w:t xml:space="preserve">3.5 Outbox, inbox, ordering and replay</w:t>
      </w:r>
    </w:p>
    <w:p>
      <w:pPr>
        <w:pStyle w:val="FirstParagraph"/>
      </w:pPr>
      <w:r>
        <w:t xml:space="preserve">Producers write to a transactional outbox with the state change; consumers store</w:t>
      </w:r>
      <w:r>
        <w:t xml:space="preserve"> </w:t>
      </w:r>
      <w:r>
        <w:rPr>
          <w:rStyle w:val="VerbatimChar"/>
        </w:rPr>
        <w:t xml:space="preserve">(source, id)</w:t>
      </w:r>
      <w:r>
        <w:t xml:space="preserve"> </w:t>
      </w:r>
      <w:r>
        <w:t xml:space="preserve">and the business key before processing. Order is guaranteed per</w:t>
      </w:r>
      <w:r>
        <w:t xml:space="preserve"> </w:t>
      </w:r>
      <w:r>
        <w:rPr>
          <w:rStyle w:val="VerbatimChar"/>
        </w:rPr>
        <w:t xml:space="preserve">subject</w:t>
      </w:r>
      <w:r>
        <w:t xml:space="preserve"> </w:t>
      </w:r>
      <w:r>
        <w:t xml:space="preserve">by</w:t>
      </w:r>
      <w:r>
        <w:t xml:space="preserve"> </w:t>
      </w:r>
      <w:r>
        <w:rPr>
          <w:rStyle w:val="VerbatimChar"/>
        </w:rPr>
        <w:t xml:space="preserve">seq</w:t>
      </w:r>
      <w:r>
        <w:t xml:space="preserve">; gaps are parked 15 minutes, then replayed, else</w:t>
      </w:r>
      <w:r>
        <w:t xml:space="preserve"> </w:t>
      </w:r>
      <w:r>
        <w:rPr>
          <w:rStyle w:val="VerbatimChar"/>
        </w:rPr>
        <w:t xml:space="preserve">ReconciliationBreakRaised</w:t>
      </w:r>
      <w:r>
        <w:t xml:space="preserve">. Replay retention ≥ 90 days (365 for collateral, recovery, ADR, litigation and DLG); owners expose</w:t>
      </w:r>
      <w:r>
        <w:t xml:space="preserve"> </w:t>
      </w:r>
      <w:r>
        <w:rPr>
          <w:rStyle w:val="VerbatimChar"/>
        </w:rPr>
        <w:t xml:space="preserve">GET /v1/[aggregate]/{id}</w:t>
      </w:r>
      <w:r>
        <w:t xml:space="preserve"> </w:t>
      </w:r>
      <w:r>
        <w:t xml:space="preserve">snapshots with the last</w:t>
      </w:r>
      <w:r>
        <w:t xml:space="preserve"> </w:t>
      </w:r>
      <w:r>
        <w:rPr>
          <w:rStyle w:val="VerbatimChar"/>
        </w:rPr>
        <w:t xml:space="preserve">seq</w:t>
      </w:r>
      <w:r>
        <w:t xml:space="preserve">.</w:t>
      </w:r>
    </w:p>
    <w:bookmarkEnd w:id="28"/>
    <w:bookmarkStart w:id="29" w:name="tokens-signatures-and-documents"/>
    <w:p>
      <w:pPr>
        <w:pStyle w:val="Heading2"/>
      </w:pPr>
      <w:r>
        <w:t xml:space="preserve">3.6 Tokens, signatures and documents</w:t>
      </w:r>
    </w:p>
    <w:p>
      <w:pPr>
        <w:numPr>
          <w:ilvl w:val="0"/>
          <w:numId w:val="1003"/>
        </w:numPr>
        <w:pStyle w:val="Compact"/>
      </w:pPr>
      <w:r>
        <w:rPr>
          <w:bCs/>
          <w:b/>
        </w:rPr>
        <w:t xml:space="preserve">Machine clients:</w:t>
      </w:r>
      <w:r>
        <w:t xml:space="preserve"> </w:t>
      </w:r>
      <w:r>
        <w:t xml:space="preserve">OAuth client credentials profiled to the OAuth 2.1 draft [VERIFY: status] and RFC 9700; certificate-bound (RFC 8705) or</w:t>
      </w:r>
      <w:r>
        <w:t xml:space="preserve"> </w:t>
      </w:r>
      <w:r>
        <w:rPr>
          <w:rStyle w:val="VerbatimChar"/>
        </w:rPr>
        <w:t xml:space="preserve">private_key_jwt</w:t>
      </w:r>
      <w:r>
        <w:t xml:space="preserve"> </w:t>
      </w:r>
      <w:r>
        <w:t xml:space="preserve">(RFC 7523); tokens ≤ 10 minutes, audience-restricted.</w:t>
      </w:r>
    </w:p>
    <w:p>
      <w:pPr>
        <w:numPr>
          <w:ilvl w:val="0"/>
          <w:numId w:val="1003"/>
        </w:numPr>
        <w:pStyle w:val="Compact"/>
      </w:pPr>
      <w:r>
        <w:rPr>
          <w:bCs/>
          <w:b/>
        </w:rPr>
        <w:t xml:space="preserve">Borrower-delegated access</w:t>
      </w:r>
      <w:r>
        <w:t xml:space="preserve"> </w:t>
      </w:r>
      <w:r>
        <w:t xml:space="preserve">(an LSP or app acting for a borrower against RE APIs, e.g. drawdowns):</w:t>
      </w:r>
      <w:r>
        <w:t xml:space="preserve"> </w:t>
      </w:r>
      <w:r>
        <w:rPr>
          <w:bCs/>
          <w:b/>
        </w:rPr>
        <w:t xml:space="preserve">FAPI 2.0 Security Profile</w:t>
      </w:r>
      <w:r>
        <w:t xml:space="preserve"> </w:t>
      </w:r>
      <w:r>
        <w:t xml:space="preserve">(Final, Feb 2025) with PAR (RFC 9126), PKCE, mTLS or DPoP (RFC 9449), passing</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w:t>
      </w:r>
      <w:r>
        <w:t xml:space="preserve"> </w:t>
      </w:r>
      <w:r>
        <w:rPr>
          <w:bCs/>
          <w:b/>
        </w:rPr>
        <w:t xml:space="preserve">Token exchange</w:t>
      </w:r>
      <w:r>
        <w:t xml:space="preserve"> </w:t>
      </w:r>
      <w:r>
        <w:t xml:space="preserve">(RFC 8693) for Equator launch (4.4).</w:t>
      </w:r>
    </w:p>
    <w:p>
      <w:pPr>
        <w:numPr>
          <w:ilvl w:val="0"/>
          <w:numId w:val="1003"/>
        </w:numPr>
        <w:pStyle w:val="Compact"/>
      </w:pPr>
      <w:r>
        <w:rPr>
          <w:bCs/>
          <w:b/>
        </w:rPr>
        <w:t xml:space="preserve">mTLS</w:t>
      </w:r>
      <w:r>
        <w:t xml:space="preserve"> </w:t>
      </w:r>
      <w:r>
        <w:t xml:space="preserve">with Infrabyx Ecosystem PKI certificates (separate sandbox and production CAs, ≤ 397 days, automated rotation).</w:t>
      </w:r>
    </w:p>
    <w:p>
      <w:pPr>
        <w:numPr>
          <w:ilvl w:val="0"/>
          <w:numId w:val="1003"/>
        </w:numPr>
        <w:pStyle w:val="Compact"/>
      </w:pPr>
      <w:r>
        <w:rPr>
          <w:bCs/>
          <w:b/>
        </w:rPr>
        <w:t xml:space="preserve">RFC 9421</w:t>
      </w:r>
      <w:r>
        <w:t xml:space="preserve"> </w:t>
      </w:r>
      <w:r>
        <w:t xml:space="preserve">(</w:t>
      </w:r>
      <w:r>
        <w:rPr>
          <w:rStyle w:val="VerbatimChar"/>
        </w:rPr>
        <w:t xml:space="preserve">ed25519</w:t>
      </w:r>
      <w:r>
        <w:t xml:space="preserve">) on Infrabyx-to-Infrabyx calls, webhooks and regulated messages, covering the components</w:t>
      </w:r>
      <w:r>
        <w:t xml:space="preserve"> </w:t>
      </w:r>
      <w:r>
        <w:rPr>
          <w:rStyle w:val="VerbatimChar"/>
        </w:rPr>
        <w:t xml:space="preserve">@method</w:t>
      </w:r>
      <w:r>
        <w:t xml:space="preserve">,</w:t>
      </w:r>
      <w:r>
        <w:t xml:space="preserve"> </w:t>
      </w:r>
      <w:r>
        <w:rPr>
          <w:rStyle w:val="VerbatimChar"/>
        </w:rPr>
        <w:t xml:space="preserve">@target-uri</w:t>
      </w:r>
      <w:r>
        <w:t xml:space="preserve">,</w:t>
      </w:r>
      <w:r>
        <w:t xml:space="preserve"> </w:t>
      </w:r>
      <w:r>
        <w:rPr>
          <w:rStyle w:val="VerbatimChar"/>
        </w:rPr>
        <w:t xml:space="preserve">content-digest</w:t>
      </w:r>
      <w:r>
        <w:t xml:space="preserve"> </w:t>
      </w:r>
      <w:r>
        <w:t xml:space="preserve">(RFC 9530),</w:t>
      </w:r>
      <w:r>
        <w:t xml:space="preserve"> </w:t>
      </w:r>
      <w:r>
        <w:rPr>
          <w:rStyle w:val="VerbatimChar"/>
        </w:rPr>
        <w:t xml:space="preserve">content-type</w:t>
      </w:r>
      <w:r>
        <w:t xml:space="preserve"> </w:t>
      </w:r>
      <w:r>
        <w:t xml:space="preserve">and</w:t>
      </w:r>
      <w:r>
        <w:t xml:space="preserve"> </w:t>
      </w:r>
      <w:r>
        <w:rPr>
          <w:rStyle w:val="VerbatimChar"/>
        </w:rPr>
        <w:t xml:space="preserve">idempotency-key</w:t>
      </w:r>
      <w:r>
        <w:t xml:space="preserve">, with the signature parameters</w:t>
      </w:r>
      <w:r>
        <w:t xml:space="preserve"> </w:t>
      </w:r>
      <w:r>
        <w:rPr>
          <w:rStyle w:val="VerbatimChar"/>
        </w:rPr>
        <w:t xml:space="preserve">created</w:t>
      </w:r>
      <w:r>
        <w:t xml:space="preserve">,</w:t>
      </w:r>
      <w:r>
        <w:t xml:space="preserve"> </w:t>
      </w:r>
      <w:r>
        <w:rPr>
          <w:rStyle w:val="VerbatimChar"/>
        </w:rPr>
        <w:t xml:space="preserve">keyid</w:t>
      </w:r>
      <w:r>
        <w:t xml:space="preserve"> </w:t>
      </w:r>
      <w:r>
        <w:t xml:space="preserve">and</w:t>
      </w:r>
      <w:r>
        <w:t xml:space="preserve"> </w:t>
      </w:r>
      <w:r>
        <w:rPr>
          <w:rStyle w:val="VerbatimChar"/>
        </w:rPr>
        <w:t xml:space="preserve">alg</w:t>
      </w:r>
      <w:r>
        <w:t xml:space="preserve">; keys in India KMS or HSM, JWKS per product and environment.</w:t>
      </w:r>
    </w:p>
    <w:p>
      <w:pPr>
        <w:numPr>
          <w:ilvl w:val="0"/>
          <w:numId w:val="1003"/>
        </w:numPr>
        <w:pStyle w:val="Compact"/>
      </w:pPr>
      <w:r>
        <w:rPr>
          <w:bCs/>
          <w:b/>
        </w:rPr>
        <w:t xml:space="preserve">Regulated messages</w:t>
      </w:r>
      <w:r>
        <w:t xml:space="preserve"> </w:t>
      </w:r>
      <w:r>
        <w:t xml:space="preserve">(signature mandatory and retained: RFC 9421 in transit plus a detached JWS over the CloudEvent, stored with it so the proof can be re-verified after the HTTP exchange):</w:t>
      </w:r>
      <w:r>
        <w:t xml:space="preserve"> </w:t>
      </w:r>
      <w:r>
        <w:rPr>
          <w:rStyle w:val="VerbatimChar"/>
        </w:rPr>
        <w:t xml:space="preserve">DecisionMade</w:t>
      </w:r>
      <w:r>
        <w:t xml:space="preserve">,</w:t>
      </w:r>
      <w:r>
        <w:t xml:space="preserve"> </w:t>
      </w:r>
      <w:r>
        <w:rPr>
          <w:rStyle w:val="VerbatimChar"/>
        </w:rPr>
        <w:t xml:space="preserve">KFSIssued</w:t>
      </w:r>
      <w:r>
        <w:t xml:space="preserve">,</w:t>
      </w:r>
      <w:r>
        <w:t xml:space="preserve"> </w:t>
      </w:r>
      <w:r>
        <w:rPr>
          <w:rStyle w:val="VerbatimChar"/>
        </w:rPr>
        <w:t xml:space="preserve">SanctionLetterIssued</w:t>
      </w:r>
      <w:r>
        <w:t xml:space="preserve">,</w:t>
      </w:r>
      <w:r>
        <w:t xml:space="preserve"> </w:t>
      </w:r>
      <w:r>
        <w:rPr>
          <w:rStyle w:val="VerbatimChar"/>
        </w:rPr>
        <w:t xml:space="preserve">ESignCompleted</w:t>
      </w:r>
      <w:r>
        <w:t xml:space="preserve">,</w:t>
      </w:r>
      <w:r>
        <w:t xml:space="preserve"> </w:t>
      </w:r>
      <w:r>
        <w:rPr>
          <w:rStyle w:val="VerbatimChar"/>
        </w:rPr>
        <w:t xml:space="preserve">EStampCompleted</w:t>
      </w:r>
      <w:r>
        <w:t xml:space="preserve">,</w:t>
      </w:r>
      <w:r>
        <w:t xml:space="preserve"> </w:t>
      </w:r>
      <w:r>
        <w:rPr>
          <w:rStyle w:val="VerbatimChar"/>
        </w:rPr>
        <w:t xml:space="preserve">LoanDisbursed</w:t>
      </w:r>
      <w:r>
        <w:t xml:space="preserve">,</w:t>
      </w:r>
      <w:r>
        <w:t xml:space="preserve"> </w:t>
      </w:r>
      <w:r>
        <w:rPr>
          <w:rStyle w:val="VerbatimChar"/>
        </w:rPr>
        <w:t xml:space="preserve">CollateralPledgeCreated</w:t>
      </w:r>
      <w:r>
        <w:t xml:space="preserve">,</w:t>
      </w:r>
      <w:r>
        <w:t xml:space="preserve"> </w:t>
      </w:r>
      <w:r>
        <w:rPr>
          <w:rStyle w:val="VerbatimChar"/>
        </w:rPr>
        <w:t xml:space="preserve">MarginCallRaised</w:t>
      </w:r>
      <w:r>
        <w:t xml:space="preserve">,</w:t>
      </w:r>
      <w:r>
        <w:t xml:space="preserve"> </w:t>
      </w:r>
      <w:r>
        <w:rPr>
          <w:rStyle w:val="VerbatimChar"/>
        </w:rPr>
        <w:t xml:space="preserve">CollateralInvoked</w:t>
      </w:r>
      <w:r>
        <w:t xml:space="preserve">,</w:t>
      </w:r>
      <w:r>
        <w:t xml:space="preserve"> </w:t>
      </w:r>
      <w:r>
        <w:rPr>
          <w:rStyle w:val="VerbatimChar"/>
        </w:rPr>
        <w:t xml:space="preserve">CollateralReleased</w:t>
      </w:r>
      <w:r>
        <w:t xml:space="preserve">,</w:t>
      </w:r>
      <w:r>
        <w:t xml:space="preserve"> </w:t>
      </w:r>
      <w:r>
        <w:rPr>
          <w:rStyle w:val="VerbatimChar"/>
        </w:rPr>
        <w:t xml:space="preserve">ClassificationSynced</w:t>
      </w:r>
      <w:r>
        <w:t xml:space="preserve">,</w:t>
      </w:r>
      <w:r>
        <w:t xml:space="preserve"> </w:t>
      </w:r>
      <w:r>
        <w:rPr>
          <w:rStyle w:val="VerbatimChar"/>
        </w:rPr>
        <w:t xml:space="preserve">SettlementApproved</w:t>
      </w:r>
      <w:r>
        <w:t xml:space="preserve">,</w:t>
      </w:r>
      <w:r>
        <w:t xml:space="preserve"> </w:t>
      </w:r>
      <w:r>
        <w:rPr>
          <w:rStyle w:val="VerbatimChar"/>
        </w:rPr>
        <w:t xml:space="preserve">SettlementOfferIssued</w:t>
      </w:r>
      <w:r>
        <w:t xml:space="preserve">,</w:t>
      </w:r>
      <w:r>
        <w:t xml:space="preserve"> </w:t>
      </w:r>
      <w:r>
        <w:rPr>
          <w:rStyle w:val="VerbatimChar"/>
        </w:rPr>
        <w:t xml:space="preserve">LegalNoticeIssued</w:t>
      </w:r>
      <w:r>
        <w:t xml:space="preserve">,</w:t>
      </w:r>
      <w:r>
        <w:t xml:space="preserve"> </w:t>
      </w:r>
      <w:r>
        <w:rPr>
          <w:rStyle w:val="VerbatimChar"/>
        </w:rPr>
        <w:t xml:space="preserve">ADRReferralCreated</w:t>
      </w:r>
      <w:r>
        <w:t xml:space="preserve">,</w:t>
      </w:r>
      <w:r>
        <w:t xml:space="preserve"> </w:t>
      </w:r>
      <w:r>
        <w:rPr>
          <w:rStyle w:val="VerbatimChar"/>
        </w:rPr>
        <w:t xml:space="preserve">ADRConsentRecorded</w:t>
      </w:r>
      <w:r>
        <w:t xml:space="preserve">,</w:t>
      </w:r>
      <w:r>
        <w:t xml:space="preserve"> </w:t>
      </w:r>
      <w:r>
        <w:rPr>
          <w:rStyle w:val="VerbatimChar"/>
        </w:rPr>
        <w:t xml:space="preserve">ADROutcomeRecorded</w:t>
      </w:r>
      <w:r>
        <w:t xml:space="preserve">,</w:t>
      </w:r>
      <w:r>
        <w:t xml:space="preserve"> </w:t>
      </w:r>
      <w:r>
        <w:rPr>
          <w:rStyle w:val="VerbatimChar"/>
        </w:rPr>
        <w:t xml:space="preserve">OrderRecorded</w:t>
      </w:r>
      <w:r>
        <w:t xml:space="preserve">,</w:t>
      </w:r>
      <w:r>
        <w:t xml:space="preserve"> </w:t>
      </w:r>
      <w:r>
        <w:rPr>
          <w:rStyle w:val="VerbatimChar"/>
        </w:rPr>
        <w:t xml:space="preserve">RecoveryReceiptPosted</w:t>
      </w:r>
      <w:r>
        <w:t xml:space="preserve">; from v1.1 also</w:t>
      </w:r>
      <w:r>
        <w:t xml:space="preserve"> </w:t>
      </w:r>
      <w:r>
        <w:rPr>
          <w:rStyle w:val="VerbatimChar"/>
        </w:rPr>
        <w:t xml:space="preserve">ReturnApproved</w:t>
      </w:r>
      <w:r>
        <w:t xml:space="preserve">,</w:t>
      </w:r>
      <w:r>
        <w:t xml:space="preserve"> </w:t>
      </w:r>
      <w:r>
        <w:rPr>
          <w:rStyle w:val="VerbatimChar"/>
        </w:rPr>
        <w:t xml:space="preserve">ReturnFiled</w:t>
      </w:r>
      <w:r>
        <w:t xml:space="preserve">,</w:t>
      </w:r>
      <w:r>
        <w:t xml:space="preserve"> </w:t>
      </w:r>
      <w:r>
        <w:rPr>
          <w:rStyle w:val="VerbatimChar"/>
        </w:rPr>
        <w:t xml:space="preserve">BureauFileSubmitted</w:t>
      </w:r>
      <w:r>
        <w:t xml:space="preserve">,</w:t>
      </w:r>
      <w:r>
        <w:t xml:space="preserve"> </w:t>
      </w:r>
      <w:r>
        <w:rPr>
          <w:rStyle w:val="VerbatimChar"/>
        </w:rPr>
        <w:t xml:space="preserve">FinancialStatementsApproved</w:t>
      </w:r>
      <w:r>
        <w:t xml:space="preserve">,</w:t>
      </w:r>
      <w:r>
        <w:t xml:space="preserve"> </w:t>
      </w:r>
      <w:r>
        <w:rPr>
          <w:rStyle w:val="VerbatimChar"/>
        </w:rPr>
        <w:t xml:space="preserve">InterestCertificateIssued</w:t>
      </w:r>
      <w:r>
        <w:t xml:space="preserve">,</w:t>
      </w:r>
      <w:r>
        <w:t xml:space="preserve"> </w:t>
      </w:r>
      <w:r>
        <w:rPr>
          <w:rStyle w:val="VerbatimChar"/>
        </w:rPr>
        <w:t xml:space="preserve">CapitalRatioComputed</w:t>
      </w:r>
      <w:r>
        <w:t xml:space="preserve">,</w:t>
      </w:r>
      <w:r>
        <w:t xml:space="preserve"> </w:t>
      </w:r>
      <w:r>
        <w:rPr>
          <w:rStyle w:val="VerbatimChar"/>
        </w:rPr>
        <w:t xml:space="preserve">LimitBreached</w:t>
      </w:r>
      <w:r>
        <w:t xml:space="preserve">,</w:t>
      </w:r>
      <w:r>
        <w:t xml:space="preserve"> </w:t>
      </w:r>
      <w:r>
        <w:rPr>
          <w:rStyle w:val="VerbatimChar"/>
        </w:rPr>
        <w:t xml:space="preserve">ExternalAccessGranted</w:t>
      </w:r>
      <w:r>
        <w:t xml:space="preserve">,</w:t>
      </w:r>
      <w:r>
        <w:t xml:space="preserve"> </w:t>
      </w:r>
      <w:r>
        <w:rPr>
          <w:rStyle w:val="VerbatimChar"/>
        </w:rPr>
        <w:t xml:space="preserve">ExternalAccessRevoked</w:t>
      </w:r>
      <w:r>
        <w:t xml:space="preserve">,</w:t>
      </w:r>
      <w:r>
        <w:t xml:space="preserve"> </w:t>
      </w:r>
      <w:r>
        <w:rPr>
          <w:rStyle w:val="VerbatimChar"/>
        </w:rPr>
        <w:t xml:space="preserve">ResolutionPassed</w:t>
      </w:r>
      <w:r>
        <w:t xml:space="preserve">,</w:t>
      </w:r>
      <w:r>
        <w:t xml:space="preserve"> </w:t>
      </w:r>
      <w:r>
        <w:rPr>
          <w:rStyle w:val="VerbatimChar"/>
        </w:rPr>
        <w:t xml:space="preserve">ShareCapitalPosted</w:t>
      </w:r>
      <w:r>
        <w:t xml:space="preserve">,</w:t>
      </w:r>
      <w:r>
        <w:t xml:space="preserve"> </w:t>
      </w:r>
      <w:r>
        <w:rPr>
          <w:rStyle w:val="VerbatimChar"/>
        </w:rPr>
        <w:t xml:space="preserve">GroupCollectionPosted</w:t>
      </w:r>
      <w:r>
        <w:t xml:space="preserve">,</w:t>
      </w:r>
      <w:r>
        <w:t xml:space="preserve"> </w:t>
      </w:r>
      <w:r>
        <w:rPr>
          <w:rStyle w:val="VerbatimChar"/>
        </w:rPr>
        <w:t xml:space="preserve">AssetAcquired</w:t>
      </w:r>
      <w:r>
        <w:t xml:space="preserve">,</w:t>
      </w:r>
      <w:r>
        <w:t xml:space="preserve"> </w:t>
      </w:r>
      <w:r>
        <w:rPr>
          <w:rStyle w:val="VerbatimChar"/>
        </w:rPr>
        <w:t xml:space="preserve">SecurityReceiptIssued</w:t>
      </w:r>
      <w:r>
        <w:t xml:space="preserve">,</w:t>
      </w:r>
      <w:r>
        <w:t xml:space="preserve"> </w:t>
      </w:r>
      <w:r>
        <w:rPr>
          <w:rStyle w:val="VerbatimChar"/>
        </w:rPr>
        <w:t xml:space="preserve">ServicerRemittanceMade</w:t>
      </w:r>
      <w:r>
        <w:t xml:space="preserve">,</w:t>
      </w:r>
      <w:r>
        <w:t xml:space="preserve"> </w:t>
      </w:r>
      <w:r>
        <w:rPr>
          <w:rStyle w:val="VerbatimChar"/>
        </w:rPr>
        <w:t xml:space="preserve">ExportCompleted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LenderDealApproved</w:t>
      </w:r>
      <w:r>
        <w:t xml:space="preserve">,</w:t>
      </w:r>
      <w:r>
        <w:t xml:space="preserve"> </w:t>
      </w:r>
      <w:r>
        <w:rPr>
          <w:rStyle w:val="VerbatimChar"/>
        </w:rPr>
        <w:t xml:space="preserve">LenderDealActivated</w:t>
      </w:r>
      <w:r>
        <w:t xml:space="preserve">,</w:t>
      </w:r>
      <w:r>
        <w:t xml:space="preserve"> </w:t>
      </w:r>
      <w:r>
        <w:rPr>
          <w:rStyle w:val="VerbatimChar"/>
        </w:rPr>
        <w:t xml:space="preserve">LenderDealSuspended</w:t>
      </w:r>
      <w:r>
        <w:t xml:space="preserve">,</w:t>
      </w:r>
      <w:r>
        <w:t xml:space="preserve"> </w:t>
      </w:r>
      <w:r>
        <w:rPr>
          <w:rStyle w:val="VerbatimChar"/>
        </w:rPr>
        <w:t xml:space="preserve">LenderDealTerminated</w:t>
      </w:r>
      <w:r>
        <w:t xml:space="preserve">,</w:t>
      </w:r>
      <w:r>
        <w:t xml:space="preserve"> </w:t>
      </w:r>
      <w:r>
        <w:rPr>
          <w:rStyle w:val="VerbatimChar"/>
        </w:rPr>
        <w:t xml:space="preserve">TenantProvisioned</w:t>
      </w:r>
      <w:r>
        <w:t xml:space="preserve">,</w:t>
      </w:r>
      <w:r>
        <w:t xml:space="preserve"> </w:t>
      </w:r>
      <w:r>
        <w:rPr>
          <w:rStyle w:val="VerbatimChar"/>
        </w:rPr>
        <w:t xml:space="preserve">PolicyIssued</w:t>
      </w:r>
      <w:r>
        <w:t xml:space="preserve">.</w:t>
      </w:r>
    </w:p>
    <w:p>
      <w:pPr>
        <w:numPr>
          <w:ilvl w:val="0"/>
          <w:numId w:val="1003"/>
        </w:numPr>
        <w:pStyle w:val="Compact"/>
      </w:pPr>
      <w:r>
        <w:rPr>
          <w:bCs/>
          <w:b/>
        </w:rPr>
        <w:t xml:space="preserve">Documents</w:t>
      </w:r>
      <w:r>
        <w:t xml:space="preserve"> </w:t>
      </w:r>
      <w:r>
        <w:t xml:space="preserve">travel by reference (</w:t>
      </w:r>
      <w:r>
        <w:rPr>
          <w:rStyle w:val="VerbatimChar"/>
        </w:rPr>
        <w:t xml:space="preserve">document_id</w:t>
      </w:r>
      <w:r>
        <w:t xml:space="preserve">,</w:t>
      </w:r>
      <w:r>
        <w:t xml:space="preserve"> </w:t>
      </w:r>
      <w:r>
        <w:rPr>
          <w:rStyle w:val="VerbatimChar"/>
        </w:rPr>
        <w:t xml:space="preserve">sha256</w:t>
      </w:r>
      <w:r>
        <w:t xml:space="preserve">) with a</w:t>
      </w:r>
      <w:r>
        <w:t xml:space="preserve"> </w:t>
      </w:r>
      <w:r>
        <w:rPr>
          <w:bCs/>
          <w:b/>
        </w:rPr>
        <w:t xml:space="preserve">detached JWS</w:t>
      </w:r>
      <w:r>
        <w:t xml:space="preserve"> </w:t>
      </w:r>
      <w:r>
        <w:t xml:space="preserve">(RFC 7515, 7797) for transfer integrity; legal effect rests on the document’s own eSign, DSC or PAdES signature and e-stamp.</w:t>
      </w:r>
    </w:p>
    <w:bookmarkEnd w:id="29"/>
    <w:bookmarkStart w:id="30" w:name="sandbox-and-certification"/>
    <w:p>
      <w:pPr>
        <w:pStyle w:val="Heading2"/>
      </w:pPr>
      <w:r>
        <w:t xml:space="preserve">3.7 Sandbox and certification</w:t>
      </w:r>
    </w:p>
    <w:p>
      <w:pPr>
        <w:pStyle w:val="FirstParagraph"/>
      </w:pPr>
      <w:r>
        <w:t xml:space="preserve">Per-counterparty sandbox: synthetic data, rail mocks, personas per product and recovery path, a time-travel clock for statutory deadlines. Real data only after the suite (14.3) passes and</w:t>
      </w:r>
      <w:r>
        <w:t xml:space="preserve"> </w:t>
      </w:r>
      <w:r>
        <w:rPr>
          <w:rStyle w:val="VerbatimChar"/>
        </w:rPr>
        <w:t xml:space="preserve">ConnectorCertified</w:t>
      </w:r>
      <w:r>
        <w:t xml:space="preserve"> </w:t>
      </w:r>
      <w:r>
        <w:t xml:space="preserve">is emitted; recertify on schema, hosting, key or sub-processor change and annually.</w:t>
      </w:r>
    </w:p>
    <w:bookmarkEnd w:id="30"/>
    <w:bookmarkStart w:id="31" w:name="service-levels"/>
    <w:p>
      <w:pPr>
        <w:pStyle w:val="Heading2"/>
      </w:pPr>
      <w:r>
        <w:t xml:space="preserve">3.8 Service levels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964"/>
        <w:gridCol w:w="4471"/>
        <w:gridCol w:w="2203"/>
      </w:tblGrid>
      <w:tr>
        <w:trPr>
          <w:tblHeader w:val="true"/>
          <w:tblHeader w:val="true"/>
        </w:trPr>
        <w:tc>
          <w:tcPr>
            <w:tcW w:w="2964" w:type="dxa"/>
            <w:shd w:val="clear" w:color="auto" w:fill="1F3A5F"/>
          </w:tcPr>
          <w:p>
            <w:pPr>
              <w:pStyle w:val="Compact"/>
              <w:spacing w:after="40"/>
              <w:jc w:val="left"/>
            </w:pPr>
            <w:r>
              <w:rPr>
                <w:b/>
                <w:color w:val="FFFFFF"/>
                <w:sz w:val="18"/>
              </w:rPr>
              <w:t xml:space="preserve">Measure</w:t>
            </w:r>
          </w:p>
        </w:tc>
        <w:tc>
          <w:tcPr>
            <w:tcW w:w="4471" w:type="dxa"/>
            <w:shd w:val="clear" w:color="auto" w:fill="1F3A5F"/>
          </w:tcPr>
          <w:p>
            <w:pPr>
              <w:pStyle w:val="Compact"/>
              <w:spacing w:after="40"/>
              <w:jc w:val="left"/>
            </w:pPr>
            <w:r>
              <w:rPr>
                <w:b/>
                <w:color w:val="FFFFFF"/>
                <w:sz w:val="18"/>
              </w:rPr>
              <w:t xml:space="preserve">Target</w:t>
            </w:r>
          </w:p>
        </w:tc>
        <w:tc>
          <w:tcPr>
            <w:tcW w:w="2203" w:type="dxa"/>
            <w:shd w:val="clear" w:color="auto" w:fill="1F3A5F"/>
          </w:tcPr>
          <w:p>
            <w:pPr>
              <w:pStyle w:val="Compact"/>
              <w:spacing w:after="40"/>
              <w:jc w:val="left"/>
            </w:pPr>
            <w:r>
              <w:rPr>
                <w:b/>
                <w:color w:val="FFFFFF"/>
                <w:sz w:val="18"/>
              </w:rPr>
              <w:t xml:space="preserve">Basis</w:t>
            </w:r>
          </w:p>
        </w:tc>
      </w:tr>
      <w:tr>
        <w:tc>
          <w:tcPr>
            <w:tcW w:w="2964" w:type="dxa"/>
          </w:tcPr>
          <w:p>
            <w:pPr>
              <w:pStyle w:val="Compact"/>
              <w:spacing w:after="40"/>
              <w:jc w:val="left"/>
            </w:pPr>
            <w:r>
              <w:rPr>
                <w:sz w:val="18"/>
              </w:rPr>
              <w:t xml:space="preserve">Event delivery (</w:t>
            </w:r>
            <w:r>
              <w:rPr>
                <w:sz w:val="18"/>
              </w:rPr>
              <w:t xml:space="preserve">“</w:t>
            </w:r>
            <w:r>
              <w:rPr>
                <w:sz w:val="18"/>
              </w:rPr>
              <w:t xml:space="preserve">std</w:t>
            </w:r>
            <w:r>
              <w:rPr>
                <w:sz w:val="18"/>
              </w:rPr>
              <w:t xml:space="preserve">”</w:t>
            </w:r>
            <w:r>
              <w:rPr>
                <w:sz w:val="18"/>
              </w:rPr>
              <w:t xml:space="preserve">)</w:t>
            </w:r>
          </w:p>
        </w:tc>
        <w:tc>
          <w:tcPr>
            <w:tcW w:w="4471" w:type="dxa"/>
          </w:tcPr>
          <w:p>
            <w:pPr>
              <w:pStyle w:val="Compact"/>
              <w:spacing w:after="40"/>
              <w:jc w:val="left"/>
            </w:pPr>
            <w:r>
              <w:rPr>
                <w:sz w:val="18"/>
              </w:rPr>
              <w:t xml:space="preserve">Outbox lag p95 ≤ 30 s; delivery p95 ≤ 5 min; retries 72 h then DLQ</w:t>
            </w:r>
          </w:p>
        </w:tc>
        <w:tc>
          <w:tcPr>
            <w:tcW w:w="2203" w:type="dxa"/>
          </w:tcPr>
          <w:p>
            <w:pPr>
              <w:pStyle w:val="Compact"/>
              <w:spacing w:after="40"/>
              <w:jc w:val="left"/>
            </w:pPr>
            <w:r>
              <w:rPr>
                <w:sz w:val="18"/>
              </w:rPr>
              <w:t xml:space="preserve">[REC]</w:t>
            </w:r>
          </w:p>
        </w:tc>
      </w:tr>
      <w:tr>
        <w:tc>
          <w:tcPr>
            <w:tcW w:w="2964" w:type="dxa"/>
          </w:tcPr>
          <w:p>
            <w:pPr>
              <w:pStyle w:val="Compact"/>
              <w:spacing w:after="40"/>
              <w:jc w:val="left"/>
            </w:pPr>
            <w:r>
              <w:rPr>
                <w:sz w:val="18"/>
              </w:rPr>
              <w:t xml:space="preserve">Synchronous APIs</w:t>
            </w:r>
          </w:p>
        </w:tc>
        <w:tc>
          <w:tcPr>
            <w:tcW w:w="4471" w:type="dxa"/>
          </w:tcPr>
          <w:p>
            <w:pPr>
              <w:pStyle w:val="Compact"/>
              <w:spacing w:after="40"/>
              <w:jc w:val="left"/>
            </w:pPr>
            <w:r>
              <w:rPr>
                <w:sz w:val="18"/>
              </w:rPr>
              <w:t xml:space="preserve">p95 ≤ 800 ms excluding third parties;</w:t>
            </w:r>
            <w:r>
              <w:rPr>
                <w:sz w:val="18"/>
              </w:rPr>
              <w:t xml:space="preserve"> </w:t>
            </w:r>
            <w:r>
              <w:rPr>
                <w:rStyle w:val="VerbatimChar"/>
                <w:sz w:val="18"/>
              </w:rPr>
              <w:t xml:space="preserve">EligibilityCheck</w:t>
            </w:r>
            <w:r>
              <w:rPr>
                <w:sz w:val="18"/>
              </w:rPr>
              <w:t xml:space="preserve"> </w:t>
            </w:r>
            <w:r>
              <w:rPr>
                <w:sz w:val="18"/>
              </w:rPr>
              <w:t xml:space="preserve">≤ 3 s</w:t>
            </w:r>
          </w:p>
        </w:tc>
        <w:tc>
          <w:tcPr>
            <w:tcW w:w="2203" w:type="dxa"/>
          </w:tcPr>
          <w:p>
            <w:pPr>
              <w:pStyle w:val="Compact"/>
              <w:spacing w:after="40"/>
              <w:jc w:val="left"/>
            </w:pPr>
            <w:r>
              <w:rPr>
                <w:sz w:val="18"/>
              </w:rPr>
              <w:t xml:space="preserve">Finbyx Part 10.3</w:t>
            </w:r>
          </w:p>
        </w:tc>
      </w:tr>
      <w:tr>
        <w:tc>
          <w:tcPr>
            <w:tcW w:w="2964" w:type="dxa"/>
          </w:tcPr>
          <w:p>
            <w:pPr>
              <w:pStyle w:val="Compact"/>
              <w:spacing w:after="40"/>
              <w:jc w:val="left"/>
            </w:pPr>
            <w:r>
              <w:rPr>
                <w:sz w:val="18"/>
              </w:rPr>
              <w:t xml:space="preserve">Availability</w:t>
            </w:r>
          </w:p>
        </w:tc>
        <w:tc>
          <w:tcPr>
            <w:tcW w:w="4471" w:type="dxa"/>
          </w:tcPr>
          <w:p>
            <w:pPr>
              <w:pStyle w:val="Compact"/>
              <w:spacing w:after="40"/>
              <w:jc w:val="left"/>
            </w:pPr>
            <w:r>
              <w:rPr>
                <w:sz w:val="18"/>
              </w:rPr>
              <w:t xml:space="preserve">Finbyx, Udofin 99.9%; Equator, LawDocsComply 99.5% monthly</w:t>
            </w:r>
          </w:p>
        </w:tc>
        <w:tc>
          <w:tcPr>
            <w:tcW w:w="2203" w:type="dxa"/>
          </w:tcPr>
          <w:p>
            <w:pPr>
              <w:pStyle w:val="Compact"/>
              <w:spacing w:after="40"/>
              <w:jc w:val="left"/>
            </w:pPr>
            <w:r>
              <w:rPr>
                <w:sz w:val="18"/>
              </w:rPr>
              <w:t xml:space="preserve">[REC]</w:t>
            </w:r>
          </w:p>
        </w:tc>
      </w:tr>
      <w:tr>
        <w:tc>
          <w:tcPr>
            <w:tcW w:w="2964" w:type="dxa"/>
          </w:tcPr>
          <w:p>
            <w:pPr>
              <w:pStyle w:val="Compact"/>
              <w:spacing w:after="40"/>
              <w:jc w:val="left"/>
            </w:pPr>
            <w:r>
              <w:rPr>
                <w:sz w:val="18"/>
              </w:rPr>
              <w:t xml:space="preserve">Co-lender classification sync</w:t>
            </w:r>
          </w:p>
        </w:tc>
        <w:tc>
          <w:tcPr>
            <w:tcW w:w="4471" w:type="dxa"/>
          </w:tcPr>
          <w:p>
            <w:pPr>
              <w:pStyle w:val="Compact"/>
              <w:spacing w:after="40"/>
              <w:jc w:val="left"/>
            </w:pPr>
            <w:r>
              <w:rPr>
                <w:sz w:val="18"/>
              </w:rPr>
              <w:t xml:space="preserve">By 23:59 IST next working day</w:t>
            </w:r>
          </w:p>
        </w:tc>
        <w:tc>
          <w:tcPr>
            <w:tcW w:w="2203" w:type="dxa"/>
          </w:tcPr>
          <w:p>
            <w:pPr>
              <w:pStyle w:val="Compact"/>
              <w:spacing w:after="40"/>
              <w:jc w:val="left"/>
            </w:pPr>
            <w:r>
              <w:rPr>
                <w:sz w:val="18"/>
              </w:rPr>
              <w:t xml:space="preserve">TDCR para 124</w:t>
            </w:r>
          </w:p>
        </w:tc>
      </w:tr>
      <w:tr>
        <w:tc>
          <w:tcPr>
            <w:tcW w:w="2964" w:type="dxa"/>
          </w:tcPr>
          <w:p>
            <w:pPr>
              <w:pStyle w:val="Compact"/>
              <w:spacing w:after="40"/>
              <w:jc w:val="left"/>
            </w:pPr>
            <w:r>
              <w:rPr>
                <w:sz w:val="18"/>
              </w:rPr>
              <w:t xml:space="preserve">Agent cash posting</w:t>
            </w:r>
          </w:p>
        </w:tc>
        <w:tc>
          <w:tcPr>
            <w:tcW w:w="4471" w:type="dxa"/>
          </w:tcPr>
          <w:p>
            <w:pPr>
              <w:pStyle w:val="Compact"/>
              <w:spacing w:after="40"/>
              <w:jc w:val="left"/>
            </w:pPr>
            <w:r>
              <w:rPr>
                <w:sz w:val="18"/>
              </w:rPr>
              <w:t xml:space="preserve">Same day</w:t>
            </w:r>
          </w:p>
        </w:tc>
        <w:tc>
          <w:tcPr>
            <w:tcW w:w="2203" w:type="dxa"/>
          </w:tcPr>
          <w:p>
            <w:pPr>
              <w:pStyle w:val="Compact"/>
              <w:spacing w:after="40"/>
              <w:jc w:val="left"/>
            </w:pPr>
            <w:r>
              <w:rPr>
                <w:sz w:val="18"/>
              </w:rPr>
              <w:t xml:space="preserve">CF para 10(5)</w:t>
            </w:r>
          </w:p>
        </w:tc>
      </w:tr>
      <w:tr>
        <w:tc>
          <w:tcPr>
            <w:tcW w:w="2964" w:type="dxa"/>
          </w:tcPr>
          <w:p>
            <w:pPr>
              <w:pStyle w:val="Compact"/>
              <w:spacing w:after="40"/>
              <w:jc w:val="left"/>
            </w:pPr>
            <w:r>
              <w:rPr>
                <w:sz w:val="18"/>
              </w:rPr>
              <w:t xml:space="preserve">Provider incident to RE</w:t>
            </w:r>
          </w:p>
        </w:tc>
        <w:tc>
          <w:tcPr>
            <w:tcW w:w="4471" w:type="dxa"/>
          </w:tcPr>
          <w:p>
            <w:pPr>
              <w:pStyle w:val="Compact"/>
              <w:spacing w:after="40"/>
              <w:jc w:val="left"/>
            </w:pPr>
            <w:r>
              <w:rPr>
                <w:sz w:val="18"/>
              </w:rPr>
              <w:t xml:space="preserve">≤ 2 h, so the RE reports within 6 h of provider detection</w:t>
            </w:r>
          </w:p>
        </w:tc>
        <w:tc>
          <w:tcPr>
            <w:tcW w:w="2203" w:type="dxa"/>
          </w:tcPr>
          <w:p>
            <w:pPr>
              <w:pStyle w:val="Compact"/>
              <w:spacing w:after="40"/>
              <w:jc w:val="left"/>
            </w:pPr>
            <w:r>
              <w:rPr>
                <w:sz w:val="18"/>
              </w:rPr>
              <w:t xml:space="preserve">OUT para 61</w:t>
            </w:r>
          </w:p>
        </w:tc>
      </w:tr>
      <w:tr>
        <w:tc>
          <w:tcPr>
            <w:tcW w:w="2964" w:type="dxa"/>
          </w:tcPr>
          <w:p>
            <w:pPr>
              <w:pStyle w:val="Compact"/>
              <w:spacing w:after="40"/>
              <w:jc w:val="left"/>
            </w:pPr>
            <w:r>
              <w:rPr>
                <w:sz w:val="18"/>
              </w:rPr>
              <w:t xml:space="preserve">Daily reconciliation file</w:t>
            </w:r>
          </w:p>
        </w:tc>
        <w:tc>
          <w:tcPr>
            <w:tcW w:w="4471" w:type="dxa"/>
          </w:tcPr>
          <w:p>
            <w:pPr>
              <w:pStyle w:val="Compact"/>
              <w:spacing w:after="40"/>
              <w:jc w:val="left"/>
            </w:pPr>
            <w:r>
              <w:rPr>
                <w:sz w:val="18"/>
              </w:rPr>
              <w:t xml:space="preserve">By 06:00 IST</w:t>
            </w:r>
          </w:p>
        </w:tc>
        <w:tc>
          <w:tcPr>
            <w:tcW w:w="2203" w:type="dxa"/>
          </w:tcPr>
          <w:p>
            <w:pPr>
              <w:pStyle w:val="Compact"/>
              <w:spacing w:after="40"/>
              <w:jc w:val="left"/>
            </w:pPr>
            <w:r>
              <w:rPr>
                <w:sz w:val="18"/>
              </w:rPr>
              <w:t xml:space="preserve">[REC]</w:t>
            </w:r>
          </w:p>
        </w:tc>
      </w:tr>
    </w:tbl>
    <w:bookmarkEnd w:id="31"/>
    <w:bookmarkStart w:id="32" w:name="error-model"/>
    <w:p>
      <w:pPr>
        <w:pStyle w:val="Heading2"/>
      </w:pPr>
      <w:r>
        <w:t xml:space="preserve">3.9 Error model</w:t>
      </w:r>
    </w:p>
    <w:p>
      <w:pPr>
        <w:pStyle w:val="FirstParagraph"/>
      </w:pPr>
      <w:r>
        <w:t xml:space="preserve">RFC 9457 problem details:</w:t>
      </w:r>
      <w:r>
        <w:t xml:space="preserve"> </w:t>
      </w:r>
      <w:r>
        <w:rPr>
          <w:rStyle w:val="VerbatimChar"/>
        </w:rPr>
        <w:t xml:space="preserve">type</w:t>
      </w:r>
      <w:r>
        <w:t xml:space="preserve"> </w:t>
      </w:r>
      <w:r>
        <w:rPr>
          <w:rStyle w:val="VerbatimChar"/>
        </w:rPr>
        <w:t xml:space="preserve">[registry-base]/problems/[code]</w:t>
      </w:r>
      <w:r>
        <w:t xml:space="preserve">,</w:t>
      </w:r>
      <w:r>
        <w:t xml:space="preserve"> </w:t>
      </w:r>
      <w:r>
        <w:rPr>
          <w:rStyle w:val="VerbatimChar"/>
        </w:rPr>
        <w:t xml:space="preserve">title</w:t>
      </w:r>
      <w:r>
        <w:t xml:space="preserve">,</w:t>
      </w:r>
      <w:r>
        <w:t xml:space="preserve"> </w:t>
      </w:r>
      <w:r>
        <w:rPr>
          <w:rStyle w:val="VerbatimChar"/>
        </w:rPr>
        <w:t xml:space="preserve">status</w:t>
      </w:r>
      <w:r>
        <w:t xml:space="preserve">,</w:t>
      </w:r>
      <w:r>
        <w:t xml:space="preserve"> </w:t>
      </w:r>
      <w:r>
        <w:rPr>
          <w:rStyle w:val="VerbatimChar"/>
        </w:rPr>
        <w:t xml:space="preserve">detail</w:t>
      </w:r>
      <w:r>
        <w:t xml:space="preserve"> </w:t>
      </w:r>
      <w:r>
        <w:t xml:space="preserve">(no personal data),</w:t>
      </w:r>
      <w:r>
        <w:t xml:space="preserve"> </w:t>
      </w:r>
      <w:r>
        <w:rPr>
          <w:rStyle w:val="VerbatimChar"/>
        </w:rPr>
        <w:t xml:space="preserve">instance</w:t>
      </w:r>
      <w:r>
        <w:t xml:space="preserve">,</w:t>
      </w:r>
      <w:r>
        <w:t xml:space="preserve"> </w:t>
      </w:r>
      <w:r>
        <w:rPr>
          <w:rStyle w:val="VerbatimChar"/>
        </w:rPr>
        <w:t xml:space="preserve">code</w:t>
      </w:r>
      <w:r>
        <w:t xml:space="preserve">,</w:t>
      </w:r>
      <w:r>
        <w:t xml:space="preserve"> </w:t>
      </w:r>
      <w:r>
        <w:rPr>
          <w:rStyle w:val="VerbatimChar"/>
        </w:rPr>
        <w:t xml:space="preserve">correlation_id</w:t>
      </w:r>
      <w:r>
        <w:t xml:space="preserve">,</w:t>
      </w:r>
      <w:r>
        <w:t xml:space="preserve"> </w:t>
      </w:r>
      <w:r>
        <w:rPr>
          <w:rStyle w:val="VerbatimChar"/>
        </w:rPr>
        <w:t xml:space="preserve">retryable</w:t>
      </w:r>
      <w:r>
        <w:t xml:space="preserve">,</w:t>
      </w:r>
      <w:r>
        <w:t xml:space="preserve"> </w:t>
      </w:r>
      <w:r>
        <w:rPr>
          <w:rStyle w:val="VerbatimChar"/>
        </w:rPr>
        <w:t xml:space="preserve">errors[]</w:t>
      </w:r>
      <w:r>
        <w:t xml:space="preserve"> </w:t>
      </w:r>
      <w:r>
        <w:t xml:space="preserve">(JSON Pointers). Codes:</w:t>
      </w:r>
      <w:r>
        <w:t xml:space="preserve"> </w:t>
      </w:r>
      <w:r>
        <w:rPr>
          <w:rStyle w:val="VerbatimChar"/>
        </w:rPr>
        <w:t xml:space="preserve">schema-validation-failed</w:t>
      </w:r>
      <w:r>
        <w:t xml:space="preserve"> </w:t>
      </w:r>
      <w:r>
        <w:t xml:space="preserve">422,</w:t>
      </w:r>
      <w:r>
        <w:t xml:space="preserve"> </w:t>
      </w:r>
      <w:r>
        <w:rPr>
          <w:rStyle w:val="VerbatimChar"/>
        </w:rPr>
        <w:t xml:space="preserve">consent-missing</w:t>
      </w:r>
      <w:r>
        <w:t xml:space="preserve"> </w:t>
      </w:r>
      <w:r>
        <w:t xml:space="preserve">403,</w:t>
      </w:r>
      <w:r>
        <w:t xml:space="preserve"> </w:t>
      </w:r>
      <w:r>
        <w:rPr>
          <w:rStyle w:val="VerbatimChar"/>
        </w:rPr>
        <w:t xml:space="preserve">scope-insufficient</w:t>
      </w:r>
      <w:r>
        <w:t xml:space="preserve"> </w:t>
      </w:r>
      <w:r>
        <w:t xml:space="preserve">403,</w:t>
      </w:r>
      <w:r>
        <w:t xml:space="preserve"> </w:t>
      </w:r>
      <w:r>
        <w:rPr>
          <w:rStyle w:val="VerbatimChar"/>
        </w:rPr>
        <w:t xml:space="preserve">tenant-unknown</w:t>
      </w:r>
      <w:r>
        <w:t xml:space="preserve"> </w:t>
      </w:r>
      <w:r>
        <w:t xml:space="preserve">404,</w:t>
      </w:r>
      <w:r>
        <w:t xml:space="preserve"> </w:t>
      </w:r>
      <w:r>
        <w:rPr>
          <w:rStyle w:val="VerbatimChar"/>
        </w:rPr>
        <w:t xml:space="preserve">idempotency-key-reuse</w:t>
      </w:r>
      <w:r>
        <w:t xml:space="preserve"> </w:t>
      </w:r>
      <w:r>
        <w:t xml:space="preserve">422,</w:t>
      </w:r>
      <w:r>
        <w:t xml:space="preserve"> </w:t>
      </w:r>
      <w:r>
        <w:rPr>
          <w:rStyle w:val="VerbatimChar"/>
        </w:rPr>
        <w:t xml:space="preserve">request-in-progress</w:t>
      </w:r>
      <w:r>
        <w:t xml:space="preserve"> </w:t>
      </w:r>
      <w:r>
        <w:t xml:space="preserve">409,</w:t>
      </w:r>
      <w:r>
        <w:t xml:space="preserve"> </w:t>
      </w:r>
      <w:r>
        <w:rPr>
          <w:rStyle w:val="VerbatimChar"/>
        </w:rPr>
        <w:t xml:space="preserve">state-transition-invalid</w:t>
      </w:r>
      <w:r>
        <w:t xml:space="preserve"> </w:t>
      </w:r>
      <w:r>
        <w:t xml:space="preserve">409,</w:t>
      </w:r>
      <w:r>
        <w:t xml:space="preserve"> </w:t>
      </w:r>
      <w:r>
        <w:rPr>
          <w:rStyle w:val="VerbatimChar"/>
        </w:rPr>
        <w:t xml:space="preserve">regulatory-guard</w:t>
      </w:r>
      <w:r>
        <w:t xml:space="preserve"> </w:t>
      </w:r>
      <w:r>
        <w:t xml:space="preserve">422 (names rule and citation, e.g. LSP-controlled account, un-notified NBFC attempting SARFAESI, referral without arbitration basis),</w:t>
      </w:r>
      <w:r>
        <w:t xml:space="preserve"> </w:t>
      </w:r>
      <w:r>
        <w:rPr>
          <w:rStyle w:val="VerbatimChar"/>
        </w:rPr>
        <w:t xml:space="preserve">rate-limited</w:t>
      </w:r>
      <w:r>
        <w:t xml:space="preserve"> </w:t>
      </w:r>
      <w:r>
        <w:t xml:space="preserve">429,</w:t>
      </w:r>
      <w:r>
        <w:t xml:space="preserve"> </w:t>
      </w:r>
      <w:r>
        <w:rPr>
          <w:rStyle w:val="VerbatimChar"/>
        </w:rPr>
        <w:t xml:space="preserve">dependency-unavailable</w:t>
      </w:r>
      <w:r>
        <w:t xml:space="preserve"> </w:t>
      </w:r>
      <w:r>
        <w:t xml:space="preserve">503; added in v1.1:</w:t>
      </w:r>
      <w:r>
        <w:t xml:space="preserve"> </w:t>
      </w:r>
      <w:r>
        <w:rPr>
          <w:rStyle w:val="VerbatimChar"/>
        </w:rPr>
        <w:t xml:space="preserve">dataclass-not-permitted</w:t>
      </w:r>
      <w:r>
        <w:t xml:space="preserve"> </w:t>
      </w:r>
      <w:r>
        <w:t xml:space="preserve">422 (payload class above the consumer’s ceiling, for example personal data sent to the Operations Hub),</w:t>
      </w:r>
      <w:r>
        <w:t xml:space="preserve"> </w:t>
      </w:r>
      <w:r>
        <w:rPr>
          <w:rStyle w:val="VerbatimChar"/>
        </w:rPr>
        <w:t xml:space="preserve">residency-blocked</w:t>
      </w:r>
      <w:r>
        <w:t xml:space="preserve"> </w:t>
      </w:r>
      <w:r>
        <w:t xml:space="preserve">422 (storage target outside India for the data class),</w:t>
      </w:r>
      <w:r>
        <w:t xml:space="preserve"> </w:t>
      </w:r>
      <w:r>
        <w:rPr>
          <w:rStyle w:val="VerbatimChar"/>
        </w:rPr>
        <w:t xml:space="preserve">channel-not-confirmed</w:t>
      </w:r>
      <w:r>
        <w:t xml:space="preserve"> </w:t>
      </w:r>
      <w:r>
        <w:t xml:space="preserve">422 (regulator machine channel without documented confirmation),</w:t>
      </w:r>
      <w:r>
        <w:t xml:space="preserve"> </w:t>
      </w:r>
      <w:r>
        <w:rPr>
          <w:rStyle w:val="VerbatimChar"/>
        </w:rPr>
        <w:t xml:space="preserve">grant-expired</w:t>
      </w:r>
      <w:r>
        <w:t xml:space="preserve"> </w:t>
      </w:r>
      <w:r>
        <w:t xml:space="preserve">403 (group or external-access grant past</w:t>
      </w:r>
      <w:r>
        <w:t xml:space="preserve"> </w:t>
      </w:r>
      <w:r>
        <w:rPr>
          <w:rStyle w:val="VerbatimChar"/>
        </w:rPr>
        <w:t xml:space="preserve">valid_to</w:t>
      </w:r>
      <w:r>
        <w:t xml:space="preserve">),</w:t>
      </w:r>
      <w:r>
        <w:t xml:space="preserve"> </w:t>
      </w:r>
      <w:r>
        <w:rPr>
          <w:rStyle w:val="VerbatimChar"/>
        </w:rPr>
        <w:t xml:space="preserve">entitlement-missing</w:t>
      </w:r>
      <w:r>
        <w:t xml:space="preserve"> </w:t>
      </w:r>
      <w:r>
        <w:t xml:space="preserve">403 (module not licensed; never raised for a regulated tenant’s read or export of its own data).</w:t>
      </w:r>
    </w:p>
    <w:bookmarkEnd w:id="32"/>
    <w:bookmarkStart w:id="33" w:name="rate-limits-and-observability"/>
    <w:p>
      <w:pPr>
        <w:pStyle w:val="Heading2"/>
      </w:pPr>
      <w:r>
        <w:t xml:space="preserve">3.10 Rate limits and observability</w:t>
      </w:r>
    </w:p>
    <w:p>
      <w:pPr>
        <w:pStyle w:val="FirstParagraph"/>
      </w:pPr>
      <w:r>
        <w:t xml:space="preserve">Token buckets per client, tenant and operation class, advertised in</w:t>
      </w:r>
      <w:r>
        <w:t xml:space="preserve"> </w:t>
      </w:r>
      <w:r>
        <w:rPr>
          <w:rStyle w:val="VerbatimChar"/>
        </w:rPr>
        <w:t xml:space="preserve">RateLimit</w:t>
      </w:r>
      <w:r>
        <w:t xml:space="preserve"> </w:t>
      </w:r>
      <w:r>
        <w:t xml:space="preserve">headers [VERIFY: draft header names]; regulated commands never share a bucket with bulk reads. OpenTelemetry to India collectors without personal data; integration monitors (Finbyx M21, Udofin U21) show health, latency, errors, DLQ depth and certification status.</w:t>
      </w:r>
    </w:p>
    <w:bookmarkEnd w:id="33"/>
    <w:bookmarkStart w:id="34" w:name="file-transfer-fallback"/>
    <w:p>
      <w:pPr>
        <w:pStyle w:val="Heading2"/>
      </w:pPr>
      <w:r>
        <w:t xml:space="preserve">3.11 File-transfer fallback</w:t>
      </w:r>
    </w:p>
    <w:p>
      <w:pPr>
        <w:pStyle w:val="FirstParagraph"/>
      </w:pPr>
      <w:r>
        <w:t xml:space="preserve">SFTP from allow-listed Indian IPs or signed-URL upload; CloudEvents batches (</w:t>
      </w:r>
      <w:r>
        <w:rPr>
          <w:rStyle w:val="VerbatimChar"/>
        </w:rPr>
        <w:t xml:space="preserve">application/cloudevents-batch+json</w:t>
      </w:r>
      <w:r>
        <w:t xml:space="preserve">), NDJSON or registered CSV/XML layouts (Part 12); a manifest (layout, version, count, control totals, period, SHA-256) signed by detached JWS; an acknowledgement file of accepted and rejected records. Name:</w:t>
      </w:r>
      <w:r>
        <w:t xml:space="preserve"> </w:t>
      </w:r>
      <w:r>
        <w:rPr>
          <w:rStyle w:val="VerbatimChar"/>
        </w:rPr>
        <w:t xml:space="preserve">[producer]_[reid]_[layoutid]_v[major]_[yyyymmdd]_[seq].[ext]</w:t>
      </w:r>
      <w:r>
        <w:t xml:space="preserve">.</w:t>
      </w:r>
    </w:p>
    <w:p>
      <w:r>
        <w:pict>
          <v:rect style="width:0;height:1.5pt" o:hralign="center" o:hrstd="t" o:hr="t"/>
        </w:pict>
      </w:r>
    </w:p>
    <w:bookmarkEnd w:id="34"/>
    <w:bookmarkEnd w:id="35"/>
    <w:bookmarkStart w:id="43" w:name="X70295abda8acc015438fb4fae0f360718afa983"/>
    <w:p>
      <w:pPr>
        <w:pStyle w:val="Heading1"/>
      </w:pPr>
      <w:r>
        <w:t xml:space="preserve">4 — IDENTITY, TENANCY AND ACCESS ACROSS PRODUCTS</w:t>
      </w:r>
    </w:p>
    <w:bookmarkStart w:id="36" w:name="organisations-tenants-and-re-identifiers"/>
    <w:p>
      <w:pPr>
        <w:pStyle w:val="Heading2"/>
      </w:pPr>
      <w:r>
        <w:t xml:space="preserve">4.1 Organisations, tenants and RE identifiers</w:t>
      </w:r>
    </w:p>
    <w:p>
      <w:pPr>
        <w:numPr>
          <w:ilvl w:val="0"/>
          <w:numId w:val="1004"/>
        </w:numPr>
        <w:pStyle w:val="Compact"/>
      </w:pPr>
      <w:r>
        <w:rPr>
          <w:bCs/>
          <w:b/>
        </w:rPr>
        <w:t xml:space="preserve">Organisation registry:</w:t>
      </w:r>
      <w:r>
        <w:t xml:space="preserve"> </w:t>
      </w:r>
      <w:r>
        <w:t xml:space="preserve">one</w:t>
      </w:r>
      <w:r>
        <w:t xml:space="preserve"> </w:t>
      </w:r>
      <w:r>
        <w:rPr>
          <w:rStyle w:val="VerbatimChar"/>
        </w:rPr>
        <w:t xml:space="preserve">org_id</w:t>
      </w:r>
      <w:r>
        <w:t xml:space="preserve"> </w:t>
      </w:r>
      <w:r>
        <w:t xml:space="preserve">per legal organisation (name, constitution, CIN, masked PAN, GSTIN, LEI,</w:t>
      </w:r>
      <w:r>
        <w:t xml:space="preserve"> </w:t>
      </w:r>
      <w:r>
        <w:rPr>
          <w:rStyle w:val="VerbatimChar"/>
        </w:rPr>
        <w:t xml:space="preserve">group_id</w:t>
      </w:r>
      <w:r>
        <w:t xml:space="preserve">, role flags</w:t>
      </w:r>
      <w:r>
        <w:t xml:space="preserve"> </w:t>
      </w:r>
      <w:r>
        <w:rPr>
          <w:rStyle w:val="VerbatimChar"/>
        </w:rPr>
        <w:t xml:space="preserve">is_re</w:t>
      </w:r>
      <w:r>
        <w:t xml:space="preserve">,</w:t>
      </w:r>
      <w:r>
        <w:t xml:space="preserve"> </w:t>
      </w:r>
      <w:r>
        <w:rPr>
          <w:rStyle w:val="VerbatimChar"/>
        </w:rPr>
        <w:t xml:space="preserve">is_lsp</w:t>
      </w:r>
      <w:r>
        <w:t xml:space="preserve">,</w:t>
      </w:r>
      <w:r>
        <w:t xml:space="preserve"> </w:t>
      </w:r>
      <w:r>
        <w:rPr>
          <w:rStyle w:val="VerbatimChar"/>
        </w:rPr>
        <w:t xml:space="preserve">is_odr_institution</w:t>
      </w:r>
      <w:r>
        <w:t xml:space="preserve">,</w:t>
      </w:r>
      <w:r>
        <w:t xml:space="preserve"> </w:t>
      </w:r>
      <w:r>
        <w:rPr>
          <w:rStyle w:val="VerbatimChar"/>
        </w:rPr>
        <w:t xml:space="preserve">is_service_provider</w:t>
      </w:r>
      <w:r>
        <w:t xml:space="preserve">, and from v1.1</w:t>
      </w:r>
      <w:r>
        <w:t xml:space="preserve"> </w:t>
      </w:r>
      <w:r>
        <w:rPr>
          <w:rStyle w:val="VerbatimChar"/>
        </w:rPr>
        <w:t xml:space="preserve">is_non_re_lender</w:t>
      </w:r>
      <w:r>
        <w:t xml:space="preserve"> </w:t>
      </w:r>
      <w:r>
        <w:t xml:space="preserve">(credit co-operative societies) and</w:t>
      </w:r>
      <w:r>
        <w:t xml:space="preserve"> </w:t>
      </w:r>
      <w:r>
        <w:rPr>
          <w:rStyle w:val="VerbatimChar"/>
        </w:rPr>
        <w:t xml:space="preserve">is_group_operator</w:t>
      </w:r>
      <w:r>
        <w:t xml:space="preserve"> </w:t>
      </w:r>
      <w:r>
        <w:t xml:space="preserve">(Infrabyx group companies, Part 4.6)). Groups drive LawDocsComply group mode and group-outsourcing controls (OUT paras 45–51, 90–92).</w:t>
      </w:r>
    </w:p>
    <w:p>
      <w:pPr>
        <w:numPr>
          <w:ilvl w:val="0"/>
          <w:numId w:val="1004"/>
        </w:numPr>
        <w:pStyle w:val="Compact"/>
      </w:pPr>
      <w:r>
        <w:rPr>
          <w:bCs/>
          <w:b/>
        </w:rPr>
        <w:t xml:space="preserve">Tenant map:</w:t>
      </w:r>
      <w:r>
        <w:t xml:space="preserve"> </w:t>
      </w:r>
      <w:r>
        <w:t xml:space="preserve">each product maps its</w:t>
      </w:r>
      <w:r>
        <w:t xml:space="preserve"> </w:t>
      </w:r>
      <w:r>
        <w:rPr>
          <w:rStyle w:val="VerbatimChar"/>
        </w:rPr>
        <w:t xml:space="preserve">tenantid</w:t>
      </w:r>
      <w:r>
        <w:t xml:space="preserve"> </w:t>
      </w:r>
      <w:r>
        <w:t xml:space="preserve">to</w:t>
      </w:r>
      <w:r>
        <w:t xml:space="preserve"> </w:t>
      </w:r>
      <w:r>
        <w:rPr>
          <w:rStyle w:val="VerbatimChar"/>
        </w:rPr>
        <w:t xml:space="preserve">org_id</w:t>
      </w:r>
      <w:r>
        <w:t xml:space="preserve"> </w:t>
      </w:r>
      <w:r>
        <w:t xml:space="preserve">(with environment, status and effective dates), served by</w:t>
      </w:r>
      <w:r>
        <w:t xml:space="preserve"> </w:t>
      </w:r>
      <w:r>
        <w:rPr>
          <w:rStyle w:val="VerbatimChar"/>
        </w:rPr>
        <w:t xml:space="preserve">GET /v1/tenant-map</w:t>
      </w:r>
      <w:r>
        <w:t xml:space="preserve"> </w:t>
      </w:r>
      <w:r>
        <w:t xml:space="preserve">to authorised counterparts only.</w:t>
      </w:r>
    </w:p>
    <w:p>
      <w:pPr>
        <w:numPr>
          <w:ilvl w:val="0"/>
          <w:numId w:val="1004"/>
        </w:numPr>
        <w:pStyle w:val="Compact"/>
      </w:pPr>
      <w:r>
        <w:rPr>
          <w:bCs/>
          <w:b/>
        </w:rPr>
        <w:t xml:space="preserve">Links</w:t>
      </w:r>
      <w:r>
        <w:t xml:space="preserve"> </w:t>
      </w:r>
      <w:r>
        <w:t xml:space="preserve">are explicit, dated and authorise every message between two parties:</w:t>
      </w:r>
      <w:r>
        <w:t xml:space="preserve"> </w:t>
      </w:r>
      <w:r>
        <w:rPr>
          <w:rStyle w:val="VerbatimChar"/>
        </w:rPr>
        <w:t xml:space="preserve">re_lsp_link</w:t>
      </w:r>
      <w:r>
        <w:t xml:space="preserve"> </w:t>
      </w:r>
      <w:r>
        <w:t xml:space="preserve">(products, territories, recovery-agent appointment, DLG flag),</w:t>
      </w:r>
      <w:r>
        <w:t xml:space="preserve"> </w:t>
      </w:r>
      <w:r>
        <w:rPr>
          <w:rStyle w:val="VerbatimChar"/>
        </w:rPr>
        <w:t xml:space="preserve">re_odr_link</w:t>
      </w:r>
      <w:r>
        <w:t xml:space="preserve"> </w:t>
      </w:r>
      <w:r>
        <w:t xml:space="preserve">(rules, fees, clause refs),</w:t>
      </w:r>
      <w:r>
        <w:t xml:space="preserve"> </w:t>
      </w:r>
      <w:r>
        <w:rPr>
          <w:rStyle w:val="VerbatimChar"/>
        </w:rPr>
        <w:t xml:space="preserve">re_grc_link</w:t>
      </w:r>
      <w:r>
        <w:t xml:space="preserve"> </w:t>
      </w:r>
      <w:r>
        <w:t xml:space="preserve">(compliance mode),</w:t>
      </w:r>
      <w:r>
        <w:t xml:space="preserve"> </w:t>
      </w:r>
      <w:r>
        <w:rPr>
          <w:rStyle w:val="VerbatimChar"/>
        </w:rPr>
        <w:t xml:space="preserve">cla_link</w:t>
      </w:r>
      <w:r>
        <w:t xml:space="preserve"> </w:t>
      </w:r>
      <w:r>
        <w:t xml:space="preserve">(co-lenders),</w:t>
      </w:r>
      <w:r>
        <w:t xml:space="preserve"> </w:t>
      </w:r>
      <w:r>
        <w:rPr>
          <w:rStyle w:val="VerbatimChar"/>
        </w:rPr>
        <w:t xml:space="preserve">re_sp_link</w:t>
      </w:r>
      <w:r>
        <w:t xml:space="preserve"> </w:t>
      </w:r>
      <w:r>
        <w:t xml:space="preserve">(service provider or agency appointment under OUT Ch III: services, territories, recovery-agent appointment, scopes, dates; used by agencies, AGY connectors and the field-investigation app). From v1.1:</w:t>
      </w:r>
      <w:r>
        <w:t xml:space="preserve"> </w:t>
      </w:r>
      <w:r>
        <w:rPr>
          <w:rStyle w:val="VerbatimChar"/>
        </w:rPr>
        <w:t xml:space="preserve">lender_lsp_link</w:t>
      </w:r>
      <w:r>
        <w:t xml:space="preserve"> </w:t>
      </w:r>
      <w:r>
        <w:t xml:space="preserve">(a non-RE lender’s deal with Udofin; fields as</w:t>
      </w:r>
      <w:r>
        <w:t xml:space="preserve"> </w:t>
      </w:r>
      <w:r>
        <w:rPr>
          <w:rStyle w:val="VerbatimChar"/>
        </w:rPr>
        <w:t xml:space="preserve">re_lsp_link</w:t>
      </w:r>
      <w:r>
        <w:t xml:space="preserve"> </w:t>
      </w:r>
      <w:r>
        <w:t xml:space="preserve">plus</w:t>
      </w:r>
      <w:r>
        <w:t xml:space="preserve"> </w:t>
      </w:r>
      <w:r>
        <w:rPr>
          <w:rStyle w:val="VerbatimChar"/>
        </w:rPr>
        <w:t xml:space="preserve">lender_type = NON_RE_SOCIETY</w:t>
      </w:r>
      <w:r>
        <w:t xml:space="preserve">),</w:t>
      </w:r>
      <w:r>
        <w:t xml:space="preserve"> </w:t>
      </w:r>
      <w:r>
        <w:rPr>
          <w:rStyle w:val="VerbatimChar"/>
        </w:rPr>
        <w:t xml:space="preserve">tenant_link</w:t>
      </w:r>
      <w:r>
        <w:t xml:space="preserve"> </w:t>
      </w:r>
      <w:r>
        <w:t xml:space="preserve">(a contract between two tenants for investment, ARC, servicing or look-through data: parties, purpose, events and layouts, dates; Part 6.25) and</w:t>
      </w:r>
      <w:r>
        <w:t xml:space="preserve"> </w:t>
      </w:r>
      <w:r>
        <w:rPr>
          <w:rStyle w:val="VerbatimChar"/>
        </w:rPr>
        <w:t xml:space="preserve">group_grant</w:t>
      </w:r>
      <w:r>
        <w:t xml:space="preserve"> </w:t>
      </w:r>
      <w:r>
        <w:t xml:space="preserve">(Part 4.6).</w:t>
      </w:r>
    </w:p>
    <w:p>
      <w:pPr>
        <w:numPr>
          <w:ilvl w:val="0"/>
          <w:numId w:val="1004"/>
        </w:numPr>
        <w:pStyle w:val="Compact"/>
      </w:pPr>
      <w:r>
        <w:rPr>
          <w:bCs/>
          <w:b/>
        </w:rPr>
        <w:t xml:space="preserve">RE identifiers:</w:t>
      </w:r>
      <w:r>
        <w:t xml:space="preserve"> </w:t>
      </w:r>
      <w:r>
        <w:rPr>
          <w:rStyle w:val="VerbatimChar"/>
        </w:rPr>
        <w:t xml:space="preserve">reid</w:t>
      </w:r>
      <w:r>
        <w:t xml:space="preserve"> </w:t>
      </w:r>
      <w:r>
        <w:t xml:space="preserve">(</w:t>
      </w:r>
      <w:r>
        <w:rPr>
          <w:rStyle w:val="VerbatimChar"/>
        </w:rPr>
        <w:t xml:space="preserve">re_</w:t>
      </w:r>
      <w:r>
        <w:t xml:space="preserve"> </w:t>
      </w:r>
      <w:r>
        <w:t xml:space="preserve">+ ULID, stable);</w:t>
      </w:r>
      <w:r>
        <w:t xml:space="preserve"> </w:t>
      </w:r>
      <w:r>
        <w:rPr>
          <w:rStyle w:val="VerbatimChar"/>
        </w:rPr>
        <w:t xml:space="preserve">rbi_cor_no</w:t>
      </w:r>
      <w:r>
        <w:t xml:space="preserve"> </w:t>
      </w:r>
      <w:r>
        <w:t xml:space="preserve">verified at onboarding [VERIFY: source for automated checks];</w:t>
      </w:r>
      <w:r>
        <w:t xml:space="preserve"> </w:t>
      </w:r>
      <w:r>
        <w:rPr>
          <w:rStyle w:val="VerbatimChar"/>
        </w:rPr>
        <w:t xml:space="preserve">re_category</w:t>
      </w:r>
      <w:r>
        <w:t xml:space="preserve"> </w:t>
      </w:r>
      <w:r>
        <w:t xml:space="preserve">and</w:t>
      </w:r>
      <w:r>
        <w:t xml:space="preserve"> </w:t>
      </w:r>
      <w:r>
        <w:rPr>
          <w:rStyle w:val="VerbatimChar"/>
        </w:rPr>
        <w:t xml:space="preserve">sbr_layer</w:t>
      </w:r>
      <w:r>
        <w:t xml:space="preserve"> </w:t>
      </w:r>
      <w:r>
        <w:t xml:space="preserve">from Finbyx</w:t>
      </w:r>
      <w:r>
        <w:t xml:space="preserve"> </w:t>
      </w:r>
      <w:r>
        <w:rPr>
          <w:rStyle w:val="VerbatimChar"/>
        </w:rPr>
        <w:t xml:space="preserve">entity_regulatory_profile</w:t>
      </w:r>
      <w:r>
        <w:t xml:space="preserve">;</w:t>
      </w:r>
      <w:r>
        <w:t xml:space="preserve"> </w:t>
      </w:r>
      <w:r>
        <w:rPr>
          <w:rStyle w:val="VerbatimChar"/>
        </w:rPr>
        <w:t xml:space="preserve">sarfaesi_notified</w:t>
      </w:r>
      <w:r>
        <w:t xml:space="preserve"> </w:t>
      </w:r>
      <w:r>
        <w:t xml:space="preserve">(NBFC only with assets ≥ ₹100 crore and debt ≥ ₹20 lakh: S.O. 856(E) of 24 Feb 2020 as amended by S.O. 652(E) of 12 Feb 2021) and</w:t>
      </w:r>
      <w:r>
        <w:t xml:space="preserve"> </w:t>
      </w:r>
      <w:r>
        <w:rPr>
          <w:rStyle w:val="VerbatimChar"/>
        </w:rPr>
        <w:t xml:space="preserve">rdb_notified</w:t>
      </w:r>
      <w:r>
        <w:t xml:space="preserve"> </w:t>
      </w:r>
      <w:r>
        <w:t xml:space="preserve">(false for NBFCs and HFCs unless notified under RDB s.2(h)(ii)) with gazette refs; a SARFAESI notification does not make an NBFC a financial institution under RDB s.2(h) (</w:t>
      </w:r>
      <w:r>
        <w:rPr>
          <w:iCs/>
          <w:i/>
        </w:rPr>
        <w:t xml:space="preserve">Tata Motors Finance v Naushad Khan</w:t>
      </w:r>
      <w:r>
        <w:t xml:space="preserve">, Bom HC, 2023);</w:t>
      </w:r>
      <w:r>
        <w:t xml:space="preserve"> </w:t>
      </w:r>
      <w:r>
        <w:rPr>
          <w:rStyle w:val="VerbatimChar"/>
        </w:rPr>
        <w:t xml:space="preserve">lsp_id</w:t>
      </w:r>
      <w:r>
        <w:t xml:space="preserve">; one</w:t>
      </w:r>
      <w:r>
        <w:t xml:space="preserve"> </w:t>
      </w:r>
      <w:r>
        <w:rPr>
          <w:rStyle w:val="VerbatimChar"/>
        </w:rPr>
        <w:t xml:space="preserve">dla_id</w:t>
      </w:r>
      <w:r>
        <w:t xml:space="preserve"> </w:t>
      </w:r>
      <w:r>
        <w:t xml:space="preserve">per DLA per platform per RE (CF para 18).</w:t>
      </w:r>
    </w:p>
    <w:bookmarkEnd w:id="36"/>
    <w:bookmarkStart w:id="37" w:name="service-accounts-and-staff-access"/>
    <w:p>
      <w:pPr>
        <w:pStyle w:val="Heading2"/>
      </w:pPr>
      <w:r>
        <w:t xml:space="preserve">4.2 Service accounts and staff access</w:t>
      </w:r>
    </w:p>
    <w:p>
      <w:pPr>
        <w:numPr>
          <w:ilvl w:val="0"/>
          <w:numId w:val="1005"/>
        </w:numPr>
        <w:pStyle w:val="Compact"/>
      </w:pPr>
      <w:r>
        <w:t xml:space="preserve">One OAuth client per (product, counterparty, environment, purpose), certificate-bound or</w:t>
      </w:r>
      <w:r>
        <w:t xml:space="preserve"> </w:t>
      </w:r>
      <w:r>
        <w:rPr>
          <w:rStyle w:val="VerbatimChar"/>
        </w:rPr>
        <w:t xml:space="preserve">private_key_jwt</w:t>
      </w:r>
      <w:r>
        <w:t xml:space="preserve">, secrets never stored in clear and rotated ≤ 90 days, with owner, scopes, authorising link and expiry; an expired link disables the client.</w:t>
      </w:r>
    </w:p>
    <w:p>
      <w:pPr>
        <w:numPr>
          <w:ilvl w:val="0"/>
          <w:numId w:val="1005"/>
        </w:numPr>
        <w:pStyle w:val="Compact"/>
      </w:pPr>
      <w:r>
        <w:t xml:space="preserve">Staff use OIDC (preferred) or SAML 2.0 against their organisation’s IdP with MFA;</w:t>
      </w:r>
      <w:r>
        <w:t xml:space="preserve"> </w:t>
      </w:r>
      <w:r>
        <w:rPr>
          <w:bCs/>
          <w:b/>
        </w:rPr>
        <w:t xml:space="preserve">SCIM 2.0</w:t>
      </w:r>
      <w:r>
        <w:t xml:space="preserve"> </w:t>
      </w:r>
      <w:r>
        <w:t xml:space="preserve">(RFC 7643, 7644) provisions users and groups; leavers removed within 4 hours (privileged within 1 hour) [REC]. An Infrabyx IdP serves the staff of every Infrabyx group company, provisioned by SCIM from the Operations Hub (Part 4.6); authorisation stays per product.</w:t>
      </w:r>
    </w:p>
    <w:p>
      <w:pPr>
        <w:numPr>
          <w:ilvl w:val="0"/>
          <w:numId w:val="1005"/>
        </w:numPr>
        <w:pStyle w:val="Compact"/>
      </w:pPr>
      <w:r>
        <w:t xml:space="preserve">Roles are product-specific. Neutrals exist only in Equator and counsel only in Finbyx’s counsel portal; no Finbyx or Udofin user may be a neutral for the same RE (Part 8.6).</w:t>
      </w:r>
    </w:p>
    <w:bookmarkEnd w:id="37"/>
    <w:bookmarkStart w:id="38" w:name="borrower-identity"/>
    <w:p>
      <w:pPr>
        <w:pStyle w:val="Heading2"/>
      </w:pPr>
      <w:r>
        <w:t xml:space="preserve">4.3 Borrower identity</w:t>
      </w:r>
    </w:p>
    <w:p>
      <w:pPr>
        <w:pStyle w:val="FirstParagraph"/>
      </w:pPr>
      <w:r>
        <w:t xml:space="preserve">Borrower identities are not shared across products without consent (Udofin Part 2). Each product keeps its own account; links use</w:t>
      </w:r>
      <w:r>
        <w:t xml:space="preserve"> </w:t>
      </w:r>
      <w:r>
        <w:rPr>
          <w:bCs/>
          <w:b/>
        </w:rPr>
        <w:t xml:space="preserve">pairwise pseudonymous</w:t>
      </w:r>
      <w:r>
        <w:rPr>
          <w:bCs/>
          <w:b/>
        </w:rPr>
        <w:t xml:space="preserve"> </w:t>
      </w:r>
      <w:r>
        <w:rPr>
          <w:rStyle w:val="VerbatimChar"/>
          <w:bCs/>
          <w:b/>
        </w:rPr>
        <w:t xml:space="preserve">party_ref</w:t>
      </w:r>
      <w:r>
        <w:rPr>
          <w:bCs/>
          <w:b/>
        </w:rPr>
        <w:t xml:space="preserve">s</w:t>
      </w:r>
      <w:r>
        <w:t xml:space="preserve"> </w:t>
      </w:r>
      <w:r>
        <w:t xml:space="preserve">unique per product pair and RE, so no product can correlate a borrower across REs.</w:t>
      </w:r>
    </w:p>
    <w:bookmarkEnd w:id="38"/>
    <w:bookmarkStart w:id="39" w:name="udofin-equator-without-a-separate-app"/>
    <w:p>
      <w:pPr>
        <w:pStyle w:val="Heading2"/>
      </w:pPr>
      <w:r>
        <w:t xml:space="preserve">4.4 Udofin → Equator without a separate app</w:t>
      </w:r>
    </w:p>
    <w:p>
      <w:pPr>
        <w:numPr>
          <w:ilvl w:val="0"/>
          <w:numId w:val="1006"/>
        </w:numPr>
        <w:pStyle w:val="Compact"/>
      </w:pPr>
      <w:r>
        <w:t xml:space="preserve">Equator emits</w:t>
      </w:r>
      <w:r>
        <w:t xml:space="preserve"> </w:t>
      </w:r>
      <w:r>
        <w:rPr>
          <w:rStyle w:val="VerbatimChar"/>
        </w:rPr>
        <w:t xml:space="preserve">ADRCaseStatusChanged</w:t>
      </w:r>
      <w:r>
        <w:t xml:space="preserve"> </w:t>
      </w:r>
      <w:r>
        <w:t xml:space="preserve">with</w:t>
      </w:r>
      <w:r>
        <w:t xml:space="preserve"> </w:t>
      </w:r>
      <w:r>
        <w:rPr>
          <w:rStyle w:val="VerbatimChar"/>
        </w:rPr>
        <w:t xml:space="preserve">borrower_action_required</w:t>
      </w:r>
      <w:r>
        <w:t xml:space="preserve"> </w:t>
      </w:r>
      <w:r>
        <w:t xml:space="preserve">for a case whose RE permits Udofin presentation.</w:t>
      </w:r>
    </w:p>
    <w:p>
      <w:pPr>
        <w:numPr>
          <w:ilvl w:val="0"/>
          <w:numId w:val="1006"/>
        </w:numPr>
        <w:pStyle w:val="Compact"/>
      </w:pPr>
      <w:r>
        <w:t xml:space="preserve">On tap, Udofin’s backend calls Equator’s token-exchange endpoint (RFC 8693) with a signed subject token: pairwise</w:t>
      </w:r>
      <w:r>
        <w:t xml:space="preserve"> </w:t>
      </w:r>
      <w:r>
        <w:rPr>
          <w:rStyle w:val="VerbatimChar"/>
        </w:rPr>
        <w:t xml:space="preserve">sub</w:t>
      </w:r>
      <w:r>
        <w:t xml:space="preserve">,</w:t>
      </w:r>
      <w:r>
        <w:t xml:space="preserve"> </w:t>
      </w:r>
      <w:r>
        <w:rPr>
          <w:rStyle w:val="VerbatimChar"/>
        </w:rPr>
        <w:t xml:space="preserve">reid</w:t>
      </w:r>
      <w:r>
        <w:t xml:space="preserve">,</w:t>
      </w:r>
      <w:r>
        <w:t xml:space="preserve"> </w:t>
      </w:r>
      <w:r>
        <w:rPr>
          <w:rStyle w:val="VerbatimChar"/>
        </w:rPr>
        <w:t xml:space="preserve">adr_case_id</w:t>
      </w:r>
      <w:r>
        <w:t xml:space="preserve">,</w:t>
      </w:r>
      <w:r>
        <w:t xml:space="preserve"> </w:t>
      </w:r>
      <w:r>
        <w:rPr>
          <w:rStyle w:val="VerbatimChar"/>
        </w:rPr>
        <w:t xml:space="preserve">acr</w:t>
      </w:r>
      <w:r>
        <w:t xml:space="preserve">,</w:t>
      </w:r>
      <w:r>
        <w:t xml:space="preserve"> </w:t>
      </w:r>
      <w:r>
        <w:rPr>
          <w:rStyle w:val="VerbatimChar"/>
        </w:rPr>
        <w:t xml:space="preserve">auth_time</w:t>
      </w:r>
      <w:r>
        <w:t xml:space="preserve">,</w:t>
      </w:r>
      <w:r>
        <w:t xml:space="preserve"> </w:t>
      </w:r>
      <w:r>
        <w:rPr>
          <w:rStyle w:val="VerbatimChar"/>
        </w:rPr>
        <w:t xml:space="preserve">consentref</w:t>
      </w:r>
      <w:r>
        <w:t xml:space="preserve">.</w:t>
      </w:r>
    </w:p>
    <w:p>
      <w:pPr>
        <w:numPr>
          <w:ilvl w:val="0"/>
          <w:numId w:val="1006"/>
        </w:numPr>
        <w:pStyle w:val="Compact"/>
      </w:pPr>
      <w:r>
        <w:t xml:space="preserve">Equator returns a single-use launch URL valid ≤ 10 minutes, opened in an in-app browser tab.</w:t>
      </w:r>
    </w:p>
    <w:p>
      <w:pPr>
        <w:numPr>
          <w:ilvl w:val="0"/>
          <w:numId w:val="1006"/>
        </w:numPr>
        <w:pStyle w:val="Compact"/>
      </w:pPr>
      <w:r>
        <w:t xml:space="preserve">Equator binds the session to the referral’s party record and requires</w:t>
      </w:r>
      <w:r>
        <w:t xml:space="preserve"> </w:t>
      </w:r>
      <w:r>
        <w:rPr>
          <w:bCs/>
          <w:b/>
        </w:rPr>
        <w:t xml:space="preserve">OTP step-up to the RE-registered mobile</w:t>
      </w:r>
      <w:r>
        <w:t xml:space="preserve"> </w:t>
      </w:r>
      <w:r>
        <w:t xml:space="preserve">before any consent, statement, acceptance or signature (Aadhaar eSign or DSC).</w:t>
      </w:r>
    </w:p>
    <w:p>
      <w:pPr>
        <w:numPr>
          <w:ilvl w:val="0"/>
          <w:numId w:val="1006"/>
        </w:numPr>
        <w:pStyle w:val="Compact"/>
      </w:pPr>
      <w:r>
        <w:t xml:space="preserve">Udofin never receives hearing content, the RE’s mandate, the selection log or other parties’ documents.</w:t>
      </w:r>
    </w:p>
    <w:p>
      <w:pPr>
        <w:pStyle w:val="FirstParagraph"/>
      </w:pPr>
      <w:r>
        <w:t xml:space="preserve">Borrowers not on Udofin get a signed magic link from Equator by SMS and email to RE-supplied contacts (never WhatsApp: its Business Messaging Policy bars debt-collection use; Finbyx 7A.0.6, Udofin UR3), valid ≤ 72 hours, with the same step-up. The Finbyx borrower portal follows the Udofin pattern.</w:t>
      </w:r>
    </w:p>
    <w:bookmarkEnd w:id="39"/>
    <w:bookmarkStart w:id="40" w:name="authorisation-scopes"/>
    <w:p>
      <w:pPr>
        <w:pStyle w:val="Heading2"/>
      </w:pPr>
      <w:r>
        <w:t xml:space="preserve">4.5 Authorisation scopes</w:t>
      </w:r>
    </w:p>
    <w:p>
      <w:pPr>
        <w:pStyle w:val="FirstParagraph"/>
      </w:pPr>
      <w:r>
        <w:t xml:space="preserve">Scopes are</w:t>
      </w:r>
      <w:r>
        <w:t xml:space="preserve"> </w:t>
      </w:r>
      <w:r>
        <w:rPr>
          <w:rStyle w:val="VerbatimChar"/>
        </w:rPr>
        <w:t xml:space="preserve">[domain].[resource]:[action]</w:t>
      </w:r>
      <w:r>
        <w:t xml:space="preserve">; producers filter fields, and LSP projections are separate registry subjects (</w:t>
      </w:r>
      <w:r>
        <w:rPr>
          <w:rStyle w:val="VerbatimChar"/>
        </w:rPr>
        <w:t xml:space="preserve">[EventName].lsp</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856"/>
        <w:gridCol w:w="4782"/>
      </w:tblGrid>
      <w:tr>
        <w:trPr>
          <w:tblHeader w:val="true"/>
          <w:tblHeader w:val="true"/>
        </w:trPr>
        <w:tc>
          <w:tcPr>
            <w:tcW w:w="4856" w:type="dxa"/>
            <w:shd w:val="clear" w:color="auto" w:fill="1F3A5F"/>
          </w:tcPr>
          <w:p>
            <w:pPr>
              <w:pStyle w:val="Compact"/>
              <w:spacing w:after="40"/>
              <w:jc w:val="left"/>
            </w:pPr>
            <w:r>
              <w:rPr>
                <w:b/>
                <w:color w:val="FFFFFF"/>
                <w:sz w:val="18"/>
              </w:rPr>
              <w:t xml:space="preserve">Scope</w:t>
            </w:r>
          </w:p>
        </w:tc>
        <w:tc>
          <w:tcPr>
            <w:tcW w:w="4782" w:type="dxa"/>
            <w:shd w:val="clear" w:color="auto" w:fill="1F3A5F"/>
          </w:tcPr>
          <w:p>
            <w:pPr>
              <w:pStyle w:val="Compact"/>
              <w:spacing w:after="40"/>
              <w:jc w:val="left"/>
            </w:pPr>
            <w:r>
              <w:rPr>
                <w:b/>
                <w:color w:val="FFFFFF"/>
                <w:sz w:val="18"/>
              </w:rPr>
              <w:t xml:space="preserve">Granted to</w:t>
            </w:r>
          </w:p>
        </w:tc>
      </w:tr>
      <w:tr>
        <w:tc>
          <w:tcPr>
            <w:tcW w:w="4856" w:type="dxa"/>
          </w:tcPr>
          <w:p>
            <w:pPr>
              <w:pStyle w:val="Compact"/>
              <w:spacing w:after="40"/>
              <w:jc w:val="left"/>
            </w:pPr>
            <w:r>
              <w:rPr>
                <w:rStyle w:val="VerbatimChar"/>
                <w:sz w:val="18"/>
              </w:rPr>
              <w:t xml:space="preserve">origination.application:write</w:t>
            </w:r>
            <w:r>
              <w:rPr>
                <w:sz w:val="18"/>
              </w:rPr>
              <w:t xml:space="preserve">,</w:t>
            </w:r>
            <w:r>
              <w:rPr>
                <w:sz w:val="18"/>
              </w:rPr>
              <w:t xml:space="preserve"> </w:t>
            </w:r>
            <w:r>
              <w:rPr>
                <w:rStyle w:val="VerbatimChar"/>
                <w:sz w:val="18"/>
              </w:rPr>
              <w:t xml:space="preserve">origination.decision:read</w:t>
            </w:r>
          </w:p>
        </w:tc>
        <w:tc>
          <w:tcPr>
            <w:tcW w:w="4782" w:type="dxa"/>
          </w:tcPr>
          <w:p>
            <w:pPr>
              <w:pStyle w:val="Compact"/>
              <w:spacing w:after="40"/>
              <w:jc w:val="left"/>
            </w:pPr>
            <w:r>
              <w:rPr>
                <w:sz w:val="18"/>
              </w:rPr>
              <w:t xml:space="preserve">LSPs, DSAs, co-lending originators (own applications)</w:t>
            </w:r>
          </w:p>
        </w:tc>
      </w:tr>
      <w:tr>
        <w:tc>
          <w:tcPr>
            <w:tcW w:w="4856" w:type="dxa"/>
          </w:tcPr>
          <w:p>
            <w:pPr>
              <w:pStyle w:val="Compact"/>
              <w:spacing w:after="40"/>
              <w:jc w:val="left"/>
            </w:pPr>
            <w:r>
              <w:rPr>
                <w:rStyle w:val="VerbatimChar"/>
                <w:sz w:val="18"/>
              </w:rPr>
              <w:t xml:space="preserve">servicing.loan:read.lsp</w:t>
            </w:r>
            <w:r>
              <w:rPr>
                <w:sz w:val="18"/>
              </w:rPr>
              <w:t xml:space="preserve">,</w:t>
            </w:r>
            <w:r>
              <w:rPr>
                <w:sz w:val="18"/>
              </w:rPr>
              <w:t xml:space="preserve"> </w:t>
            </w:r>
            <w:r>
              <w:rPr>
                <w:rStyle w:val="VerbatimChar"/>
                <w:sz w:val="18"/>
              </w:rPr>
              <w:t xml:space="preserve">payments.mandate:write</w:t>
            </w:r>
          </w:p>
        </w:tc>
        <w:tc>
          <w:tcPr>
            <w:tcW w:w="4782" w:type="dxa"/>
          </w:tcPr>
          <w:p>
            <w:pPr>
              <w:pStyle w:val="Compact"/>
              <w:spacing w:after="40"/>
              <w:jc w:val="left"/>
            </w:pPr>
            <w:r>
              <w:rPr>
                <w:sz w:val="18"/>
              </w:rPr>
              <w:t xml:space="preserve">LSPs (loans they sourced or service)</w:t>
            </w:r>
          </w:p>
        </w:tc>
      </w:tr>
      <w:tr>
        <w:tc>
          <w:tcPr>
            <w:tcW w:w="4856" w:type="dxa"/>
          </w:tcPr>
          <w:p>
            <w:pPr>
              <w:pStyle w:val="Compact"/>
              <w:spacing w:after="40"/>
              <w:jc w:val="left"/>
            </w:pPr>
            <w:r>
              <w:rPr>
                <w:rStyle w:val="VerbatimChar"/>
                <w:sz w:val="18"/>
              </w:rPr>
              <w:t xml:space="preserve">collateral.pledge:orchestrate</w:t>
            </w:r>
            <w:r>
              <w:rPr>
                <w:sz w:val="18"/>
              </w:rPr>
              <w:t xml:space="preserve">,</w:t>
            </w:r>
            <w:r>
              <w:rPr>
                <w:sz w:val="18"/>
              </w:rPr>
              <w:t xml:space="preserve"> </w:t>
            </w:r>
            <w:r>
              <w:rPr>
                <w:rStyle w:val="VerbatimChar"/>
                <w:sz w:val="18"/>
              </w:rPr>
              <w:t xml:space="preserve">collateral.position:read.lsp</w:t>
            </w:r>
          </w:p>
        </w:tc>
        <w:tc>
          <w:tcPr>
            <w:tcW w:w="4782" w:type="dxa"/>
          </w:tcPr>
          <w:p>
            <w:pPr>
              <w:pStyle w:val="Compact"/>
              <w:spacing w:after="40"/>
              <w:jc w:val="left"/>
            </w:pPr>
            <w:r>
              <w:rPr>
                <w:sz w:val="18"/>
              </w:rPr>
              <w:t xml:space="preserve">LSPs as the RE’s technology provider (OTP steps, display; never accept, invoke or release)</w:t>
            </w:r>
          </w:p>
        </w:tc>
      </w:tr>
      <w:tr>
        <w:tc>
          <w:tcPr>
            <w:tcW w:w="4856" w:type="dxa"/>
          </w:tcPr>
          <w:p>
            <w:pPr>
              <w:pStyle w:val="Compact"/>
              <w:spacing w:after="40"/>
              <w:jc w:val="left"/>
            </w:pPr>
            <w:r>
              <w:rPr>
                <w:rStyle w:val="VerbatimChar"/>
                <w:sz w:val="18"/>
              </w:rPr>
              <w:t xml:space="preserve">collateral.position:write</w:t>
            </w:r>
            <w:r>
              <w:rPr>
                <w:sz w:val="18"/>
              </w:rPr>
              <w:t xml:space="preserve">,</w:t>
            </w:r>
            <w:r>
              <w:rPr>
                <w:sz w:val="18"/>
              </w:rPr>
              <w:t xml:space="preserve"> </w:t>
            </w:r>
            <w:r>
              <w:rPr>
                <w:rStyle w:val="VerbatimChar"/>
                <w:sz w:val="18"/>
              </w:rPr>
              <w:t xml:space="preserve">recovery.case:write</w:t>
            </w:r>
            <w:r>
              <w:rPr>
                <w:sz w:val="18"/>
              </w:rPr>
              <w:t xml:space="preserve">,</w:t>
            </w:r>
            <w:r>
              <w:rPr>
                <w:sz w:val="18"/>
              </w:rPr>
              <w:t xml:space="preserve"> </w:t>
            </w:r>
            <w:r>
              <w:rPr>
                <w:rStyle w:val="VerbatimChar"/>
                <w:sz w:val="18"/>
              </w:rPr>
              <w:t xml:space="preserve">adr.referral:create</w:t>
            </w:r>
          </w:p>
        </w:tc>
        <w:tc>
          <w:tcPr>
            <w:tcW w:w="4782" w:type="dxa"/>
          </w:tcPr>
          <w:p>
            <w:pPr>
              <w:pStyle w:val="Compact"/>
              <w:spacing w:after="40"/>
              <w:jc w:val="left"/>
            </w:pPr>
            <w:r>
              <w:rPr>
                <w:sz w:val="18"/>
              </w:rPr>
              <w:t xml:space="preserve">RE system only</w:t>
            </w:r>
          </w:p>
        </w:tc>
      </w:tr>
      <w:tr>
        <w:tc>
          <w:tcPr>
            <w:tcW w:w="4856" w:type="dxa"/>
          </w:tcPr>
          <w:p>
            <w:pPr>
              <w:pStyle w:val="Compact"/>
              <w:spacing w:after="40"/>
              <w:jc w:val="left"/>
            </w:pPr>
            <w:r>
              <w:rPr>
                <w:rStyle w:val="VerbatimChar"/>
                <w:sz w:val="18"/>
              </w:rPr>
              <w:t xml:space="preserve">colending.share:write</w:t>
            </w:r>
          </w:p>
        </w:tc>
        <w:tc>
          <w:tcPr>
            <w:tcW w:w="4782" w:type="dxa"/>
          </w:tcPr>
          <w:p>
            <w:pPr>
              <w:pStyle w:val="Compact"/>
              <w:spacing w:after="40"/>
              <w:jc w:val="left"/>
            </w:pPr>
            <w:r>
              <w:rPr>
                <w:sz w:val="18"/>
              </w:rPr>
              <w:t xml:space="preserve">Co-lender RE systems</w:t>
            </w:r>
          </w:p>
        </w:tc>
      </w:tr>
      <w:tr>
        <w:tc>
          <w:tcPr>
            <w:tcW w:w="4856" w:type="dxa"/>
          </w:tcPr>
          <w:p>
            <w:pPr>
              <w:pStyle w:val="Compact"/>
              <w:spacing w:after="40"/>
              <w:jc w:val="left"/>
            </w:pPr>
            <w:r>
              <w:rPr>
                <w:rStyle w:val="VerbatimChar"/>
                <w:sz w:val="18"/>
              </w:rPr>
              <w:t xml:space="preserve">collections.allocation:read</w:t>
            </w:r>
            <w:r>
              <w:rPr>
                <w:sz w:val="18"/>
              </w:rPr>
              <w:t xml:space="preserve">,</w:t>
            </w:r>
            <w:r>
              <w:rPr>
                <w:sz w:val="18"/>
              </w:rPr>
              <w:t xml:space="preserve"> </w:t>
            </w:r>
            <w:r>
              <w:rPr>
                <w:rStyle w:val="VerbatimChar"/>
                <w:sz w:val="18"/>
              </w:rPr>
              <w:t xml:space="preserve">collections.activity:write</w:t>
            </w:r>
          </w:p>
        </w:tc>
        <w:tc>
          <w:tcPr>
            <w:tcW w:w="4782" w:type="dxa"/>
          </w:tcPr>
          <w:p>
            <w:pPr>
              <w:pStyle w:val="Compact"/>
              <w:spacing w:after="40"/>
              <w:jc w:val="left"/>
            </w:pPr>
            <w:r>
              <w:rPr>
                <w:sz w:val="18"/>
              </w:rPr>
              <w:t xml:space="preserve">Appointed agents and LSPs while the appointment is active</w:t>
            </w:r>
          </w:p>
        </w:tc>
      </w:tr>
      <w:tr>
        <w:tc>
          <w:tcPr>
            <w:tcW w:w="4856" w:type="dxa"/>
          </w:tcPr>
          <w:p>
            <w:pPr>
              <w:pStyle w:val="Compact"/>
              <w:spacing w:after="40"/>
              <w:jc w:val="left"/>
            </w:pPr>
            <w:r>
              <w:rPr>
                <w:rStyle w:val="VerbatimChar"/>
                <w:sz w:val="18"/>
              </w:rPr>
              <w:t xml:space="preserve">origination.verification:read</w:t>
            </w:r>
            <w:r>
              <w:rPr>
                <w:sz w:val="18"/>
              </w:rPr>
              <w:t xml:space="preserve">,</w:t>
            </w:r>
            <w:r>
              <w:rPr>
                <w:sz w:val="18"/>
              </w:rPr>
              <w:t xml:space="preserve"> </w:t>
            </w:r>
            <w:r>
              <w:rPr>
                <w:rStyle w:val="VerbatimChar"/>
                <w:sz w:val="18"/>
              </w:rPr>
              <w:t xml:space="preserve">origination.verification:write</w:t>
            </w:r>
          </w:p>
        </w:tc>
        <w:tc>
          <w:tcPr>
            <w:tcW w:w="4782" w:type="dxa"/>
          </w:tcPr>
          <w:p>
            <w:pPr>
              <w:pStyle w:val="Compact"/>
              <w:spacing w:after="40"/>
              <w:jc w:val="left"/>
            </w:pPr>
            <w:r>
              <w:rPr>
                <w:sz w:val="18"/>
              </w:rPr>
              <w:t xml:space="preserve">Field-investigation apps and verification agencies with an active</w:t>
            </w:r>
            <w:r>
              <w:rPr>
                <w:sz w:val="18"/>
              </w:rPr>
              <w:t xml:space="preserve"> </w:t>
            </w:r>
            <w:r>
              <w:rPr>
                <w:rStyle w:val="VerbatimChar"/>
                <w:sz w:val="18"/>
              </w:rPr>
              <w:t xml:space="preserve">re_sp_link</w:t>
            </w:r>
            <w:r>
              <w:rPr>
                <w:sz w:val="18"/>
              </w:rPr>
              <w:t xml:space="preserve"> </w:t>
            </w:r>
            <w:r>
              <w:rPr>
                <w:sz w:val="18"/>
              </w:rPr>
              <w:t xml:space="preserve">(own tasks only:</w:t>
            </w:r>
            <w:r>
              <w:rPr>
                <w:sz w:val="18"/>
              </w:rPr>
              <w:t xml:space="preserve"> </w:t>
            </w:r>
            <w:r>
              <w:rPr>
                <w:rStyle w:val="VerbatimChar"/>
                <w:sz w:val="18"/>
              </w:rPr>
              <w:t xml:space="preserve">VerificationRequested</w:t>
            </w:r>
            <w:r>
              <w:rPr>
                <w:sz w:val="18"/>
              </w:rPr>
              <w:t xml:space="preserve">,</w:t>
            </w:r>
            <w:r>
              <w:rPr>
                <w:sz w:val="18"/>
              </w:rPr>
              <w:t xml:space="preserve"> </w:t>
            </w:r>
            <w:r>
              <w:rPr>
                <w:rStyle w:val="VerbatimChar"/>
                <w:sz w:val="18"/>
              </w:rPr>
              <w:t xml:space="preserve">VerificationCompleted</w:t>
            </w:r>
            <w:r>
              <w:rPr>
                <w:sz w:val="18"/>
              </w:rPr>
              <w:t xml:space="preserve">,</w:t>
            </w:r>
            <w:r>
              <w:rPr>
                <w:sz w:val="18"/>
              </w:rPr>
              <w:t xml:space="preserve"> </w:t>
            </w:r>
            <w:r>
              <w:rPr>
                <w:rStyle w:val="VerbatimChar"/>
                <w:sz w:val="18"/>
              </w:rPr>
              <w:t xml:space="preserve">RiskSignalRaised</w:t>
            </w:r>
            <w:r>
              <w:rPr>
                <w:sz w:val="18"/>
              </w:rPr>
              <w:t xml:space="preserve">)</w:t>
            </w:r>
          </w:p>
        </w:tc>
      </w:tr>
      <w:tr>
        <w:tc>
          <w:tcPr>
            <w:tcW w:w="4856" w:type="dxa"/>
          </w:tcPr>
          <w:p>
            <w:pPr>
              <w:pStyle w:val="Compact"/>
              <w:spacing w:after="40"/>
              <w:jc w:val="left"/>
            </w:pPr>
            <w:r>
              <w:rPr>
                <w:rStyle w:val="VerbatimChar"/>
                <w:sz w:val="18"/>
              </w:rPr>
              <w:t xml:space="preserve">recovery.case:read.lsp</w:t>
            </w:r>
            <w:r>
              <w:rPr>
                <w:sz w:val="18"/>
              </w:rPr>
              <w:t xml:space="preserve">,</w:t>
            </w:r>
            <w:r>
              <w:rPr>
                <w:sz w:val="18"/>
              </w:rPr>
              <w:t xml:space="preserve"> </w:t>
            </w:r>
            <w:r>
              <w:rPr>
                <w:rStyle w:val="VerbatimChar"/>
                <w:sz w:val="18"/>
              </w:rPr>
              <w:t xml:space="preserve">litigation.case:read.lsp</w:t>
            </w:r>
          </w:p>
        </w:tc>
        <w:tc>
          <w:tcPr>
            <w:tcW w:w="4782" w:type="dxa"/>
          </w:tcPr>
          <w:p>
            <w:pPr>
              <w:pStyle w:val="Compact"/>
              <w:spacing w:after="40"/>
              <w:jc w:val="left"/>
            </w:pPr>
            <w:r>
              <w:rPr>
                <w:sz w:val="18"/>
              </w:rPr>
              <w:t xml:space="preserve">LSPs, if the RE permits (</w:t>
            </w:r>
            <w:r>
              <w:rPr>
                <w:rStyle w:val="VerbatimChar"/>
                <w:sz w:val="18"/>
              </w:rPr>
              <w:t xml:space="preserve">legal_stage</w:t>
            </w:r>
            <w:r>
              <w:rPr>
                <w:sz w:val="18"/>
              </w:rPr>
              <w:t xml:space="preserve">, RE wording, next action)</w:t>
            </w:r>
          </w:p>
        </w:tc>
      </w:tr>
      <w:tr>
        <w:tc>
          <w:tcPr>
            <w:tcW w:w="4856" w:type="dxa"/>
          </w:tcPr>
          <w:p>
            <w:pPr>
              <w:pStyle w:val="Compact"/>
              <w:spacing w:after="40"/>
              <w:jc w:val="left"/>
            </w:pPr>
            <w:r>
              <w:rPr>
                <w:rStyle w:val="VerbatimChar"/>
                <w:sz w:val="18"/>
              </w:rPr>
              <w:t xml:space="preserve">recovery.settlement:request</w:t>
            </w:r>
          </w:p>
        </w:tc>
        <w:tc>
          <w:tcPr>
            <w:tcW w:w="4782" w:type="dxa"/>
          </w:tcPr>
          <w:p>
            <w:pPr>
              <w:pStyle w:val="Compact"/>
              <w:spacing w:after="40"/>
              <w:jc w:val="left"/>
            </w:pPr>
            <w:r>
              <w:rPr>
                <w:sz w:val="18"/>
              </w:rPr>
              <w:t xml:space="preserve">LSPs and borrower portals (relay only)</w:t>
            </w:r>
          </w:p>
        </w:tc>
      </w:tr>
      <w:tr>
        <w:tc>
          <w:tcPr>
            <w:tcW w:w="4856" w:type="dxa"/>
          </w:tcPr>
          <w:p>
            <w:pPr>
              <w:pStyle w:val="Compact"/>
              <w:spacing w:after="40"/>
              <w:jc w:val="left"/>
            </w:pPr>
            <w:r>
              <w:rPr>
                <w:rStyle w:val="VerbatimChar"/>
                <w:sz w:val="18"/>
              </w:rPr>
              <w:t xml:space="preserve">adr.case:read.party</w:t>
            </w:r>
            <w:r>
              <w:rPr>
                <w:sz w:val="18"/>
              </w:rPr>
              <w:t xml:space="preserve">,</w:t>
            </w:r>
            <w:r>
              <w:rPr>
                <w:sz w:val="18"/>
              </w:rPr>
              <w:t xml:space="preserve"> </w:t>
            </w:r>
            <w:r>
              <w:rPr>
                <w:rStyle w:val="VerbatimChar"/>
                <w:sz w:val="18"/>
              </w:rPr>
              <w:t xml:space="preserve">adr.case:write.institution</w:t>
            </w:r>
          </w:p>
        </w:tc>
        <w:tc>
          <w:tcPr>
            <w:tcW w:w="4782" w:type="dxa"/>
          </w:tcPr>
          <w:p>
            <w:pPr>
              <w:pStyle w:val="Compact"/>
              <w:spacing w:after="40"/>
              <w:jc w:val="left"/>
            </w:pPr>
            <w:r>
              <w:rPr>
                <w:sz w:val="18"/>
              </w:rPr>
              <w:t xml:space="preserve">Borrower-facing products; ODR institutions</w:t>
            </w:r>
          </w:p>
        </w:tc>
      </w:tr>
      <w:tr>
        <w:tc>
          <w:tcPr>
            <w:tcW w:w="4856" w:type="dxa"/>
          </w:tcPr>
          <w:p>
            <w:pPr>
              <w:pStyle w:val="Compact"/>
              <w:spacing w:after="40"/>
              <w:jc w:val="left"/>
            </w:pPr>
            <w:r>
              <w:rPr>
                <w:rStyle w:val="VerbatimChar"/>
                <w:sz w:val="18"/>
              </w:rPr>
              <w:t xml:space="preserve">grc.obligation:read</w:t>
            </w:r>
            <w:r>
              <w:rPr>
                <w:sz w:val="18"/>
              </w:rPr>
              <w:t xml:space="preserve">,</w:t>
            </w:r>
            <w:r>
              <w:rPr>
                <w:sz w:val="18"/>
              </w:rPr>
              <w:t xml:space="preserve"> </w:t>
            </w:r>
            <w:r>
              <w:rPr>
                <w:rStyle w:val="VerbatimChar"/>
                <w:sz w:val="18"/>
              </w:rPr>
              <w:t xml:space="preserve">grc.evidence:write</w:t>
            </w:r>
            <w:r>
              <w:rPr>
                <w:sz w:val="18"/>
              </w:rPr>
              <w:t xml:space="preserve">,</w:t>
            </w:r>
            <w:r>
              <w:rPr>
                <w:sz w:val="18"/>
              </w:rPr>
              <w:t xml:space="preserve"> </w:t>
            </w:r>
            <w:r>
              <w:rPr>
                <w:rStyle w:val="VerbatimChar"/>
                <w:sz w:val="18"/>
              </w:rPr>
              <w:t xml:space="preserve">privacy.request:write</w:t>
            </w:r>
          </w:p>
        </w:tc>
        <w:tc>
          <w:tcPr>
            <w:tcW w:w="4782" w:type="dxa"/>
          </w:tcPr>
          <w:p>
            <w:pPr>
              <w:pStyle w:val="Compact"/>
              <w:spacing w:after="40"/>
              <w:jc w:val="left"/>
            </w:pPr>
            <w:r>
              <w:rPr>
                <w:sz w:val="18"/>
              </w:rPr>
              <w:t xml:space="preserve">Products in a GRC link; every product</w:t>
            </w:r>
          </w:p>
        </w:tc>
      </w:tr>
      <w:tr>
        <w:tc>
          <w:tcPr>
            <w:tcW w:w="4856" w:type="dxa"/>
          </w:tcPr>
          <w:p>
            <w:pPr>
              <w:pStyle w:val="Compact"/>
              <w:spacing w:after="40"/>
              <w:jc w:val="left"/>
            </w:pPr>
            <w:r>
              <w:rPr>
                <w:rStyle w:val="VerbatimChar"/>
                <w:sz w:val="18"/>
              </w:rPr>
              <w:t xml:space="preserve">platform.module:admin</w:t>
            </w:r>
            <w:r>
              <w:rPr>
                <w:sz w:val="18"/>
              </w:rPr>
              <w:t xml:space="preserve">,</w:t>
            </w:r>
            <w:r>
              <w:rPr>
                <w:sz w:val="18"/>
              </w:rPr>
              <w:t xml:space="preserve"> </w:t>
            </w:r>
            <w:r>
              <w:rPr>
                <w:rStyle w:val="VerbatimChar"/>
                <w:sz w:val="18"/>
              </w:rPr>
              <w:t xml:space="preserve">platform.connector:certify</w:t>
            </w:r>
          </w:p>
        </w:tc>
        <w:tc>
          <w:tcPr>
            <w:tcW w:w="4782" w:type="dxa"/>
          </w:tcPr>
          <w:p>
            <w:pPr>
              <w:pStyle w:val="Compact"/>
              <w:spacing w:after="40"/>
              <w:jc w:val="left"/>
            </w:pPr>
            <w:r>
              <w:rPr>
                <w:sz w:val="18"/>
              </w:rPr>
              <w:t xml:space="preserve">Entitlement and certification services</w:t>
            </w:r>
          </w:p>
        </w:tc>
      </w:tr>
      <w:tr>
        <w:tc>
          <w:tcPr>
            <w:tcW w:w="4856" w:type="dxa"/>
          </w:tcPr>
          <w:p>
            <w:pPr>
              <w:pStyle w:val="Compact"/>
              <w:spacing w:after="40"/>
              <w:jc w:val="left"/>
            </w:pPr>
            <w:r>
              <w:rPr>
                <w:rStyle w:val="VerbatimChar"/>
                <w:sz w:val="18"/>
              </w:rPr>
              <w:t xml:space="preserve">ops.tenant:provision</w:t>
            </w:r>
            <w:r>
              <w:rPr>
                <w:sz w:val="18"/>
              </w:rPr>
              <w:t xml:space="preserve">,</w:t>
            </w:r>
            <w:r>
              <w:rPr>
                <w:sz w:val="18"/>
              </w:rPr>
              <w:t xml:space="preserve"> </w:t>
            </w:r>
            <w:r>
              <w:rPr>
                <w:rStyle w:val="VerbatimChar"/>
                <w:sz w:val="18"/>
              </w:rPr>
              <w:t xml:space="preserve">billing.entitlement:write</w:t>
            </w:r>
            <w:r>
              <w:rPr>
                <w:sz w:val="18"/>
              </w:rPr>
              <w:t xml:space="preserve">,</w:t>
            </w:r>
            <w:r>
              <w:rPr>
                <w:sz w:val="18"/>
              </w:rPr>
              <w:t xml:space="preserve"> </w:t>
            </w:r>
            <w:r>
              <w:rPr>
                <w:rStyle w:val="VerbatimChar"/>
                <w:sz w:val="18"/>
              </w:rPr>
              <w:t xml:space="preserve">platform.entitlement:read</w:t>
            </w:r>
          </w:p>
        </w:tc>
        <w:tc>
          <w:tcPr>
            <w:tcW w:w="4782" w:type="dxa"/>
          </w:tcPr>
          <w:p>
            <w:pPr>
              <w:pStyle w:val="Compact"/>
              <w:spacing w:after="40"/>
              <w:jc w:val="left"/>
            </w:pPr>
            <w:r>
              <w:rPr>
                <w:sz w:val="18"/>
              </w:rPr>
              <w:t xml:space="preserve">Operations Hub provisioning and billing services only (Parts 4.6, 6.27, 6.29)</w:t>
            </w:r>
          </w:p>
        </w:tc>
      </w:tr>
      <w:tr>
        <w:tc>
          <w:tcPr>
            <w:tcW w:w="4856" w:type="dxa"/>
          </w:tcPr>
          <w:p>
            <w:pPr>
              <w:pStyle w:val="Compact"/>
              <w:spacing w:after="40"/>
              <w:jc w:val="left"/>
            </w:pPr>
            <w:r>
              <w:rPr>
                <w:rStyle w:val="VerbatimChar"/>
                <w:sz w:val="18"/>
              </w:rPr>
              <w:t xml:space="preserve">ops.provisioning:ack</w:t>
            </w:r>
            <w:r>
              <w:rPr>
                <w:sz w:val="18"/>
              </w:rPr>
              <w:t xml:space="preserve">,</w:t>
            </w:r>
            <w:r>
              <w:rPr>
                <w:sz w:val="18"/>
              </w:rPr>
              <w:t xml:space="preserve"> </w:t>
            </w:r>
            <w:r>
              <w:rPr>
                <w:rStyle w:val="VerbatimChar"/>
                <w:sz w:val="18"/>
              </w:rPr>
              <w:t xml:space="preserve">ops.ticket:write</w:t>
            </w:r>
            <w:r>
              <w:rPr>
                <w:sz w:val="18"/>
              </w:rPr>
              <w:t xml:space="preserve">,</w:t>
            </w:r>
            <w:r>
              <w:rPr>
                <w:sz w:val="18"/>
              </w:rPr>
              <w:t xml:space="preserve"> </w:t>
            </w:r>
            <w:r>
              <w:rPr>
                <w:rStyle w:val="VerbatimChar"/>
                <w:sz w:val="18"/>
              </w:rPr>
              <w:t xml:space="preserve">crm.request:write</w:t>
            </w:r>
            <w:r>
              <w:rPr>
                <w:sz w:val="18"/>
              </w:rPr>
              <w:t xml:space="preserve">,</w:t>
            </w:r>
            <w:r>
              <w:rPr>
                <w:sz w:val="18"/>
              </w:rPr>
              <w:t xml:space="preserve"> </w:t>
            </w:r>
            <w:r>
              <w:rPr>
                <w:rStyle w:val="VerbatimChar"/>
                <w:sz w:val="18"/>
              </w:rPr>
              <w:t xml:space="preserve">billing.quote:write</w:t>
            </w:r>
            <w:r>
              <w:rPr>
                <w:sz w:val="18"/>
              </w:rPr>
              <w:t xml:space="preserve">,</w:t>
            </w:r>
            <w:r>
              <w:rPr>
                <w:sz w:val="18"/>
              </w:rPr>
              <w:t xml:space="preserve"> </w:t>
            </w:r>
            <w:r>
              <w:rPr>
                <w:rStyle w:val="VerbatimChar"/>
                <w:sz w:val="18"/>
              </w:rPr>
              <w:t xml:space="preserve">billing.order:write</w:t>
            </w:r>
            <w:r>
              <w:rPr>
                <w:sz w:val="18"/>
              </w:rPr>
              <w:t xml:space="preserve">,</w:t>
            </w:r>
            <w:r>
              <w:rPr>
                <w:sz w:val="18"/>
              </w:rPr>
              <w:t xml:space="preserve"> </w:t>
            </w:r>
            <w:r>
              <w:rPr>
                <w:rStyle w:val="VerbatimChar"/>
                <w:sz w:val="18"/>
              </w:rPr>
              <w:t xml:space="preserve">billing.dispute:write</w:t>
            </w:r>
            <w:r>
              <w:rPr>
                <w:sz w:val="18"/>
              </w:rPr>
              <w:t xml:space="preserve">,</w:t>
            </w:r>
            <w:r>
              <w:rPr>
                <w:sz w:val="18"/>
              </w:rPr>
              <w:t xml:space="preserve"> </w:t>
            </w:r>
            <w:r>
              <w:rPr>
                <w:rStyle w:val="VerbatimChar"/>
                <w:sz w:val="18"/>
              </w:rPr>
              <w:t xml:space="preserve">billing.catalogue:read</w:t>
            </w:r>
            <w:r>
              <w:rPr>
                <w:sz w:val="18"/>
              </w:rPr>
              <w:t xml:space="preserve">,</w:t>
            </w:r>
            <w:r>
              <w:rPr>
                <w:sz w:val="18"/>
              </w:rPr>
              <w:t xml:space="preserve"> </w:t>
            </w:r>
            <w:r>
              <w:rPr>
                <w:rStyle w:val="VerbatimChar"/>
                <w:sz w:val="18"/>
              </w:rPr>
              <w:t xml:space="preserve">ops.claims:check</w:t>
            </w:r>
          </w:p>
        </w:tc>
        <w:tc>
          <w:tcPr>
            <w:tcW w:w="4782" w:type="dxa"/>
          </w:tcPr>
          <w:p>
            <w:pPr>
              <w:pStyle w:val="Compact"/>
              <w:spacing w:after="40"/>
              <w:jc w:val="left"/>
            </w:pPr>
            <w:r>
              <w:rPr>
                <w:sz w:val="18"/>
              </w:rPr>
              <w:t xml:space="preserve">Finbyx and Udofin product services calling the Hub (Equator and LawDocsComply: provisioning acknowledgement, catalogue and claims gate only) (Parts 6.27, 6.29)</w:t>
            </w:r>
          </w:p>
        </w:tc>
      </w:tr>
      <w:tr>
        <w:tc>
          <w:tcPr>
            <w:tcW w:w="4856" w:type="dxa"/>
          </w:tcPr>
          <w:p>
            <w:pPr>
              <w:pStyle w:val="Compact"/>
              <w:spacing w:after="40"/>
              <w:jc w:val="left"/>
            </w:pPr>
            <w:r>
              <w:rPr>
                <w:rStyle w:val="VerbatimChar"/>
                <w:sz w:val="18"/>
              </w:rPr>
              <w:t xml:space="preserve">billing.usage:write</w:t>
            </w:r>
          </w:p>
        </w:tc>
        <w:tc>
          <w:tcPr>
            <w:tcW w:w="4782" w:type="dxa"/>
          </w:tcPr>
          <w:p>
            <w:pPr>
              <w:pStyle w:val="Compact"/>
              <w:spacing w:after="40"/>
              <w:jc w:val="left"/>
            </w:pPr>
            <w:r>
              <w:rPr>
                <w:sz w:val="18"/>
              </w:rPr>
              <w:t xml:space="preserve">Finbyx and Udofin metering services (aggregates only)</w:t>
            </w:r>
          </w:p>
        </w:tc>
      </w:tr>
      <w:tr>
        <w:tc>
          <w:tcPr>
            <w:tcW w:w="4856" w:type="dxa"/>
          </w:tcPr>
          <w:p>
            <w:pPr>
              <w:pStyle w:val="Compact"/>
              <w:spacing w:after="40"/>
              <w:jc w:val="left"/>
            </w:pPr>
            <w:r>
              <w:rPr>
                <w:rStyle w:val="VerbatimChar"/>
                <w:sz w:val="18"/>
              </w:rPr>
              <w:t xml:space="preserve">members.member:read</w:t>
            </w:r>
            <w:r>
              <w:rPr>
                <w:sz w:val="18"/>
              </w:rPr>
              <w:t xml:space="preserve">,</w:t>
            </w:r>
            <w:r>
              <w:rPr>
                <w:sz w:val="18"/>
              </w:rPr>
              <w:t xml:space="preserve"> </w:t>
            </w:r>
            <w:r>
              <w:rPr>
                <w:rStyle w:val="VerbatimChar"/>
                <w:sz w:val="18"/>
              </w:rPr>
              <w:t xml:space="preserve">members.application:write</w:t>
            </w:r>
          </w:p>
        </w:tc>
        <w:tc>
          <w:tcPr>
            <w:tcW w:w="4782" w:type="dxa"/>
          </w:tcPr>
          <w:p>
            <w:pPr>
              <w:pStyle w:val="Compact"/>
              <w:spacing w:after="40"/>
              <w:jc w:val="left"/>
            </w:pPr>
            <w:r>
              <w:rPr>
                <w:sz w:val="18"/>
              </w:rPr>
              <w:t xml:space="preserve">Udofin, for a society with an active deal (Part 6.24)</w:t>
            </w:r>
          </w:p>
        </w:tc>
      </w:tr>
      <w:tr>
        <w:tc>
          <w:tcPr>
            <w:tcW w:w="4856" w:type="dxa"/>
          </w:tcPr>
          <w:p>
            <w:pPr>
              <w:pStyle w:val="Compact"/>
              <w:spacing w:after="40"/>
              <w:jc w:val="left"/>
            </w:pPr>
            <w:r>
              <w:rPr>
                <w:rStyle w:val="VerbatimChar"/>
                <w:sz w:val="18"/>
              </w:rPr>
              <w:t xml:space="preserve">directory.professional:read</w:t>
            </w:r>
            <w:r>
              <w:rPr>
                <w:sz w:val="18"/>
              </w:rPr>
              <w:t xml:space="preserve">,</w:t>
            </w:r>
            <w:r>
              <w:rPr>
                <w:sz w:val="18"/>
              </w:rPr>
              <w:t xml:space="preserve"> </w:t>
            </w:r>
            <w:r>
              <w:rPr>
                <w:rStyle w:val="VerbatimChar"/>
                <w:sz w:val="18"/>
              </w:rPr>
              <w:t xml:space="preserve">directory.allocation:write</w:t>
            </w:r>
          </w:p>
        </w:tc>
        <w:tc>
          <w:tcPr>
            <w:tcW w:w="4782" w:type="dxa"/>
          </w:tcPr>
          <w:p>
            <w:pPr>
              <w:pStyle w:val="Compact"/>
              <w:spacing w:after="40"/>
              <w:jc w:val="left"/>
            </w:pPr>
            <w:r>
              <w:rPr>
                <w:sz w:val="18"/>
              </w:rPr>
              <w:t xml:space="preserve">Finbyx RS and Udolex (Part 6.29)</w:t>
            </w:r>
          </w:p>
        </w:tc>
      </w:tr>
      <w:tr>
        <w:tc>
          <w:tcPr>
            <w:tcW w:w="4856" w:type="dxa"/>
          </w:tcPr>
          <w:p>
            <w:pPr>
              <w:pStyle w:val="Compact"/>
              <w:spacing w:after="40"/>
              <w:jc w:val="left"/>
            </w:pPr>
            <w:r>
              <w:rPr>
                <w:rStyle w:val="VerbatimChar"/>
                <w:sz w:val="18"/>
              </w:rPr>
              <w:t xml:space="preserve">directory.conflict:read</w:t>
            </w:r>
          </w:p>
        </w:tc>
        <w:tc>
          <w:tcPr>
            <w:tcW w:w="4782" w:type="dxa"/>
          </w:tcPr>
          <w:p>
            <w:pPr>
              <w:pStyle w:val="Compact"/>
              <w:spacing w:after="40"/>
              <w:jc w:val="left"/>
            </w:pPr>
            <w:r>
              <w:rPr>
                <w:sz w:val="18"/>
              </w:rPr>
              <w:t xml:space="preserve">Equator (counts only, Part 4.6)</w:t>
            </w:r>
          </w:p>
        </w:tc>
      </w:tr>
      <w:tr>
        <w:tc>
          <w:tcPr>
            <w:tcW w:w="4856" w:type="dxa"/>
          </w:tcPr>
          <w:p>
            <w:pPr>
              <w:pStyle w:val="Compact"/>
              <w:spacing w:after="40"/>
              <w:jc w:val="left"/>
            </w:pPr>
            <w:r>
              <w:rPr>
                <w:rStyle w:val="VerbatimChar"/>
                <w:sz w:val="18"/>
              </w:rPr>
              <w:t xml:space="preserve">risk.feed:write</w:t>
            </w:r>
            <w:r>
              <w:rPr>
                <w:sz w:val="18"/>
              </w:rPr>
              <w:t xml:space="preserve">,</w:t>
            </w:r>
            <w:r>
              <w:rPr>
                <w:sz w:val="18"/>
              </w:rPr>
              <w:t xml:space="preserve"> </w:t>
            </w:r>
            <w:r>
              <w:rPr>
                <w:rStyle w:val="VerbatimChar"/>
                <w:sz w:val="18"/>
              </w:rPr>
              <w:t xml:space="preserve">grc.kri:read</w:t>
            </w:r>
          </w:p>
        </w:tc>
        <w:tc>
          <w:tcPr>
            <w:tcW w:w="4782" w:type="dxa"/>
          </w:tcPr>
          <w:p>
            <w:pPr>
              <w:pStyle w:val="Compact"/>
              <w:spacing w:after="40"/>
              <w:jc w:val="left"/>
            </w:pPr>
            <w:r>
              <w:rPr>
                <w:sz w:val="18"/>
              </w:rPr>
              <w:t xml:space="preserve">Finbyx and Udofin risk services; KRI and obligation pull from LawDocsComply (Part 6.22)</w:t>
            </w:r>
          </w:p>
        </w:tc>
      </w:tr>
      <w:tr>
        <w:tc>
          <w:tcPr>
            <w:tcW w:w="4856" w:type="dxa"/>
          </w:tcPr>
          <w:p>
            <w:pPr>
              <w:pStyle w:val="Compact"/>
              <w:spacing w:after="40"/>
              <w:jc w:val="left"/>
            </w:pPr>
            <w:r>
              <w:rPr>
                <w:rStyle w:val="VerbatimChar"/>
                <w:sz w:val="18"/>
              </w:rPr>
              <w:t xml:space="preserve">external.workspace:read</w:t>
            </w:r>
            <w:r>
              <w:rPr>
                <w:sz w:val="18"/>
              </w:rPr>
              <w:t xml:space="preserve">,</w:t>
            </w:r>
            <w:r>
              <w:rPr>
                <w:sz w:val="18"/>
              </w:rPr>
              <w:t xml:space="preserve"> </w:t>
            </w:r>
            <w:r>
              <w:rPr>
                <w:rStyle w:val="VerbatimChar"/>
                <w:sz w:val="18"/>
              </w:rPr>
              <w:t xml:space="preserve">external.grant:write</w:t>
            </w:r>
          </w:p>
        </w:tc>
        <w:tc>
          <w:tcPr>
            <w:tcW w:w="4782" w:type="dxa"/>
          </w:tcPr>
          <w:p>
            <w:pPr>
              <w:pStyle w:val="Compact"/>
              <w:spacing w:after="40"/>
              <w:jc w:val="left"/>
            </w:pPr>
            <w:r>
              <w:rPr>
                <w:sz w:val="18"/>
              </w:rPr>
              <w:t xml:space="preserve">Named external users under an active grant; the RE’s system and Udofin’s lender portal on a recorded RE approval (Part 4.7)</w:t>
            </w:r>
          </w:p>
        </w:tc>
      </w:tr>
    </w:tbl>
    <w:bookmarkEnd w:id="40"/>
    <w:bookmarkStart w:id="41" w:name="X9358704551d4e0d2570762d5aaa563f66fb953f"/>
    <w:p>
      <w:pPr>
        <w:pStyle w:val="Heading2"/>
      </w:pPr>
      <w:r>
        <w:t xml:space="preserve">4.6 Group identity, cross-company roles and the Operations Hub</w:t>
      </w:r>
    </w:p>
    <w:p>
      <w:pPr>
        <w:pStyle w:val="FirstParagraph"/>
      </w:pPr>
      <w:r>
        <w:t xml:space="preserve">The</w:t>
      </w:r>
      <w:r>
        <w:t xml:space="preserve"> </w:t>
      </w:r>
      <w:r>
        <w:rPr>
          <w:bCs/>
          <w:b/>
        </w:rPr>
        <w:t xml:space="preserve">Infrabyx Operations Hub</w:t>
      </w:r>
      <w:r>
        <w:t xml:space="preserve"> </w:t>
      </w:r>
      <w:r>
        <w:t xml:space="preserve">(product code</w:t>
      </w:r>
      <w:r>
        <w:t xml:space="preserve"> </w:t>
      </w:r>
      <w:r>
        <w:rPr>
          <w:rStyle w:val="VerbatimChar"/>
        </w:rPr>
        <w:t xml:space="preserve">OH</w:t>
      </w:r>
      <w:r>
        <w:t xml:space="preserve">; CloudEvents</w:t>
      </w:r>
      <w:r>
        <w:t xml:space="preserve"> </w:t>
      </w:r>
      <w:r>
        <w:rPr>
          <w:rStyle w:val="VerbatimChar"/>
        </w:rPr>
        <w:t xml:space="preserve">source</w:t>
      </w:r>
      <w:r>
        <w:t xml:space="preserve"> </w:t>
      </w:r>
      <w:r>
        <w:rPr>
          <w:rStyle w:val="VerbatimChar"/>
        </w:rPr>
        <w:t xml:space="preserve">urn:infrabyx:oh:[legalentityid]</w:t>
      </w:r>
      <w:r>
        <w:t xml:space="preserve">: the OH tenant segment is always the owning Infrabyx group company’s</w:t>
      </w:r>
      <w:r>
        <w:t xml:space="preserve"> </w:t>
      </w:r>
      <w:r>
        <w:rPr>
          <w:rStyle w:val="VerbatimChar"/>
        </w:rPr>
        <w:t xml:space="preserve">legal_entity_id</w:t>
      </w:r>
      <w:r>
        <w:t xml:space="preserve">, because the only OH tenants are group legal entities) is the group’s internal operations platform: CRM, client onboarding and delivery, support desk, customer success, marketing and brand, the revenue catalogue and billing engine, the professional and advocate directory, Infrabyx staff HRMS and payroll, internal controls, workplace integration, the engineering-operations console and the certification control library (Operations Hub Master Build Prompt v1.0, OH1–OH14). It is a separate application, repository, database, KMS key hierarchy and admin group. It is</w:t>
      </w:r>
      <w:r>
        <w:t xml:space="preserve"> </w:t>
      </w:r>
      <w:r>
        <w:rPr>
          <w:bCs/>
          <w:b/>
        </w:rPr>
        <w:t xml:space="preserve">never</w:t>
      </w:r>
      <w:r>
        <w:t xml:space="preserve"> </w:t>
      </w:r>
      <w:r>
        <w:t xml:space="preserve">a super-admin console of Finbyx, Udofin, Equator or LawDocsComply and holds no credential, token or session that can act inside a customer tenant.</w:t>
      </w:r>
    </w:p>
    <w:p>
      <w:pPr>
        <w:pStyle w:val="BodyText"/>
      </w:pPr>
      <w:r>
        <w:rPr>
          <w:bCs/>
          <w:b/>
        </w:rPr>
        <w:t xml:space="preserve">Group SSO.</w:t>
      </w:r>
    </w:p>
    <w:p>
      <w:pPr>
        <w:numPr>
          <w:ilvl w:val="0"/>
          <w:numId w:val="1007"/>
        </w:numPr>
        <w:pStyle w:val="Compact"/>
      </w:pPr>
      <w:r>
        <w:t xml:space="preserve">One Infrabyx identity provider (Microsoft Entra ID or Google Workspace, per the owner’s office-suite decision; OIDC; phishing-resistant MFA for privileged roles) authenticates the staff of every group company; a group company may federate its own IdP instead.</w:t>
      </w:r>
    </w:p>
    <w:p>
      <w:pPr>
        <w:numPr>
          <w:ilvl w:val="0"/>
          <w:numId w:val="1007"/>
        </w:numPr>
        <w:pStyle w:val="Compact"/>
      </w:pPr>
      <w:r>
        <w:t xml:space="preserve">OH10 is the joiner-mover-leaver source: SCIM 2.0 provisions identities and group memberships into each group product’s</w:t>
      </w:r>
      <w:r>
        <w:t xml:space="preserve"> </w:t>
      </w:r>
      <w:r>
        <w:rPr>
          <w:bCs/>
          <w:b/>
        </w:rPr>
        <w:t xml:space="preserve">staff realm</w:t>
      </w:r>
      <w:r>
        <w:t xml:space="preserve">; leavers are removed within 4 hours and privileged leavers within 1 hour (4.2).</w:t>
      </w:r>
    </w:p>
    <w:p>
      <w:pPr>
        <w:numPr>
          <w:ilvl w:val="0"/>
          <w:numId w:val="1007"/>
        </w:numPr>
        <w:pStyle w:val="Compact"/>
      </w:pPr>
      <w:r>
        <w:t xml:space="preserve">Authentication is group-wide;</w:t>
      </w:r>
      <w:r>
        <w:t xml:space="preserve"> </w:t>
      </w:r>
      <w:r>
        <w:rPr>
          <w:bCs/>
          <w:b/>
        </w:rPr>
        <w:t xml:space="preserve">authorisation stays per product and per legal entity.</w:t>
      </w:r>
      <w:r>
        <w:t xml:space="preserve"> </w:t>
      </w:r>
      <w:r>
        <w:t xml:space="preserve">Staff tokens carry</w:t>
      </w:r>
      <w:r>
        <w:t xml:space="preserve"> </w:t>
      </w:r>
      <w:r>
        <w:rPr>
          <w:rStyle w:val="VerbatimChar"/>
        </w:rPr>
        <w:t xml:space="preserve">org_id</w:t>
      </w:r>
      <w:r>
        <w:t xml:space="preserve"> </w:t>
      </w:r>
      <w:r>
        <w:t xml:space="preserve">(employing entity),</w:t>
      </w:r>
      <w:r>
        <w:t xml:space="preserve"> </w:t>
      </w:r>
      <w:r>
        <w:rPr>
          <w:rStyle w:val="VerbatimChar"/>
        </w:rPr>
        <w:t xml:space="preserve">entity_scope[]</w:t>
      </w:r>
      <w:r>
        <w:t xml:space="preserve">,</w:t>
      </w:r>
      <w:r>
        <w:t xml:space="preserve"> </w:t>
      </w:r>
      <w:r>
        <w:rPr>
          <w:rStyle w:val="VerbatimChar"/>
        </w:rPr>
        <w:t xml:space="preserve">grant_ids[]</w:t>
      </w:r>
      <w:r>
        <w:t xml:space="preserve">,</w:t>
      </w:r>
      <w:r>
        <w:t xml:space="preserve"> </w:t>
      </w:r>
      <w:r>
        <w:rPr>
          <w:rStyle w:val="VerbatimChar"/>
        </w:rPr>
        <w:t xml:space="preserve">acr</w:t>
      </w:r>
      <w:r>
        <w:t xml:space="preserve"> </w:t>
      </w:r>
      <w:r>
        <w:t xml:space="preserve">and</w:t>
      </w:r>
      <w:r>
        <w:t xml:space="preserve"> </w:t>
      </w:r>
      <w:r>
        <w:rPr>
          <w:rStyle w:val="VerbatimChar"/>
        </w:rPr>
        <w:t xml:space="preserve">auth_time</w:t>
      </w:r>
      <w:r>
        <w:t xml:space="preserve">; each product evaluates its own roles and never trusts an OH role name as a product permission.</w:t>
      </w:r>
    </w:p>
    <w:p>
      <w:pPr>
        <w:numPr>
          <w:ilvl w:val="0"/>
          <w:numId w:val="1007"/>
        </w:numPr>
        <w:pStyle w:val="Compact"/>
      </w:pPr>
      <w:r>
        <w:t xml:space="preserve">RE, society and borrower users never authenticate through the Infrabyx IdP (4.2, 4.3).</w:t>
      </w:r>
    </w:p>
    <w:p>
      <w:pPr>
        <w:pStyle w:val="FirstParagraph"/>
      </w:pPr>
      <w:r>
        <w:rPr>
          <w:bCs/>
          <w:b/>
        </w:rPr>
        <w:t xml:space="preserve">Legal-entity scopes.</w:t>
      </w:r>
      <w:r>
        <w:t xml:space="preserve"> </w:t>
      </w:r>
      <w:r>
        <w:t xml:space="preserve">The organisation registry (4.1) carries every group company as an</w:t>
      </w:r>
      <w:r>
        <w:t xml:space="preserve"> </w:t>
      </w:r>
      <w:r>
        <w:rPr>
          <w:rStyle w:val="VerbatimChar"/>
        </w:rPr>
        <w:t xml:space="preserve">org_id</w:t>
      </w:r>
      <w:r>
        <w:t xml:space="preserve"> </w:t>
      </w:r>
      <w:r>
        <w:t xml:space="preserve">under the Infrabyx</w:t>
      </w:r>
      <w:r>
        <w:t xml:space="preserve"> </w:t>
      </w:r>
      <w:r>
        <w:rPr>
          <w:rStyle w:val="VerbatimChar"/>
        </w:rPr>
        <w:t xml:space="preserve">group_id</w:t>
      </w:r>
      <w:r>
        <w:t xml:space="preserve"> </w:t>
      </w:r>
      <w:r>
        <w:t xml:space="preserve">with the role flag</w:t>
      </w:r>
      <w:r>
        <w:t xml:space="preserve"> </w:t>
      </w:r>
      <w:r>
        <w:rPr>
          <w:rStyle w:val="VerbatimChar"/>
        </w:rPr>
        <w:t xml:space="preserve">is_group_operator</w:t>
      </w:r>
      <w:r>
        <w:t xml:space="preserve">. Every OH record carries</w:t>
      </w:r>
      <w:r>
        <w:t xml:space="preserve"> </w:t>
      </w:r>
      <w:r>
        <w:rPr>
          <w:rStyle w:val="VerbatimChar"/>
        </w:rPr>
        <w:t xml:space="preserve">legal_entity_id</w:t>
      </w:r>
      <w:r>
        <w:t xml:space="preserve"> </w:t>
      </w:r>
      <w:r>
        <w:t xml:space="preserve">(the Infrabyx company that owns it: the company selling Finbyx, the company running Udofin, Equator Resolution, LawDocs, LawDocsComply, LawDocs Trainings, Shikargah Hospitality and others) and is visible by default only to that entity’s staff. Group views are aggregates unless a grant says otherwise.</w:t>
      </w:r>
    </w:p>
    <w:p>
      <w:pPr>
        <w:pStyle w:val="BodyText"/>
      </w:pPr>
      <w:r>
        <w:rPr>
          <w:bCs/>
          <w:b/>
        </w:rPr>
        <w:t xml:space="preserve">Purpose-bound, time-limited grants.</w:t>
      </w:r>
      <w:r>
        <w:t xml:space="preserve"> </w:t>
      </w:r>
      <w:r>
        <w:t xml:space="preserve">Cross-company access is denied by default and exists only as a</w:t>
      </w:r>
      <w:r>
        <w:t xml:space="preserve"> </w:t>
      </w:r>
      <w:r>
        <w:rPr>
          <w:rStyle w:val="VerbatimChar"/>
        </w:rPr>
        <w:t xml:space="preserve">group_grant</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657"/>
        <w:gridCol w:w="6981"/>
      </w:tblGrid>
      <w:tr>
        <w:trPr>
          <w:tblHeader w:val="true"/>
          <w:tblHeader w:val="true"/>
        </w:trPr>
        <w:tc>
          <w:tcPr>
            <w:tcW w:w="2657" w:type="dxa"/>
            <w:shd w:val="clear" w:color="auto" w:fill="1F3A5F"/>
          </w:tcPr>
          <w:p>
            <w:pPr>
              <w:pStyle w:val="Compact"/>
              <w:spacing w:after="40"/>
              <w:jc w:val="left"/>
            </w:pPr>
            <w:r>
              <w:rPr>
                <w:b/>
                <w:color w:val="FFFFFF"/>
                <w:sz w:val="18"/>
              </w:rPr>
              <w:t xml:space="preserve">Field</w:t>
            </w:r>
          </w:p>
        </w:tc>
        <w:tc>
          <w:tcPr>
            <w:tcW w:w="6981" w:type="dxa"/>
            <w:shd w:val="clear" w:color="auto" w:fill="1F3A5F"/>
          </w:tcPr>
          <w:p>
            <w:pPr>
              <w:pStyle w:val="Compact"/>
              <w:spacing w:after="40"/>
              <w:jc w:val="left"/>
            </w:pPr>
            <w:r>
              <w:rPr>
                <w:b/>
                <w:color w:val="FFFFFF"/>
                <w:sz w:val="18"/>
              </w:rPr>
              <w:t xml:space="preserve">Rule</w:t>
            </w:r>
          </w:p>
        </w:tc>
      </w:tr>
      <w:tr>
        <w:tc>
          <w:tcPr>
            <w:tcW w:w="2657" w:type="dxa"/>
          </w:tcPr>
          <w:p>
            <w:pPr>
              <w:pStyle w:val="Compact"/>
              <w:spacing w:after="40"/>
              <w:jc w:val="left"/>
            </w:pPr>
            <w:r>
              <w:rPr>
                <w:rStyle w:val="VerbatimChar"/>
                <w:sz w:val="18"/>
              </w:rPr>
              <w:t xml:space="preserve">principal</w:t>
            </w:r>
          </w:p>
        </w:tc>
        <w:tc>
          <w:tcPr>
            <w:tcW w:w="6981" w:type="dxa"/>
          </w:tcPr>
          <w:p>
            <w:pPr>
              <w:pStyle w:val="Compact"/>
              <w:spacing w:after="40"/>
              <w:jc w:val="left"/>
            </w:pPr>
            <w:r>
              <w:rPr>
                <w:sz w:val="18"/>
              </w:rPr>
              <w:t xml:space="preserve">Named user or service account; never a shared login</w:t>
            </w:r>
          </w:p>
        </w:tc>
      </w:tr>
      <w:tr>
        <w:tc>
          <w:tcPr>
            <w:tcW w:w="2657" w:type="dxa"/>
          </w:tcPr>
          <w:p>
            <w:pPr>
              <w:pStyle w:val="Compact"/>
              <w:spacing w:after="40"/>
              <w:jc w:val="left"/>
            </w:pPr>
            <w:r>
              <w:rPr>
                <w:rStyle w:val="VerbatimChar"/>
                <w:sz w:val="18"/>
              </w:rPr>
              <w:t xml:space="preserve">role</w:t>
            </w:r>
          </w:p>
        </w:tc>
        <w:tc>
          <w:tcPr>
            <w:tcW w:w="6981" w:type="dxa"/>
          </w:tcPr>
          <w:p>
            <w:pPr>
              <w:pStyle w:val="Compact"/>
              <w:spacing w:after="40"/>
              <w:jc w:val="left"/>
            </w:pPr>
            <w:r>
              <w:rPr>
                <w:sz w:val="18"/>
              </w:rPr>
              <w:t xml:space="preserve">A role from the target product’s own catalogue</w:t>
            </w:r>
          </w:p>
        </w:tc>
      </w:tr>
      <w:tr>
        <w:tc>
          <w:tcPr>
            <w:tcW w:w="2657" w:type="dxa"/>
          </w:tcPr>
          <w:p>
            <w:pPr>
              <w:pStyle w:val="Compact"/>
              <w:spacing w:after="40"/>
              <w:jc w:val="left"/>
            </w:pPr>
            <w:r>
              <w:rPr>
                <w:rStyle w:val="VerbatimChar"/>
                <w:sz w:val="18"/>
              </w:rPr>
              <w:t xml:space="preserve">entity_scope[]</w:t>
            </w:r>
            <w:r>
              <w:rPr>
                <w:sz w:val="18"/>
              </w:rPr>
              <w:t xml:space="preserve">,</w:t>
            </w:r>
            <w:r>
              <w:rPr>
                <w:sz w:val="18"/>
              </w:rPr>
              <w:t xml:space="preserve"> </w:t>
            </w:r>
            <w:r>
              <w:rPr>
                <w:rStyle w:val="VerbatimChar"/>
                <w:sz w:val="18"/>
              </w:rPr>
              <w:t xml:space="preserve">tenant_scope[]</w:t>
            </w:r>
          </w:p>
        </w:tc>
        <w:tc>
          <w:tcPr>
            <w:tcW w:w="6981" w:type="dxa"/>
          </w:tcPr>
          <w:p>
            <w:pPr>
              <w:pStyle w:val="Compact"/>
              <w:spacing w:after="40"/>
              <w:jc w:val="left"/>
            </w:pPr>
            <w:r>
              <w:rPr>
                <w:sz w:val="18"/>
              </w:rPr>
              <w:t xml:space="preserve">Target</w:t>
            </w:r>
            <w:r>
              <w:rPr>
                <w:sz w:val="18"/>
              </w:rPr>
              <w:t xml:space="preserve"> </w:t>
            </w:r>
            <w:r>
              <w:rPr>
                <w:rStyle w:val="VerbatimChar"/>
                <w:sz w:val="18"/>
              </w:rPr>
              <w:t xml:space="preserve">org_id</w:t>
            </w:r>
            <w:r>
              <w:rPr>
                <w:sz w:val="18"/>
              </w:rPr>
              <w:t xml:space="preserve">s; product tenant ids (empty for OH-internal work)</w:t>
            </w:r>
          </w:p>
        </w:tc>
      </w:tr>
      <w:tr>
        <w:tc>
          <w:tcPr>
            <w:tcW w:w="2657" w:type="dxa"/>
          </w:tcPr>
          <w:p>
            <w:pPr>
              <w:pStyle w:val="Compact"/>
              <w:spacing w:after="40"/>
              <w:jc w:val="left"/>
            </w:pPr>
            <w:r>
              <w:rPr>
                <w:rStyle w:val="VerbatimChar"/>
                <w:sz w:val="18"/>
              </w:rPr>
              <w:t xml:space="preserve">data_class_max</w:t>
            </w:r>
          </w:p>
        </w:tc>
        <w:tc>
          <w:tcPr>
            <w:tcW w:w="6981" w:type="dxa"/>
          </w:tcPr>
          <w:p>
            <w:pPr>
              <w:pStyle w:val="Compact"/>
              <w:spacing w:after="40"/>
              <w:jc w:val="left"/>
            </w:pPr>
            <w:r>
              <w:rPr>
                <w:sz w:val="18"/>
              </w:rPr>
              <w:t xml:space="preserve">Highest class reachable (13.2);</w:t>
            </w:r>
            <w:r>
              <w:rPr>
                <w:sz w:val="18"/>
              </w:rPr>
              <w:t xml:space="preserve"> </w:t>
            </w:r>
            <w:r>
              <w:rPr>
                <w:rStyle w:val="VerbatimChar"/>
                <w:sz w:val="18"/>
              </w:rPr>
              <w:t xml:space="preserve">HR</w:t>
            </w:r>
            <w:r>
              <w:rPr>
                <w:sz w:val="18"/>
              </w:rPr>
              <w:t xml:space="preserve"> </w:t>
            </w:r>
            <w:r>
              <w:rPr>
                <w:sz w:val="18"/>
              </w:rPr>
              <w:t xml:space="preserve">and</w:t>
            </w:r>
            <w:r>
              <w:rPr>
                <w:sz w:val="18"/>
              </w:rPr>
              <w:t xml:space="preserve"> </w:t>
            </w:r>
            <w:r>
              <w:rPr>
                <w:rStyle w:val="VerbatimChar"/>
                <w:sz w:val="18"/>
              </w:rPr>
              <w:t xml:space="preserve">SPI</w:t>
            </w:r>
            <w:r>
              <w:rPr>
                <w:sz w:val="18"/>
              </w:rPr>
              <w:t xml:space="preserve"> </w:t>
            </w:r>
            <w:r>
              <w:rPr>
                <w:sz w:val="18"/>
              </w:rPr>
              <w:t xml:space="preserve">need the DPO’s specific approval</w:t>
            </w:r>
          </w:p>
        </w:tc>
      </w:tr>
      <w:tr>
        <w:tc>
          <w:tcPr>
            <w:tcW w:w="2657" w:type="dxa"/>
          </w:tcPr>
          <w:p>
            <w:pPr>
              <w:pStyle w:val="Compact"/>
              <w:spacing w:after="40"/>
              <w:jc w:val="left"/>
            </w:pPr>
            <w:r>
              <w:rPr>
                <w:rStyle w:val="VerbatimChar"/>
                <w:sz w:val="18"/>
              </w:rPr>
              <w:t xml:space="preserve">purpose</w:t>
            </w:r>
          </w:p>
        </w:tc>
        <w:tc>
          <w:tcPr>
            <w:tcW w:w="6981" w:type="dxa"/>
          </w:tcPr>
          <w:p>
            <w:pPr>
              <w:pStyle w:val="Compact"/>
              <w:spacing w:after="40"/>
              <w:jc w:val="left"/>
            </w:pPr>
            <w:r>
              <w:rPr>
                <w:sz w:val="18"/>
              </w:rPr>
              <w:t xml:space="preserve">SHARED_SERVICE_PAYROLL, SHARED_SERVICE_FINANCE, SHARED_SUPPORT, IMPLEMENTATION_DELIVERY, CUSTOMER_SUCCESS, GROUP_REPORTING_AGGREGATE, GROUP_INTERNAL_AUDIT, ENGINEERING_OPS, DIRECTORY_ADMIN, INCIDENT_RESPONSE</w:t>
            </w:r>
          </w:p>
        </w:tc>
      </w:tr>
      <w:tr>
        <w:tc>
          <w:tcPr>
            <w:tcW w:w="2657" w:type="dxa"/>
          </w:tcPr>
          <w:p>
            <w:pPr>
              <w:pStyle w:val="Compact"/>
              <w:spacing w:after="40"/>
              <w:jc w:val="left"/>
            </w:pPr>
            <w:r>
              <w:rPr>
                <w:rStyle w:val="VerbatimChar"/>
                <w:sz w:val="18"/>
              </w:rPr>
              <w:t xml:space="preserve">valid_from</w:t>
            </w:r>
            <w:r>
              <w:rPr>
                <w:sz w:val="18"/>
              </w:rPr>
              <w:t xml:space="preserve">,</w:t>
            </w:r>
            <w:r>
              <w:rPr>
                <w:sz w:val="18"/>
              </w:rPr>
              <w:t xml:space="preserve"> </w:t>
            </w:r>
            <w:r>
              <w:rPr>
                <w:rStyle w:val="VerbatimChar"/>
                <w:sz w:val="18"/>
              </w:rPr>
              <w:t xml:space="preserve">valid_to</w:t>
            </w:r>
          </w:p>
        </w:tc>
        <w:tc>
          <w:tcPr>
            <w:tcW w:w="6981" w:type="dxa"/>
          </w:tcPr>
          <w:p>
            <w:pPr>
              <w:pStyle w:val="Compact"/>
              <w:spacing w:after="40"/>
              <w:jc w:val="left"/>
            </w:pPr>
            <w:r>
              <w:rPr>
                <w:sz w:val="18"/>
              </w:rPr>
              <w:t xml:space="preserve">At most 90 days; renewal is a fresh approval, never an automatic extension</w:t>
            </w:r>
          </w:p>
        </w:tc>
      </w:tr>
      <w:tr>
        <w:tc>
          <w:tcPr>
            <w:tcW w:w="2657" w:type="dxa"/>
          </w:tcPr>
          <w:p>
            <w:pPr>
              <w:pStyle w:val="Compact"/>
              <w:spacing w:after="40"/>
              <w:jc w:val="left"/>
            </w:pPr>
            <w:r>
              <w:rPr>
                <w:rStyle w:val="VerbatimChar"/>
                <w:sz w:val="18"/>
              </w:rPr>
              <w:t xml:space="preserve">approvers</w:t>
            </w:r>
          </w:p>
        </w:tc>
        <w:tc>
          <w:tcPr>
            <w:tcW w:w="6981" w:type="dxa"/>
          </w:tcPr>
          <w:p>
            <w:pPr>
              <w:pStyle w:val="Compact"/>
              <w:spacing w:after="40"/>
              <w:jc w:val="left"/>
            </w:pPr>
            <w:r>
              <w:rPr>
                <w:sz w:val="18"/>
              </w:rPr>
              <w:t xml:space="preserve">Head of the principal’s entity, head of each target entity and the DPO; maker-checker; self-approval blocked</w:t>
            </w:r>
          </w:p>
        </w:tc>
      </w:tr>
      <w:tr>
        <w:tc>
          <w:tcPr>
            <w:tcW w:w="2657" w:type="dxa"/>
          </w:tcPr>
          <w:p>
            <w:pPr>
              <w:pStyle w:val="Compact"/>
              <w:spacing w:after="40"/>
              <w:jc w:val="left"/>
            </w:pPr>
            <w:r>
              <w:rPr>
                <w:rStyle w:val="VerbatimChar"/>
                <w:sz w:val="18"/>
              </w:rPr>
              <w:t xml:space="preserve">evidence_ref</w:t>
            </w:r>
          </w:p>
        </w:tc>
        <w:tc>
          <w:tcPr>
            <w:tcW w:w="6981" w:type="dxa"/>
          </w:tcPr>
          <w:p>
            <w:pPr>
              <w:pStyle w:val="Compact"/>
              <w:spacing w:after="40"/>
              <w:jc w:val="left"/>
            </w:pPr>
            <w:r>
              <w:rPr>
                <w:sz w:val="18"/>
              </w:rPr>
              <w:t xml:space="preserve">Intra-group agreement or DPA clause (purpose, security, sub-processing, 24-hour breach notice, return and deletion, audit)</w:t>
            </w:r>
          </w:p>
        </w:tc>
      </w:tr>
    </w:tbl>
    <w:p>
      <w:pPr>
        <w:numPr>
          <w:ilvl w:val="0"/>
          <w:numId w:val="1008"/>
        </w:numPr>
        <w:pStyle w:val="Compact"/>
      </w:pPr>
      <w:r>
        <w:t xml:space="preserve">Grants reach products as SCIM group memberships carrying</w:t>
      </w:r>
      <w:r>
        <w:t xml:space="preserve"> </w:t>
      </w:r>
      <w:r>
        <w:rPr>
          <w:rStyle w:val="VerbatimChar"/>
        </w:rPr>
        <w:t xml:space="preserve">valid_to</w:t>
      </w:r>
      <w:r>
        <w:t xml:space="preserve">; each product enforces expiry itself (no dependency on OH availability) and ends sessions within 60 seconds of</w:t>
      </w:r>
      <w:r>
        <w:t xml:space="preserve"> </w:t>
      </w:r>
      <w:r>
        <w:rPr>
          <w:rStyle w:val="VerbatimChar"/>
        </w:rPr>
        <w:t xml:space="preserve">valid_to</w:t>
      </w:r>
      <w:r>
        <w:t xml:space="preserve"> </w:t>
      </w:r>
      <w:r>
        <w:t xml:space="preserve">or revocation.</w:t>
      </w:r>
    </w:p>
    <w:p>
      <w:pPr>
        <w:numPr>
          <w:ilvl w:val="0"/>
          <w:numId w:val="1008"/>
        </w:numPr>
        <w:pStyle w:val="Compact"/>
      </w:pPr>
      <w:r>
        <w:t xml:space="preserve">Every grant use is logged in the target product; each entity reviews its grants quarterly (</w:t>
      </w:r>
      <w:r>
        <w:rPr>
          <w:rStyle w:val="VerbatimChar"/>
        </w:rPr>
        <w:t xml:space="preserve">AccessReviewCompleted</w:t>
      </w:r>
      <w:r>
        <w:t xml:space="preserve">,</w:t>
      </w:r>
      <w:r>
        <w:t xml:space="preserve"> </w:t>
      </w:r>
      <w:r>
        <w:rPr>
          <w:rStyle w:val="VerbatimChar"/>
        </w:rPr>
        <w:t xml:space="preserve">review_scope = OH</w:t>
      </w:r>
      <w:r>
        <w:t xml:space="preserve">, 6.23).</w:t>
      </w:r>
    </w:p>
    <w:p>
      <w:pPr>
        <w:numPr>
          <w:ilvl w:val="0"/>
          <w:numId w:val="1008"/>
        </w:numPr>
        <w:pStyle w:val="Compact"/>
      </w:pPr>
      <w:r>
        <w:t xml:space="preserve">Where a group company supplies services to an RE, the RE’s group-outsourcing controls apply: Board policy and SLAs, customer disclosure of the actual provider, confidentiality of customer data, demarcation, stand-alone risk management and arm’s-length, objectively selected arrangements (OUT paras 45–51, 90–92).</w:t>
      </w:r>
    </w:p>
    <w:p>
      <w:pPr>
        <w:numPr>
          <w:ilvl w:val="0"/>
          <w:numId w:val="1008"/>
        </w:numPr>
        <w:pStyle w:val="Compact"/>
      </w:pPr>
      <w:r>
        <w:t xml:space="preserve">A shared operations user (for example, a support engineer serving Finbyx and LawDocsComply tenants) holds one identity with separate product roles. Access to</w:t>
      </w:r>
      <w:r>
        <w:t xml:space="preserve"> </w:t>
      </w:r>
      <w:r>
        <w:rPr>
          <w:bCs/>
          <w:b/>
        </w:rPr>
        <w:t xml:space="preserve">customer tenant data</w:t>
      </w:r>
      <w:r>
        <w:t xml:space="preserve"> </w:t>
      </w:r>
      <w:r>
        <w:t xml:space="preserve">happens only inside the product, through its break-glass procedure (Finbyx M19; Udofin U23), time-boxed, reason-coded, logged and visible to the tenant; never through the Hub.</w:t>
      </w:r>
    </w:p>
    <w:p>
      <w:pPr>
        <w:pStyle w:val="FirstParagraph"/>
      </w:pPr>
      <w:r>
        <w:rPr>
          <w:bCs/>
          <w:b/>
        </w:rPr>
        <w:t xml:space="preserve">What the Hub may and may not receive.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786"/>
        <w:gridCol w:w="3091"/>
        <w:gridCol w:w="2761"/>
      </w:tblGrid>
      <w:tr>
        <w:trPr>
          <w:tblHeader w:val="true"/>
          <w:tblHeader w:val="true"/>
        </w:trPr>
        <w:tc>
          <w:tcPr>
            <w:tcW w:w="3786" w:type="dxa"/>
            <w:shd w:val="clear" w:color="auto" w:fill="1F3A5F"/>
          </w:tcPr>
          <w:p>
            <w:pPr>
              <w:pStyle w:val="Compact"/>
              <w:spacing w:after="40"/>
              <w:jc w:val="left"/>
            </w:pPr>
            <w:r>
              <w:rPr>
                <w:b/>
                <w:color w:val="FFFFFF"/>
                <w:sz w:val="18"/>
              </w:rPr>
              <w:t xml:space="preserve">Data</w:t>
            </w:r>
          </w:p>
        </w:tc>
        <w:tc>
          <w:tcPr>
            <w:tcW w:w="3091" w:type="dxa"/>
            <w:shd w:val="clear" w:color="auto" w:fill="1F3A5F"/>
          </w:tcPr>
          <w:p>
            <w:pPr>
              <w:pStyle w:val="Compact"/>
              <w:spacing w:after="40"/>
              <w:jc w:val="left"/>
            </w:pPr>
            <w:r>
              <w:rPr>
                <w:b/>
                <w:color w:val="FFFFFF"/>
                <w:sz w:val="18"/>
              </w:rPr>
              <w:t xml:space="preserve">Hub receives</w:t>
            </w:r>
          </w:p>
        </w:tc>
        <w:tc>
          <w:tcPr>
            <w:tcW w:w="2761" w:type="dxa"/>
            <w:shd w:val="clear" w:color="auto" w:fill="1F3A5F"/>
          </w:tcPr>
          <w:p>
            <w:pPr>
              <w:pStyle w:val="Compact"/>
              <w:spacing w:after="40"/>
              <w:jc w:val="left"/>
            </w:pPr>
            <w:r>
              <w:rPr>
                <w:b/>
                <w:color w:val="FFFFFF"/>
                <w:sz w:val="18"/>
              </w:rPr>
              <w:t xml:space="preserve">Rule</w:t>
            </w:r>
          </w:p>
        </w:tc>
      </w:tr>
      <w:tr>
        <w:tc>
          <w:tcPr>
            <w:tcW w:w="3786" w:type="dxa"/>
          </w:tcPr>
          <w:p>
            <w:pPr>
              <w:pStyle w:val="Compact"/>
              <w:spacing w:after="40"/>
              <w:jc w:val="left"/>
            </w:pPr>
            <w:r>
              <w:rPr>
                <w:sz w:val="18"/>
              </w:rPr>
              <w:t xml:space="preserve">Commercial records (organisations, contracts, plans, invoices, payments, business contacts of customer staff)</w:t>
            </w:r>
          </w:p>
        </w:tc>
        <w:tc>
          <w:tcPr>
            <w:tcW w:w="3091" w:type="dxa"/>
          </w:tcPr>
          <w:p>
            <w:pPr>
              <w:pStyle w:val="Compact"/>
              <w:spacing w:after="40"/>
              <w:jc w:val="left"/>
            </w:pPr>
            <w:r>
              <w:rPr>
                <w:sz w:val="18"/>
              </w:rPr>
              <w:t xml:space="preserve">Yes; the Hub is their system of record</w:t>
            </w:r>
          </w:p>
        </w:tc>
        <w:tc>
          <w:tcPr>
            <w:tcW w:w="2761" w:type="dxa"/>
          </w:tcPr>
          <w:p>
            <w:pPr>
              <w:pStyle w:val="Compact"/>
              <w:spacing w:after="40"/>
              <w:jc w:val="left"/>
            </w:pPr>
            <w:r>
              <w:rPr>
                <w:sz w:val="18"/>
              </w:rPr>
              <w:t xml:space="preserve">DPDP notice for business contacts; CRM consent per OH3</w:t>
            </w:r>
          </w:p>
        </w:tc>
      </w:tr>
      <w:tr>
        <w:tc>
          <w:tcPr>
            <w:tcW w:w="3786" w:type="dxa"/>
          </w:tcPr>
          <w:p>
            <w:pPr>
              <w:pStyle w:val="Compact"/>
              <w:spacing w:after="40"/>
              <w:jc w:val="left"/>
            </w:pPr>
            <w:r>
              <w:rPr>
                <w:sz w:val="18"/>
              </w:rPr>
              <w:t xml:space="preserve">Usage</w:t>
            </w:r>
          </w:p>
        </w:tc>
        <w:tc>
          <w:tcPr>
            <w:tcW w:w="3091" w:type="dxa"/>
          </w:tcPr>
          <w:p>
            <w:pPr>
              <w:pStyle w:val="Compact"/>
              <w:spacing w:after="40"/>
              <w:jc w:val="left"/>
            </w:pPr>
            <w:r>
              <w:rPr>
                <w:sz w:val="18"/>
              </w:rPr>
              <w:t xml:space="preserve">Aggregates per tenant, legal entity, meter and period (</w:t>
            </w:r>
            <w:r>
              <w:rPr>
                <w:rStyle w:val="VerbatimChar"/>
                <w:sz w:val="18"/>
              </w:rPr>
              <w:t xml:space="preserve">usage_aggregate_v1</w:t>
            </w:r>
            <w:r>
              <w:rPr>
                <w:sz w:val="18"/>
              </w:rPr>
              <w:t xml:space="preserve">)</w:t>
            </w:r>
          </w:p>
        </w:tc>
        <w:tc>
          <w:tcPr>
            <w:tcW w:w="2761" w:type="dxa"/>
          </w:tcPr>
          <w:p>
            <w:pPr>
              <w:pStyle w:val="Compact"/>
              <w:spacing w:after="40"/>
              <w:jc w:val="left"/>
            </w:pPr>
            <w:r>
              <w:rPr>
                <w:sz w:val="18"/>
              </w:rPr>
              <w:t xml:space="preserve">Never loan, borrower, member, user or record ids (6.27)</w:t>
            </w:r>
          </w:p>
        </w:tc>
      </w:tr>
      <w:tr>
        <w:tc>
          <w:tcPr>
            <w:tcW w:w="3786" w:type="dxa"/>
          </w:tcPr>
          <w:p>
            <w:pPr>
              <w:pStyle w:val="Compact"/>
              <w:spacing w:after="40"/>
              <w:jc w:val="left"/>
            </w:pPr>
            <w:r>
              <w:rPr>
                <w:sz w:val="18"/>
              </w:rPr>
              <w:t xml:space="preserve">Operations</w:t>
            </w:r>
          </w:p>
        </w:tc>
        <w:tc>
          <w:tcPr>
            <w:tcW w:w="3091" w:type="dxa"/>
          </w:tcPr>
          <w:p>
            <w:pPr>
              <w:pStyle w:val="Compact"/>
              <w:spacing w:after="40"/>
              <w:jc w:val="left"/>
            </w:pPr>
            <w:r>
              <w:rPr>
                <w:sz w:val="18"/>
              </w:rPr>
              <w:t xml:space="preserve">Release, change and control-evidence metadata; export, backup and restore status; external-access counts; support tickets; implementation milestones</w:t>
            </w:r>
          </w:p>
        </w:tc>
        <w:tc>
          <w:tcPr>
            <w:tcW w:w="2761" w:type="dxa"/>
          </w:tcPr>
          <w:p>
            <w:pPr>
              <w:pStyle w:val="Compact"/>
              <w:spacing w:after="40"/>
              <w:jc w:val="left"/>
            </w:pPr>
            <w:r>
              <w:rPr>
                <w:sz w:val="18"/>
              </w:rPr>
              <w:t xml:space="preserve">No customer content (6.26, 6.29)</w:t>
            </w:r>
          </w:p>
        </w:tc>
      </w:tr>
      <w:tr>
        <w:tc>
          <w:tcPr>
            <w:tcW w:w="3786" w:type="dxa"/>
          </w:tcPr>
          <w:p>
            <w:pPr>
              <w:pStyle w:val="Compact"/>
              <w:spacing w:after="40"/>
              <w:jc w:val="left"/>
            </w:pPr>
            <w:r>
              <w:rPr>
                <w:sz w:val="18"/>
              </w:rPr>
              <w:t xml:space="preserve">Filing metadata</w:t>
            </w:r>
          </w:p>
        </w:tc>
        <w:tc>
          <w:tcPr>
            <w:tcW w:w="3091" w:type="dxa"/>
          </w:tcPr>
          <w:p>
            <w:pPr>
              <w:pStyle w:val="Compact"/>
              <w:spacing w:after="40"/>
              <w:jc w:val="left"/>
            </w:pPr>
            <w:r>
              <w:rPr>
                <w:sz w:val="18"/>
              </w:rPr>
              <w:t xml:space="preserve">Return code, period, due date and status (</w:t>
            </w:r>
            <w:r>
              <w:rPr>
                <w:rStyle w:val="VerbatimChar"/>
                <w:sz w:val="18"/>
              </w:rPr>
              <w:t xml:space="preserve">ReturnDue</w:t>
            </w:r>
            <w:r>
              <w:rPr>
                <w:sz w:val="18"/>
              </w:rPr>
              <w:t xml:space="preserve">,</w:t>
            </w:r>
            <w:r>
              <w:rPr>
                <w:sz w:val="18"/>
              </w:rPr>
              <w:t xml:space="preserve"> </w:t>
            </w:r>
            <w:r>
              <w:rPr>
                <w:rStyle w:val="VerbatimChar"/>
                <w:sz w:val="18"/>
              </w:rPr>
              <w:t xml:space="preserve">ReturnFiled</w:t>
            </w:r>
            <w:r>
              <w:rPr>
                <w:sz w:val="18"/>
              </w:rPr>
              <w:t xml:space="preserve">,</w:t>
            </w:r>
            <w:r>
              <w:rPr>
                <w:sz w:val="18"/>
              </w:rPr>
              <w:t xml:space="preserve"> </w:t>
            </w:r>
            <w:r>
              <w:rPr>
                <w:rStyle w:val="VerbatimChar"/>
                <w:sz w:val="18"/>
              </w:rPr>
              <w:t xml:space="preserve">PeriodClosed</w:t>
            </w:r>
            <w:r>
              <w:rPr>
                <w:sz w:val="18"/>
              </w:rPr>
              <w:t xml:space="preserve">)</w:t>
            </w:r>
          </w:p>
        </w:tc>
        <w:tc>
          <w:tcPr>
            <w:tcW w:w="2761" w:type="dxa"/>
          </w:tcPr>
          <w:p>
            <w:pPr>
              <w:pStyle w:val="Compact"/>
              <w:spacing w:after="40"/>
              <w:jc w:val="left"/>
            </w:pPr>
            <w:r>
              <w:rPr>
                <w:sz w:val="18"/>
              </w:rPr>
              <w:t xml:space="preserve">Only where the tenant opts in to Infrabyx filing-support monitoring; never values</w:t>
            </w:r>
          </w:p>
        </w:tc>
      </w:tr>
      <w:tr>
        <w:tc>
          <w:tcPr>
            <w:tcW w:w="3786" w:type="dxa"/>
          </w:tcPr>
          <w:p>
            <w:pPr>
              <w:pStyle w:val="Compact"/>
              <w:spacing w:after="40"/>
              <w:jc w:val="left"/>
            </w:pPr>
            <w:r>
              <w:rPr>
                <w:sz w:val="18"/>
              </w:rPr>
              <w:t xml:space="preserve">Borrower, applicant, guarantor, member, depositor or policyholder personal data; loan-level, KYC, bureau, grievance, recovery, litigation or ADR content; tenant HR data; Udofin wellness add-on data; insurance proposal data</w:t>
            </w:r>
          </w:p>
        </w:tc>
        <w:tc>
          <w:tcPr>
            <w:tcW w:w="3091" w:type="dxa"/>
          </w:tcPr>
          <w:p>
            <w:pPr>
              <w:pStyle w:val="Compact"/>
              <w:spacing w:after="40"/>
              <w:jc w:val="left"/>
            </w:pPr>
            <w:r>
              <w:rPr>
                <w:bCs/>
                <w:b/>
                <w:sz w:val="18"/>
              </w:rPr>
              <w:t xml:space="preserve">Never</w:t>
            </w:r>
          </w:p>
        </w:tc>
        <w:tc>
          <w:tcPr>
            <w:tcW w:w="2761" w:type="dxa"/>
          </w:tcPr>
          <w:p>
            <w:pPr>
              <w:pStyle w:val="Compact"/>
              <w:spacing w:after="40"/>
              <w:jc w:val="left"/>
            </w:pPr>
            <w:r>
              <w:rPr>
                <w:sz w:val="18"/>
              </w:rPr>
              <w:t xml:space="preserve">Gateways reject with</w:t>
            </w:r>
            <w:r>
              <w:rPr>
                <w:sz w:val="18"/>
              </w:rPr>
              <w:t xml:space="preserve"> </w:t>
            </w:r>
            <w:r>
              <w:rPr>
                <w:rStyle w:val="VerbatimChar"/>
                <w:sz w:val="18"/>
              </w:rPr>
              <w:t xml:space="preserve">dataclass-not-permitted</w:t>
            </w:r>
            <w:r>
              <w:rPr>
                <w:sz w:val="18"/>
              </w:rPr>
              <w:t xml:space="preserve"> </w:t>
            </w:r>
            <w:r>
              <w:rPr>
                <w:sz w:val="18"/>
              </w:rPr>
              <w:t xml:space="preserve">(3.9); OH-bound schema subjects carry</w:t>
            </w:r>
            <w:r>
              <w:rPr>
                <w:sz w:val="18"/>
              </w:rPr>
              <w:t xml:space="preserve"> </w:t>
            </w:r>
            <w:r>
              <w:rPr>
                <w:rStyle w:val="VerbatimChar"/>
                <w:sz w:val="18"/>
              </w:rPr>
              <w:t xml:space="preserve">x-dataclass</w:t>
            </w:r>
            <w:r>
              <w:rPr>
                <w:sz w:val="18"/>
              </w:rPr>
              <w:t xml:space="preserve"> </w:t>
            </w:r>
            <w:r>
              <w:rPr>
                <w:sz w:val="18"/>
              </w:rPr>
              <w:t xml:space="preserve">no higher than</w:t>
            </w:r>
            <w:r>
              <w:rPr>
                <w:sz w:val="18"/>
              </w:rPr>
              <w:t xml:space="preserve"> </w:t>
            </w:r>
            <w:r>
              <w:rPr>
                <w:rStyle w:val="VerbatimChar"/>
                <w:sz w:val="18"/>
              </w:rPr>
              <w:t xml:space="preserve">INTERNAL</w:t>
            </w:r>
          </w:p>
        </w:tc>
      </w:tr>
    </w:tbl>
    <w:p>
      <w:pPr>
        <w:numPr>
          <w:ilvl w:val="0"/>
          <w:numId w:val="1009"/>
        </w:numPr>
        <w:pStyle w:val="Compact"/>
      </w:pPr>
      <w:r>
        <w:rPr>
          <w:bCs/>
          <w:b/>
        </w:rPr>
        <w:t xml:space="preserve">Client data migration</w:t>
      </w:r>
      <w:r>
        <w:t xml:space="preserve"> </w:t>
      </w:r>
      <w:r>
        <w:t xml:space="preserve">(OH4) runs inside the client’s own product tenant with the product’s import tools; the Hub tracks milestones, record counts and reconciliation results only. No client file is staged in the Hub, its document store, its email, its CRM or a shared drive.</w:t>
      </w:r>
    </w:p>
    <w:p>
      <w:pPr>
        <w:numPr>
          <w:ilvl w:val="0"/>
          <w:numId w:val="1009"/>
        </w:numPr>
        <w:pStyle w:val="Compact"/>
      </w:pPr>
      <w:r>
        <w:t xml:space="preserve">Infrabyx staff personal data (HR class) stays inside OH10 under OH’s own fiduciary role; customer staff business contacts are the only customer personal data the Hub holds.</w:t>
      </w:r>
    </w:p>
    <w:p>
      <w:pPr>
        <w:pStyle w:val="FirstParagraph"/>
      </w:pPr>
      <w:r>
        <w:rPr>
          <w:bCs/>
          <w:b/>
        </w:rPr>
        <w:t xml:space="preserve">Equator neutrality wall.</w:t>
      </w:r>
    </w:p>
    <w:p>
      <w:pPr>
        <w:numPr>
          <w:ilvl w:val="0"/>
          <w:numId w:val="1010"/>
        </w:numPr>
        <w:pStyle w:val="Compact"/>
      </w:pPr>
      <w:r>
        <w:t xml:space="preserve">Equator keeps its own tenant, database, KMS keys and admin group (8.1, 8.6). OH1 enforces a separation-of-duties rule: no</w:t>
      </w:r>
      <w:r>
        <w:t xml:space="preserve"> </w:t>
      </w:r>
      <w:r>
        <w:rPr>
          <w:rStyle w:val="VerbatimChar"/>
        </w:rPr>
        <w:t xml:space="preserve">group_grant</w:t>
      </w:r>
      <w:r>
        <w:t xml:space="preserve"> </w:t>
      </w:r>
      <w:r>
        <w:t xml:space="preserve">combines any Equator case-level role (case manager, panel administrator, neutral) with any Finbyx, Udofin, LawDocsComply or RE-facing sales, collections or customer-success role, and no Finbyx or Udofin user is ever a neutral (8.6).</w:t>
      </w:r>
    </w:p>
    <w:p>
      <w:pPr>
        <w:numPr>
          <w:ilvl w:val="0"/>
          <w:numId w:val="1010"/>
        </w:numPr>
        <w:pStyle w:val="Compact"/>
      </w:pPr>
      <w:r>
        <w:t xml:space="preserve">The Hub may hold Equator’s own commercial records and case counts by status. It never holds case content, selection logs, neutral performance, or outcomes broken down by RE, and never links an Equator outcome to an RE’s commercial account, renewal, discount, CRM score or sales incentive (no outcome-linked fees or rewards: 8.6).</w:t>
      </w:r>
    </w:p>
    <w:p>
      <w:pPr>
        <w:numPr>
          <w:ilvl w:val="0"/>
          <w:numId w:val="1010"/>
        </w:numPr>
        <w:pStyle w:val="Compact"/>
      </w:pPr>
      <w:r>
        <w:rPr>
          <w:bCs/>
          <w:b/>
        </w:rPr>
        <w:t xml:space="preserve">Directory conflict service:</w:t>
      </w:r>
      <w:r>
        <w:t xml:space="preserve"> </w:t>
      </w:r>
      <w:r>
        <w:t xml:space="preserve">Equator screens a proposed neutral with</w:t>
      </w:r>
      <w:r>
        <w:t xml:space="preserve"> </w:t>
      </w:r>
      <w:r>
        <w:rPr>
          <w:rStyle w:val="VerbatimChar"/>
        </w:rPr>
        <w:t xml:space="preserve">POST /v1/conflicts/check</w:t>
      </w:r>
      <w:r>
        <w:t xml:space="preserve"> </w:t>
      </w:r>
      <w:r>
        <w:t xml:space="preserve">(6.29; look-back</w:t>
      </w:r>
      <w:r>
        <w:t xml:space="preserve"> </w:t>
      </w:r>
      <w:r>
        <w:rPr>
          <w:rStyle w:val="VerbatimChar"/>
        </w:rPr>
        <w:t xml:space="preserve">P3Y</w:t>
      </w:r>
      <w:r>
        <w:t xml:space="preserve"> </w:t>
      </w:r>
      <w:r>
        <w:t xml:space="preserve">by default) and receives only the count of allocations by that RE in the window and a relationship flag with its category, enough for its Sixth and Seventh Schedule disclosure and per-lender caps; never matter, contract or pipeline details. Finbyx RS receives the identity-level</w:t>
      </w:r>
      <w:r>
        <w:t xml:space="preserve"> </w:t>
      </w:r>
      <w:r>
        <w:rPr>
          <w:rStyle w:val="VerbatimChar"/>
        </w:rPr>
        <w:t xml:space="preserve">equator_neutral</w:t>
      </w:r>
      <w:r>
        <w:t xml:space="preserve"> </w:t>
      </w:r>
      <w:r>
        <w:t xml:space="preserve">flag and blocks allocating an Equator panel neutral as counsel in a matter that RE has referred to Equator [REC].</w:t>
      </w:r>
    </w:p>
    <w:p>
      <w:pPr>
        <w:numPr>
          <w:ilvl w:val="0"/>
          <w:numId w:val="1010"/>
        </w:numPr>
        <w:pStyle w:val="Compact"/>
      </w:pPr>
      <w:r>
        <w:t xml:space="preserve">Wall breaches (attempted grant, blocked query, misrouted event) are logged and reviewed by Equator’s independent oversight; the annual independence audit (8.6) covers the Hub’s Equator-related grants.</w:t>
      </w:r>
    </w:p>
    <w:p>
      <w:pPr>
        <w:pStyle w:val="FirstParagraph"/>
      </w:pPr>
      <w:r>
        <w:rPr>
          <w:bCs/>
          <w:b/>
        </w:rPr>
        <w:t xml:space="preserve">Other group products.</w:t>
      </w:r>
      <w:r>
        <w:t xml:space="preserve"> </w:t>
      </w:r>
      <w:r>
        <w:t xml:space="preserve">LawDocsComply keeps per-RE compliance modes (9.1); Infrabyx’s own obligations (CERT-In, DPDP, Labour Codes, GST, Companies Act) run in an</w:t>
      </w:r>
      <w:r>
        <w:t xml:space="preserve"> </w:t>
      </w:r>
      <w:r>
        <w:rPr>
          <w:rStyle w:val="VerbatimChar"/>
        </w:rPr>
        <w:t xml:space="preserve">LDC_GROUP</w:t>
      </w:r>
      <w:r>
        <w:t xml:space="preserve"> </w:t>
      </w:r>
      <w:r>
        <w:t xml:space="preserve">instance for the Infrabyx group, and no RE’s LawDocsComply data is visible to the Hub. LawDocs supplies templates and the public face of the directory (BCI Rule 36 fields only). Customers are told which group company supplies each service (OUT para 46).</w:t>
      </w:r>
    </w:p>
    <w:bookmarkEnd w:id="41"/>
    <w:bookmarkStart w:id="42" w:name="external-auditor-and-supervisor-access"/>
    <w:p>
      <w:pPr>
        <w:pStyle w:val="Heading2"/>
      </w:pPr>
      <w:r>
        <w:t xml:space="preserve">4.7 External auditor and supervisor access</w:t>
      </w:r>
    </w:p>
    <w:p>
      <w:pPr>
        <w:pStyle w:val="FirstParagraph"/>
      </w:pPr>
      <w:r>
        <w:rPr>
          <w:bCs/>
          <w:b/>
        </w:rPr>
        <w:t xml:space="preserve">Principle.</w:t>
      </w:r>
      <w:r>
        <w:t xml:space="preserve"> </w:t>
      </w:r>
      <w:r>
        <w:t xml:space="preserve">The</w:t>
      </w:r>
      <w:r>
        <w:t xml:space="preserve"> </w:t>
      </w:r>
      <w:r>
        <w:rPr>
          <w:bCs/>
          <w:b/>
        </w:rPr>
        <w:t xml:space="preserve">RE authorises every grant</w:t>
      </w:r>
      <w:r>
        <w:t xml:space="preserve">; each product provisions only on the RE’s recorded approval, read-only, time-limited and logged (OUT paras 34(ii), 34(vii)–(ix), 74(ii), 74(xii), 81; CYB paras 46, 57). Finbyx Part 7D AU7 is the RE-side register and workspace; Udofin Part 7H RA2 is the LSP-side workspace for the RE’s slice; LawDocsComply provides the same where it hosts the RE’s compliance records. A</w:t>
      </w:r>
      <w:r>
        <w:t xml:space="preserve"> </w:t>
      </w:r>
      <w:r>
        <w:rPr>
          <w:bCs/>
          <w:b/>
        </w:rPr>
        <w:t xml:space="preserve">direct RBI request</w:t>
      </w:r>
      <w:r>
        <w:t xml:space="preserve"> </w:t>
      </w:r>
      <w:r>
        <w:t xml:space="preserve">to Udofin or Finbyx as the RE’s service provider (contract right under OUT paras 34(ix), 74(xii)) is honoured after verifying the officers’ authority; the product notifies the RE within 1 hour unless legally barred (counsel’s reference recorded) [VERIFY: counsel opinion; Finbyx Appendix B]; the RE’s approval records awareness and cannot narrow RBI’s scope.</w:t>
      </w:r>
    </w:p>
    <w:p>
      <w:pPr>
        <w:pStyle w:val="BodyText"/>
      </w:pPr>
      <w:r>
        <w:rPr>
          <w:bCs/>
          <w:b/>
        </w:rPr>
        <w:t xml:space="preserve">Applicability.</w:t>
      </w:r>
      <w:r>
        <w:t xml:space="preserve"> </w:t>
      </w:r>
      <w:r>
        <w:t xml:space="preserve">Mandatory for BL NBFCs with assets of ₹500 crore and above (CYB Chapter IV, paras 46, 57); a supervisory expectation for ML and UL [INTERP; SBR para 32]; available to every tenant. Non-RE lenders: Registrar and co-operative auditors reach records only through the society’s contract and its State or MSCS Act [VERIFY per Act]. No s.45N power reaches a non-group LSP; access to Udofin rests on the LSP agreement.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650"/>
        <w:gridCol w:w="7988"/>
      </w:tblGrid>
      <w:tr>
        <w:trPr>
          <w:tblHeader w:val="true"/>
          <w:tblHeader w:val="true"/>
        </w:trPr>
        <w:tc>
          <w:tcPr>
            <w:tcW w:w="1650" w:type="dxa"/>
            <w:shd w:val="clear" w:color="auto" w:fill="1F3A5F"/>
          </w:tcPr>
          <w:p>
            <w:pPr>
              <w:pStyle w:val="Compact"/>
              <w:spacing w:after="40"/>
              <w:jc w:val="left"/>
            </w:pPr>
            <w:r>
              <w:rPr>
                <w:b/>
                <w:color w:val="FFFFFF"/>
                <w:sz w:val="18"/>
              </w:rPr>
              <w:t xml:space="preserve">Code table</w:t>
            </w:r>
          </w:p>
        </w:tc>
        <w:tc>
          <w:tcPr>
            <w:tcW w:w="7988" w:type="dxa"/>
            <w:shd w:val="clear" w:color="auto" w:fill="1F3A5F"/>
          </w:tcPr>
          <w:p>
            <w:pPr>
              <w:pStyle w:val="Compact"/>
              <w:spacing w:after="40"/>
              <w:jc w:val="left"/>
            </w:pPr>
            <w:r>
              <w:rPr>
                <w:b/>
                <w:color w:val="FFFFFF"/>
                <w:sz w:val="18"/>
              </w:rPr>
              <w:t xml:space="preserve">Values</w:t>
            </w:r>
          </w:p>
        </w:tc>
      </w:tr>
      <w:tr>
        <w:tc>
          <w:tcPr>
            <w:tcW w:w="1650" w:type="dxa"/>
          </w:tcPr>
          <w:p>
            <w:pPr>
              <w:pStyle w:val="Compact"/>
              <w:spacing w:after="40"/>
              <w:jc w:val="left"/>
            </w:pPr>
            <w:r>
              <w:rPr>
                <w:rStyle w:val="VerbatimChar"/>
                <w:sz w:val="18"/>
              </w:rPr>
              <w:t xml:space="preserve">grantee_type</w:t>
            </w:r>
          </w:p>
        </w:tc>
        <w:tc>
          <w:tcPr>
            <w:tcW w:w="7988" w:type="dxa"/>
          </w:tcPr>
          <w:p>
            <w:pPr>
              <w:pStyle w:val="Compact"/>
              <w:spacing w:after="40"/>
              <w:jc w:val="left"/>
            </w:pPr>
            <w:r>
              <w:rPr>
                <w:sz w:val="18"/>
              </w:rPr>
              <w:t xml:space="preserve">RBI_SUPERVISOR, RBI_INSPECTION_TEAM, NHB, NABARD, IFSCA, REGISTRAR_INSPECTOR, RE_STATUTORY_AUDITOR, RE_INTERNAL_AUDITOR, RE_CONCURRENT_AUDITOR, RE_IS_AUDITOR, RE_SECRETARIAL_AUDITOR, RE_TAX_AUDITOR, POOLED_AUDIT_FIRM, COOP_AUDITOR, CO_LENDER_OR_INVESTOR_AUDITOR, PROVIDER_ASSURANCE</w:t>
            </w:r>
          </w:p>
        </w:tc>
      </w:tr>
      <w:tr>
        <w:tc>
          <w:tcPr>
            <w:tcW w:w="1650" w:type="dxa"/>
          </w:tcPr>
          <w:p>
            <w:pPr>
              <w:pStyle w:val="Compact"/>
              <w:spacing w:after="40"/>
              <w:jc w:val="left"/>
            </w:pPr>
            <w:r>
              <w:rPr>
                <w:rStyle w:val="VerbatimChar"/>
                <w:sz w:val="18"/>
              </w:rPr>
              <w:t xml:space="preserve">basis_code</w:t>
            </w:r>
          </w:p>
        </w:tc>
        <w:tc>
          <w:tcPr>
            <w:tcW w:w="7988" w:type="dxa"/>
          </w:tcPr>
          <w:p>
            <w:pPr>
              <w:pStyle w:val="Compact"/>
              <w:spacing w:after="40"/>
              <w:jc w:val="left"/>
            </w:pPr>
            <w:r>
              <w:rPr>
                <w:sz w:val="18"/>
              </w:rPr>
              <w:t xml:space="preserve">RBI_S45N, RBI_S45NAA, OUT_34_VII, OUT_34_VIII, OUT_34_IX, OUT_74_II, OUT_74_XII, OUT_81, OUT_77_POOLED, CYB_46, CYB_57, CA13_S143_1, CA13_S204, IAF_40, BR_S35, NHB_ACT, NABARD, IFSCA, STATE_COOP_ACT, MSCS, CONTRACT</w:t>
            </w:r>
          </w:p>
        </w:tc>
      </w:tr>
      <w:tr>
        <w:tc>
          <w:tcPr>
            <w:tcW w:w="1650" w:type="dxa"/>
          </w:tcPr>
          <w:p>
            <w:pPr>
              <w:pStyle w:val="Compact"/>
              <w:spacing w:after="40"/>
              <w:jc w:val="left"/>
            </w:pPr>
            <w:r>
              <w:rPr>
                <w:rStyle w:val="VerbatimChar"/>
                <w:sz w:val="18"/>
              </w:rPr>
              <w:t xml:space="preserve">pii_level</w:t>
            </w:r>
          </w:p>
        </w:tc>
        <w:tc>
          <w:tcPr>
            <w:tcW w:w="7988" w:type="dxa"/>
          </w:tcPr>
          <w:p>
            <w:pPr>
              <w:pStyle w:val="Compact"/>
              <w:spacing w:after="40"/>
              <w:jc w:val="left"/>
            </w:pPr>
            <w:r>
              <w:rPr>
                <w:sz w:val="18"/>
              </w:rPr>
              <w:t xml:space="preserve">MASKED (default), UNMASK_ON_REQUEST, FULL (second RE approval)</w:t>
            </w:r>
          </w:p>
        </w:tc>
      </w:tr>
      <w:tr>
        <w:tc>
          <w:tcPr>
            <w:tcW w:w="1650" w:type="dxa"/>
          </w:tcPr>
          <w:p>
            <w:pPr>
              <w:pStyle w:val="Compact"/>
              <w:spacing w:after="40"/>
              <w:jc w:val="left"/>
            </w:pPr>
            <w:r>
              <w:rPr>
                <w:rStyle w:val="VerbatimChar"/>
                <w:sz w:val="18"/>
              </w:rPr>
              <w:t xml:space="preserve">export_level</w:t>
            </w:r>
          </w:p>
        </w:tc>
        <w:tc>
          <w:tcPr>
            <w:tcW w:w="7988" w:type="dxa"/>
          </w:tcPr>
          <w:p>
            <w:pPr>
              <w:pStyle w:val="Compact"/>
              <w:spacing w:after="40"/>
              <w:jc w:val="left"/>
            </w:pPr>
            <w:r>
              <w:rPr>
                <w:sz w:val="18"/>
              </w:rPr>
              <w:t xml:space="preserve">NONE, AGGREGATE, CAPPED_RECORDS, FULL (second RE approval)</w:t>
            </w:r>
          </w:p>
        </w:tc>
      </w:tr>
      <w:tr>
        <w:tc>
          <w:tcPr>
            <w:tcW w:w="1650" w:type="dxa"/>
          </w:tcPr>
          <w:p>
            <w:pPr>
              <w:pStyle w:val="Compact"/>
              <w:spacing w:after="40"/>
              <w:jc w:val="left"/>
            </w:pPr>
            <w:r>
              <w:rPr>
                <w:rStyle w:val="VerbatimChar"/>
                <w:sz w:val="18"/>
              </w:rPr>
              <w:t xml:space="preserve">query_level</w:t>
            </w:r>
          </w:p>
        </w:tc>
        <w:tc>
          <w:tcPr>
            <w:tcW w:w="7988" w:type="dxa"/>
          </w:tcPr>
          <w:p>
            <w:pPr>
              <w:pStyle w:val="Compact"/>
              <w:spacing w:after="40"/>
              <w:jc w:val="left"/>
            </w:pPr>
            <w:r>
              <w:rPr>
                <w:sz w:val="18"/>
              </w:rPr>
              <w:t xml:space="preserve">DASHBOARDS, REPORT_CATALOGUE, ADHOC_READONLY</w:t>
            </w:r>
          </w:p>
        </w:tc>
      </w:tr>
    </w:tbl>
    <w:p>
      <w:pPr>
        <w:pStyle w:val="BodyText"/>
      </w:pPr>
      <w:r>
        <w:rPr>
          <w:bCs/>
          <w:b/>
        </w:rPr>
        <w:t xml:space="preserve">Grant record</w:t>
      </w:r>
      <w:r>
        <w:t xml:space="preserve"> </w:t>
      </w:r>
      <w:r>
        <w:t xml:space="preserve">(</w:t>
      </w:r>
      <w:r>
        <w:rPr>
          <w:rStyle w:val="VerbatimChar"/>
        </w:rPr>
        <w:t xml:space="preserve">external_access_grant</w:t>
      </w:r>
      <w:r>
        <w:t xml:space="preserve">, owner: the RE’s register): grant_id, reid (exactly one; a pooled audit gets one slice per RE, each approved by its RE), grantee type, organisation, named grantee identities (pseudonymous user refs plus verified e-mail domain:</w:t>
      </w:r>
      <w:r>
        <w:t xml:space="preserve"> </w:t>
      </w:r>
      <w:r>
        <w:rPr>
          <w:rStyle w:val="VerbatimChar"/>
        </w:rPr>
        <w:t xml:space="preserve">rbi.org.in</w:t>
      </w:r>
      <w:r>
        <w:t xml:space="preserve"> </w:t>
      </w:r>
      <w:r>
        <w:t xml:space="preserve">for RBI officials, the firm’s domain for auditors), basis code, inspection or engagement reference, legal entities, periods, products and dataset catalogue, record filters, PII, export and query levels, valid_from, valid_to, RE maker and checker (CCO or nominee as maker; CISO or MD and CEO delegate as checker; CFO as maker for statutory auditors), state.</w:t>
      </w:r>
    </w:p>
    <w:p>
      <w:pPr>
        <w:pStyle w:val="BodyText"/>
      </w:pPr>
      <w:r>
        <w:rPr>
          <w:bCs/>
          <w:b/>
        </w:rPr>
        <w:t xml:space="preserve">Lifecycle.</w:t>
      </w:r>
      <w:r>
        <w:t xml:space="preserve"> </w:t>
      </w:r>
      <w:r>
        <w:rPr>
          <w:rStyle w:val="VerbatimChar"/>
        </w:rPr>
        <w:t xml:space="preserve">REQUESTED → BASIS_RECORDED → SCOPE_DEFINED → RE_APPROVED → PROVIDER_APPROVED → PROVISIONED → ACTIVE ⇄ EXTENDED → EXPIRED or REVOKED → ARCHIVED</w:t>
      </w:r>
      <w:r>
        <w:t xml:space="preserve">. Default duration: the engagement or inspection window in Finbyx, 30 days in Udofin;</w:t>
      </w:r>
      <w:r>
        <w:t xml:space="preserve"> </w:t>
      </w:r>
      <w:r>
        <w:rPr>
          <w:bCs/>
          <w:b/>
        </w:rPr>
        <w:t xml:space="preserve">maximum 90 days per grant</w:t>
      </w:r>
      <w:r>
        <w:t xml:space="preserve">, renewable by fresh approval (Finbyx Appendix B). A provider may not refuse a valid RE-approved or RBI request; it may only confirm provisioning against scope.</w:t>
      </w:r>
    </w:p>
    <w:p>
      <w:pPr>
        <w:pStyle w:val="BodyText"/>
      </w:pPr>
      <w:r>
        <w:rPr>
          <w:bCs/>
          <w:b/>
        </w:rPr>
        <w:t xml:space="preserve">Federation.</w:t>
      </w:r>
      <w:r>
        <w:t xml:space="preserve"> </w:t>
      </w:r>
      <w:r>
        <w:t xml:space="preserve">The RE’s register is the master.</w:t>
      </w:r>
      <w:r>
        <w:t xml:space="preserve"> </w:t>
      </w:r>
      <w:r>
        <w:rPr>
          <w:rStyle w:val="VerbatimChar"/>
        </w:rPr>
        <w:t xml:space="preserve">POST /v1/external-access/grants</w:t>
      </w:r>
      <w:r>
        <w:t xml:space="preserve"> </w:t>
      </w:r>
      <w:r>
        <w:t xml:space="preserve">(6.21) carries the grant to Udofin, LawDocsComply or another Finbyx tenant of the same RE; each provisions locally and returns status;</w:t>
      </w:r>
      <w:r>
        <w:t xml:space="preserve"> </w:t>
      </w:r>
      <w:r>
        <w:rPr>
          <w:rStyle w:val="VerbatimChar"/>
        </w:rPr>
        <w:t xml:space="preserve">DELETE /v1/external-access/grants/{id}</w:t>
      </w:r>
      <w:r>
        <w:t xml:space="preserve"> </w:t>
      </w:r>
      <w:r>
        <w:t xml:space="preserve">revokes everywhere. Each product emits</w:t>
      </w:r>
      <w:r>
        <w:t xml:space="preserve"> </w:t>
      </w:r>
      <w:r>
        <w:rPr>
          <w:rStyle w:val="VerbatimChar"/>
        </w:rPr>
        <w:t xml:space="preserve">ExternalAccessGranted</w:t>
      </w:r>
      <w:r>
        <w:t xml:space="preserve">,</w:t>
      </w:r>
      <w:r>
        <w:t xml:space="preserve"> </w:t>
      </w:r>
      <w:r>
        <w:rPr>
          <w:rStyle w:val="VerbatimChar"/>
        </w:rPr>
        <w:t xml:space="preserve">ExternalAccessUsed</w:t>
      </w:r>
      <w:r>
        <w:t xml:space="preserve"> </w:t>
      </w:r>
      <w:r>
        <w:t xml:space="preserve">and</w:t>
      </w:r>
      <w:r>
        <w:t xml:space="preserve"> </w:t>
      </w:r>
      <w:r>
        <w:rPr>
          <w:rStyle w:val="VerbatimChar"/>
        </w:rPr>
        <w:t xml:space="preserve">ExternalAccessRevoked</w:t>
      </w:r>
      <w:r>
        <w:t xml:space="preserve"> </w:t>
      </w:r>
      <w:r>
        <w:t xml:space="preserve">to the RE’s register, the RE’s GRC destination and SIEM; the Operations Hub receives counts only. The same three events are allowed in the</w:t>
      </w:r>
      <w:r>
        <w:t xml:space="preserve"> </w:t>
      </w:r>
      <w:r>
        <w:rPr>
          <w:rStyle w:val="VerbatimChar"/>
        </w:rPr>
        <w:t xml:space="preserve">oh</w:t>
      </w:r>
      <w:r>
        <w:t xml:space="preserve"> </w:t>
      </w:r>
      <w:r>
        <w:t xml:space="preserve">scope only for</w:t>
      </w:r>
      <w:r>
        <w:t xml:space="preserve"> </w:t>
      </w:r>
      <w:r>
        <w:rPr>
          <w:rStyle w:val="VerbatimChar"/>
        </w:rPr>
        <w:t xml:space="preserve">PROVIDER_ASSURANCE</w:t>
      </w:r>
      <w:r>
        <w:t xml:space="preserve"> </w:t>
      </w:r>
      <w:r>
        <w:t xml:space="preserve">grants to the OH14 room (below).</w:t>
      </w:r>
    </w:p>
    <w:p>
      <w:pPr>
        <w:pStyle w:val="BodyText"/>
      </w:pPr>
      <w:r>
        <w:rPr>
          <w:bCs/>
          <w:b/>
        </w:rPr>
        <w:t xml:space="preserve">Common controls (every product).</w:t>
      </w:r>
    </w:p>
    <w:p>
      <w:pPr>
        <w:numPr>
          <w:ilvl w:val="0"/>
          <w:numId w:val="1011"/>
        </w:numPr>
        <w:pStyle w:val="Compact"/>
      </w:pPr>
      <w:r>
        <w:t xml:space="preserve">Read-only replica or point-in-time snapshot per grant; SELECT-only database roles; scope</w:t>
      </w:r>
      <w:r>
        <w:t xml:space="preserve"> </w:t>
      </w:r>
      <w:r>
        <w:rPr>
          <w:rStyle w:val="VerbatimChar"/>
        </w:rPr>
        <w:t xml:space="preserve">external.workspace:read</w:t>
      </w:r>
      <w:r>
        <w:t xml:space="preserve"> </w:t>
      </w:r>
      <w:r>
        <w:t xml:space="preserve">only; no write route reachable with a workspace token (enforced at database, gateway and UI).</w:t>
      </w:r>
    </w:p>
    <w:p>
      <w:pPr>
        <w:numPr>
          <w:ilvl w:val="0"/>
          <w:numId w:val="1011"/>
        </w:numPr>
        <w:pStyle w:val="Compact"/>
      </w:pPr>
      <w:r>
        <w:t xml:space="preserve">Named accounts, MFA, optional IP allow-list, device-session binding, confidentiality banner citing the basis; no shared logins and no reuse of break-glass accounts.</w:t>
      </w:r>
    </w:p>
    <w:p>
      <w:pPr>
        <w:numPr>
          <w:ilvl w:val="0"/>
          <w:numId w:val="1011"/>
        </w:numPr>
        <w:pStyle w:val="Compact"/>
      </w:pPr>
      <w:r>
        <w:t xml:space="preserve">Row-level security by RE, entity, branch and period; masking of PAN, Aadhaar references, account numbers, phone and e-mail by default; unmasking per record with a typed reason, logged and shown in the RE’s daily report.</w:t>
      </w:r>
    </w:p>
    <w:p>
      <w:pPr>
        <w:numPr>
          <w:ilvl w:val="0"/>
          <w:numId w:val="1011"/>
        </w:numPr>
        <w:pStyle w:val="Compact"/>
      </w:pPr>
      <w:r>
        <w:t xml:space="preserve">Exports watermarked (grantee, organisation, grant id, time,</w:t>
      </w:r>
      <w:r>
        <w:t xml:space="preserve"> </w:t>
      </w:r>
      <w:r>
        <w:t xml:space="preserve">“</w:t>
      </w:r>
      <w:r>
        <w:t xml:space="preserve">Confidential — supplied under [basis]</w:t>
      </w:r>
      <w:r>
        <w:t xml:space="preserve">”</w:t>
      </w:r>
      <w:r>
        <w:t xml:space="preserve">), hashed, capped (Finbyx default 50,000 rows), delivered only through the workspace (never e-mail); bulk PII export needs the scope and a second RE approval.</w:t>
      </w:r>
    </w:p>
    <w:p>
      <w:pPr>
        <w:numPr>
          <w:ilvl w:val="0"/>
          <w:numId w:val="1011"/>
        </w:numPr>
        <w:pStyle w:val="Compact"/>
      </w:pPr>
      <w:r>
        <w:t xml:space="preserve">Idle timeout 15 minutes, absolute session 8 hours; anomaly alerts (volume above 10 times the grant’s daily median, out-of-window access, repeated unmask attempts) to the RE’s CCO and CISO; daily activity report to the CCO.</w:t>
      </w:r>
    </w:p>
    <w:p>
      <w:pPr>
        <w:numPr>
          <w:ilvl w:val="0"/>
          <w:numId w:val="1011"/>
        </w:numPr>
        <w:pStyle w:val="Compact"/>
      </w:pPr>
      <w:r>
        <w:t xml:space="preserve">Out of scope always: Udofin wellness add-on and insurance data (separate fiduciary role), other REs’ data, Infrabyx’s own HR data. Privileged legal material only with counsel’s approval (13.2</w:t>
      </w:r>
      <w:r>
        <w:t xml:space="preserve"> </w:t>
      </w:r>
      <w:r>
        <w:rPr>
          <w:rStyle w:val="VerbatimChar"/>
        </w:rPr>
        <w:t xml:space="preserve">LEGAL</w:t>
      </w:r>
      <w:r>
        <w:t xml:space="preserve">).</w:t>
      </w:r>
    </w:p>
    <w:p>
      <w:pPr>
        <w:numPr>
          <w:ilvl w:val="0"/>
          <w:numId w:val="1011"/>
        </w:numPr>
        <w:pStyle w:val="Compact"/>
      </w:pPr>
      <w:r>
        <w:t xml:space="preserve">Grant, scope, logs and exports retained for the inspection cycle plus 8 years [REC; CA13 s.128(5) 8 years; PMLA 5 years].</w:t>
      </w:r>
    </w:p>
    <w:p>
      <w:pPr>
        <w:numPr>
          <w:ilvl w:val="0"/>
          <w:numId w:val="1011"/>
        </w:numPr>
        <w:pStyle w:val="Compact"/>
      </w:pPr>
      <w:r>
        <w:rPr>
          <w:bCs/>
          <w:b/>
        </w:rPr>
        <w:t xml:space="preserve">Provider assurance:</w:t>
      </w:r>
      <w:r>
        <w:t xml:space="preserve"> </w:t>
      </w:r>
      <w:r>
        <w:t xml:space="preserve">auditors and supervisors auditing an Infrabyx product itself (OUT paras 34(vii), 74(ii), 76–81) receive a</w:t>
      </w:r>
      <w:r>
        <w:t xml:space="preserve"> </w:t>
      </w:r>
      <w:r>
        <w:rPr>
          <w:rStyle w:val="VerbatimChar"/>
        </w:rPr>
        <w:t xml:space="preserve">PROVIDER_ASSURANCE</w:t>
      </w:r>
      <w:r>
        <w:t xml:space="preserve"> </w:t>
      </w:r>
      <w:r>
        <w:t xml:space="preserve">grant to a separate room served from OH14 (SOC and ISO reports once issued, VAPT summaries, BCP and DR evidence, sub-processor list); it contains no tenant data. The grant follows the same lifecycle, 90-day maximum and controls, but is approved by the owning Infrabyx entity (head and CISO, maker-checker) on the requesting RE’s or auditor’s written request; OH14 emits the</w:t>
      </w:r>
      <w:r>
        <w:t xml:space="preserve"> </w:t>
      </w:r>
      <w:r>
        <w:rPr>
          <w:rStyle w:val="VerbatimChar"/>
        </w:rPr>
        <w:t xml:space="preserve">ExternalAccess*</w:t>
      </w:r>
      <w:r>
        <w:t xml:space="preserve"> </w:t>
      </w:r>
      <w:r>
        <w:t xml:space="preserve">events with</w:t>
      </w:r>
      <w:r>
        <w:t xml:space="preserve"> </w:t>
      </w:r>
      <w:r>
        <w:rPr>
          <w:rStyle w:val="VerbatimChar"/>
        </w:rPr>
        <w:t xml:space="preserve">source</w:t>
      </w:r>
      <w:r>
        <w:t xml:space="preserve"> </w:t>
      </w:r>
      <w:r>
        <w:rPr>
          <w:rStyle w:val="VerbatimChar"/>
        </w:rPr>
        <w:t xml:space="preserve">urn:infrabyx:oh:[legalentityid]</w:t>
      </w:r>
      <w:r>
        <w:t xml:space="preserve"> </w:t>
      </w:r>
      <w:r>
        <w:t xml:space="preserve">and</w:t>
      </w:r>
      <w:r>
        <w:t xml:space="preserve"> </w:t>
      </w:r>
      <w:r>
        <w:rPr>
          <w:rStyle w:val="VerbatimChar"/>
        </w:rPr>
        <w:t xml:space="preserve">reid</w:t>
      </w:r>
      <w:r>
        <w:t xml:space="preserve"> </w:t>
      </w:r>
      <w:r>
        <w:t xml:space="preserve">of the requesting RE (or</w:t>
      </w:r>
      <w:r>
        <w:t xml:space="preserve"> </w:t>
      </w:r>
      <w:r>
        <w:rPr>
          <w:rStyle w:val="VerbatimChar"/>
        </w:rPr>
        <w:t xml:space="preserve">none</w:t>
      </w:r>
      <w:r>
        <w:t xml:space="preserve"> </w:t>
      </w:r>
      <w:r>
        <w:t xml:space="preserve">for Infrabyx’s own assurance auditors).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60"/>
        <w:gridCol w:w="6378"/>
      </w:tblGrid>
      <w:tr>
        <w:trPr>
          <w:tblHeader w:val="true"/>
          <w:tblHeader w:val="true"/>
        </w:trPr>
        <w:tc>
          <w:tcPr>
            <w:tcW w:w="3260" w:type="dxa"/>
            <w:shd w:val="clear" w:color="auto" w:fill="1F3A5F"/>
          </w:tcPr>
          <w:p>
            <w:pPr>
              <w:pStyle w:val="Compact"/>
              <w:spacing w:after="40"/>
              <w:jc w:val="left"/>
            </w:pPr>
            <w:r>
              <w:rPr>
                <w:b/>
                <w:color w:val="FFFFFF"/>
                <w:sz w:val="18"/>
              </w:rPr>
              <w:t xml:space="preserve">Scope</w:t>
            </w:r>
          </w:p>
        </w:tc>
        <w:tc>
          <w:tcPr>
            <w:tcW w:w="6378" w:type="dxa"/>
            <w:shd w:val="clear" w:color="auto" w:fill="1F3A5F"/>
          </w:tcPr>
          <w:p>
            <w:pPr>
              <w:pStyle w:val="Compact"/>
              <w:spacing w:after="40"/>
              <w:jc w:val="left"/>
            </w:pPr>
            <w:r>
              <w:rPr>
                <w:b/>
                <w:color w:val="FFFFFF"/>
                <w:sz w:val="18"/>
              </w:rPr>
              <w:t xml:space="preserve">Granted to</w:t>
            </w:r>
          </w:p>
        </w:tc>
      </w:tr>
      <w:tr>
        <w:tc>
          <w:tcPr>
            <w:tcW w:w="3260" w:type="dxa"/>
          </w:tcPr>
          <w:p>
            <w:pPr>
              <w:pStyle w:val="Compact"/>
              <w:spacing w:after="40"/>
              <w:jc w:val="left"/>
            </w:pPr>
            <w:r>
              <w:rPr>
                <w:rStyle w:val="VerbatimChar"/>
                <w:sz w:val="18"/>
              </w:rPr>
              <w:t xml:space="preserve">external.workspace:read</w:t>
            </w:r>
          </w:p>
        </w:tc>
        <w:tc>
          <w:tcPr>
            <w:tcW w:w="6378" w:type="dxa"/>
          </w:tcPr>
          <w:p>
            <w:pPr>
              <w:pStyle w:val="Compact"/>
              <w:spacing w:after="40"/>
              <w:jc w:val="left"/>
            </w:pPr>
            <w:r>
              <w:rPr>
                <w:sz w:val="18"/>
              </w:rPr>
              <w:t xml:space="preserve">Named external users under an ACTIVE grant (own RE slice only)</w:t>
            </w:r>
          </w:p>
        </w:tc>
      </w:tr>
      <w:tr>
        <w:tc>
          <w:tcPr>
            <w:tcW w:w="3260" w:type="dxa"/>
          </w:tcPr>
          <w:p>
            <w:pPr>
              <w:pStyle w:val="Compact"/>
              <w:spacing w:after="40"/>
              <w:jc w:val="left"/>
            </w:pPr>
            <w:r>
              <w:rPr>
                <w:rStyle w:val="VerbatimChar"/>
                <w:sz w:val="18"/>
              </w:rPr>
              <w:t xml:space="preserve">external.grant:write</w:t>
            </w:r>
          </w:p>
        </w:tc>
        <w:tc>
          <w:tcPr>
            <w:tcW w:w="6378" w:type="dxa"/>
          </w:tcPr>
          <w:p>
            <w:pPr>
              <w:pStyle w:val="Compact"/>
              <w:spacing w:after="40"/>
              <w:jc w:val="left"/>
            </w:pPr>
            <w:r>
              <w:rPr>
                <w:sz w:val="18"/>
              </w:rPr>
              <w:t xml:space="preserve">The RE’s system (Finbyx AU7) and Udofin’s lender portal acting on a recorded RE approval</w:t>
            </w:r>
          </w:p>
        </w:tc>
      </w:tr>
    </w:tbl>
    <w:p>
      <w:pPr>
        <w:pStyle w:val="BodyText"/>
      </w:pPr>
      <w:r>
        <w:t xml:space="preserve">Scopes for the other v1.1 domains are listed in 4.5.</w:t>
      </w:r>
    </w:p>
    <w:p>
      <w:r>
        <w:pict>
          <v:rect style="width:0;height:1.5pt" o:hralign="center" o:hrstd="t" o:hr="t"/>
        </w:pict>
      </w:r>
    </w:p>
    <w:bookmarkEnd w:id="42"/>
    <w:bookmarkEnd w:id="43"/>
    <w:bookmarkStart w:id="47" w:name="canonical-data-model"/>
    <w:p>
      <w:pPr>
        <w:pStyle w:val="Heading1"/>
      </w:pPr>
      <w:r>
        <w:t xml:space="preserve">5 — CANONICAL DATA MODEL</w:t>
      </w:r>
    </w:p>
    <w:bookmarkStart w:id="44" w:name="conventions"/>
    <w:p>
      <w:pPr>
        <w:pStyle w:val="Heading2"/>
      </w:pPr>
      <w:r>
        <w:t xml:space="preserve">5.1 Conventions</w:t>
      </w:r>
    </w:p>
    <w:p>
      <w:pPr>
        <w:pStyle w:val="FirstParagraph"/>
      </w:pPr>
      <w:r>
        <w:t xml:space="preserve">Every entity has</w:t>
      </w:r>
      <w:r>
        <w:t xml:space="preserve"> </w:t>
      </w:r>
      <w:r>
        <w:rPr>
          <w:rStyle w:val="VerbatimChar"/>
        </w:rPr>
        <w:t xml:space="preserve">id</w:t>
      </w:r>
      <w:r>
        <w:t xml:space="preserve"> </w:t>
      </w:r>
      <w:r>
        <w:t xml:space="preserve">(prefix + ULID),</w:t>
      </w:r>
      <w:r>
        <w:t xml:space="preserve"> </w:t>
      </w:r>
      <w:r>
        <w:rPr>
          <w:rStyle w:val="VerbatimChar"/>
        </w:rPr>
        <w:t xml:space="preserve">reid</w:t>
      </w:r>
      <w:r>
        <w:t xml:space="preserve">,</w:t>
      </w:r>
      <w:r>
        <w:t xml:space="preserve"> </w:t>
      </w:r>
      <w:r>
        <w:rPr>
          <w:rStyle w:val="VerbatimChar"/>
        </w:rPr>
        <w:t xml:space="preserve">tenantid</w:t>
      </w:r>
      <w:r>
        <w:t xml:space="preserve">,</w:t>
      </w:r>
      <w:r>
        <w:t xml:space="preserve"> </w:t>
      </w:r>
      <w:r>
        <w:rPr>
          <w:rStyle w:val="VerbatimChar"/>
        </w:rPr>
        <w:t xml:space="preserve">owner_system</w:t>
      </w:r>
      <w:r>
        <w:t xml:space="preserve">,</w:t>
      </w:r>
      <w:r>
        <w:t xml:space="preserve"> </w:t>
      </w:r>
      <w:r>
        <w:rPr>
          <w:rStyle w:val="VerbatimChar"/>
        </w:rPr>
        <w:t xml:space="preserve">version</w:t>
      </w:r>
      <w:r>
        <w:t xml:space="preserve">,</w:t>
      </w:r>
      <w:r>
        <w:t xml:space="preserve"> </w:t>
      </w:r>
      <w:r>
        <w:rPr>
          <w:rStyle w:val="VerbatimChar"/>
        </w:rPr>
        <w:t xml:space="preserve">created_at</w:t>
      </w:r>
      <w:r>
        <w:t xml:space="preserve">,</w:t>
      </w:r>
      <w:r>
        <w:t xml:space="preserve"> </w:t>
      </w:r>
      <w:r>
        <w:rPr>
          <w:rStyle w:val="VerbatimChar"/>
        </w:rPr>
        <w:t xml:space="preserve">updated_at</w:t>
      </w:r>
      <w:r>
        <w:t xml:space="preserve">,</w:t>
      </w:r>
      <w:r>
        <w:t xml:space="preserve"> </w:t>
      </w:r>
      <w:r>
        <w:rPr>
          <w:rStyle w:val="VerbatimChar"/>
        </w:rPr>
        <w:t xml:space="preserve">source_refs[]</w:t>
      </w:r>
      <w:r>
        <w:t xml:space="preserve">; every schema field carries</w:t>
      </w:r>
      <w:r>
        <w:t xml:space="preserve"> </w:t>
      </w:r>
      <w:r>
        <w:rPr>
          <w:rStyle w:val="VerbatimChar"/>
        </w:rPr>
        <w:t xml:space="preserve">x-dataclass</w:t>
      </w:r>
      <w:r>
        <w:t xml:space="preserve">. Money</w:t>
      </w:r>
      <w:r>
        <w:t xml:space="preserve"> </w:t>
      </w:r>
      <w:r>
        <w:rPr>
          <w:rStyle w:val="VerbatimChar"/>
        </w:rPr>
        <w:t xml:space="preserve">{"amount": "125000.00", "currency": "INR"}</w:t>
      </w:r>
      <w:r>
        <w:t xml:space="preserve">; rates as percent per annum with day count. PAN and bank accounts travel masked plus keyed token; Aadhaar numbers never; clear identifiers (</w:t>
      </w:r>
      <w:r>
        <w:rPr>
          <w:rStyle w:val="VerbatimChar"/>
        </w:rPr>
        <w:t xml:space="preserve">SPI</w:t>
      </w:r>
      <w:r>
        <w:t xml:space="preserve">) only to the RE. Owners:</w:t>
      </w:r>
      <w:r>
        <w:t xml:space="preserve"> </w:t>
      </w:r>
      <w:r>
        <w:rPr>
          <w:bCs/>
          <w:b/>
        </w:rPr>
        <w:t xml:space="preserve">FX</w:t>
      </w:r>
      <w:r>
        <w:t xml:space="preserve"> </w:t>
      </w:r>
      <w:r>
        <w:t xml:space="preserve">Finbyx or the lender’s certified LMS (an RE, or a non-RE lender such as a credit co-operative society);</w:t>
      </w:r>
      <w:r>
        <w:t xml:space="preserve"> </w:t>
      </w:r>
      <w:r>
        <w:rPr>
          <w:bCs/>
          <w:b/>
        </w:rPr>
        <w:t xml:space="preserve">UD</w:t>
      </w:r>
      <w:r>
        <w:t xml:space="preserve"> </w:t>
      </w:r>
      <w:r>
        <w:t xml:space="preserve">Udofin;</w:t>
      </w:r>
      <w:r>
        <w:t xml:space="preserve"> </w:t>
      </w:r>
      <w:r>
        <w:rPr>
          <w:bCs/>
          <w:b/>
        </w:rPr>
        <w:t xml:space="preserve">EQ</w:t>
      </w:r>
      <w:r>
        <w:t xml:space="preserve"> </w:t>
      </w:r>
      <w:r>
        <w:t xml:space="preserve">Equator or another ODR institution;</w:t>
      </w:r>
      <w:r>
        <w:t xml:space="preserve"> </w:t>
      </w:r>
      <w:r>
        <w:rPr>
          <w:bCs/>
          <w:b/>
        </w:rPr>
        <w:t xml:space="preserve">LDC</w:t>
      </w:r>
      <w:r>
        <w:t xml:space="preserve"> </w:t>
      </w:r>
      <w:r>
        <w:t xml:space="preserve">LawDocsComply or the RE’s GRC tool;</w:t>
      </w:r>
      <w:r>
        <w:t xml:space="preserve"> </w:t>
      </w:r>
      <w:r>
        <w:rPr>
          <w:bCs/>
          <w:b/>
        </w:rPr>
        <w:t xml:space="preserve">RS</w:t>
      </w:r>
      <w:r>
        <w:t xml:space="preserve"> </w:t>
      </w:r>
      <w:r>
        <w:t xml:space="preserve">Recovery Suite (in FX or standalone Udolex);</w:t>
      </w:r>
      <w:r>
        <w:t xml:space="preserve"> </w:t>
      </w:r>
      <w:r>
        <w:rPr>
          <w:bCs/>
          <w:b/>
        </w:rPr>
        <w:t xml:space="preserve">OH</w:t>
      </w:r>
      <w:r>
        <w:t xml:space="preserve"> </w:t>
      </w:r>
      <w:r>
        <w:t xml:space="preserve">Infrabyx Operations Hub;</w:t>
      </w:r>
      <w:r>
        <w:t xml:space="preserve"> </w:t>
      </w:r>
      <w:r>
        <w:rPr>
          <w:bCs/>
          <w:b/>
        </w:rPr>
        <w:t xml:space="preserve">INS</w:t>
      </w:r>
      <w:r>
        <w:t xml:space="preserve"> </w:t>
      </w:r>
      <w:r>
        <w:t xml:space="preserve">insurer or IRDAI-registered partner;</w:t>
      </w:r>
      <w:r>
        <w:t xml:space="preserve"> </w:t>
      </w:r>
      <w:r>
        <w:rPr>
          <w:bCs/>
          <w:b/>
        </w:rPr>
        <w:t xml:space="preserve">CIC</w:t>
      </w:r>
      <w:r>
        <w:t xml:space="preserve"> </w:t>
      </w:r>
      <w:r>
        <w:t xml:space="preserve">credit information company;</w:t>
      </w:r>
      <w:r>
        <w:t xml:space="preserve"> </w:t>
      </w:r>
      <w:r>
        <w:rPr>
          <w:bCs/>
          <w:b/>
        </w:rPr>
        <w:t xml:space="preserve">EXT</w:t>
      </w:r>
      <w:r>
        <w:t xml:space="preserve"> </w:t>
      </w:r>
      <w:r>
        <w:t xml:space="preserve">external provider.</w:t>
      </w:r>
    </w:p>
    <w:bookmarkEnd w:id="44"/>
    <w:bookmarkStart w:id="45" w:name="entity-catalogue-and-owners"/>
    <w:p>
      <w:pPr>
        <w:pStyle w:val="Heading2"/>
      </w:pPr>
      <w:r>
        <w:t xml:space="preserve">5.2 Entity catalogue and owners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41"/>
        <w:gridCol w:w="1510"/>
        <w:gridCol w:w="2124"/>
        <w:gridCol w:w="3348"/>
        <w:gridCol w:w="1915"/>
      </w:tblGrid>
      <w:tr>
        <w:trPr>
          <w:tblHeader w:val="true"/>
          <w:tblHeader w:val="true"/>
        </w:trPr>
        <w:tc>
          <w:tcPr>
            <w:tcW w:w="741" w:type="dxa"/>
            <w:shd w:val="clear" w:color="auto" w:fill="1F3A5F"/>
          </w:tcPr>
          <w:p>
            <w:pPr>
              <w:pStyle w:val="Compact"/>
              <w:spacing w:after="40"/>
              <w:jc w:val="left"/>
            </w:pPr>
            <w:r>
              <w:rPr>
                <w:b/>
                <w:color w:val="FFFFFF"/>
                <w:sz w:val="18"/>
              </w:rPr>
              <w:t xml:space="preserve">#</w:t>
            </w:r>
          </w:p>
        </w:tc>
        <w:tc>
          <w:tcPr>
            <w:tcW w:w="1510" w:type="dxa"/>
            <w:shd w:val="clear" w:color="auto" w:fill="1F3A5F"/>
          </w:tcPr>
          <w:p>
            <w:pPr>
              <w:pStyle w:val="Compact"/>
              <w:spacing w:after="40"/>
              <w:jc w:val="left"/>
            </w:pPr>
            <w:r>
              <w:rPr>
                <w:b/>
                <w:color w:val="FFFFFF"/>
                <w:sz w:val="18"/>
              </w:rPr>
              <w:t xml:space="preserve">Entity</w:t>
            </w:r>
          </w:p>
        </w:tc>
        <w:tc>
          <w:tcPr>
            <w:tcW w:w="2124" w:type="dxa"/>
            <w:shd w:val="clear" w:color="auto" w:fill="1F3A5F"/>
          </w:tcPr>
          <w:p>
            <w:pPr>
              <w:pStyle w:val="Compact"/>
              <w:spacing w:after="40"/>
              <w:jc w:val="left"/>
            </w:pPr>
            <w:r>
              <w:rPr>
                <w:b/>
                <w:color w:val="FFFFFF"/>
                <w:sz w:val="18"/>
              </w:rPr>
              <w:t xml:space="preserve">Owner</w:t>
            </w:r>
          </w:p>
        </w:tc>
        <w:tc>
          <w:tcPr>
            <w:tcW w:w="3348" w:type="dxa"/>
            <w:shd w:val="clear" w:color="auto" w:fill="1F3A5F"/>
          </w:tcPr>
          <w:p>
            <w:pPr>
              <w:pStyle w:val="Compact"/>
              <w:spacing w:after="40"/>
              <w:jc w:val="left"/>
            </w:pPr>
            <w:r>
              <w:rPr>
                <w:b/>
                <w:color w:val="FFFFFF"/>
                <w:sz w:val="18"/>
              </w:rPr>
              <w:t xml:space="preserve">Key fields (beyond 5.1)</w:t>
            </w:r>
          </w:p>
        </w:tc>
        <w:tc>
          <w:tcPr>
            <w:tcW w:w="1915" w:type="dxa"/>
            <w:shd w:val="clear" w:color="auto" w:fill="1F3A5F"/>
          </w:tcPr>
          <w:p>
            <w:pPr>
              <w:pStyle w:val="Compact"/>
              <w:spacing w:after="40"/>
              <w:jc w:val="left"/>
            </w:pPr>
            <w:r>
              <w:rPr>
                <w:b/>
                <w:color w:val="FFFFFF"/>
                <w:sz w:val="18"/>
              </w:rPr>
              <w:t xml:space="preserve">Copies</w:t>
            </w:r>
          </w:p>
        </w:tc>
      </w:tr>
      <w:tr>
        <w:tc>
          <w:tcPr>
            <w:tcW w:w="741" w:type="dxa"/>
          </w:tcPr>
          <w:p>
            <w:pPr>
              <w:pStyle w:val="Compact"/>
              <w:spacing w:after="40"/>
              <w:jc w:val="left"/>
            </w:pPr>
            <w:r>
              <w:rPr>
                <w:sz w:val="18"/>
              </w:rPr>
              <w:t xml:space="preserve">1</w:t>
            </w:r>
          </w:p>
        </w:tc>
        <w:tc>
          <w:tcPr>
            <w:tcW w:w="1510" w:type="dxa"/>
          </w:tcPr>
          <w:p>
            <w:pPr>
              <w:pStyle w:val="Compact"/>
              <w:spacing w:after="40"/>
              <w:jc w:val="left"/>
            </w:pPr>
            <w:r>
              <w:rPr>
                <w:rStyle w:val="VerbatimChar"/>
                <w:sz w:val="18"/>
              </w:rPr>
              <w:t xml:space="preserve">party</w:t>
            </w:r>
          </w:p>
        </w:tc>
        <w:tc>
          <w:tcPr>
            <w:tcW w:w="2124" w:type="dxa"/>
          </w:tcPr>
          <w:p>
            <w:pPr>
              <w:pStyle w:val="Compact"/>
              <w:spacing w:after="40"/>
              <w:jc w:val="left"/>
            </w:pPr>
            <w:r>
              <w:rPr>
                <w:sz w:val="18"/>
              </w:rPr>
              <w:t xml:space="preserve">Onboarding product; FX CIF for the RE</w:t>
            </w:r>
          </w:p>
        </w:tc>
        <w:tc>
          <w:tcPr>
            <w:tcW w:w="3348" w:type="dxa"/>
          </w:tcPr>
          <w:p>
            <w:pPr>
              <w:pStyle w:val="Compact"/>
              <w:spacing w:after="40"/>
              <w:jc w:val="left"/>
            </w:pPr>
            <w:r>
              <w:rPr>
                <w:sz w:val="18"/>
              </w:rPr>
              <w:t xml:space="preserve">type, name, DOB, pan_token, contacts and addresses with source, is_deceased, legal_heirs</w:t>
            </w:r>
          </w:p>
        </w:tc>
        <w:tc>
          <w:tcPr>
            <w:tcW w:w="1915" w:type="dxa"/>
          </w:tcPr>
          <w:p>
            <w:pPr>
              <w:pStyle w:val="Compact"/>
              <w:spacing w:after="40"/>
              <w:jc w:val="left"/>
            </w:pPr>
            <w:r>
              <w:rPr>
                <w:sz w:val="18"/>
              </w:rPr>
              <w:t xml:space="preserve">UD, EQ, RS</w:t>
            </w:r>
          </w:p>
        </w:tc>
      </w:tr>
      <w:tr>
        <w:tc>
          <w:tcPr>
            <w:tcW w:w="741" w:type="dxa"/>
          </w:tcPr>
          <w:p>
            <w:pPr>
              <w:pStyle w:val="Compact"/>
              <w:spacing w:after="40"/>
              <w:jc w:val="left"/>
            </w:pPr>
            <w:r>
              <w:rPr>
                <w:sz w:val="18"/>
              </w:rPr>
              <w:t xml:space="preserve">2</w:t>
            </w:r>
          </w:p>
        </w:tc>
        <w:tc>
          <w:tcPr>
            <w:tcW w:w="1510" w:type="dxa"/>
          </w:tcPr>
          <w:p>
            <w:pPr>
              <w:pStyle w:val="Compact"/>
              <w:spacing w:after="40"/>
              <w:jc w:val="left"/>
            </w:pPr>
            <w:r>
              <w:rPr>
                <w:rStyle w:val="VerbatimChar"/>
                <w:sz w:val="18"/>
              </w:rPr>
              <w:t xml:space="preserve">borrower</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party, loans, ucic, household income (CF para 51), udyam, fraud and WD flags, ibc_state</w:t>
            </w:r>
          </w:p>
        </w:tc>
        <w:tc>
          <w:tcPr>
            <w:tcW w:w="1915" w:type="dxa"/>
          </w:tcPr>
          <w:p>
            <w:pPr>
              <w:pStyle w:val="Compact"/>
              <w:spacing w:after="40"/>
              <w:jc w:val="left"/>
            </w:pPr>
            <w:r>
              <w:rPr>
                <w:sz w:val="18"/>
              </w:rPr>
              <w:t xml:space="preserve">UD, EQ, RS</w:t>
            </w:r>
          </w:p>
        </w:tc>
      </w:tr>
      <w:tr>
        <w:tc>
          <w:tcPr>
            <w:tcW w:w="741" w:type="dxa"/>
          </w:tcPr>
          <w:p>
            <w:pPr>
              <w:pStyle w:val="Compact"/>
              <w:spacing w:after="40"/>
              <w:jc w:val="left"/>
            </w:pPr>
            <w:r>
              <w:rPr>
                <w:sz w:val="18"/>
              </w:rPr>
              <w:t xml:space="preserve">3</w:t>
            </w:r>
          </w:p>
        </w:tc>
        <w:tc>
          <w:tcPr>
            <w:tcW w:w="1510" w:type="dxa"/>
          </w:tcPr>
          <w:p>
            <w:pPr>
              <w:pStyle w:val="Compact"/>
              <w:spacing w:after="40"/>
              <w:jc w:val="left"/>
            </w:pPr>
            <w:r>
              <w:rPr>
                <w:rStyle w:val="VerbatimChar"/>
                <w:sz w:val="18"/>
              </w:rPr>
              <w:t xml:space="preserve">guarantor</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party, loan, type, amount, invoked_at, is_pg_to_corporate_debtor</w:t>
            </w:r>
          </w:p>
        </w:tc>
        <w:tc>
          <w:tcPr>
            <w:tcW w:w="1915" w:type="dxa"/>
          </w:tcPr>
          <w:p>
            <w:pPr>
              <w:pStyle w:val="Compact"/>
              <w:spacing w:after="40"/>
              <w:jc w:val="left"/>
            </w:pPr>
            <w:r>
              <w:rPr>
                <w:sz w:val="18"/>
              </w:rPr>
              <w:t xml:space="preserve">RS, EQ</w:t>
            </w:r>
          </w:p>
        </w:tc>
      </w:tr>
      <w:tr>
        <w:tc>
          <w:tcPr>
            <w:tcW w:w="741" w:type="dxa"/>
          </w:tcPr>
          <w:p>
            <w:pPr>
              <w:pStyle w:val="Compact"/>
              <w:spacing w:after="40"/>
              <w:jc w:val="left"/>
            </w:pPr>
            <w:r>
              <w:rPr>
                <w:sz w:val="18"/>
              </w:rPr>
              <w:t xml:space="preserve">4</w:t>
            </w:r>
          </w:p>
        </w:tc>
        <w:tc>
          <w:tcPr>
            <w:tcW w:w="1510" w:type="dxa"/>
          </w:tcPr>
          <w:p>
            <w:pPr>
              <w:pStyle w:val="Compact"/>
              <w:spacing w:after="40"/>
              <w:jc w:val="left"/>
            </w:pPr>
            <w:r>
              <w:rPr>
                <w:rStyle w:val="VerbatimChar"/>
                <w:sz w:val="18"/>
              </w:rPr>
              <w:t xml:space="preserve">regulated_entity</w:t>
            </w:r>
            <w:r>
              <w:rPr>
                <w:sz w:val="18"/>
              </w:rPr>
              <w:t xml:space="preserve">,</w:t>
            </w:r>
            <w:r>
              <w:rPr>
                <w:sz w:val="18"/>
              </w:rPr>
              <w:t xml:space="preserve"> </w:t>
            </w:r>
            <w:r>
              <w:rPr>
                <w:rStyle w:val="VerbatimChar"/>
                <w:sz w:val="18"/>
              </w:rPr>
              <w:t xml:space="preserve">lsp</w:t>
            </w:r>
          </w:p>
        </w:tc>
        <w:tc>
          <w:tcPr>
            <w:tcW w:w="2124" w:type="dxa"/>
          </w:tcPr>
          <w:p>
            <w:pPr>
              <w:pStyle w:val="Compact"/>
              <w:spacing w:after="40"/>
              <w:jc w:val="left"/>
            </w:pPr>
            <w:r>
              <w:rPr>
                <w:sz w:val="18"/>
              </w:rPr>
              <w:t xml:space="preserve">Ecosystem registry</w:t>
            </w:r>
          </w:p>
        </w:tc>
        <w:tc>
          <w:tcPr>
            <w:tcW w:w="3348" w:type="dxa"/>
          </w:tcPr>
          <w:p>
            <w:pPr>
              <w:pStyle w:val="Compact"/>
              <w:spacing w:after="40"/>
              <w:jc w:val="left"/>
            </w:pPr>
            <w:r>
              <w:rPr>
                <w:sz w:val="18"/>
              </w:rPr>
              <w:t xml:space="preserve">category, layer, SARFAESI and RDB flags, GRO; LSP is_company (CF para 19), nodal officer (CF para 12), DLAs</w:t>
            </w:r>
          </w:p>
        </w:tc>
        <w:tc>
          <w:tcPr>
            <w:tcW w:w="1915" w:type="dxa"/>
          </w:tcPr>
          <w:p>
            <w:pPr>
              <w:pStyle w:val="Compact"/>
              <w:spacing w:after="40"/>
              <w:jc w:val="left"/>
            </w:pPr>
            <w:r>
              <w:rPr>
                <w:sz w:val="18"/>
              </w:rPr>
              <w:t xml:space="preserve">All</w:t>
            </w:r>
          </w:p>
        </w:tc>
      </w:tr>
      <w:tr>
        <w:tc>
          <w:tcPr>
            <w:tcW w:w="741" w:type="dxa"/>
          </w:tcPr>
          <w:p>
            <w:pPr>
              <w:pStyle w:val="Compact"/>
              <w:spacing w:after="40"/>
              <w:jc w:val="left"/>
            </w:pPr>
            <w:r>
              <w:rPr>
                <w:sz w:val="18"/>
              </w:rPr>
              <w:t xml:space="preserve">5</w:t>
            </w:r>
          </w:p>
        </w:tc>
        <w:tc>
          <w:tcPr>
            <w:tcW w:w="1510" w:type="dxa"/>
          </w:tcPr>
          <w:p>
            <w:pPr>
              <w:pStyle w:val="Compact"/>
              <w:spacing w:after="40"/>
              <w:jc w:val="left"/>
            </w:pPr>
            <w:r>
              <w:rPr>
                <w:rStyle w:val="VerbatimChar"/>
                <w:sz w:val="18"/>
              </w:rPr>
              <w:t xml:space="preserve">product</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family, version, collateral types, rate model, charges, KFS template, cooling-off, recovery playbook, LAS haircut table</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6</w:t>
            </w:r>
          </w:p>
        </w:tc>
        <w:tc>
          <w:tcPr>
            <w:tcW w:w="1510" w:type="dxa"/>
          </w:tcPr>
          <w:p>
            <w:pPr>
              <w:pStyle w:val="Compact"/>
              <w:spacing w:after="40"/>
              <w:jc w:val="left"/>
            </w:pPr>
            <w:r>
              <w:rPr>
                <w:rStyle w:val="VerbatimChar"/>
                <w:sz w:val="18"/>
              </w:rPr>
              <w:t xml:space="preserve">application</w:t>
            </w:r>
          </w:p>
        </w:tc>
        <w:tc>
          <w:tcPr>
            <w:tcW w:w="2124" w:type="dxa"/>
          </w:tcPr>
          <w:p>
            <w:pPr>
              <w:pStyle w:val="Compact"/>
              <w:spacing w:after="40"/>
              <w:jc w:val="left"/>
            </w:pPr>
            <w:r>
              <w:rPr>
                <w:sz w:val="18"/>
              </w:rPr>
              <w:t xml:space="preserve">UD journey; FX once submitted</w:t>
            </w:r>
          </w:p>
        </w:tc>
        <w:tc>
          <w:tcPr>
            <w:tcW w:w="3348" w:type="dxa"/>
          </w:tcPr>
          <w:p>
            <w:pPr>
              <w:pStyle w:val="Compact"/>
              <w:spacing w:after="40"/>
              <w:jc w:val="left"/>
            </w:pPr>
            <w:r>
              <w:rPr>
                <w:sz w:val="18"/>
              </w:rPr>
              <w:t xml:space="preserve">product, amount, tenor, purpose, applicants, consents, KYC, bureau and AA refs, documents, collateral offers, dla_id, status</w:t>
            </w:r>
          </w:p>
        </w:tc>
        <w:tc>
          <w:tcPr>
            <w:tcW w:w="1915" w:type="dxa"/>
          </w:tcPr>
          <w:p>
            <w:pPr>
              <w:pStyle w:val="Compact"/>
              <w:spacing w:after="40"/>
              <w:jc w:val="left"/>
            </w:pPr>
            <w:r>
              <w:rPr>
                <w:sz w:val="18"/>
              </w:rPr>
              <w:t xml:space="preserve">Both</w:t>
            </w:r>
          </w:p>
        </w:tc>
      </w:tr>
      <w:tr>
        <w:tc>
          <w:tcPr>
            <w:tcW w:w="741" w:type="dxa"/>
          </w:tcPr>
          <w:p>
            <w:pPr>
              <w:pStyle w:val="Compact"/>
              <w:spacing w:after="40"/>
              <w:jc w:val="left"/>
            </w:pPr>
            <w:r>
              <w:rPr>
                <w:sz w:val="18"/>
              </w:rPr>
              <w:t xml:space="preserve">7</w:t>
            </w:r>
          </w:p>
        </w:tc>
        <w:tc>
          <w:tcPr>
            <w:tcW w:w="1510" w:type="dxa"/>
          </w:tcPr>
          <w:p>
            <w:pPr>
              <w:pStyle w:val="Compact"/>
              <w:spacing w:after="40"/>
              <w:jc w:val="left"/>
            </w:pPr>
            <w:r>
              <w:rPr>
                <w:rStyle w:val="VerbatimChar"/>
                <w:sz w:val="18"/>
              </w:rPr>
              <w:t xml:space="preserve">offer</w:t>
            </w:r>
            <w:r>
              <w:rPr>
                <w:sz w:val="18"/>
              </w:rPr>
              <w:t xml:space="preserve">,</w:t>
            </w:r>
            <w:r>
              <w:rPr>
                <w:sz w:val="18"/>
              </w:rPr>
              <w:t xml:space="preserve"> </w:t>
            </w:r>
            <w:r>
              <w:rPr>
                <w:rStyle w:val="VerbatimChar"/>
                <w:sz w:val="18"/>
              </w:rPr>
              <w:t xml:space="preserve">kfs</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APR, EMI, penal charges, proposal_no, validity (RBC para 29), KFS Part 2 items 1, 4, 5, 6(ii), hash</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8</w:t>
            </w:r>
          </w:p>
        </w:tc>
        <w:tc>
          <w:tcPr>
            <w:tcW w:w="1510" w:type="dxa"/>
          </w:tcPr>
          <w:p>
            <w:pPr>
              <w:pStyle w:val="Compact"/>
              <w:spacing w:after="40"/>
              <w:jc w:val="left"/>
            </w:pPr>
            <w:r>
              <w:rPr>
                <w:rStyle w:val="VerbatimChar"/>
                <w:sz w:val="18"/>
              </w:rPr>
              <w:t xml:space="preserve">loan</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lender of record, co-lenders and shares, outstanding by component, dpd, asset_class, npa_date, restructured, technical write-off, servicer, transferred interests</w:t>
            </w:r>
          </w:p>
        </w:tc>
        <w:tc>
          <w:tcPr>
            <w:tcW w:w="1915" w:type="dxa"/>
          </w:tcPr>
          <w:p>
            <w:pPr>
              <w:pStyle w:val="Compact"/>
              <w:spacing w:after="40"/>
              <w:jc w:val="left"/>
            </w:pPr>
            <w:r>
              <w:rPr>
                <w:sz w:val="18"/>
              </w:rPr>
              <w:t xml:space="preserve">UD, RS, EQ</w:t>
            </w:r>
          </w:p>
        </w:tc>
      </w:tr>
      <w:tr>
        <w:tc>
          <w:tcPr>
            <w:tcW w:w="741" w:type="dxa"/>
          </w:tcPr>
          <w:p>
            <w:pPr>
              <w:pStyle w:val="Compact"/>
              <w:spacing w:after="40"/>
              <w:jc w:val="left"/>
            </w:pPr>
            <w:r>
              <w:rPr>
                <w:sz w:val="18"/>
              </w:rPr>
              <w:t xml:space="preserve">9</w:t>
            </w:r>
          </w:p>
        </w:tc>
        <w:tc>
          <w:tcPr>
            <w:tcW w:w="1510" w:type="dxa"/>
          </w:tcPr>
          <w:p>
            <w:pPr>
              <w:pStyle w:val="Compact"/>
              <w:spacing w:after="40"/>
              <w:jc w:val="left"/>
            </w:pPr>
            <w:r>
              <w:rPr>
                <w:rStyle w:val="VerbatimChar"/>
                <w:sz w:val="18"/>
              </w:rPr>
              <w:t xml:space="preserve">schedule</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version, instalments, moratorium, tranches</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10</w:t>
            </w:r>
          </w:p>
        </w:tc>
        <w:tc>
          <w:tcPr>
            <w:tcW w:w="1510" w:type="dxa"/>
          </w:tcPr>
          <w:p>
            <w:pPr>
              <w:pStyle w:val="Compact"/>
              <w:spacing w:after="40"/>
              <w:jc w:val="left"/>
            </w:pPr>
            <w:r>
              <w:rPr>
                <w:rStyle w:val="VerbatimChar"/>
                <w:sz w:val="18"/>
              </w:rPr>
              <w:t xml:space="preserve">payment</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utr, rail, value date, amount, allocation by component and co-lender share, collected_by (RE, APPOINTED_AGENT, LSP_AS_AGENT)</w:t>
            </w:r>
          </w:p>
        </w:tc>
        <w:tc>
          <w:tcPr>
            <w:tcW w:w="1915" w:type="dxa"/>
          </w:tcPr>
          <w:p>
            <w:pPr>
              <w:pStyle w:val="Compact"/>
              <w:spacing w:after="40"/>
              <w:jc w:val="left"/>
            </w:pPr>
            <w:r>
              <w:rPr>
                <w:sz w:val="18"/>
              </w:rPr>
              <w:t xml:space="preserve">UD, RS, EQ</w:t>
            </w:r>
          </w:p>
        </w:tc>
      </w:tr>
      <w:tr>
        <w:tc>
          <w:tcPr>
            <w:tcW w:w="741" w:type="dxa"/>
          </w:tcPr>
          <w:p>
            <w:pPr>
              <w:pStyle w:val="Compact"/>
              <w:spacing w:after="40"/>
              <w:jc w:val="left"/>
            </w:pPr>
            <w:r>
              <w:rPr>
                <w:sz w:val="18"/>
              </w:rPr>
              <w:t xml:space="preserve">11</w:t>
            </w:r>
          </w:p>
        </w:tc>
        <w:tc>
          <w:tcPr>
            <w:tcW w:w="1510" w:type="dxa"/>
          </w:tcPr>
          <w:p>
            <w:pPr>
              <w:pStyle w:val="Compact"/>
              <w:spacing w:after="40"/>
              <w:jc w:val="left"/>
            </w:pPr>
            <w:r>
              <w:rPr>
                <w:rStyle w:val="VerbatimChar"/>
                <w:sz w:val="18"/>
              </w:rPr>
              <w:t xml:space="preserve">mandate</w:t>
            </w:r>
          </w:p>
        </w:tc>
        <w:tc>
          <w:tcPr>
            <w:tcW w:w="2124" w:type="dxa"/>
          </w:tcPr>
          <w:p>
            <w:pPr>
              <w:pStyle w:val="Compact"/>
              <w:spacing w:after="40"/>
              <w:jc w:val="left"/>
            </w:pPr>
            <w:r>
              <w:rPr>
                <w:sz w:val="18"/>
              </w:rPr>
              <w:t xml:space="preserve">FX; UD evidence</w:t>
            </w:r>
          </w:p>
        </w:tc>
        <w:tc>
          <w:tcPr>
            <w:tcW w:w="3348" w:type="dxa"/>
          </w:tcPr>
          <w:p>
            <w:pPr>
              <w:pStyle w:val="Compact"/>
              <w:spacing w:after="40"/>
              <w:jc w:val="left"/>
            </w:pPr>
            <w:r>
              <w:rPr>
                <w:sz w:val="18"/>
              </w:rPr>
              <w:t xml:space="preserve">umrn, type, sponsor bank, limits, beneficiary (must be RE)</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12</w:t>
            </w:r>
          </w:p>
        </w:tc>
        <w:tc>
          <w:tcPr>
            <w:tcW w:w="1510" w:type="dxa"/>
          </w:tcPr>
          <w:p>
            <w:pPr>
              <w:pStyle w:val="Compact"/>
              <w:spacing w:after="40"/>
              <w:jc w:val="left"/>
            </w:pPr>
            <w:r>
              <w:rPr>
                <w:rStyle w:val="VerbatimChar"/>
                <w:sz w:val="18"/>
              </w:rPr>
              <w:t xml:space="preserve">collateral</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collateral_type (5.3), owners, valuations, charge {type, registry, registry_ref, satisfied_at}, insurance, custody, release status</w:t>
            </w:r>
          </w:p>
        </w:tc>
        <w:tc>
          <w:tcPr>
            <w:tcW w:w="1915" w:type="dxa"/>
          </w:tcPr>
          <w:p>
            <w:pPr>
              <w:pStyle w:val="Compact"/>
              <w:spacing w:after="40"/>
              <w:jc w:val="left"/>
            </w:pPr>
            <w:r>
              <w:rPr>
                <w:sz w:val="18"/>
              </w:rPr>
              <w:t xml:space="preserve">UD, RS</w:t>
            </w:r>
          </w:p>
        </w:tc>
      </w:tr>
      <w:tr>
        <w:tc>
          <w:tcPr>
            <w:tcW w:w="741" w:type="dxa"/>
          </w:tcPr>
          <w:p>
            <w:pPr>
              <w:pStyle w:val="Compact"/>
              <w:spacing w:after="40"/>
              <w:jc w:val="left"/>
            </w:pPr>
            <w:r>
              <w:rPr>
                <w:sz w:val="18"/>
              </w:rPr>
              <w:t xml:space="preserve">13</w:t>
            </w:r>
          </w:p>
        </w:tc>
        <w:tc>
          <w:tcPr>
            <w:tcW w:w="1510" w:type="dxa"/>
          </w:tcPr>
          <w:p>
            <w:pPr>
              <w:pStyle w:val="Compact"/>
              <w:spacing w:after="40"/>
              <w:jc w:val="left"/>
            </w:pPr>
            <w:r>
              <w:rPr>
                <w:rStyle w:val="VerbatimChar"/>
                <w:sz w:val="18"/>
              </w:rPr>
              <w:t xml:space="preserve">securities_position</w:t>
            </w:r>
          </w:p>
        </w:tc>
        <w:tc>
          <w:tcPr>
            <w:tcW w:w="2124" w:type="dxa"/>
          </w:tcPr>
          <w:p>
            <w:pPr>
              <w:pStyle w:val="Compact"/>
              <w:spacing w:after="40"/>
              <w:jc w:val="left"/>
            </w:pPr>
            <w:r>
              <w:rPr>
                <w:sz w:val="18"/>
              </w:rPr>
              <w:t xml:space="preserve">FX; depository or RTA external truth</w:t>
            </w:r>
          </w:p>
        </w:tc>
        <w:tc>
          <w:tcPr>
            <w:tcW w:w="3348" w:type="dxa"/>
          </w:tcPr>
          <w:p>
            <w:pPr>
              <w:pStyle w:val="Compact"/>
              <w:spacing w:after="40"/>
              <w:jc w:val="left"/>
            </w:pPr>
            <w:r>
              <w:rPr>
                <w:sz w:val="18"/>
              </w:rPr>
              <w:t xml:space="preserve">ISIN or scheme, folio or BOID token, units, pledge_ref, provider, status (7.3), price and as_of, haircut, eligible value</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14</w:t>
            </w:r>
          </w:p>
        </w:tc>
        <w:tc>
          <w:tcPr>
            <w:tcW w:w="1510" w:type="dxa"/>
          </w:tcPr>
          <w:p>
            <w:pPr>
              <w:pStyle w:val="Compact"/>
              <w:spacing w:after="40"/>
              <w:jc w:val="left"/>
            </w:pPr>
            <w:r>
              <w:rPr>
                <w:rStyle w:val="VerbatimChar"/>
                <w:sz w:val="18"/>
              </w:rPr>
              <w:t xml:space="preserve">drawing_power_snapshot</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eligible value, haircut version, DP, limit, utilised, reservations, available, LTV, breach and stale flags</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15</w:t>
            </w:r>
          </w:p>
        </w:tc>
        <w:tc>
          <w:tcPr>
            <w:tcW w:w="1510" w:type="dxa"/>
          </w:tcPr>
          <w:p>
            <w:pPr>
              <w:pStyle w:val="Compact"/>
              <w:spacing w:after="40"/>
              <w:jc w:val="left"/>
            </w:pPr>
            <w:r>
              <w:rPr>
                <w:rStyle w:val="VerbatimChar"/>
                <w:sz w:val="18"/>
              </w:rPr>
              <w:t xml:space="preserve">margin_call</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LTV, shortfall, cure options, cure_deadline (working days), basis (CF para 106(1) or Board policy), status</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16</w:t>
            </w:r>
          </w:p>
        </w:tc>
        <w:tc>
          <w:tcPr>
            <w:tcW w:w="1510" w:type="dxa"/>
          </w:tcPr>
          <w:p>
            <w:pPr>
              <w:pStyle w:val="Compact"/>
              <w:spacing w:after="40"/>
              <w:jc w:val="left"/>
            </w:pPr>
            <w:r>
              <w:rPr>
                <w:rStyle w:val="VerbatimChar"/>
                <w:sz w:val="18"/>
              </w:rPr>
              <w:t xml:space="preserve">dlg_arrangement</w:t>
            </w:r>
          </w:p>
        </w:tc>
        <w:tc>
          <w:tcPr>
            <w:tcW w:w="2124" w:type="dxa"/>
          </w:tcPr>
          <w:p>
            <w:pPr>
              <w:pStyle w:val="Compact"/>
              <w:spacing w:after="40"/>
              <w:jc w:val="left"/>
            </w:pPr>
            <w:r>
              <w:rPr>
                <w:sz w:val="18"/>
              </w:rPr>
              <w:t xml:space="preserve">FX ledger; UD own records</w:t>
            </w:r>
          </w:p>
        </w:tc>
        <w:tc>
          <w:tcPr>
            <w:tcW w:w="3348" w:type="dxa"/>
          </w:tcPr>
          <w:p>
            <w:pPr>
              <w:pStyle w:val="Compact"/>
              <w:spacing w:after="40"/>
              <w:jc w:val="left"/>
            </w:pPr>
            <w:r>
              <w:rPr>
                <w:sz w:val="18"/>
              </w:rPr>
              <w:t xml:space="preserve">form (CF para 23), fixed set, cap base (amount disbursed, CF para 24; CLA outstanding, TDCR para 123), cap, invocations, recovery shares</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17</w:t>
            </w:r>
          </w:p>
        </w:tc>
        <w:tc>
          <w:tcPr>
            <w:tcW w:w="1510" w:type="dxa"/>
          </w:tcPr>
          <w:p>
            <w:pPr>
              <w:pStyle w:val="Compact"/>
              <w:spacing w:after="40"/>
              <w:jc w:val="left"/>
            </w:pPr>
            <w:r>
              <w:rPr>
                <w:rStyle w:val="VerbatimChar"/>
                <w:sz w:val="18"/>
              </w:rPr>
              <w:t xml:space="preserve">colending_arrangement</w:t>
            </w:r>
          </w:p>
        </w:tc>
        <w:tc>
          <w:tcPr>
            <w:tcW w:w="2124" w:type="dxa"/>
          </w:tcPr>
          <w:p>
            <w:pPr>
              <w:pStyle w:val="Compact"/>
              <w:spacing w:after="40"/>
              <w:jc w:val="left"/>
            </w:pPr>
            <w:r>
              <w:rPr>
                <w:sz w:val="18"/>
              </w:rPr>
              <w:t xml:space="preserve">Each co-lender for its share</w:t>
            </w:r>
          </w:p>
        </w:tc>
        <w:tc>
          <w:tcPr>
            <w:tcW w:w="3348" w:type="dxa"/>
          </w:tcPr>
          <w:p>
            <w:pPr>
              <w:pStyle w:val="Compact"/>
              <w:spacing w:after="40"/>
              <w:jc w:val="left"/>
            </w:pPr>
            <w:r>
              <w:rPr>
                <w:sz w:val="18"/>
              </w:rPr>
              <w:t xml:space="preserve">cla_regime, shares (NBFC ≥ 10%, TDCR para 102), blended rate, escrow (REs only), appropriation, customer-interface and servicer RE, recovery matrix, DLG provider</w:t>
            </w:r>
          </w:p>
        </w:tc>
        <w:tc>
          <w:tcPr>
            <w:tcW w:w="1915" w:type="dxa"/>
          </w:tcPr>
          <w:p>
            <w:pPr>
              <w:pStyle w:val="Compact"/>
              <w:spacing w:after="40"/>
              <w:jc w:val="left"/>
            </w:pPr>
            <w:r>
              <w:rPr>
                <w:sz w:val="18"/>
              </w:rPr>
              <w:t xml:space="preserve">Partner, UD (disclosure)</w:t>
            </w:r>
          </w:p>
        </w:tc>
      </w:tr>
      <w:tr>
        <w:tc>
          <w:tcPr>
            <w:tcW w:w="741" w:type="dxa"/>
          </w:tcPr>
          <w:p>
            <w:pPr>
              <w:pStyle w:val="Compact"/>
              <w:spacing w:after="40"/>
              <w:jc w:val="left"/>
            </w:pPr>
            <w:r>
              <w:rPr>
                <w:sz w:val="18"/>
              </w:rPr>
              <w:t xml:space="preserve">18</w:t>
            </w:r>
          </w:p>
        </w:tc>
        <w:tc>
          <w:tcPr>
            <w:tcW w:w="1510" w:type="dxa"/>
          </w:tcPr>
          <w:p>
            <w:pPr>
              <w:pStyle w:val="Compact"/>
              <w:spacing w:after="40"/>
              <w:jc w:val="left"/>
            </w:pPr>
            <w:r>
              <w:rPr>
                <w:rStyle w:val="VerbatimChar"/>
                <w:sz w:val="18"/>
              </w:rPr>
              <w:t xml:space="preserve">loan_transfer</w:t>
            </w:r>
          </w:p>
        </w:tc>
        <w:tc>
          <w:tcPr>
            <w:tcW w:w="2124" w:type="dxa"/>
          </w:tcPr>
          <w:p>
            <w:pPr>
              <w:pStyle w:val="Compact"/>
              <w:spacing w:after="40"/>
              <w:jc w:val="left"/>
            </w:pPr>
            <w:r>
              <w:rPr>
                <w:sz w:val="18"/>
              </w:rPr>
              <w:t xml:space="preserve">Transferor, transferee</w:t>
            </w:r>
          </w:p>
        </w:tc>
        <w:tc>
          <w:tcPr>
            <w:tcW w:w="3348" w:type="dxa"/>
          </w:tcPr>
          <w:p>
            <w:pPr>
              <w:pStyle w:val="Compact"/>
              <w:spacing w:after="40"/>
              <w:jc w:val="left"/>
            </w:pPr>
            <w:r>
              <w:rPr>
                <w:sz w:val="18"/>
              </w:rPr>
              <w:t xml:space="preserve">mode (ASSIGNMENT, NOVATION, PARTICIPATION, SECURITISATION, ARC_SALE), transferee, share, servicer, payment instructions, trade-report ref (TDCR para 94)</w:t>
            </w:r>
          </w:p>
        </w:tc>
        <w:tc>
          <w:tcPr>
            <w:tcW w:w="1915" w:type="dxa"/>
          </w:tcPr>
          <w:p>
            <w:pPr>
              <w:pStyle w:val="Compact"/>
              <w:spacing w:after="40"/>
              <w:jc w:val="left"/>
            </w:pPr>
            <w:r>
              <w:rPr>
                <w:sz w:val="18"/>
              </w:rPr>
              <w:t xml:space="preserve">UD, EQ</w:t>
            </w:r>
          </w:p>
        </w:tc>
      </w:tr>
      <w:tr>
        <w:tc>
          <w:tcPr>
            <w:tcW w:w="741" w:type="dxa"/>
          </w:tcPr>
          <w:p>
            <w:pPr>
              <w:pStyle w:val="Compact"/>
              <w:spacing w:after="40"/>
              <w:jc w:val="left"/>
            </w:pPr>
            <w:r>
              <w:rPr>
                <w:sz w:val="18"/>
              </w:rPr>
              <w:t xml:space="preserve">19</w:t>
            </w:r>
          </w:p>
        </w:tc>
        <w:tc>
          <w:tcPr>
            <w:tcW w:w="1510" w:type="dxa"/>
          </w:tcPr>
          <w:p>
            <w:pPr>
              <w:pStyle w:val="Compact"/>
              <w:spacing w:after="40"/>
              <w:jc w:val="left"/>
            </w:pPr>
            <w:r>
              <w:rPr>
                <w:rStyle w:val="VerbatimChar"/>
                <w:sz w:val="18"/>
              </w:rPr>
              <w:t xml:space="preserve">recovery_case</w:t>
            </w:r>
          </w:p>
        </w:tc>
        <w:tc>
          <w:tcPr>
            <w:tcW w:w="2124" w:type="dxa"/>
          </w:tcPr>
          <w:p>
            <w:pPr>
              <w:pStyle w:val="Compact"/>
              <w:spacing w:after="40"/>
              <w:jc w:val="left"/>
            </w:pPr>
            <w:r>
              <w:rPr>
                <w:sz w:val="18"/>
              </w:rPr>
              <w:t xml:space="preserve">RS</w:t>
            </w:r>
          </w:p>
        </w:tc>
        <w:tc>
          <w:tcPr>
            <w:tcW w:w="3348" w:type="dxa"/>
          </w:tcPr>
          <w:p>
            <w:pPr>
              <w:pStyle w:val="Compact"/>
              <w:spacing w:after="40"/>
              <w:jc w:val="left"/>
            </w:pPr>
            <w:r>
              <w:rPr>
                <w:sz w:val="18"/>
              </w:rPr>
              <w:t xml:space="preserve">trigger, strategy {permitted, blocked with reasons, selected, rule version}, limitation dates, stage, officer, agency, counsel, holds</w:t>
            </w:r>
          </w:p>
        </w:tc>
        <w:tc>
          <w:tcPr>
            <w:tcW w:w="1915" w:type="dxa"/>
          </w:tcPr>
          <w:p>
            <w:pPr>
              <w:pStyle w:val="Compact"/>
              <w:spacing w:after="40"/>
              <w:jc w:val="left"/>
            </w:pPr>
            <w:r>
              <w:rPr>
                <w:sz w:val="18"/>
              </w:rPr>
              <w:t xml:space="preserve">UD (projection), EQ, LDC</w:t>
            </w:r>
          </w:p>
        </w:tc>
      </w:tr>
      <w:tr>
        <w:tc>
          <w:tcPr>
            <w:tcW w:w="741" w:type="dxa"/>
          </w:tcPr>
          <w:p>
            <w:pPr>
              <w:pStyle w:val="Compact"/>
              <w:spacing w:after="40"/>
              <w:jc w:val="left"/>
            </w:pPr>
            <w:r>
              <w:rPr>
                <w:sz w:val="18"/>
              </w:rPr>
              <w:t xml:space="preserve">20</w:t>
            </w:r>
          </w:p>
        </w:tc>
        <w:tc>
          <w:tcPr>
            <w:tcW w:w="1510" w:type="dxa"/>
          </w:tcPr>
          <w:p>
            <w:pPr>
              <w:pStyle w:val="Compact"/>
              <w:spacing w:after="40"/>
              <w:jc w:val="left"/>
            </w:pPr>
            <w:r>
              <w:rPr>
                <w:rStyle w:val="VerbatimChar"/>
                <w:sz w:val="18"/>
              </w:rPr>
              <w:t xml:space="preserve">notice</w:t>
            </w:r>
          </w:p>
        </w:tc>
        <w:tc>
          <w:tcPr>
            <w:tcW w:w="2124" w:type="dxa"/>
          </w:tcPr>
          <w:p>
            <w:pPr>
              <w:pStyle w:val="Compact"/>
              <w:spacing w:after="40"/>
              <w:jc w:val="left"/>
            </w:pPr>
            <w:r>
              <w:rPr>
                <w:sz w:val="18"/>
              </w:rPr>
              <w:t xml:space="preserve">RS</w:t>
            </w:r>
          </w:p>
        </w:tc>
        <w:tc>
          <w:tcPr>
            <w:tcW w:w="3348" w:type="dxa"/>
          </w:tcPr>
          <w:p>
            <w:pPr>
              <w:pStyle w:val="Compact"/>
              <w:spacing w:after="40"/>
              <w:jc w:val="left"/>
            </w:pPr>
            <w:r>
              <w:rPr>
                <w:sz w:val="18"/>
              </w:rPr>
              <w:t xml:space="preserve">instrument (e.g. LRN, S13_2, S13_4, RULE_8_6, S138, S25_PSS, ARB_S21, CONCILIATION_S62, IBC_DEMAND, AGENT_INTIMATION, GOLD_AUCTION, OTS_OFFER), statute ref, template version, language, addressees, dues snapshot, signer</w:t>
            </w:r>
          </w:p>
        </w:tc>
        <w:tc>
          <w:tcPr>
            <w:tcW w:w="1915" w:type="dxa"/>
          </w:tcPr>
          <w:p>
            <w:pPr>
              <w:pStyle w:val="Compact"/>
              <w:spacing w:after="40"/>
              <w:jc w:val="left"/>
            </w:pPr>
            <w:r>
              <w:rPr>
                <w:sz w:val="18"/>
              </w:rPr>
              <w:t xml:space="preserve">UD, EQ</w:t>
            </w:r>
          </w:p>
        </w:tc>
      </w:tr>
      <w:tr>
        <w:tc>
          <w:tcPr>
            <w:tcW w:w="741" w:type="dxa"/>
          </w:tcPr>
          <w:p>
            <w:pPr>
              <w:pStyle w:val="Compact"/>
              <w:spacing w:after="40"/>
              <w:jc w:val="left"/>
            </w:pPr>
            <w:r>
              <w:rPr>
                <w:sz w:val="18"/>
              </w:rPr>
              <w:t xml:space="preserve">21</w:t>
            </w:r>
          </w:p>
        </w:tc>
        <w:tc>
          <w:tcPr>
            <w:tcW w:w="1510" w:type="dxa"/>
          </w:tcPr>
          <w:p>
            <w:pPr>
              <w:pStyle w:val="Compact"/>
              <w:spacing w:after="40"/>
              <w:jc w:val="left"/>
            </w:pPr>
            <w:r>
              <w:rPr>
                <w:rStyle w:val="VerbatimChar"/>
                <w:sz w:val="18"/>
              </w:rPr>
              <w:t xml:space="preserve">service_proof</w:t>
            </w:r>
          </w:p>
        </w:tc>
        <w:tc>
          <w:tcPr>
            <w:tcW w:w="2124" w:type="dxa"/>
          </w:tcPr>
          <w:p>
            <w:pPr>
              <w:pStyle w:val="Compact"/>
              <w:spacing w:after="40"/>
              <w:jc w:val="left"/>
            </w:pPr>
            <w:r>
              <w:rPr>
                <w:sz w:val="18"/>
              </w:rPr>
              <w:t xml:space="preserve">RS (EQ for its notices)</w:t>
            </w:r>
          </w:p>
        </w:tc>
        <w:tc>
          <w:tcPr>
            <w:tcW w:w="3348" w:type="dxa"/>
          </w:tcPr>
          <w:p>
            <w:pPr>
              <w:pStyle w:val="Compact"/>
              <w:spacing w:after="40"/>
              <w:jc w:val="left"/>
            </w:pPr>
            <w:r>
              <w:rPr>
                <w:sz w:val="18"/>
              </w:rPr>
              <w:t xml:space="preserve">per party per mode: booking or message id, status, evidence hashes, deemed service date and rule, deadlines</w:t>
            </w:r>
          </w:p>
        </w:tc>
        <w:tc>
          <w:tcPr>
            <w:tcW w:w="1915" w:type="dxa"/>
          </w:tcPr>
          <w:p>
            <w:pPr>
              <w:pStyle w:val="Compact"/>
              <w:spacing w:after="40"/>
              <w:jc w:val="left"/>
            </w:pPr>
            <w:r>
              <w:rPr>
                <w:sz w:val="18"/>
              </w:rPr>
              <w:t xml:space="preserve">EQ, courts</w:t>
            </w:r>
          </w:p>
        </w:tc>
      </w:tr>
      <w:tr>
        <w:tc>
          <w:tcPr>
            <w:tcW w:w="741" w:type="dxa"/>
          </w:tcPr>
          <w:p>
            <w:pPr>
              <w:pStyle w:val="Compact"/>
              <w:spacing w:after="40"/>
              <w:jc w:val="left"/>
            </w:pPr>
            <w:r>
              <w:rPr>
                <w:sz w:val="18"/>
              </w:rPr>
              <w:t xml:space="preserve">22</w:t>
            </w:r>
          </w:p>
        </w:tc>
        <w:tc>
          <w:tcPr>
            <w:tcW w:w="1510" w:type="dxa"/>
          </w:tcPr>
          <w:p>
            <w:pPr>
              <w:pStyle w:val="Compact"/>
              <w:spacing w:after="40"/>
              <w:jc w:val="left"/>
            </w:pPr>
            <w:r>
              <w:rPr>
                <w:rStyle w:val="VerbatimChar"/>
                <w:sz w:val="18"/>
              </w:rPr>
              <w:t xml:space="preserve">settlement</w:t>
            </w:r>
          </w:p>
        </w:tc>
        <w:tc>
          <w:tcPr>
            <w:tcW w:w="2124" w:type="dxa"/>
          </w:tcPr>
          <w:p>
            <w:pPr>
              <w:pStyle w:val="Compact"/>
              <w:spacing w:after="40"/>
              <w:jc w:val="left"/>
            </w:pPr>
            <w:r>
              <w:rPr>
                <w:sz w:val="18"/>
              </w:rPr>
              <w:t xml:space="preserve">RS; EQ holds ADR instruments</w:t>
            </w:r>
          </w:p>
        </w:tc>
        <w:tc>
          <w:tcPr>
            <w:tcW w:w="3348" w:type="dxa"/>
          </w:tcPr>
          <w:p>
            <w:pPr>
              <w:pStyle w:val="Compact"/>
              <w:spacing w:after="40"/>
              <w:jc w:val="left"/>
            </w:pPr>
            <w:r>
              <w:rPr>
                <w:sz w:val="18"/>
              </w:rPr>
              <w:t xml:space="preserve">origin (DIRECT, LSP_REQUEST, ADR, LOK_ADALAT, COURT), sacrifice, approver level (RSA para 16(5)), Board ref, schedule, restructuring (para 89), consent decree (para 100), cooling end (para 95)</w:t>
            </w:r>
          </w:p>
        </w:tc>
        <w:tc>
          <w:tcPr>
            <w:tcW w:w="1915" w:type="dxa"/>
          </w:tcPr>
          <w:p>
            <w:pPr>
              <w:pStyle w:val="Compact"/>
              <w:spacing w:after="40"/>
              <w:jc w:val="left"/>
            </w:pPr>
            <w:r>
              <w:rPr>
                <w:sz w:val="18"/>
              </w:rPr>
              <w:t xml:space="preserve">UD, EQ</w:t>
            </w:r>
          </w:p>
        </w:tc>
      </w:tr>
      <w:tr>
        <w:tc>
          <w:tcPr>
            <w:tcW w:w="741" w:type="dxa"/>
          </w:tcPr>
          <w:p>
            <w:pPr>
              <w:pStyle w:val="Compact"/>
              <w:spacing w:after="40"/>
              <w:jc w:val="left"/>
            </w:pPr>
            <w:r>
              <w:rPr>
                <w:sz w:val="18"/>
              </w:rPr>
              <w:t xml:space="preserve">23</w:t>
            </w:r>
          </w:p>
        </w:tc>
        <w:tc>
          <w:tcPr>
            <w:tcW w:w="1510" w:type="dxa"/>
          </w:tcPr>
          <w:p>
            <w:pPr>
              <w:pStyle w:val="Compact"/>
              <w:spacing w:after="40"/>
              <w:jc w:val="left"/>
            </w:pPr>
            <w:r>
              <w:rPr>
                <w:rStyle w:val="VerbatimChar"/>
                <w:sz w:val="18"/>
              </w:rPr>
              <w:t xml:space="preserve">adr_case</w:t>
            </w:r>
          </w:p>
        </w:tc>
        <w:tc>
          <w:tcPr>
            <w:tcW w:w="2124" w:type="dxa"/>
          </w:tcPr>
          <w:p>
            <w:pPr>
              <w:pStyle w:val="Compact"/>
              <w:spacing w:after="40"/>
              <w:jc w:val="left"/>
            </w:pPr>
            <w:r>
              <w:rPr>
                <w:sz w:val="18"/>
              </w:rPr>
              <w:t xml:space="preserve">EQ docket; RS referral</w:t>
            </w:r>
          </w:p>
        </w:tc>
        <w:tc>
          <w:tcPr>
            <w:tcW w:w="3348" w:type="dxa"/>
          </w:tcPr>
          <w:p>
            <w:pPr>
              <w:pStyle w:val="Compact"/>
              <w:spacing w:after="40"/>
              <w:jc w:val="left"/>
            </w:pPr>
            <w:r>
              <w:rPr>
                <w:sz w:val="18"/>
              </w:rPr>
              <w:t xml:space="preserve">process, basis (PRE_NAMED_INSTITUTION, POST_DISPUTE_CONSENT, CONCILIATION_INVITATION, COURT_REFERRAL), clause ref, seat, claim, parties, state (8.3), neutral, clocks</w:t>
            </w:r>
          </w:p>
        </w:tc>
        <w:tc>
          <w:tcPr>
            <w:tcW w:w="1915" w:type="dxa"/>
          </w:tcPr>
          <w:p>
            <w:pPr>
              <w:pStyle w:val="Compact"/>
              <w:spacing w:after="40"/>
              <w:jc w:val="left"/>
            </w:pPr>
            <w:r>
              <w:rPr>
                <w:sz w:val="18"/>
              </w:rPr>
              <w:t xml:space="preserve">RS, UD</w:t>
            </w:r>
          </w:p>
        </w:tc>
      </w:tr>
      <w:tr>
        <w:tc>
          <w:tcPr>
            <w:tcW w:w="741" w:type="dxa"/>
          </w:tcPr>
          <w:p>
            <w:pPr>
              <w:pStyle w:val="Compact"/>
              <w:spacing w:after="40"/>
              <w:jc w:val="left"/>
            </w:pPr>
            <w:r>
              <w:rPr>
                <w:sz w:val="18"/>
              </w:rPr>
              <w:t xml:space="preserve">24</w:t>
            </w:r>
          </w:p>
        </w:tc>
        <w:tc>
          <w:tcPr>
            <w:tcW w:w="1510" w:type="dxa"/>
          </w:tcPr>
          <w:p>
            <w:pPr>
              <w:pStyle w:val="Compact"/>
              <w:spacing w:after="40"/>
              <w:jc w:val="left"/>
            </w:pPr>
            <w:r>
              <w:rPr>
                <w:rStyle w:val="VerbatimChar"/>
                <w:sz w:val="18"/>
              </w:rPr>
              <w:t xml:space="preserve">litigation_case</w:t>
            </w:r>
          </w:p>
        </w:tc>
        <w:tc>
          <w:tcPr>
            <w:tcW w:w="2124" w:type="dxa"/>
          </w:tcPr>
          <w:p>
            <w:pPr>
              <w:pStyle w:val="Compact"/>
              <w:spacing w:after="40"/>
              <w:jc w:val="left"/>
            </w:pPr>
            <w:r>
              <w:rPr>
                <w:sz w:val="18"/>
              </w:rPr>
              <w:t xml:space="preserve">RS</w:t>
            </w:r>
          </w:p>
        </w:tc>
        <w:tc>
          <w:tcPr>
            <w:tcW w:w="3348" w:type="dxa"/>
          </w:tcPr>
          <w:p>
            <w:pPr>
              <w:pStyle w:val="Compact"/>
              <w:spacing w:after="40"/>
              <w:jc w:val="left"/>
            </w:pPr>
            <w:r>
              <w:rPr>
                <w:sz w:val="18"/>
              </w:rPr>
              <w:t xml:space="preserve">role, mechanism, forum, case no, CNR, claim, stage, next date, counsel, linked matters, stay, outcome</w:t>
            </w:r>
          </w:p>
        </w:tc>
        <w:tc>
          <w:tcPr>
            <w:tcW w:w="1915" w:type="dxa"/>
          </w:tcPr>
          <w:p>
            <w:pPr>
              <w:pStyle w:val="Compact"/>
              <w:spacing w:after="40"/>
              <w:jc w:val="left"/>
            </w:pPr>
            <w:r>
              <w:rPr>
                <w:sz w:val="18"/>
              </w:rPr>
              <w:t xml:space="preserve">UD, LDC</w:t>
            </w:r>
          </w:p>
        </w:tc>
      </w:tr>
      <w:tr>
        <w:tc>
          <w:tcPr>
            <w:tcW w:w="741" w:type="dxa"/>
          </w:tcPr>
          <w:p>
            <w:pPr>
              <w:pStyle w:val="Compact"/>
              <w:spacing w:after="40"/>
              <w:jc w:val="left"/>
            </w:pPr>
            <w:r>
              <w:rPr>
                <w:sz w:val="18"/>
              </w:rPr>
              <w:t xml:space="preserve">25</w:t>
            </w:r>
          </w:p>
        </w:tc>
        <w:tc>
          <w:tcPr>
            <w:tcW w:w="1510" w:type="dxa"/>
          </w:tcPr>
          <w:p>
            <w:pPr>
              <w:pStyle w:val="Compact"/>
              <w:spacing w:after="40"/>
              <w:jc w:val="left"/>
            </w:pPr>
            <w:r>
              <w:rPr>
                <w:rStyle w:val="VerbatimChar"/>
                <w:sz w:val="18"/>
              </w:rPr>
              <w:t xml:space="preserve">hearing</w:t>
            </w:r>
            <w:r>
              <w:rPr>
                <w:sz w:val="18"/>
              </w:rPr>
              <w:t xml:space="preserve">,</w:t>
            </w:r>
            <w:r>
              <w:rPr>
                <w:sz w:val="18"/>
              </w:rPr>
              <w:t xml:space="preserve"> </w:t>
            </w:r>
            <w:r>
              <w:rPr>
                <w:rStyle w:val="VerbatimChar"/>
                <w:sz w:val="18"/>
              </w:rPr>
              <w:t xml:space="preserve">order</w:t>
            </w:r>
          </w:p>
        </w:tc>
        <w:tc>
          <w:tcPr>
            <w:tcW w:w="2124" w:type="dxa"/>
          </w:tcPr>
          <w:p>
            <w:pPr>
              <w:pStyle w:val="Compact"/>
              <w:spacing w:after="40"/>
              <w:jc w:val="left"/>
            </w:pPr>
            <w:r>
              <w:rPr>
                <w:sz w:val="18"/>
              </w:rPr>
              <w:t xml:space="preserve">RS (courts); EQ (ADR)</w:t>
            </w:r>
          </w:p>
        </w:tc>
        <w:tc>
          <w:tcPr>
            <w:tcW w:w="3348" w:type="dxa"/>
          </w:tcPr>
          <w:p>
            <w:pPr>
              <w:pStyle w:val="Compact"/>
              <w:spacing w:after="40"/>
              <w:jc w:val="left"/>
            </w:pPr>
            <w:r>
              <w:rPr>
                <w:sz w:val="18"/>
              </w:rPr>
              <w:t xml:space="preserve">date, mode, purpose, attendance, next date; order type (INTERIM, FINAL, DECREE, AWARD, RECOVERY_CERTIFICATE, STAY), directions with due dates</w:t>
            </w:r>
          </w:p>
        </w:tc>
        <w:tc>
          <w:tcPr>
            <w:tcW w:w="1915" w:type="dxa"/>
          </w:tcPr>
          <w:p>
            <w:pPr>
              <w:pStyle w:val="Compact"/>
              <w:spacing w:after="40"/>
              <w:jc w:val="left"/>
            </w:pPr>
            <w:r>
              <w:rPr>
                <w:sz w:val="18"/>
              </w:rPr>
              <w:t xml:space="preserve">UD (date), LDC</w:t>
            </w:r>
          </w:p>
        </w:tc>
      </w:tr>
      <w:tr>
        <w:tc>
          <w:tcPr>
            <w:tcW w:w="741" w:type="dxa"/>
          </w:tcPr>
          <w:p>
            <w:pPr>
              <w:pStyle w:val="Compact"/>
              <w:spacing w:after="40"/>
              <w:jc w:val="left"/>
            </w:pPr>
            <w:r>
              <w:rPr>
                <w:sz w:val="18"/>
              </w:rPr>
              <w:t xml:space="preserve">26</w:t>
            </w:r>
          </w:p>
        </w:tc>
        <w:tc>
          <w:tcPr>
            <w:tcW w:w="1510" w:type="dxa"/>
          </w:tcPr>
          <w:p>
            <w:pPr>
              <w:pStyle w:val="Compact"/>
              <w:spacing w:after="40"/>
              <w:jc w:val="left"/>
            </w:pPr>
            <w:r>
              <w:rPr>
                <w:rStyle w:val="VerbatimChar"/>
                <w:sz w:val="18"/>
              </w:rPr>
              <w:t xml:space="preserve">asset_sale</w:t>
            </w:r>
          </w:p>
        </w:tc>
        <w:tc>
          <w:tcPr>
            <w:tcW w:w="2124" w:type="dxa"/>
          </w:tcPr>
          <w:p>
            <w:pPr>
              <w:pStyle w:val="Compact"/>
              <w:spacing w:after="40"/>
              <w:jc w:val="left"/>
            </w:pPr>
            <w:r>
              <w:rPr>
                <w:sz w:val="18"/>
              </w:rPr>
              <w:t xml:space="preserve">RS</w:t>
            </w:r>
          </w:p>
        </w:tc>
        <w:tc>
          <w:tcPr>
            <w:tcW w:w="3348" w:type="dxa"/>
          </w:tcPr>
          <w:p>
            <w:pPr>
              <w:pStyle w:val="Compact"/>
              <w:spacing w:after="40"/>
              <w:jc w:val="left"/>
            </w:pPr>
            <w:r>
              <w:rPr>
                <w:sz w:val="18"/>
              </w:rPr>
              <w:t xml:space="preserve">mode, platform, reserve and basis, notices, H1, 25% deposit and balance dates (SARFAESI Rules 9(3)–(4)), certificate, proceeds, surplus or shortfall</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27</w:t>
            </w:r>
          </w:p>
        </w:tc>
        <w:tc>
          <w:tcPr>
            <w:tcW w:w="1510" w:type="dxa"/>
          </w:tcPr>
          <w:p>
            <w:pPr>
              <w:pStyle w:val="Compact"/>
              <w:spacing w:after="40"/>
              <w:jc w:val="left"/>
            </w:pPr>
            <w:r>
              <w:rPr>
                <w:rStyle w:val="VerbatimChar"/>
                <w:sz w:val="18"/>
              </w:rPr>
              <w:t xml:space="preserve">compliance_obligation</w:t>
            </w:r>
            <w:r>
              <w:rPr>
                <w:sz w:val="18"/>
              </w:rPr>
              <w:t xml:space="preserve">,</w:t>
            </w:r>
            <w:r>
              <w:rPr>
                <w:sz w:val="18"/>
              </w:rPr>
              <w:t xml:space="preserve"> </w:t>
            </w:r>
            <w:r>
              <w:rPr>
                <w:rStyle w:val="VerbatimChar"/>
                <w:sz w:val="18"/>
              </w:rPr>
              <w:t xml:space="preserve">control</w:t>
            </w:r>
            <w:r>
              <w:rPr>
                <w:sz w:val="18"/>
              </w:rPr>
              <w:t xml:space="preserve">,</w:t>
            </w:r>
            <w:r>
              <w:rPr>
                <w:sz w:val="18"/>
              </w:rPr>
              <w:t xml:space="preserve"> </w:t>
            </w:r>
            <w:r>
              <w:rPr>
                <w:rStyle w:val="VerbatimChar"/>
                <w:sz w:val="18"/>
              </w:rPr>
              <w:t xml:space="preserve">evidence</w:t>
            </w:r>
          </w:p>
        </w:tc>
        <w:tc>
          <w:tcPr>
            <w:tcW w:w="2124" w:type="dxa"/>
          </w:tcPr>
          <w:p>
            <w:pPr>
              <w:pStyle w:val="Compact"/>
              <w:spacing w:after="40"/>
              <w:jc w:val="left"/>
            </w:pPr>
            <w:r>
              <w:rPr>
                <w:sz w:val="18"/>
              </w:rPr>
              <w:t xml:space="preserve">LDC (obligations); operating product (controls, evidence in its India store)</w:t>
            </w:r>
          </w:p>
        </w:tc>
        <w:tc>
          <w:tcPr>
            <w:tcW w:w="3348" w:type="dxa"/>
          </w:tcPr>
          <w:p>
            <w:pPr>
              <w:pStyle w:val="Compact"/>
              <w:spacing w:after="40"/>
              <w:jc w:val="left"/>
            </w:pPr>
            <w:r>
              <w:rPr>
                <w:sz w:val="18"/>
              </w:rPr>
              <w:t xml:space="preserve">obligation_ref (e.g. </w:t>
            </w:r>
            <w:r>
              <w:rPr>
                <w:rStyle w:val="VerbatimChar"/>
                <w:sz w:val="18"/>
              </w:rPr>
              <w:t xml:space="preserve">RBI/DOR/2025-26/352#124</w:t>
            </w:r>
            <w:r>
              <w:rPr>
                <w:sz w:val="18"/>
              </w:rPr>
              <w:t xml:space="preserve">), paragraph, applicability; control component and frequency; evidence hashes, masked sample, hash-chain pointer</w:t>
            </w:r>
          </w:p>
        </w:tc>
        <w:tc>
          <w:tcPr>
            <w:tcW w:w="1915" w:type="dxa"/>
          </w:tcPr>
          <w:p>
            <w:pPr>
              <w:pStyle w:val="Compact"/>
              <w:spacing w:after="40"/>
              <w:jc w:val="left"/>
            </w:pPr>
            <w:r>
              <w:rPr>
                <w:sz w:val="18"/>
              </w:rPr>
              <w:t xml:space="preserve">All</w:t>
            </w:r>
          </w:p>
        </w:tc>
      </w:tr>
      <w:tr>
        <w:tc>
          <w:tcPr>
            <w:tcW w:w="741" w:type="dxa"/>
          </w:tcPr>
          <w:p>
            <w:pPr>
              <w:pStyle w:val="Compact"/>
              <w:spacing w:after="40"/>
              <w:jc w:val="left"/>
            </w:pPr>
            <w:r>
              <w:rPr>
                <w:sz w:val="18"/>
              </w:rPr>
              <w:t xml:space="preserve">28</w:t>
            </w:r>
          </w:p>
        </w:tc>
        <w:tc>
          <w:tcPr>
            <w:tcW w:w="1510" w:type="dxa"/>
          </w:tcPr>
          <w:p>
            <w:pPr>
              <w:pStyle w:val="Compact"/>
              <w:spacing w:after="40"/>
              <w:jc w:val="left"/>
            </w:pPr>
            <w:r>
              <w:rPr>
                <w:rStyle w:val="VerbatimChar"/>
                <w:sz w:val="18"/>
              </w:rPr>
              <w:t xml:space="preserve">document</w:t>
            </w:r>
          </w:p>
        </w:tc>
        <w:tc>
          <w:tcPr>
            <w:tcW w:w="2124" w:type="dxa"/>
          </w:tcPr>
          <w:p>
            <w:pPr>
              <w:pStyle w:val="Compact"/>
              <w:spacing w:after="40"/>
              <w:jc w:val="left"/>
            </w:pPr>
            <w:r>
              <w:rPr>
                <w:sz w:val="18"/>
              </w:rPr>
              <w:t xml:space="preserve">Producing product</w:t>
            </w:r>
          </w:p>
        </w:tc>
        <w:tc>
          <w:tcPr>
            <w:tcW w:w="3348" w:type="dxa"/>
          </w:tcPr>
          <w:p>
            <w:pPr>
              <w:pStyle w:val="Compact"/>
              <w:spacing w:after="40"/>
              <w:jc w:val="left"/>
            </w:pPr>
            <w:r>
              <w:rPr>
                <w:sz w:val="18"/>
              </w:rPr>
              <w:t xml:space="preserve">type, version, sha256, signed URI, signatures (eSign, DSC, PAdES), e-stamp, retention class, legal hold</w:t>
            </w:r>
          </w:p>
        </w:tc>
        <w:tc>
          <w:tcPr>
            <w:tcW w:w="1915" w:type="dxa"/>
          </w:tcPr>
          <w:p>
            <w:pPr>
              <w:pStyle w:val="Compact"/>
              <w:spacing w:after="40"/>
              <w:jc w:val="left"/>
            </w:pPr>
            <w:r>
              <w:rPr>
                <w:sz w:val="18"/>
              </w:rPr>
              <w:t xml:space="preserve">Per permission</w:t>
            </w:r>
          </w:p>
        </w:tc>
      </w:tr>
      <w:tr>
        <w:tc>
          <w:tcPr>
            <w:tcW w:w="741" w:type="dxa"/>
          </w:tcPr>
          <w:p>
            <w:pPr>
              <w:pStyle w:val="Compact"/>
              <w:spacing w:after="40"/>
              <w:jc w:val="left"/>
            </w:pPr>
            <w:r>
              <w:rPr>
                <w:sz w:val="18"/>
              </w:rPr>
              <w:t xml:space="preserve">29</w:t>
            </w:r>
          </w:p>
        </w:tc>
        <w:tc>
          <w:tcPr>
            <w:tcW w:w="1510" w:type="dxa"/>
          </w:tcPr>
          <w:p>
            <w:pPr>
              <w:pStyle w:val="Compact"/>
              <w:spacing w:after="40"/>
              <w:jc w:val="left"/>
            </w:pPr>
            <w:r>
              <w:rPr>
                <w:rStyle w:val="VerbatimChar"/>
                <w:sz w:val="18"/>
              </w:rPr>
              <w:t xml:space="preserve">consent_artefact</w:t>
            </w:r>
          </w:p>
        </w:tc>
        <w:tc>
          <w:tcPr>
            <w:tcW w:w="2124" w:type="dxa"/>
          </w:tcPr>
          <w:p>
            <w:pPr>
              <w:pStyle w:val="Compact"/>
              <w:spacing w:after="40"/>
              <w:jc w:val="left"/>
            </w:pPr>
            <w:r>
              <w:rPr>
                <w:sz w:val="18"/>
              </w:rPr>
              <w:t xml:space="preserve">Capturer (UD, FX, AA, EQ)</w:t>
            </w:r>
          </w:p>
        </w:tc>
        <w:tc>
          <w:tcPr>
            <w:tcW w:w="3348" w:type="dxa"/>
          </w:tcPr>
          <w:p>
            <w:pPr>
              <w:pStyle w:val="Compact"/>
              <w:spacing w:after="40"/>
              <w:jc w:val="left"/>
            </w:pPr>
            <w:r>
              <w:rPr>
                <w:sz w:val="18"/>
              </w:rPr>
              <w:t xml:space="preserve">consentref, party_ref, named recipients, purpose, categories, notice version, method (OTP, ESIGN, AA_ARTEFACT, WRITTEN), expiry, withdrawal, evidence hash</w:t>
            </w:r>
          </w:p>
        </w:tc>
        <w:tc>
          <w:tcPr>
            <w:tcW w:w="1915" w:type="dxa"/>
          </w:tcPr>
          <w:p>
            <w:pPr>
              <w:pStyle w:val="Compact"/>
              <w:spacing w:after="40"/>
              <w:jc w:val="left"/>
            </w:pPr>
            <w:r>
              <w:rPr>
                <w:sz w:val="18"/>
              </w:rPr>
              <w:t xml:space="preserve">Recipients</w:t>
            </w:r>
          </w:p>
        </w:tc>
      </w:tr>
      <w:tr>
        <w:tc>
          <w:tcPr>
            <w:tcW w:w="741" w:type="dxa"/>
          </w:tcPr>
          <w:p>
            <w:pPr>
              <w:pStyle w:val="Compact"/>
              <w:spacing w:after="40"/>
              <w:jc w:val="left"/>
            </w:pPr>
            <w:r>
              <w:rPr>
                <w:sz w:val="18"/>
              </w:rPr>
              <w:t xml:space="preserve">30</w:t>
            </w:r>
          </w:p>
        </w:tc>
        <w:tc>
          <w:tcPr>
            <w:tcW w:w="1510" w:type="dxa"/>
          </w:tcPr>
          <w:p>
            <w:pPr>
              <w:pStyle w:val="Compact"/>
              <w:spacing w:after="40"/>
              <w:jc w:val="left"/>
            </w:pPr>
            <w:r>
              <w:rPr>
                <w:rStyle w:val="VerbatimChar"/>
                <w:sz w:val="18"/>
              </w:rPr>
              <w:t xml:space="preserve">return_definition</w:t>
            </w:r>
            <w:r>
              <w:rPr>
                <w:sz w:val="18"/>
              </w:rPr>
              <w:t xml:space="preserve">,</w:t>
            </w:r>
            <w:r>
              <w:rPr>
                <w:sz w:val="18"/>
              </w:rPr>
              <w:t xml:space="preserve"> </w:t>
            </w:r>
            <w:r>
              <w:rPr>
                <w:rStyle w:val="VerbatimChar"/>
                <w:sz w:val="18"/>
              </w:rPr>
              <w:t xml:space="preserve">return_version</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regulator, portal, return code, applicability rule, frequency and due rule, template hash, cell-map version, effective dates, citation (e.g. SR para 21)</w:t>
            </w:r>
          </w:p>
        </w:tc>
        <w:tc>
          <w:tcPr>
            <w:tcW w:w="1915" w:type="dxa"/>
          </w:tcPr>
          <w:p>
            <w:pPr>
              <w:pStyle w:val="Compact"/>
              <w:spacing w:after="40"/>
              <w:jc w:val="left"/>
            </w:pPr>
            <w:r>
              <w:rPr>
                <w:sz w:val="18"/>
              </w:rPr>
              <w:t xml:space="preserve">LDC (metadata)</w:t>
            </w:r>
          </w:p>
        </w:tc>
      </w:tr>
      <w:tr>
        <w:tc>
          <w:tcPr>
            <w:tcW w:w="741" w:type="dxa"/>
          </w:tcPr>
          <w:p>
            <w:pPr>
              <w:pStyle w:val="Compact"/>
              <w:spacing w:after="40"/>
              <w:jc w:val="left"/>
            </w:pPr>
            <w:r>
              <w:rPr>
                <w:sz w:val="18"/>
              </w:rPr>
              <w:t xml:space="preserve">31</w:t>
            </w:r>
          </w:p>
        </w:tc>
        <w:tc>
          <w:tcPr>
            <w:tcW w:w="1510" w:type="dxa"/>
          </w:tcPr>
          <w:p>
            <w:pPr>
              <w:pStyle w:val="Compact"/>
              <w:spacing w:after="40"/>
              <w:jc w:val="left"/>
            </w:pPr>
            <w:r>
              <w:rPr>
                <w:rStyle w:val="VerbatimChar"/>
                <w:sz w:val="18"/>
              </w:rPr>
              <w:t xml:space="preserve">return_run</w:t>
            </w:r>
            <w:r>
              <w:rPr>
                <w:sz w:val="18"/>
              </w:rPr>
              <w:t xml:space="preserve">,</w:t>
            </w:r>
            <w:r>
              <w:rPr>
                <w:sz w:val="18"/>
              </w:rPr>
              <w:t xml:space="preserve"> </w:t>
            </w:r>
            <w:r>
              <w:rPr>
                <w:rStyle w:val="VerbatimChar"/>
                <w:sz w:val="18"/>
              </w:rPr>
              <w:t xml:space="preserve">return_acknowledgement</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return code, period, run no, snapshot hash, state (Finbyx RR3.1), validation and reconciliation hashes, approvals, package hash (</w:t>
            </w:r>
            <w:r>
              <w:rPr>
                <w:rStyle w:val="VerbatimChar"/>
                <w:sz w:val="18"/>
              </w:rPr>
              <w:t xml:space="preserve">return_package_v1</w:t>
            </w:r>
            <w:r>
              <w:rPr>
                <w:sz w:val="18"/>
              </w:rPr>
              <w:t xml:space="preserve">), acknowledgement ref, revision reason</w:t>
            </w:r>
          </w:p>
        </w:tc>
        <w:tc>
          <w:tcPr>
            <w:tcW w:w="1915" w:type="dxa"/>
          </w:tcPr>
          <w:p>
            <w:pPr>
              <w:pStyle w:val="Compact"/>
              <w:spacing w:after="40"/>
              <w:jc w:val="left"/>
            </w:pPr>
            <w:r>
              <w:rPr>
                <w:sz w:val="18"/>
              </w:rPr>
              <w:t xml:space="preserve">LDC; OH (metadata, tenant opt-in)</w:t>
            </w:r>
          </w:p>
        </w:tc>
      </w:tr>
      <w:tr>
        <w:tc>
          <w:tcPr>
            <w:tcW w:w="741" w:type="dxa"/>
          </w:tcPr>
          <w:p>
            <w:pPr>
              <w:pStyle w:val="Compact"/>
              <w:spacing w:after="40"/>
              <w:jc w:val="left"/>
            </w:pPr>
            <w:r>
              <w:rPr>
                <w:sz w:val="18"/>
              </w:rPr>
              <w:t xml:space="preserve">32</w:t>
            </w:r>
          </w:p>
        </w:tc>
        <w:tc>
          <w:tcPr>
            <w:tcW w:w="1510" w:type="dxa"/>
          </w:tcPr>
          <w:p>
            <w:pPr>
              <w:pStyle w:val="Compact"/>
              <w:spacing w:after="40"/>
              <w:jc w:val="left"/>
            </w:pPr>
            <w:r>
              <w:rPr>
                <w:rStyle w:val="VerbatimChar"/>
                <w:sz w:val="18"/>
              </w:rPr>
              <w:t xml:space="preserve">bureau_cycle</w:t>
            </w:r>
            <w:r>
              <w:rPr>
                <w:sz w:val="18"/>
              </w:rPr>
              <w:t xml:space="preserve">,</w:t>
            </w:r>
            <w:r>
              <w:rPr>
                <w:sz w:val="18"/>
              </w:rPr>
              <w:t xml:space="preserve"> </w:t>
            </w:r>
            <w:r>
              <w:rPr>
                <w:rStyle w:val="VerbatimChar"/>
                <w:sz w:val="18"/>
              </w:rPr>
              <w:t xml:space="preserve">bureau_file</w:t>
            </w:r>
            <w:r>
              <w:rPr>
                <w:sz w:val="18"/>
              </w:rPr>
              <w:t xml:space="preserve">,</w:t>
            </w:r>
            <w:r>
              <w:rPr>
                <w:sz w:val="18"/>
              </w:rPr>
              <w:t xml:space="preserve"> </w:t>
            </w:r>
            <w:r>
              <w:rPr>
                <w:rStyle w:val="VerbatimChar"/>
                <w:sz w:val="18"/>
              </w:rPr>
              <w:t xml:space="preserve">bureau_rejection</w:t>
            </w:r>
          </w:p>
        </w:tc>
        <w:tc>
          <w:tcPr>
            <w:tcW w:w="2124" w:type="dxa"/>
          </w:tcPr>
          <w:p>
            <w:pPr>
              <w:pStyle w:val="Compact"/>
              <w:spacing w:after="40"/>
              <w:jc w:val="left"/>
            </w:pPr>
            <w:r>
              <w:rPr>
                <w:sz w:val="18"/>
              </w:rPr>
              <w:t xml:space="preserve">FX</w:t>
            </w:r>
          </w:p>
        </w:tc>
        <w:tc>
          <w:tcPr>
            <w:tcW w:w="3348" w:type="dxa"/>
          </w:tcPr>
          <w:p>
            <w:pPr>
              <w:pStyle w:val="Compact"/>
              <w:spacing w:after="40"/>
              <w:jc w:val="left"/>
            </w:pPr>
            <w:r>
              <w:rPr>
                <w:sz w:val="18"/>
              </w:rPr>
              <w:t xml:space="preserve">CIC, layout and version, cycle (DL, W1–W3, ME, DC, AH, RR), reference date, counts, file hash, transmission and acknowledgement times, rejections by uniform reason code, DQI</w:t>
            </w:r>
          </w:p>
        </w:tc>
        <w:tc>
          <w:tcPr>
            <w:tcW w:w="1915" w:type="dxa"/>
          </w:tcPr>
          <w:p>
            <w:pPr>
              <w:pStyle w:val="Compact"/>
              <w:spacing w:after="40"/>
              <w:jc w:val="left"/>
            </w:pPr>
            <w:r>
              <w:rPr>
                <w:sz w:val="18"/>
              </w:rPr>
              <w:t xml:space="preserve">LDC</w:t>
            </w:r>
          </w:p>
        </w:tc>
      </w:tr>
      <w:tr>
        <w:tc>
          <w:tcPr>
            <w:tcW w:w="741" w:type="dxa"/>
          </w:tcPr>
          <w:p>
            <w:pPr>
              <w:pStyle w:val="Compact"/>
              <w:spacing w:after="40"/>
              <w:jc w:val="left"/>
            </w:pPr>
            <w:r>
              <w:rPr>
                <w:sz w:val="18"/>
              </w:rPr>
              <w:t xml:space="preserve">33</w:t>
            </w:r>
          </w:p>
        </w:tc>
        <w:tc>
          <w:tcPr>
            <w:tcW w:w="1510" w:type="dxa"/>
          </w:tcPr>
          <w:p>
            <w:pPr>
              <w:pStyle w:val="Compact"/>
              <w:spacing w:after="40"/>
              <w:jc w:val="left"/>
            </w:pPr>
            <w:r>
              <w:rPr>
                <w:rStyle w:val="VerbatimChar"/>
                <w:sz w:val="18"/>
              </w:rPr>
              <w:t xml:space="preserve">lender_deal</w:t>
            </w:r>
            <w:r>
              <w:rPr>
                <w:sz w:val="18"/>
              </w:rPr>
              <w:t xml:space="preserve">,</w:t>
            </w:r>
            <w:r>
              <w:rPr>
                <w:sz w:val="18"/>
              </w:rPr>
              <w:t xml:space="preserve"> </w:t>
            </w:r>
            <w:r>
              <w:rPr>
                <w:rStyle w:val="VerbatimChar"/>
                <w:sz w:val="18"/>
              </w:rPr>
              <w:t xml:space="preserve">deal_config_version</w:t>
            </w:r>
          </w:p>
        </w:tc>
        <w:tc>
          <w:tcPr>
            <w:tcW w:w="2124" w:type="dxa"/>
          </w:tcPr>
          <w:p>
            <w:pPr>
              <w:pStyle w:val="Compact"/>
              <w:spacing w:after="40"/>
              <w:jc w:val="left"/>
            </w:pPr>
            <w:r>
              <w:rPr>
                <w:sz w:val="18"/>
              </w:rPr>
              <w:t xml:space="preserve">UD (deal record); the RE approves</w:t>
            </w:r>
          </w:p>
        </w:tc>
        <w:tc>
          <w:tcPr>
            <w:tcW w:w="3348" w:type="dxa"/>
          </w:tcPr>
          <w:p>
            <w:pPr>
              <w:pStyle w:val="Compact"/>
              <w:spacing w:after="40"/>
              <w:jc w:val="left"/>
            </w:pPr>
            <w:r>
              <w:rPr>
                <w:sz w:val="18"/>
              </w:rPr>
              <w:t xml:space="preserve">lender org, lender_type, state (Udofin UP1), mode (PILOT, GENERAL), products, channels, states, configuration sections without commercial terms (</w:t>
            </w:r>
            <w:r>
              <w:rPr>
                <w:rStyle w:val="VerbatimChar"/>
                <w:sz w:val="18"/>
              </w:rPr>
              <w:t xml:space="preserve">deal_config_v1</w:t>
            </w:r>
            <w:r>
              <w:rPr>
                <w:sz w:val="18"/>
              </w:rPr>
              <w:t xml:space="preserve">), RE approval refs, storage target ref</w:t>
            </w:r>
          </w:p>
        </w:tc>
        <w:tc>
          <w:tcPr>
            <w:tcW w:w="1915" w:type="dxa"/>
          </w:tcPr>
          <w:p>
            <w:pPr>
              <w:pStyle w:val="Compact"/>
              <w:spacing w:after="40"/>
              <w:jc w:val="left"/>
            </w:pPr>
            <w:r>
              <w:rPr>
                <w:sz w:val="18"/>
              </w:rPr>
              <w:t xml:space="preserve">FX (LSP register), LDC</w:t>
            </w:r>
          </w:p>
        </w:tc>
      </w:tr>
      <w:tr>
        <w:tc>
          <w:tcPr>
            <w:tcW w:w="741" w:type="dxa"/>
          </w:tcPr>
          <w:p>
            <w:pPr>
              <w:pStyle w:val="Compact"/>
              <w:spacing w:after="40"/>
              <w:jc w:val="left"/>
            </w:pPr>
            <w:r>
              <w:rPr>
                <w:sz w:val="18"/>
              </w:rPr>
              <w:t xml:space="preserve">34</w:t>
            </w:r>
          </w:p>
        </w:tc>
        <w:tc>
          <w:tcPr>
            <w:tcW w:w="1510" w:type="dxa"/>
          </w:tcPr>
          <w:p>
            <w:pPr>
              <w:pStyle w:val="Compact"/>
              <w:spacing w:after="40"/>
              <w:jc w:val="left"/>
            </w:pPr>
            <w:r>
              <w:rPr>
                <w:rStyle w:val="VerbatimChar"/>
                <w:sz w:val="18"/>
              </w:rPr>
              <w:t xml:space="preserve">member</w:t>
            </w:r>
            <w:r>
              <w:rPr>
                <w:sz w:val="18"/>
              </w:rPr>
              <w:t xml:space="preserve">,</w:t>
            </w:r>
            <w:r>
              <w:rPr>
                <w:sz w:val="18"/>
              </w:rPr>
              <w:t xml:space="preserve"> </w:t>
            </w:r>
            <w:r>
              <w:rPr>
                <w:rStyle w:val="VerbatimChar"/>
                <w:sz w:val="18"/>
              </w:rPr>
              <w:t xml:space="preserve">share_ledger</w:t>
            </w:r>
          </w:p>
        </w:tc>
        <w:tc>
          <w:tcPr>
            <w:tcW w:w="2124" w:type="dxa"/>
          </w:tcPr>
          <w:p>
            <w:pPr>
              <w:pStyle w:val="Compact"/>
              <w:spacing w:after="40"/>
              <w:jc w:val="left"/>
            </w:pPr>
            <w:r>
              <w:rPr>
                <w:sz w:val="18"/>
              </w:rPr>
              <w:t xml:space="preserve">FX or the society’s certified system</w:t>
            </w:r>
          </w:p>
        </w:tc>
        <w:tc>
          <w:tcPr>
            <w:tcW w:w="3348" w:type="dxa"/>
          </w:tcPr>
          <w:p>
            <w:pPr>
              <w:pStyle w:val="Compact"/>
              <w:spacing w:after="40"/>
              <w:jc w:val="left"/>
            </w:pPr>
            <w:r>
              <w:rPr>
                <w:sz w:val="18"/>
              </w:rPr>
              <w:t xml:space="preserve">lender id, member party_ref, class (ORDINARY_VOTING, NOMINAL, ASSOCIATE, NON_VOTING_SHAREHOLDER, INSTITUTIONAL), status, admission and exit dates, borrowing eligibility, share holding and transactions</w:t>
            </w:r>
          </w:p>
        </w:tc>
        <w:tc>
          <w:tcPr>
            <w:tcW w:w="1915" w:type="dxa"/>
          </w:tcPr>
          <w:p>
            <w:pPr>
              <w:pStyle w:val="Compact"/>
              <w:spacing w:after="40"/>
              <w:jc w:val="left"/>
            </w:pPr>
            <w:r>
              <w:rPr>
                <w:sz w:val="18"/>
              </w:rPr>
              <w:t xml:space="preserve">UD (members who applied through Udofin or consented)</w:t>
            </w:r>
          </w:p>
        </w:tc>
      </w:tr>
      <w:tr>
        <w:tc>
          <w:tcPr>
            <w:tcW w:w="741" w:type="dxa"/>
          </w:tcPr>
          <w:p>
            <w:pPr>
              <w:pStyle w:val="Compact"/>
              <w:spacing w:after="40"/>
              <w:jc w:val="left"/>
            </w:pPr>
            <w:r>
              <w:rPr>
                <w:sz w:val="18"/>
              </w:rPr>
              <w:t xml:space="preserve">35</w:t>
            </w:r>
          </w:p>
        </w:tc>
        <w:tc>
          <w:tcPr>
            <w:tcW w:w="1510" w:type="dxa"/>
          </w:tcPr>
          <w:p>
            <w:pPr>
              <w:pStyle w:val="Compact"/>
              <w:spacing w:after="40"/>
              <w:jc w:val="left"/>
            </w:pPr>
            <w:r>
              <w:rPr>
                <w:rStyle w:val="VerbatimChar"/>
                <w:sz w:val="18"/>
              </w:rPr>
              <w:t xml:space="preserve">group</w:t>
            </w:r>
            <w:r>
              <w:rPr>
                <w:sz w:val="18"/>
              </w:rPr>
              <w:t xml:space="preserve">,</w:t>
            </w:r>
            <w:r>
              <w:rPr>
                <w:sz w:val="18"/>
              </w:rPr>
              <w:t xml:space="preserve"> </w:t>
            </w:r>
            <w:r>
              <w:rPr>
                <w:rStyle w:val="VerbatimChar"/>
                <w:sz w:val="18"/>
              </w:rPr>
              <w:t xml:space="preserve">centre</w:t>
            </w:r>
            <w:r>
              <w:rPr>
                <w:sz w:val="18"/>
              </w:rPr>
              <w:t xml:space="preserve">,</w:t>
            </w:r>
            <w:r>
              <w:rPr>
                <w:sz w:val="18"/>
              </w:rPr>
              <w:t xml:space="preserve"> </w:t>
            </w:r>
            <w:r>
              <w:rPr>
                <w:rStyle w:val="VerbatimChar"/>
                <w:sz w:val="18"/>
              </w:rPr>
              <w:t xml:space="preserve">centre_meeting</w:t>
            </w:r>
          </w:p>
        </w:tc>
        <w:tc>
          <w:tcPr>
            <w:tcW w:w="2124" w:type="dxa"/>
          </w:tcPr>
          <w:p>
            <w:pPr>
              <w:pStyle w:val="Compact"/>
              <w:spacing w:after="40"/>
              <w:jc w:val="left"/>
            </w:pPr>
            <w:r>
              <w:rPr>
                <w:sz w:val="18"/>
              </w:rPr>
              <w:t xml:space="preserve">FX (or the lender’s LMS); UD for meetings closed in its tools</w:t>
            </w:r>
          </w:p>
        </w:tc>
        <w:tc>
          <w:tcPr>
            <w:tcW w:w="3348" w:type="dxa"/>
          </w:tcPr>
          <w:p>
            <w:pPr>
              <w:pStyle w:val="Compact"/>
              <w:spacing w:after="40"/>
              <w:jc w:val="left"/>
            </w:pPr>
            <w:r>
              <w:rPr>
                <w:sz w:val="18"/>
              </w:rPr>
              <w:t xml:space="preserve">type (JLG, SHG), member party_refs, state, centre and designated place (RBC para 90), meeting schedule, attendance, receipts, postings</w:t>
            </w:r>
          </w:p>
        </w:tc>
        <w:tc>
          <w:tcPr>
            <w:tcW w:w="1915" w:type="dxa"/>
          </w:tcPr>
          <w:p>
            <w:pPr>
              <w:pStyle w:val="Compact"/>
              <w:spacing w:after="40"/>
              <w:jc w:val="left"/>
            </w:pPr>
            <w:r>
              <w:rPr>
                <w:sz w:val="18"/>
              </w:rPr>
              <w:t xml:space="preserve">UD</w:t>
            </w:r>
          </w:p>
        </w:tc>
      </w:tr>
      <w:tr>
        <w:tc>
          <w:tcPr>
            <w:tcW w:w="741" w:type="dxa"/>
          </w:tcPr>
          <w:p>
            <w:pPr>
              <w:pStyle w:val="Compact"/>
              <w:spacing w:after="40"/>
              <w:jc w:val="left"/>
            </w:pPr>
            <w:r>
              <w:rPr>
                <w:sz w:val="18"/>
              </w:rPr>
              <w:t xml:space="preserve">36</w:t>
            </w:r>
          </w:p>
        </w:tc>
        <w:tc>
          <w:tcPr>
            <w:tcW w:w="1510" w:type="dxa"/>
          </w:tcPr>
          <w:p>
            <w:pPr>
              <w:pStyle w:val="Compact"/>
              <w:spacing w:after="40"/>
              <w:jc w:val="left"/>
            </w:pPr>
            <w:r>
              <w:rPr>
                <w:rStyle w:val="VerbatimChar"/>
                <w:sz w:val="18"/>
              </w:rPr>
              <w:t xml:space="preserve">investment_position</w:t>
            </w:r>
            <w:r>
              <w:rPr>
                <w:sz w:val="18"/>
              </w:rPr>
              <w:t xml:space="preserve">,</w:t>
            </w:r>
            <w:r>
              <w:rPr>
                <w:sz w:val="18"/>
              </w:rPr>
              <w:t xml:space="preserve"> </w:t>
            </w:r>
            <w:r>
              <w:rPr>
                <w:rStyle w:val="VerbatimChar"/>
                <w:sz w:val="18"/>
              </w:rPr>
              <w:t xml:space="preserve">security_receipt</w:t>
            </w:r>
          </w:p>
        </w:tc>
        <w:tc>
          <w:tcPr>
            <w:tcW w:w="2124" w:type="dxa"/>
          </w:tcPr>
          <w:p>
            <w:pPr>
              <w:pStyle w:val="Compact"/>
              <w:spacing w:after="40"/>
              <w:jc w:val="left"/>
            </w:pPr>
            <w:r>
              <w:rPr>
                <w:sz w:val="18"/>
              </w:rPr>
              <w:t xml:space="preserve">FX (investment book; ARC for SRs it issues)</w:t>
            </w:r>
          </w:p>
        </w:tc>
        <w:tc>
          <w:tcPr>
            <w:tcW w:w="3348" w:type="dxa"/>
          </w:tcPr>
          <w:p>
            <w:pPr>
              <w:pStyle w:val="Compact"/>
              <w:spacing w:after="40"/>
              <w:jc w:val="left"/>
            </w:pPr>
            <w:r>
              <w:rPr>
                <w:sz w:val="18"/>
              </w:rPr>
              <w:t xml:space="preserve">ISIN, category, classification, quantity, cost, fair value and level, valuation method and price source; SR scheme, class, QB holder, units, NAV, rating</w:t>
            </w:r>
          </w:p>
        </w:tc>
        <w:tc>
          <w:tcPr>
            <w:tcW w:w="1915" w:type="dxa"/>
          </w:tcPr>
          <w:p>
            <w:pPr>
              <w:pStyle w:val="Compact"/>
              <w:spacing w:after="40"/>
              <w:jc w:val="left"/>
            </w:pPr>
            <w:r>
              <w:rPr>
                <w:sz w:val="18"/>
              </w:rPr>
              <w:t xml:space="preserve">Investor, holder and transferor tenants under a</w:t>
            </w:r>
            <w:r>
              <w:rPr>
                <w:sz w:val="18"/>
              </w:rPr>
              <w:t xml:space="preserve"> </w:t>
            </w:r>
            <w:r>
              <w:rPr>
                <w:rStyle w:val="VerbatimChar"/>
                <w:sz w:val="18"/>
              </w:rPr>
              <w:t xml:space="preserve">tenant_link</w:t>
            </w:r>
            <w:r>
              <w:rPr>
                <w:sz w:val="18"/>
              </w:rPr>
              <w:t xml:space="preserve">; LDC (aggregates)</w:t>
            </w:r>
          </w:p>
        </w:tc>
      </w:tr>
      <w:tr>
        <w:tc>
          <w:tcPr>
            <w:tcW w:w="741" w:type="dxa"/>
          </w:tcPr>
          <w:p>
            <w:pPr>
              <w:pStyle w:val="Compact"/>
              <w:spacing w:after="40"/>
              <w:jc w:val="left"/>
            </w:pPr>
            <w:r>
              <w:rPr>
                <w:sz w:val="18"/>
              </w:rPr>
              <w:t xml:space="preserve">37</w:t>
            </w:r>
          </w:p>
        </w:tc>
        <w:tc>
          <w:tcPr>
            <w:tcW w:w="1510" w:type="dxa"/>
          </w:tcPr>
          <w:p>
            <w:pPr>
              <w:pStyle w:val="Compact"/>
              <w:spacing w:after="40"/>
              <w:jc w:val="left"/>
            </w:pPr>
            <w:r>
              <w:rPr>
                <w:rStyle w:val="VerbatimChar"/>
                <w:sz w:val="18"/>
              </w:rPr>
              <w:t xml:space="preserve">securitisation_transaction</w:t>
            </w:r>
            <w:r>
              <w:rPr>
                <w:sz w:val="18"/>
              </w:rPr>
              <w:t xml:space="preserve"> </w:t>
            </w:r>
            <w:r>
              <w:rPr>
                <w:sz w:val="18"/>
              </w:rPr>
              <w:t xml:space="preserve">(servicing)</w:t>
            </w:r>
          </w:p>
        </w:tc>
        <w:tc>
          <w:tcPr>
            <w:tcW w:w="2124" w:type="dxa"/>
          </w:tcPr>
          <w:p>
            <w:pPr>
              <w:pStyle w:val="Compact"/>
              <w:spacing w:after="40"/>
              <w:jc w:val="left"/>
            </w:pPr>
            <w:r>
              <w:rPr>
                <w:sz w:val="18"/>
              </w:rPr>
              <w:t xml:space="preserve">FX as originator-servicer</w:t>
            </w:r>
          </w:p>
        </w:tc>
        <w:tc>
          <w:tcPr>
            <w:tcW w:w="3348" w:type="dxa"/>
          </w:tcPr>
          <w:p>
            <w:pPr>
              <w:pStyle w:val="Compact"/>
              <w:spacing w:after="40"/>
              <w:jc w:val="left"/>
            </w:pPr>
            <w:r>
              <w:rPr>
                <w:sz w:val="18"/>
              </w:rPr>
              <w:t xml:space="preserve">SPE, trustee, pool, waterfall version, collections held in trust, remittances, deficiency ledgers, triggers, reports (</w:t>
            </w:r>
            <w:r>
              <w:rPr>
                <w:rStyle w:val="VerbatimChar"/>
                <w:sz w:val="18"/>
              </w:rPr>
              <w:t xml:space="preserve">servicer_report_v1</w:t>
            </w:r>
            <w:r>
              <w:rPr>
                <w:sz w:val="18"/>
              </w:rPr>
              <w:t xml:space="preserve">)</w:t>
            </w:r>
          </w:p>
        </w:tc>
        <w:tc>
          <w:tcPr>
            <w:tcW w:w="1915" w:type="dxa"/>
          </w:tcPr>
          <w:p>
            <w:pPr>
              <w:pStyle w:val="Compact"/>
              <w:spacing w:after="40"/>
              <w:jc w:val="left"/>
            </w:pPr>
            <w:r>
              <w:rPr>
                <w:sz w:val="18"/>
              </w:rPr>
              <w:t xml:space="preserve">Trustee, investor tenants</w:t>
            </w:r>
          </w:p>
        </w:tc>
      </w:tr>
      <w:tr>
        <w:tc>
          <w:tcPr>
            <w:tcW w:w="741" w:type="dxa"/>
          </w:tcPr>
          <w:p>
            <w:pPr>
              <w:pStyle w:val="Compact"/>
              <w:spacing w:after="40"/>
              <w:jc w:val="left"/>
            </w:pPr>
            <w:r>
              <w:rPr>
                <w:sz w:val="18"/>
              </w:rPr>
              <w:t xml:space="preserve">38</w:t>
            </w:r>
          </w:p>
        </w:tc>
        <w:tc>
          <w:tcPr>
            <w:tcW w:w="1510" w:type="dxa"/>
          </w:tcPr>
          <w:p>
            <w:pPr>
              <w:pStyle w:val="Compact"/>
              <w:spacing w:after="40"/>
              <w:jc w:val="left"/>
            </w:pPr>
            <w:r>
              <w:rPr>
                <w:rStyle w:val="VerbatimChar"/>
                <w:sz w:val="18"/>
              </w:rPr>
              <w:t xml:space="preserve">plan</w:t>
            </w:r>
            <w:r>
              <w:rPr>
                <w:sz w:val="18"/>
              </w:rPr>
              <w:t xml:space="preserve">,</w:t>
            </w:r>
            <w:r>
              <w:rPr>
                <w:sz w:val="18"/>
              </w:rPr>
              <w:t xml:space="preserve"> </w:t>
            </w:r>
            <w:r>
              <w:rPr>
                <w:rStyle w:val="VerbatimChar"/>
                <w:sz w:val="18"/>
              </w:rPr>
              <w:t xml:space="preserve">entitlement</w:t>
            </w:r>
            <w:r>
              <w:rPr>
                <w:sz w:val="18"/>
              </w:rPr>
              <w:t xml:space="preserve">,</w:t>
            </w:r>
            <w:r>
              <w:rPr>
                <w:sz w:val="18"/>
              </w:rPr>
              <w:t xml:space="preserve"> </w:t>
            </w:r>
            <w:r>
              <w:rPr>
                <w:rStyle w:val="VerbatimChar"/>
                <w:sz w:val="18"/>
              </w:rPr>
              <w:t xml:space="preserve">invoice</w:t>
            </w:r>
            <w:r>
              <w:rPr>
                <w:sz w:val="18"/>
              </w:rPr>
              <w:t xml:space="preserve">,</w:t>
            </w:r>
            <w:r>
              <w:rPr>
                <w:sz w:val="18"/>
              </w:rPr>
              <w:t xml:space="preserve"> </w:t>
            </w:r>
            <w:r>
              <w:rPr>
                <w:rStyle w:val="VerbatimChar"/>
                <w:sz w:val="18"/>
              </w:rPr>
              <w:t xml:space="preserve">subscription_payment</w:t>
            </w:r>
          </w:p>
        </w:tc>
        <w:tc>
          <w:tcPr>
            <w:tcW w:w="2124" w:type="dxa"/>
          </w:tcPr>
          <w:p>
            <w:pPr>
              <w:pStyle w:val="Compact"/>
              <w:spacing w:after="40"/>
              <w:jc w:val="left"/>
            </w:pPr>
            <w:r>
              <w:rPr>
                <w:sz w:val="18"/>
              </w:rPr>
              <w:t xml:space="preserve">OH (catalogue, invoices, payments); FX or UD (entitlement as applied)</w:t>
            </w:r>
          </w:p>
        </w:tc>
        <w:tc>
          <w:tcPr>
            <w:tcW w:w="3348" w:type="dxa"/>
          </w:tcPr>
          <w:p>
            <w:pPr>
              <w:pStyle w:val="Compact"/>
              <w:spacing w:after="40"/>
              <w:jc w:val="left"/>
            </w:pPr>
            <w:r>
              <w:rPr>
                <w:sz w:val="18"/>
              </w:rPr>
              <w:t xml:space="preserve">SKU, modules, meters, price book, revenue-stream flags, legal-entity scope, limits, start, end; invoice GST fields; payment status</w:t>
            </w:r>
          </w:p>
        </w:tc>
        <w:tc>
          <w:tcPr>
            <w:tcW w:w="1915" w:type="dxa"/>
          </w:tcPr>
          <w:p>
            <w:pPr>
              <w:pStyle w:val="Compact"/>
              <w:spacing w:after="40"/>
              <w:jc w:val="left"/>
            </w:pPr>
            <w:r>
              <w:rPr>
                <w:sz w:val="18"/>
              </w:rPr>
              <w:t xml:space="preserve">FX, UD</w:t>
            </w:r>
          </w:p>
        </w:tc>
      </w:tr>
      <w:tr>
        <w:tc>
          <w:tcPr>
            <w:tcW w:w="741" w:type="dxa"/>
          </w:tcPr>
          <w:p>
            <w:pPr>
              <w:pStyle w:val="Compact"/>
              <w:spacing w:after="40"/>
              <w:jc w:val="left"/>
            </w:pPr>
            <w:r>
              <w:rPr>
                <w:sz w:val="18"/>
              </w:rPr>
              <w:t xml:space="preserve">39</w:t>
            </w:r>
          </w:p>
        </w:tc>
        <w:tc>
          <w:tcPr>
            <w:tcW w:w="1510" w:type="dxa"/>
          </w:tcPr>
          <w:p>
            <w:pPr>
              <w:pStyle w:val="Compact"/>
              <w:spacing w:after="40"/>
              <w:jc w:val="left"/>
            </w:pPr>
            <w:r>
              <w:rPr>
                <w:rStyle w:val="VerbatimChar"/>
                <w:sz w:val="18"/>
              </w:rPr>
              <w:t xml:space="preserve">usage_aggregate</w:t>
            </w:r>
          </w:p>
        </w:tc>
        <w:tc>
          <w:tcPr>
            <w:tcW w:w="2124" w:type="dxa"/>
          </w:tcPr>
          <w:p>
            <w:pPr>
              <w:pStyle w:val="Compact"/>
              <w:spacing w:after="40"/>
              <w:jc w:val="left"/>
            </w:pPr>
            <w:r>
              <w:rPr>
                <w:sz w:val="18"/>
              </w:rPr>
              <w:t xml:space="preserve">FX, UD (metered at source)</w:t>
            </w:r>
          </w:p>
        </w:tc>
        <w:tc>
          <w:tcPr>
            <w:tcW w:w="3348" w:type="dxa"/>
          </w:tcPr>
          <w:p>
            <w:pPr>
              <w:pStyle w:val="Compact"/>
              <w:spacing w:after="40"/>
              <w:jc w:val="left"/>
            </w:pPr>
            <w:r>
              <w:rPr>
                <w:sz w:val="18"/>
              </w:rPr>
              <w:t xml:space="preserve">tenant, legal entity, meter, meter_kind, period, quantity, statement hash; never record ids (</w:t>
            </w:r>
            <w:r>
              <w:rPr>
                <w:rStyle w:val="VerbatimChar"/>
                <w:sz w:val="18"/>
              </w:rPr>
              <w:t xml:space="preserve">usage_aggregate_v1</w:t>
            </w:r>
            <w:r>
              <w:rPr>
                <w:sz w:val="18"/>
              </w:rPr>
              <w:t xml:space="preserve">)</w:t>
            </w:r>
          </w:p>
        </w:tc>
        <w:tc>
          <w:tcPr>
            <w:tcW w:w="1915" w:type="dxa"/>
          </w:tcPr>
          <w:p>
            <w:pPr>
              <w:pStyle w:val="Compact"/>
              <w:spacing w:after="40"/>
              <w:jc w:val="left"/>
            </w:pPr>
            <w:r>
              <w:rPr>
                <w:sz w:val="18"/>
              </w:rPr>
              <w:t xml:space="preserve">OH</w:t>
            </w:r>
          </w:p>
        </w:tc>
      </w:tr>
      <w:tr>
        <w:tc>
          <w:tcPr>
            <w:tcW w:w="741" w:type="dxa"/>
          </w:tcPr>
          <w:p>
            <w:pPr>
              <w:pStyle w:val="Compact"/>
              <w:spacing w:after="40"/>
              <w:jc w:val="left"/>
            </w:pPr>
            <w:r>
              <w:rPr>
                <w:sz w:val="18"/>
              </w:rPr>
              <w:t xml:space="preserve">40</w:t>
            </w:r>
          </w:p>
        </w:tc>
        <w:tc>
          <w:tcPr>
            <w:tcW w:w="1510" w:type="dxa"/>
          </w:tcPr>
          <w:p>
            <w:pPr>
              <w:pStyle w:val="Compact"/>
              <w:spacing w:after="40"/>
              <w:jc w:val="left"/>
            </w:pPr>
            <w:r>
              <w:rPr>
                <w:rStyle w:val="VerbatimChar"/>
                <w:sz w:val="18"/>
              </w:rPr>
              <w:t xml:space="preserve">export_job</w:t>
            </w:r>
            <w:r>
              <w:rPr>
                <w:sz w:val="18"/>
              </w:rPr>
              <w:t xml:space="preserve">,</w:t>
            </w:r>
            <w:r>
              <w:rPr>
                <w:sz w:val="18"/>
              </w:rPr>
              <w:t xml:space="preserve"> </w:t>
            </w:r>
            <w:r>
              <w:rPr>
                <w:rStyle w:val="VerbatimChar"/>
                <w:sz w:val="18"/>
              </w:rPr>
              <w:t xml:space="preserve">archive</w:t>
            </w:r>
          </w:p>
        </w:tc>
        <w:tc>
          <w:tcPr>
            <w:tcW w:w="2124" w:type="dxa"/>
          </w:tcPr>
          <w:p>
            <w:pPr>
              <w:pStyle w:val="Compact"/>
              <w:spacing w:after="40"/>
              <w:jc w:val="left"/>
            </w:pPr>
            <w:r>
              <w:rPr>
                <w:sz w:val="18"/>
              </w:rPr>
              <w:t xml:space="preserve">Producing product</w:t>
            </w:r>
          </w:p>
        </w:tc>
        <w:tc>
          <w:tcPr>
            <w:tcW w:w="3348" w:type="dxa"/>
          </w:tcPr>
          <w:p>
            <w:pPr>
              <w:pStyle w:val="Compact"/>
              <w:spacing w:after="40"/>
              <w:jc w:val="left"/>
            </w:pPr>
            <w:r>
              <w:rPr>
                <w:sz w:val="18"/>
              </w:rPr>
              <w:t xml:space="preserve">scope, requester, approvers, as_of, folder profile, manifest hash, destination type, file count, bytes, predecessor archive (</w:t>
            </w:r>
            <w:r>
              <w:rPr>
                <w:rStyle w:val="VerbatimChar"/>
                <w:sz w:val="18"/>
              </w:rPr>
              <w:t xml:space="preserve">archive_manifest_v1</w:t>
            </w:r>
            <w:r>
              <w:rPr>
                <w:sz w:val="18"/>
              </w:rPr>
              <w:t xml:space="preserve">)</w:t>
            </w:r>
          </w:p>
        </w:tc>
        <w:tc>
          <w:tcPr>
            <w:tcW w:w="1915" w:type="dxa"/>
          </w:tcPr>
          <w:p>
            <w:pPr>
              <w:pStyle w:val="Compact"/>
              <w:spacing w:after="40"/>
              <w:jc w:val="left"/>
            </w:pPr>
            <w:r>
              <w:rPr>
                <w:sz w:val="18"/>
              </w:rPr>
              <w:t xml:space="preserve">Tenant compliance destination; OH (counts)</w:t>
            </w:r>
          </w:p>
        </w:tc>
      </w:tr>
      <w:tr>
        <w:tc>
          <w:tcPr>
            <w:tcW w:w="741" w:type="dxa"/>
          </w:tcPr>
          <w:p>
            <w:pPr>
              <w:pStyle w:val="Compact"/>
              <w:spacing w:after="40"/>
              <w:jc w:val="left"/>
            </w:pPr>
            <w:r>
              <w:rPr>
                <w:sz w:val="18"/>
              </w:rPr>
              <w:t xml:space="preserve">41</w:t>
            </w:r>
          </w:p>
        </w:tc>
        <w:tc>
          <w:tcPr>
            <w:tcW w:w="1510" w:type="dxa"/>
          </w:tcPr>
          <w:p>
            <w:pPr>
              <w:pStyle w:val="Compact"/>
              <w:spacing w:after="40"/>
              <w:jc w:val="left"/>
            </w:pPr>
            <w:r>
              <w:rPr>
                <w:rStyle w:val="VerbatimChar"/>
                <w:sz w:val="18"/>
              </w:rPr>
              <w:t xml:space="preserve">storage_target</w:t>
            </w:r>
          </w:p>
        </w:tc>
        <w:tc>
          <w:tcPr>
            <w:tcW w:w="2124" w:type="dxa"/>
          </w:tcPr>
          <w:p>
            <w:pPr>
              <w:pStyle w:val="Compact"/>
              <w:spacing w:after="40"/>
              <w:jc w:val="left"/>
            </w:pPr>
            <w:r>
              <w:rPr>
                <w:sz w:val="18"/>
              </w:rPr>
              <w:t xml:space="preserve">Producing product (per tenant, or per deal in UD)</w:t>
            </w:r>
          </w:p>
        </w:tc>
        <w:tc>
          <w:tcPr>
            <w:tcW w:w="3348" w:type="dxa"/>
          </w:tcPr>
          <w:p>
            <w:pPr>
              <w:pStyle w:val="Compact"/>
              <w:spacing w:after="40"/>
              <w:jc w:val="left"/>
            </w:pPr>
            <w:r>
              <w:rPr>
                <w:sz w:val="18"/>
              </w:rPr>
              <w:t xml:space="preserve">provider, region, residency evidence, data classes allowed, key mode (PLATFORM, BYOK, HYOK, CLIENT_SIDE), write-once, certification version, health</w:t>
            </w:r>
          </w:p>
        </w:tc>
        <w:tc>
          <w:tcPr>
            <w:tcW w:w="1915" w:type="dxa"/>
          </w:tcPr>
          <w:p>
            <w:pPr>
              <w:pStyle w:val="Compact"/>
              <w:spacing w:after="40"/>
              <w:jc w:val="left"/>
            </w:pPr>
            <w:r>
              <w:rPr>
                <w:sz w:val="18"/>
              </w:rPr>
              <w:t xml:space="preserve">OH (status only)</w:t>
            </w:r>
          </w:p>
        </w:tc>
      </w:tr>
      <w:tr>
        <w:tc>
          <w:tcPr>
            <w:tcW w:w="741" w:type="dxa"/>
          </w:tcPr>
          <w:p>
            <w:pPr>
              <w:pStyle w:val="Compact"/>
              <w:spacing w:after="40"/>
              <w:jc w:val="left"/>
            </w:pPr>
            <w:r>
              <w:rPr>
                <w:sz w:val="18"/>
              </w:rPr>
              <w:t xml:space="preserve">42</w:t>
            </w:r>
          </w:p>
        </w:tc>
        <w:tc>
          <w:tcPr>
            <w:tcW w:w="1510" w:type="dxa"/>
          </w:tcPr>
          <w:p>
            <w:pPr>
              <w:pStyle w:val="Compact"/>
              <w:spacing w:after="40"/>
              <w:jc w:val="left"/>
            </w:pPr>
            <w:r>
              <w:rPr>
                <w:rStyle w:val="VerbatimChar"/>
                <w:sz w:val="18"/>
              </w:rPr>
              <w:t xml:space="preserve">professional</w:t>
            </w:r>
            <w:r>
              <w:rPr>
                <w:sz w:val="18"/>
              </w:rPr>
              <w:t xml:space="preserve">,</w:t>
            </w:r>
            <w:r>
              <w:rPr>
                <w:sz w:val="18"/>
              </w:rPr>
              <w:t xml:space="preserve"> </w:t>
            </w:r>
            <w:r>
              <w:rPr>
                <w:rStyle w:val="VerbatimChar"/>
                <w:sz w:val="18"/>
              </w:rPr>
              <w:t xml:space="preserve">matter_allocation</w:t>
            </w:r>
          </w:p>
        </w:tc>
        <w:tc>
          <w:tcPr>
            <w:tcW w:w="2124" w:type="dxa"/>
          </w:tcPr>
          <w:p>
            <w:pPr>
              <w:pStyle w:val="Compact"/>
              <w:spacing w:after="40"/>
              <w:jc w:val="left"/>
            </w:pPr>
            <w:r>
              <w:rPr>
                <w:sz w:val="18"/>
              </w:rPr>
              <w:t xml:space="preserve">OH (directory identity and status); the RE’s system (panel approval and allocation, Finbyx R11)</w:t>
            </w:r>
          </w:p>
        </w:tc>
        <w:tc>
          <w:tcPr>
            <w:tcW w:w="3348" w:type="dxa"/>
          </w:tcPr>
          <w:p>
            <w:pPr>
              <w:pStyle w:val="Compact"/>
              <w:spacing w:after="40"/>
              <w:jc w:val="left"/>
            </w:pPr>
            <w:r>
              <w:rPr>
                <w:sz w:val="18"/>
              </w:rPr>
              <w:t xml:space="preserve">BCI Rule 36 fields (name, address, contacts, enrolment no and State Bar Council, enrolment date, qualifications, practice areas), courts, languages, status, equator_neutral flag; allocation: matter type, forum, basis, conflict-check ref</w:t>
            </w:r>
          </w:p>
        </w:tc>
        <w:tc>
          <w:tcPr>
            <w:tcW w:w="1915" w:type="dxa"/>
          </w:tcPr>
          <w:p>
            <w:pPr>
              <w:pStyle w:val="Compact"/>
              <w:spacing w:after="40"/>
              <w:jc w:val="left"/>
            </w:pPr>
            <w:r>
              <w:rPr>
                <w:sz w:val="18"/>
              </w:rPr>
              <w:t xml:space="preserve">FX (RS), Udolex; OH (allocation counts)</w:t>
            </w:r>
          </w:p>
        </w:tc>
      </w:tr>
      <w:tr>
        <w:tc>
          <w:tcPr>
            <w:tcW w:w="741" w:type="dxa"/>
          </w:tcPr>
          <w:p>
            <w:pPr>
              <w:pStyle w:val="Compact"/>
              <w:spacing w:after="40"/>
              <w:jc w:val="left"/>
            </w:pPr>
            <w:r>
              <w:rPr>
                <w:sz w:val="18"/>
              </w:rPr>
              <w:t xml:space="preserve">43</w:t>
            </w:r>
          </w:p>
        </w:tc>
        <w:tc>
          <w:tcPr>
            <w:tcW w:w="1510" w:type="dxa"/>
          </w:tcPr>
          <w:p>
            <w:pPr>
              <w:pStyle w:val="Compact"/>
              <w:spacing w:after="40"/>
              <w:jc w:val="left"/>
            </w:pPr>
            <w:r>
              <w:rPr>
                <w:rStyle w:val="VerbatimChar"/>
                <w:sz w:val="18"/>
              </w:rPr>
              <w:t xml:space="preserve">external_access_grant</w:t>
            </w:r>
          </w:p>
        </w:tc>
        <w:tc>
          <w:tcPr>
            <w:tcW w:w="2124" w:type="dxa"/>
          </w:tcPr>
          <w:p>
            <w:pPr>
              <w:pStyle w:val="Compact"/>
              <w:spacing w:after="40"/>
              <w:jc w:val="left"/>
            </w:pPr>
            <w:r>
              <w:rPr>
                <w:sz w:val="18"/>
              </w:rPr>
              <w:t xml:space="preserve">The RE’s register (Finbyx AU7, or Udofin RA2 on the RE’s approval)</w:t>
            </w:r>
          </w:p>
        </w:tc>
        <w:tc>
          <w:tcPr>
            <w:tcW w:w="3348" w:type="dxa"/>
          </w:tcPr>
          <w:p>
            <w:pPr>
              <w:pStyle w:val="Compact"/>
              <w:spacing w:after="40"/>
              <w:jc w:val="left"/>
            </w:pPr>
            <w:r>
              <w:rPr>
                <w:sz w:val="18"/>
              </w:rPr>
              <w:t xml:space="preserve">grantee type, basis code, scope, PII, export and query levels, valid_from, valid_to (≤ 90 days), approvals, state (Part 4.7)</w:t>
            </w:r>
          </w:p>
        </w:tc>
        <w:tc>
          <w:tcPr>
            <w:tcW w:w="1915" w:type="dxa"/>
          </w:tcPr>
          <w:p>
            <w:pPr>
              <w:pStyle w:val="Compact"/>
              <w:spacing w:after="40"/>
              <w:jc w:val="left"/>
            </w:pPr>
            <w:r>
              <w:rPr>
                <w:sz w:val="18"/>
              </w:rPr>
              <w:t xml:space="preserve">UD, LDC, other FX tenants of the RE; OH (counts)</w:t>
            </w:r>
          </w:p>
        </w:tc>
      </w:tr>
      <w:tr>
        <w:tc>
          <w:tcPr>
            <w:tcW w:w="741" w:type="dxa"/>
          </w:tcPr>
          <w:p>
            <w:pPr>
              <w:pStyle w:val="Compact"/>
              <w:spacing w:after="40"/>
              <w:jc w:val="left"/>
            </w:pPr>
            <w:r>
              <w:rPr>
                <w:sz w:val="18"/>
              </w:rPr>
              <w:t xml:space="preserve">44</w:t>
            </w:r>
          </w:p>
        </w:tc>
        <w:tc>
          <w:tcPr>
            <w:tcW w:w="1510" w:type="dxa"/>
          </w:tcPr>
          <w:p>
            <w:pPr>
              <w:pStyle w:val="Compact"/>
              <w:spacing w:after="40"/>
              <w:jc w:val="left"/>
            </w:pPr>
            <w:r>
              <w:rPr>
                <w:rStyle w:val="VerbatimChar"/>
                <w:sz w:val="18"/>
              </w:rPr>
              <w:t xml:space="preserve">group_grant</w:t>
            </w:r>
          </w:p>
        </w:tc>
        <w:tc>
          <w:tcPr>
            <w:tcW w:w="2124" w:type="dxa"/>
          </w:tcPr>
          <w:p>
            <w:pPr>
              <w:pStyle w:val="Compact"/>
              <w:spacing w:after="40"/>
              <w:jc w:val="left"/>
            </w:pPr>
            <w:r>
              <w:rPr>
                <w:sz w:val="18"/>
              </w:rPr>
              <w:t xml:space="preserve">OH</w:t>
            </w:r>
          </w:p>
        </w:tc>
        <w:tc>
          <w:tcPr>
            <w:tcW w:w="3348" w:type="dxa"/>
          </w:tcPr>
          <w:p>
            <w:pPr>
              <w:pStyle w:val="Compact"/>
              <w:spacing w:after="40"/>
              <w:jc w:val="left"/>
            </w:pPr>
            <w:r>
              <w:rPr>
                <w:sz w:val="18"/>
              </w:rPr>
              <w:t xml:space="preserve">principal, role, entity_scope, tenant_scope, data_class_max, purpose, valid_from, valid_to (≤ 90 days), approvers (Part 4.6)</w:t>
            </w:r>
          </w:p>
        </w:tc>
        <w:tc>
          <w:tcPr>
            <w:tcW w:w="1915" w:type="dxa"/>
          </w:tcPr>
          <w:p>
            <w:pPr>
              <w:pStyle w:val="Compact"/>
              <w:spacing w:after="40"/>
              <w:jc w:val="left"/>
            </w:pPr>
            <w:r>
              <w:rPr>
                <w:sz w:val="18"/>
              </w:rPr>
              <w:t xml:space="preserve">Product staff realms (SCIM)</w:t>
            </w:r>
          </w:p>
        </w:tc>
      </w:tr>
      <w:tr>
        <w:tc>
          <w:tcPr>
            <w:tcW w:w="741" w:type="dxa"/>
          </w:tcPr>
          <w:p>
            <w:pPr>
              <w:pStyle w:val="Compact"/>
              <w:spacing w:after="40"/>
              <w:jc w:val="left"/>
            </w:pPr>
            <w:r>
              <w:rPr>
                <w:sz w:val="18"/>
              </w:rPr>
              <w:t xml:space="preserve">45</w:t>
            </w:r>
          </w:p>
        </w:tc>
        <w:tc>
          <w:tcPr>
            <w:tcW w:w="1510" w:type="dxa"/>
          </w:tcPr>
          <w:p>
            <w:pPr>
              <w:pStyle w:val="Compact"/>
              <w:spacing w:after="40"/>
              <w:jc w:val="left"/>
            </w:pPr>
            <w:r>
              <w:rPr>
                <w:rStyle w:val="VerbatimChar"/>
                <w:sz w:val="18"/>
              </w:rPr>
              <w:t xml:space="preserve">risk_metric_value</w:t>
            </w:r>
            <w:r>
              <w:rPr>
                <w:sz w:val="18"/>
              </w:rPr>
              <w:t xml:space="preserve">,</w:t>
            </w:r>
            <w:r>
              <w:rPr>
                <w:sz w:val="18"/>
              </w:rPr>
              <w:t xml:space="preserve"> </w:t>
            </w:r>
            <w:r>
              <w:rPr>
                <w:rStyle w:val="VerbatimChar"/>
                <w:sz w:val="18"/>
              </w:rPr>
              <w:t xml:space="preserve">limit_breach</w:t>
            </w:r>
            <w:r>
              <w:rPr>
                <w:sz w:val="18"/>
              </w:rPr>
              <w:t xml:space="preserve">,</w:t>
            </w:r>
            <w:r>
              <w:rPr>
                <w:sz w:val="18"/>
              </w:rPr>
              <w:t xml:space="preserve"> </w:t>
            </w:r>
            <w:r>
              <w:rPr>
                <w:rStyle w:val="VerbatimChar"/>
                <w:sz w:val="18"/>
              </w:rPr>
              <w:t xml:space="preserve">loss_event</w:t>
            </w:r>
          </w:p>
        </w:tc>
        <w:tc>
          <w:tcPr>
            <w:tcW w:w="2124" w:type="dxa"/>
          </w:tcPr>
          <w:p>
            <w:pPr>
              <w:pStyle w:val="Compact"/>
              <w:spacing w:after="40"/>
              <w:jc w:val="left"/>
            </w:pPr>
            <w:r>
              <w:rPr>
                <w:sz w:val="18"/>
              </w:rPr>
              <w:t xml:space="preserve">FX (UD for LSP metrics)</w:t>
            </w:r>
          </w:p>
        </w:tc>
        <w:tc>
          <w:tcPr>
            <w:tcW w:w="3348" w:type="dxa"/>
          </w:tcPr>
          <w:p>
            <w:pPr>
              <w:pStyle w:val="Compact"/>
              <w:spacing w:after="40"/>
              <w:jc w:val="left"/>
            </w:pPr>
            <w:r>
              <w:rPr>
                <w:sz w:val="18"/>
              </w:rPr>
              <w:t xml:space="preserve">metric id and version, value, threshold version, RAG; limit_type (incl. PCA_RT1–PCA_RT3), status, pseudonymised counterparty ref; loss taxonomy and three dates</w:t>
            </w:r>
          </w:p>
        </w:tc>
        <w:tc>
          <w:tcPr>
            <w:tcW w:w="1915" w:type="dxa"/>
          </w:tcPr>
          <w:p>
            <w:pPr>
              <w:pStyle w:val="Compact"/>
              <w:spacing w:after="40"/>
              <w:jc w:val="left"/>
            </w:pPr>
            <w:r>
              <w:rPr>
                <w:sz w:val="18"/>
              </w:rPr>
              <w:t xml:space="preserve">LDC, RE GRC</w:t>
            </w:r>
          </w:p>
        </w:tc>
      </w:tr>
    </w:tbl>
    <w:bookmarkEnd w:id="45"/>
    <w:bookmarkStart w:id="46" w:name="code-tables"/>
    <w:p>
      <w:pPr>
        <w:pStyle w:val="Heading2"/>
      </w:pPr>
      <w:r>
        <w:t xml:space="preserve">5.3 Code tables</w:t>
      </w:r>
    </w:p>
    <w:p>
      <w:pPr>
        <w:numPr>
          <w:ilvl w:val="0"/>
          <w:numId w:val="1012"/>
        </w:numPr>
        <w:pStyle w:val="Compact"/>
      </w:pPr>
      <w:r>
        <w:rPr>
          <w:rStyle w:val="VerbatimChar"/>
          <w:bCs/>
          <w:b/>
        </w:rPr>
        <w:t xml:space="preserve">collateral_type</w:t>
      </w:r>
      <w:r>
        <w:rPr>
          <w:bCs/>
          <w:b/>
        </w:rPr>
        <w:t xml:space="preserve">:</w:t>
      </w:r>
      <w:r>
        <w:t xml:space="preserve"> </w:t>
      </w:r>
      <w:r>
        <w:t xml:space="preserve">RESIDENTIAL_PROPERTY, COMMERCIAL_PROPERTY, PLOT, UNDER_CONSTRUCTION_AGREEMENT, VEHICLE, EQUIPMENT, STOCK, BOOK_DEBTS, RECEIVABLE_INVOICE, TREDS_FACTORING_UNIT, GOLD_JEWELLERY, SILVER_JEWELLERY, GOLD_COIN, LISTED_SHARE_DEMAT, BOND_DEMAT, MF_UNIT_SOA, MF_UNIT_DEMAT, FIXED_DEPOSIT, INSURANCE_POLICY, PERSONAL_GUARANTEE, CORPORATE_GUARANTEE, CREDIT_GUARANTEE_CGTMSE. Barred collateral is blocked by rule pack (primary-gold-backed units, CF para 35(2); own shares, para 105).</w:t>
      </w:r>
    </w:p>
    <w:p>
      <w:pPr>
        <w:numPr>
          <w:ilvl w:val="0"/>
          <w:numId w:val="1012"/>
        </w:numPr>
        <w:pStyle w:val="Compact"/>
      </w:pPr>
      <w:r>
        <w:rPr>
          <w:rStyle w:val="VerbatimChar"/>
          <w:bCs/>
          <w:b/>
        </w:rPr>
        <w:t xml:space="preserve">recovery_mechanism</w:t>
      </w:r>
      <w:r>
        <w:rPr>
          <w:bCs/>
          <w:b/>
        </w:rPr>
        <w:t xml:space="preserve">:</w:t>
      </w:r>
      <w:r>
        <w:t xml:space="preserve"> </w:t>
      </w:r>
      <w:r>
        <w:t xml:space="preserve">NEGOTIATION_OTS, CONCILIATION, MEDIATION, ARBITRATION, LOK_ADALAT, PERMANENT_LOK_ADALAT, S138_NI, S25_PSS, SARFAESI_S13, SARFAESI_S14, PLEDGE_SALE, CONTRACTUAL_REPOSSESSION, CIVIL_SUIT, ORDER_XXXVII, COMMERCIAL_S12A_MEDIATION, DRT_OA, IBC_S7, IBC_PG_S95, IBC_CLAIM, REVENUE_RECOVERY, SET_OFF, CGTMSE_CLAIM, DLG_INVOCATION, LOAN_SALE_ARC, WRITE_OFF; litigation adds SARFAESI_S17, DRAT_APPEAL, S9_INTERIM, S11_APPOINTMENT, S34_CHALLENGE, S36_EXECUTION, CONSUMER_COMPLAINT, WRIT_226, RBIOS (offensive and defensive).</w:t>
      </w:r>
    </w:p>
    <w:p>
      <w:pPr>
        <w:numPr>
          <w:ilvl w:val="0"/>
          <w:numId w:val="1012"/>
        </w:numPr>
        <w:pStyle w:val="Compact"/>
      </w:pPr>
      <w:r>
        <w:rPr>
          <w:rStyle w:val="VerbatimChar"/>
          <w:bCs/>
          <w:b/>
        </w:rPr>
        <w:t xml:space="preserve">legal_stage</w:t>
      </w:r>
      <w:r>
        <w:t xml:space="preserve"> </w:t>
      </w:r>
      <w:r>
        <w:t xml:space="preserve">(LSP projection): NONE, PRE_LEGAL, NOTICE_ISSUED, ADR_IN_PROGRESS, SETTLEMENT_IN_PROGRESS, ENFORCEMENT_IN_PROGRESS, LITIGATION_PENDING, DECREE_OR_AWARD, CLOSED; the RE approves borrower wording per stage.</w:t>
      </w:r>
    </w:p>
    <w:p>
      <w:r>
        <w:pict>
          <v:rect style="width:0;height:1.5pt" o:hralign="center" o:hrstd="t" o:hr="t"/>
        </w:pict>
      </w:r>
    </w:p>
    <w:bookmarkEnd w:id="46"/>
    <w:bookmarkEnd w:id="47"/>
    <w:bookmarkStart w:id="78" w:name="event-and-api-catalogue-v2"/>
    <w:p>
      <w:pPr>
        <w:pStyle w:val="Heading1"/>
      </w:pPr>
      <w:r>
        <w:t xml:space="preserve">6 — EVENT AND API CATALOGUE v2</w:t>
      </w:r>
    </w:p>
    <w:bookmarkStart w:id="48" w:name="reading-the-tables"/>
    <w:p>
      <w:pPr>
        <w:pStyle w:val="Heading2"/>
      </w:pPr>
      <w:r>
        <w:t xml:space="preserve">6.1 Reading the tables</w:t>
      </w:r>
    </w:p>
    <w:p>
      <w:pPr>
        <w:pStyle w:val="FirstParagraph"/>
      </w:pPr>
      <w:r>
        <w:rPr>
          <w:bCs/>
          <w:b/>
        </w:rPr>
        <w:t xml:space="preserve">Tags:</w:t>
      </w:r>
      <w:r>
        <w:t xml:space="preserve"> </w:t>
      </w:r>
      <w:r>
        <w:rPr>
          <w:bCs/>
          <w:b/>
        </w:rPr>
        <w:t xml:space="preserve">(E)</w:t>
      </w:r>
      <w:r>
        <w:t xml:space="preserve"> </w:t>
      </w:r>
      <w:r>
        <w:t xml:space="preserve">existing Finbyx Part 5.2 interface, unchanged;</w:t>
      </w:r>
      <w:r>
        <w:t xml:space="preserve"> </w:t>
      </w:r>
      <w:r>
        <w:rPr>
          <w:bCs/>
          <w:b/>
        </w:rPr>
        <w:t xml:space="preserve">(A)</w:t>
      </w:r>
      <w:r>
        <w:t xml:space="preserve"> </w:t>
      </w:r>
      <w:r>
        <w:t xml:space="preserve">one of the six Udofin Part 5.2 proposals,</w:t>
      </w:r>
      <w:r>
        <w:t xml:space="preserve"> </w:t>
      </w:r>
      <w:r>
        <w:rPr>
          <w:bCs/>
          <w:b/>
        </w:rPr>
        <w:t xml:space="preserve">adopted in v1.0 of this specification subject to approval by both the Finbyx and Udofin product owners</w:t>
      </w:r>
      <w:r>
        <w:t xml:space="preserve"> </w:t>
      </w:r>
      <w:r>
        <w:t xml:space="preserve">(until both approvals are recorded, send through the RE’s agreed manual channel and log);</w:t>
      </w:r>
      <w:r>
        <w:t xml:space="preserve"> </w:t>
      </w:r>
      <w:r>
        <w:rPr>
          <w:bCs/>
          <w:b/>
        </w:rPr>
        <w:t xml:space="preserve">(N)</w:t>
      </w:r>
      <w:r>
        <w:t xml:space="preserve"> </w:t>
      </w:r>
      <w:r>
        <w:t xml:space="preserve">new canonical name fixed in v1.0 for the Finbyx v1.4 and Udofin v1.1 prompts;</w:t>
      </w:r>
      <w:r>
        <w:t xml:space="preserve"> </w:t>
      </w:r>
      <w:r>
        <w:rPr>
          <w:bCs/>
          <w:b/>
        </w:rPr>
        <w:t xml:space="preserve">(N+)</w:t>
      </w:r>
      <w:r>
        <w:t xml:space="preserve"> </w:t>
      </w:r>
      <w:r>
        <w:t xml:space="preserve">added by this specification;</w:t>
      </w:r>
      <w:r>
        <w:t xml:space="preserve"> </w:t>
      </w:r>
      <w:r>
        <w:rPr>
          <w:bCs/>
          <w:b/>
        </w:rPr>
        <w:t xml:space="preserve">(N11)</w:t>
      </w:r>
      <w:r>
        <w:t xml:space="preserve"> </w:t>
      </w:r>
      <w:r>
        <w:t xml:space="preserve">new canonical name adopted in v1.1 for the Finbyx v1.5, Udofin v1.2 and Operations Hub v1.0 prompts (the (A) approval rule applies until the Finbyx and Udofin owners approve v1.1);</w:t>
      </w:r>
      <w:r>
        <w:t xml:space="preserve"> </w:t>
      </w:r>
      <w:r>
        <w:rPr>
          <w:bCs/>
          <w:b/>
        </w:rPr>
        <w:t xml:space="preserve">(N11+)</w:t>
      </w:r>
      <w:r>
        <w:t xml:space="preserve"> </w:t>
      </w:r>
      <w:r>
        <w:t xml:space="preserve">API or field added by v1.1.</w:t>
      </w:r>
      <w:r>
        <w:t xml:space="preserve"> </w:t>
      </w:r>
      <w:r>
        <w:rPr>
          <w:bCs/>
          <w:b/>
        </w:rPr>
        <w:t xml:space="preserve">Signed</w:t>
      </w:r>
      <w:r>
        <w:t xml:space="preserve"> </w:t>
      </w:r>
      <w:r>
        <w:t xml:space="preserve">= regulated message (3.6);</w:t>
      </w:r>
      <w:r>
        <w:t xml:space="preserve"> </w:t>
      </w:r>
      <w:r>
        <w:rPr>
          <w:bCs/>
          <w:b/>
        </w:rPr>
        <w:t xml:space="preserve">API</w:t>
      </w:r>
      <w:r>
        <w:t xml:space="preserve"> </w:t>
      </w:r>
      <w:r>
        <w:t xml:space="preserve">= synchronous. Parties as Part 5.1 plus</w:t>
      </w:r>
      <w:r>
        <w:t xml:space="preserve"> </w:t>
      </w:r>
      <w:r>
        <w:rPr>
          <w:bCs/>
          <w:b/>
        </w:rPr>
        <w:t xml:space="preserve">AGY</w:t>
      </w:r>
      <w:r>
        <w:t xml:space="preserve"> </w:t>
      </w:r>
      <w:r>
        <w:t xml:space="preserve">agency or dialler,</w:t>
      </w:r>
      <w:r>
        <w:t xml:space="preserve"> </w:t>
      </w:r>
      <w:r>
        <w:rPr>
          <w:bCs/>
          <w:b/>
        </w:rPr>
        <w:t xml:space="preserve">FIA</w:t>
      </w:r>
      <w:r>
        <w:t xml:space="preserve"> </w:t>
      </w:r>
      <w:r>
        <w:t xml:space="preserve">field-investigation app,</w:t>
      </w:r>
      <w:r>
        <w:t xml:space="preserve"> </w:t>
      </w:r>
      <w:r>
        <w:rPr>
          <w:bCs/>
          <w:b/>
        </w:rPr>
        <w:t xml:space="preserve">CL</w:t>
      </w:r>
      <w:r>
        <w:t xml:space="preserve"> </w:t>
      </w:r>
      <w:r>
        <w:t xml:space="preserve">co-lender,</w:t>
      </w:r>
      <w:r>
        <w:t xml:space="preserve"> </w:t>
      </w:r>
      <w:r>
        <w:rPr>
          <w:bCs/>
          <w:b/>
        </w:rPr>
        <w:t xml:space="preserve">DSP</w:t>
      </w:r>
      <w:r>
        <w:t xml:space="preserve"> </w:t>
      </w:r>
      <w:r>
        <w:t xml:space="preserve">dispatch adapter,</w:t>
      </w:r>
      <w:r>
        <w:t xml:space="preserve"> </w:t>
      </w:r>
      <w:r>
        <w:rPr>
          <w:bCs/>
          <w:b/>
        </w:rPr>
        <w:t xml:space="preserve">CDA</w:t>
      </w:r>
      <w:r>
        <w:t xml:space="preserve"> </w:t>
      </w:r>
      <w:r>
        <w:t xml:space="preserve">court-data adapter,</w:t>
      </w:r>
      <w:r>
        <w:t xml:space="preserve"> </w:t>
      </w:r>
      <w:r>
        <w:rPr>
          <w:bCs/>
          <w:b/>
        </w:rPr>
        <w:t xml:space="preserve">OH</w:t>
      </w:r>
      <w:r>
        <w:t xml:space="preserve"> </w:t>
      </w:r>
      <w:r>
        <w:t xml:space="preserve">Operations Hub,</w:t>
      </w:r>
      <w:r>
        <w:t xml:space="preserve"> </w:t>
      </w:r>
      <w:r>
        <w:rPr>
          <w:bCs/>
          <w:b/>
        </w:rPr>
        <w:t xml:space="preserve">INS</w:t>
      </w:r>
      <w:r>
        <w:t xml:space="preserve"> </w:t>
      </w:r>
      <w:r>
        <w:t xml:space="preserve">insurer or registered insurance partner,</w:t>
      </w:r>
      <w:r>
        <w:t xml:space="preserve"> </w:t>
      </w:r>
      <w:r>
        <w:rPr>
          <w:bCs/>
          <w:b/>
        </w:rPr>
        <w:t xml:space="preserve">CIC</w:t>
      </w:r>
      <w:r>
        <w:t xml:space="preserve"> </w:t>
      </w:r>
      <w:r>
        <w:t xml:space="preserve">credit information company,</w:t>
      </w:r>
      <w:r>
        <w:t xml:space="preserve"> </w:t>
      </w:r>
      <w:r>
        <w:rPr>
          <w:bCs/>
          <w:b/>
        </w:rPr>
        <w:t xml:space="preserve">TR</w:t>
      </w:r>
      <w:r>
        <w:t xml:space="preserve"> </w:t>
      </w:r>
      <w:r>
        <w:t xml:space="preserve">securitisation trustee or SPE,</w:t>
      </w:r>
      <w:r>
        <w:t xml:space="preserve"> </w:t>
      </w:r>
      <w:r>
        <w:rPr>
          <w:bCs/>
          <w:b/>
        </w:rPr>
        <w:t xml:space="preserve">SOC</w:t>
      </w:r>
      <w:r>
        <w:t xml:space="preserve"> </w:t>
      </w:r>
      <w:r>
        <w:t xml:space="preserve">a non-RE lender’s (society’s) own system; an RE on another LMS takes the FX role, and FIA working for an appointed agent takes the AGY role in 6.7 (allocations, activity, PTP, visits, receipts). The idempotency key is the consumer’s business unique constraint (besides</w:t>
      </w:r>
      <w:r>
        <w:t xml:space="preserve"> </w:t>
      </w:r>
      <w:r>
        <w:rPr>
          <w:rStyle w:val="VerbatimChar"/>
        </w:rPr>
        <w:t xml:space="preserve">(source, id)</w:t>
      </w:r>
      <w:r>
        <w:t xml:space="preserve">).</w:t>
      </w:r>
      <w:r>
        <w:t xml:space="preserve"> </w:t>
      </w:r>
      <w:r>
        <w:rPr>
          <w:bCs/>
          <w:b/>
        </w:rPr>
        <w:t xml:space="preserve">std</w:t>
      </w:r>
      <w:r>
        <w:t xml:space="preserve"> </w:t>
      </w:r>
      <w:r>
        <w:t xml:space="preserve">= delivery p95 ≤ 5 minutes (3.8). LSP consumers receive</w:t>
      </w:r>
      <w:r>
        <w:t xml:space="preserve"> </w:t>
      </w:r>
      <w:r>
        <w:rPr>
          <w:rStyle w:val="VerbatimChar"/>
        </w:rPr>
        <w:t xml:space="preserve">.lsp</w:t>
      </w:r>
      <w:r>
        <w:t xml:space="preserve"> </w:t>
      </w:r>
      <w:r>
        <w:t xml:space="preserve">projections; scopes in 4.5. Events in 6.18–6.30 carry</w:t>
      </w:r>
      <w:r>
        <w:t xml:space="preserve"> </w:t>
      </w:r>
      <w:r>
        <w:rPr>
          <w:rStyle w:val="VerbatimChar"/>
        </w:rPr>
        <w:t xml:space="preserve">productfamily = na</w:t>
      </w:r>
      <w:r>
        <w:t xml:space="preserve"> </w:t>
      </w:r>
      <w:r>
        <w:t xml:space="preserve">unless they concern one loan; every subscription to them is checked at registration against the routing rules of its section (for example 6.23 tenant-internal, 6.27 aggregates only to the Hub, 6.30 Udofin and insurer only).</w:t>
      </w:r>
    </w:p>
    <w:bookmarkEnd w:id="48"/>
    <w:bookmarkStart w:id="49" w:name="origination-origination"/>
    <w:p>
      <w:pPr>
        <w:pStyle w:val="Heading2"/>
      </w:pPr>
      <w:r>
        <w:t xml:space="preserve">6.2 Origination (</w:t>
      </w:r>
      <w:r>
        <w:rPr>
          <w:rStyle w:val="VerbatimChar"/>
        </w:rPr>
        <w:t xml:space="preserve">origination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68"/>
        <w:gridCol w:w="890"/>
        <w:gridCol w:w="1314"/>
        <w:gridCol w:w="2347"/>
        <w:gridCol w:w="1022"/>
        <w:gridCol w:w="1106"/>
        <w:gridCol w:w="1591"/>
      </w:tblGrid>
      <w:tr>
        <w:trPr>
          <w:tblHeader w:val="true"/>
          <w:tblHeader w:val="true"/>
        </w:trPr>
        <w:tc>
          <w:tcPr>
            <w:tcW w:w="1368" w:type="dxa"/>
            <w:shd w:val="clear" w:color="auto" w:fill="1F3A5F"/>
          </w:tcPr>
          <w:p>
            <w:pPr>
              <w:pStyle w:val="Compact"/>
              <w:spacing w:after="40"/>
              <w:jc w:val="left"/>
            </w:pPr>
            <w:r>
              <w:rPr>
                <w:b/>
                <w:color w:val="FFFFFF"/>
                <w:sz w:val="18"/>
              </w:rPr>
              <w:t xml:space="preserve">Event or API</w:t>
            </w:r>
          </w:p>
        </w:tc>
        <w:tc>
          <w:tcPr>
            <w:tcW w:w="890" w:type="dxa"/>
            <w:shd w:val="clear" w:color="auto" w:fill="1F3A5F"/>
          </w:tcPr>
          <w:p>
            <w:pPr>
              <w:pStyle w:val="Compact"/>
              <w:spacing w:after="40"/>
              <w:jc w:val="left"/>
            </w:pPr>
            <w:r>
              <w:rPr>
                <w:b/>
                <w:color w:val="FFFFFF"/>
                <w:sz w:val="18"/>
              </w:rPr>
              <w:t xml:space="preserve">Producer → consumer(s)</w:t>
            </w:r>
          </w:p>
        </w:tc>
        <w:tc>
          <w:tcPr>
            <w:tcW w:w="1314" w:type="dxa"/>
            <w:shd w:val="clear" w:color="auto" w:fill="1F3A5F"/>
          </w:tcPr>
          <w:p>
            <w:pPr>
              <w:pStyle w:val="Compact"/>
              <w:spacing w:after="40"/>
              <w:jc w:val="left"/>
            </w:pPr>
            <w:r>
              <w:rPr>
                <w:b/>
                <w:color w:val="FFFFFF"/>
                <w:sz w:val="18"/>
              </w:rPr>
              <w:t xml:space="preserve">Trigger</w:t>
            </w:r>
          </w:p>
        </w:tc>
        <w:tc>
          <w:tcPr>
            <w:tcW w:w="2347" w:type="dxa"/>
            <w:shd w:val="clear" w:color="auto" w:fill="1F3A5F"/>
          </w:tcPr>
          <w:p>
            <w:pPr>
              <w:pStyle w:val="Compact"/>
              <w:spacing w:after="40"/>
              <w:jc w:val="left"/>
            </w:pPr>
            <w:r>
              <w:rPr>
                <w:b/>
                <w:color w:val="FFFFFF"/>
                <w:sz w:val="18"/>
              </w:rPr>
              <w:t xml:space="preserve">Key payload fields</w:t>
            </w:r>
          </w:p>
        </w:tc>
        <w:tc>
          <w:tcPr>
            <w:tcW w:w="1022" w:type="dxa"/>
            <w:shd w:val="clear" w:color="auto" w:fill="1F3A5F"/>
          </w:tcPr>
          <w:p>
            <w:pPr>
              <w:pStyle w:val="Compact"/>
              <w:spacing w:after="40"/>
              <w:jc w:val="left"/>
            </w:pPr>
            <w:r>
              <w:rPr>
                <w:b/>
                <w:color w:val="FFFFFF"/>
                <w:sz w:val="18"/>
              </w:rPr>
              <w:t xml:space="preserve">Owner</w:t>
            </w:r>
          </w:p>
        </w:tc>
        <w:tc>
          <w:tcPr>
            <w:tcW w:w="1106" w:type="dxa"/>
            <w:shd w:val="clear" w:color="auto" w:fill="1F3A5F"/>
          </w:tcPr>
          <w:p>
            <w:pPr>
              <w:pStyle w:val="Compact"/>
              <w:spacing w:after="40"/>
              <w:jc w:val="left"/>
            </w:pPr>
            <w:r>
              <w:rPr>
                <w:b/>
                <w:color w:val="FFFFFF"/>
                <w:sz w:val="18"/>
              </w:rPr>
              <w:t xml:space="preserve">Idempotency key</w:t>
            </w:r>
          </w:p>
        </w:tc>
        <w:tc>
          <w:tcPr>
            <w:tcW w:w="1591" w:type="dxa"/>
            <w:shd w:val="clear" w:color="auto" w:fill="1F3A5F"/>
          </w:tcPr>
          <w:p>
            <w:pPr>
              <w:pStyle w:val="Compact"/>
              <w:spacing w:after="40"/>
              <w:jc w:val="left"/>
            </w:pPr>
            <w:r>
              <w:rPr>
                <w:b/>
                <w:color w:val="FFFFFF"/>
                <w:sz w:val="18"/>
              </w:rPr>
              <w:t xml:space="preserve">SLA</w:t>
            </w:r>
          </w:p>
        </w:tc>
      </w:tr>
      <w:tr>
        <w:tc>
          <w:tcPr>
            <w:tcW w:w="1368" w:type="dxa"/>
          </w:tcPr>
          <w:p>
            <w:pPr>
              <w:pStyle w:val="Compact"/>
              <w:spacing w:after="40"/>
              <w:jc w:val="left"/>
            </w:pPr>
            <w:r>
              <w:rPr>
                <w:rStyle w:val="VerbatimChar"/>
                <w:sz w:val="18"/>
              </w:rPr>
              <w:t xml:space="preserve">ProductCatalogPublished</w:t>
            </w:r>
            <w:r>
              <w:rPr>
                <w:sz w:val="18"/>
              </w:rPr>
              <w:t xml:space="preserve"> </w:t>
            </w:r>
            <w:r>
              <w:rPr>
                <w:sz w:val="18"/>
              </w:rPr>
              <w:t xml:space="preserve">(E)</w:t>
            </w:r>
          </w:p>
        </w:tc>
        <w:tc>
          <w:tcPr>
            <w:tcW w:w="890" w:type="dxa"/>
          </w:tcPr>
          <w:p>
            <w:pPr>
              <w:pStyle w:val="Compact"/>
              <w:spacing w:after="40"/>
              <w:jc w:val="left"/>
            </w:pPr>
            <w:r>
              <w:rPr>
                <w:sz w:val="18"/>
              </w:rPr>
              <w:t xml:space="preserve">FX → UD, other LSPs</w:t>
            </w:r>
          </w:p>
        </w:tc>
        <w:tc>
          <w:tcPr>
            <w:tcW w:w="1314" w:type="dxa"/>
          </w:tcPr>
          <w:p>
            <w:pPr>
              <w:pStyle w:val="Compact"/>
              <w:spacing w:after="40"/>
              <w:jc w:val="left"/>
            </w:pPr>
            <w:r>
              <w:rPr>
                <w:sz w:val="18"/>
              </w:rPr>
              <w:t xml:space="preserve">RE approves a product version</w:t>
            </w:r>
          </w:p>
        </w:tc>
        <w:tc>
          <w:tcPr>
            <w:tcW w:w="2347" w:type="dxa"/>
          </w:tcPr>
          <w:p>
            <w:pPr>
              <w:pStyle w:val="Compact"/>
              <w:spacing w:after="40"/>
              <w:jc w:val="left"/>
            </w:pPr>
            <w:r>
              <w:rPr>
                <w:sz w:val="18"/>
              </w:rPr>
              <w:t xml:space="preserve">product_code, version, eligibility, pricing grid, charges, KFS template, cooling-off days, grievance contacts, DLA disclosures, LAS haircut-table version</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(product_code, version)</w:t>
            </w:r>
          </w:p>
        </w:tc>
        <w:tc>
          <w:tcPr>
            <w:tcW w:w="1591" w:type="dxa"/>
          </w:tcPr>
          <w:p>
            <w:pPr>
              <w:pStyle w:val="Compact"/>
              <w:spacing w:after="40"/>
              <w:jc w:val="left"/>
            </w:pPr>
            <w:r>
              <w:rPr>
                <w:sz w:val="18"/>
              </w:rPr>
              <w:t xml:space="preserve">Before effective date; UD live after RE approval (CMP paras 15(2), 31)</w:t>
            </w:r>
          </w:p>
        </w:tc>
      </w:tr>
      <w:tr>
        <w:tc>
          <w:tcPr>
            <w:tcW w:w="1368" w:type="dxa"/>
          </w:tcPr>
          <w:p>
            <w:pPr>
              <w:pStyle w:val="Compact"/>
              <w:spacing w:after="40"/>
              <w:jc w:val="left"/>
            </w:pPr>
            <w:r>
              <w:rPr>
                <w:rStyle w:val="VerbatimChar"/>
                <w:sz w:val="18"/>
              </w:rPr>
              <w:t xml:space="preserve">EligibilityCheck</w:t>
            </w:r>
            <w:r>
              <w:rPr>
                <w:sz w:val="18"/>
              </w:rPr>
              <w:t xml:space="preserve"> </w:t>
            </w:r>
            <w:r>
              <w:rPr>
                <w:sz w:val="18"/>
              </w:rPr>
              <w:t xml:space="preserve">(E) API</w:t>
            </w:r>
            <w:r>
              <w:rPr>
                <w:sz w:val="18"/>
              </w:rPr>
              <w:t xml:space="preserve"> </w:t>
            </w:r>
            <w:r>
              <w:rPr>
                <w:rStyle w:val="VerbatimChar"/>
                <w:sz w:val="18"/>
              </w:rPr>
              <w:t xml:space="preserve">POST /v1/eligibility-checks</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Borrower asks for offers</w:t>
            </w:r>
          </w:p>
        </w:tc>
        <w:tc>
          <w:tcPr>
            <w:tcW w:w="2347" w:type="dxa"/>
          </w:tcPr>
          <w:p>
            <w:pPr>
              <w:pStyle w:val="Compact"/>
              <w:spacing w:after="40"/>
              <w:jc w:val="left"/>
            </w:pPr>
            <w:r>
              <w:rPr>
                <w:sz w:val="18"/>
              </w:rPr>
              <w:t xml:space="preserve">minimum consented fields, consentref</w:t>
            </w:r>
          </w:p>
        </w:tc>
        <w:tc>
          <w:tcPr>
            <w:tcW w:w="1022" w:type="dxa"/>
          </w:tcPr>
          <w:p>
            <w:pPr>
              <w:pStyle w:val="Compact"/>
              <w:spacing w:after="40"/>
              <w:jc w:val="left"/>
            </w:pPr>
            <w:r>
              <w:rPr>
                <w:sz w:val="18"/>
              </w:rPr>
              <w:t xml:space="preserve">FX (RE BRE, rule version)</w:t>
            </w:r>
          </w:p>
        </w:tc>
        <w:tc>
          <w:tcPr>
            <w:tcW w:w="1106" w:type="dxa"/>
          </w:tcPr>
          <w:p>
            <w:pPr>
              <w:pStyle w:val="Compact"/>
              <w:spacing w:after="40"/>
              <w:jc w:val="left"/>
            </w:pPr>
            <w:r>
              <w:rPr>
                <w:sz w:val="18"/>
              </w:rPr>
              <w:t xml:space="preserve">Idempotency-Key</w:t>
            </w:r>
          </w:p>
        </w:tc>
        <w:tc>
          <w:tcPr>
            <w:tcW w:w="1591" w:type="dxa"/>
          </w:tcPr>
          <w:p>
            <w:pPr>
              <w:pStyle w:val="Compact"/>
              <w:spacing w:after="40"/>
              <w:jc w:val="left"/>
            </w:pPr>
            <w:r>
              <w:rPr>
                <w:sz w:val="18"/>
              </w:rPr>
              <w:t xml:space="preserve">≤ 3 s; timeout =</w:t>
            </w:r>
            <w:r>
              <w:rPr>
                <w:sz w:val="18"/>
              </w:rPr>
              <w:t xml:space="preserve"> </w:t>
            </w:r>
            <w:r>
              <w:rPr>
                <w:sz w:val="18"/>
              </w:rPr>
              <w:t xml:space="preserve">“</w:t>
            </w:r>
            <w:r>
              <w:rPr>
                <w:sz w:val="18"/>
              </w:rPr>
              <w:t xml:space="preserve">lender unavailable</w:t>
            </w:r>
            <w:r>
              <w:rPr>
                <w:sz w:val="18"/>
              </w:rPr>
              <w:t xml:space="preserve">”</w:t>
            </w:r>
          </w:p>
        </w:tc>
      </w:tr>
      <w:tr>
        <w:tc>
          <w:tcPr>
            <w:tcW w:w="1368" w:type="dxa"/>
          </w:tcPr>
          <w:p>
            <w:pPr>
              <w:pStyle w:val="Compact"/>
              <w:spacing w:after="40"/>
              <w:jc w:val="left"/>
            </w:pPr>
            <w:r>
              <w:rPr>
                <w:rStyle w:val="VerbatimChar"/>
                <w:sz w:val="18"/>
              </w:rPr>
              <w:t xml:space="preserve">ApplicationSubmitted</w:t>
            </w:r>
            <w:r>
              <w:rPr>
                <w:sz w:val="18"/>
              </w:rPr>
              <w:t xml:space="preserve"> </w:t>
            </w:r>
            <w:r>
              <w:rPr>
                <w:sz w:val="18"/>
              </w:rPr>
              <w:t xml:space="preserve">(E)</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Borrower submits</w:t>
            </w:r>
          </w:p>
        </w:tc>
        <w:tc>
          <w:tcPr>
            <w:tcW w:w="2347" w:type="dxa"/>
          </w:tcPr>
          <w:p>
            <w:pPr>
              <w:pStyle w:val="Compact"/>
              <w:spacing w:after="40"/>
              <w:jc w:val="left"/>
            </w:pPr>
            <w:r>
              <w:rPr>
                <w:sz w:val="18"/>
              </w:rPr>
              <w:t xml:space="preserve">applicants, KYC evidence refs (KYC para 13), OTP e-KYC declaration (para 25(8)), bureau and AA refs, documents, consents, household data (CF para 51)</w:t>
            </w:r>
          </w:p>
        </w:tc>
        <w:tc>
          <w:tcPr>
            <w:tcW w:w="1022" w:type="dxa"/>
          </w:tcPr>
          <w:p>
            <w:pPr>
              <w:pStyle w:val="Compact"/>
              <w:spacing w:after="40"/>
              <w:jc w:val="left"/>
            </w:pPr>
            <w:r>
              <w:rPr>
                <w:sz w:val="18"/>
              </w:rPr>
              <w:t xml:space="preserve">UD; FX once submitted</w:t>
            </w:r>
          </w:p>
        </w:tc>
        <w:tc>
          <w:tcPr>
            <w:tcW w:w="1106" w:type="dxa"/>
          </w:tcPr>
          <w:p>
            <w:pPr>
              <w:pStyle w:val="Compact"/>
              <w:spacing w:after="40"/>
              <w:jc w:val="left"/>
            </w:pPr>
            <w:r>
              <w:rPr>
                <w:sz w:val="18"/>
              </w:rPr>
              <w:t xml:space="preserve">lsp_application_ref</w:t>
            </w:r>
          </w:p>
        </w:tc>
        <w:tc>
          <w:tcPr>
            <w:tcW w:w="1591" w:type="dxa"/>
          </w:tcPr>
          <w:p>
            <w:pPr>
              <w:pStyle w:val="Compact"/>
              <w:spacing w:after="40"/>
              <w:jc w:val="left"/>
            </w:pPr>
            <w:r>
              <w:rPr>
                <w:sz w:val="18"/>
              </w:rPr>
              <w:t xml:space="preserve">Ack ≤ 5 min</w:t>
            </w:r>
          </w:p>
        </w:tc>
      </w:tr>
      <w:tr>
        <w:tc>
          <w:tcPr>
            <w:tcW w:w="1368" w:type="dxa"/>
          </w:tcPr>
          <w:p>
            <w:pPr>
              <w:pStyle w:val="Compact"/>
              <w:spacing w:after="40"/>
              <w:jc w:val="left"/>
            </w:pPr>
            <w:r>
              <w:rPr>
                <w:rStyle w:val="VerbatimChar"/>
                <w:sz w:val="18"/>
              </w:rPr>
              <w:t xml:space="preserve">ApplicationStatusChanged</w:t>
            </w:r>
            <w:r>
              <w:rPr>
                <w:sz w:val="18"/>
              </w:rPr>
              <w:t xml:space="preserve"> </w:t>
            </w:r>
            <w:r>
              <w:rPr>
                <w:sz w:val="18"/>
              </w:rPr>
              <w:t xml:space="preserve">(E)</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State change</w:t>
            </w:r>
          </w:p>
        </w:tc>
        <w:tc>
          <w:tcPr>
            <w:tcW w:w="2347" w:type="dxa"/>
          </w:tcPr>
          <w:p>
            <w:pPr>
              <w:pStyle w:val="Compact"/>
              <w:spacing w:after="40"/>
              <w:jc w:val="left"/>
            </w:pPr>
            <w:r>
              <w:rPr>
                <w:sz w:val="18"/>
              </w:rPr>
              <w:t xml:space="preserve">from, to, reason_code</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(application_id, seq)</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AdditionalInfoRequested</w:t>
            </w:r>
            <w:r>
              <w:rPr>
                <w:sz w:val="18"/>
              </w:rPr>
              <w:t xml:space="preserve"> </w:t>
            </w:r>
            <w:r>
              <w:rPr>
                <w:sz w:val="18"/>
              </w:rPr>
              <w:t xml:space="preserve">(E)</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RE query</w:t>
            </w:r>
          </w:p>
        </w:tc>
        <w:tc>
          <w:tcPr>
            <w:tcW w:w="2347" w:type="dxa"/>
          </w:tcPr>
          <w:p>
            <w:pPr>
              <w:pStyle w:val="Compact"/>
              <w:spacing w:after="40"/>
              <w:jc w:val="left"/>
            </w:pPr>
            <w:r>
              <w:rPr>
                <w:sz w:val="18"/>
              </w:rPr>
              <w:t xml:space="preserve">request_id, items, due date</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request_id</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DecisionMade</w:t>
            </w:r>
            <w:r>
              <w:rPr>
                <w:sz w:val="18"/>
              </w:rPr>
              <w:t xml:space="preserve"> </w:t>
            </w:r>
            <w:r>
              <w:rPr>
                <w:sz w:val="18"/>
              </w:rPr>
              <w:t xml:space="preserve">(E) signed</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Sanction or rejection</w:t>
            </w:r>
          </w:p>
        </w:tc>
        <w:tc>
          <w:tcPr>
            <w:tcW w:w="2347" w:type="dxa"/>
          </w:tcPr>
          <w:p>
            <w:pPr>
              <w:pStyle w:val="Compact"/>
              <w:spacing w:after="40"/>
              <w:jc w:val="left"/>
            </w:pPr>
            <w:r>
              <w:rPr>
                <w:sz w:val="18"/>
              </w:rPr>
              <w:t xml:space="preserve">decision, reason codes, rule version, offers</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(application_id, decision_version)</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KFSIssued</w:t>
            </w:r>
            <w:r>
              <w:rPr>
                <w:sz w:val="18"/>
              </w:rPr>
              <w:t xml:space="preserve"> </w:t>
            </w:r>
            <w:r>
              <w:rPr>
                <w:sz w:val="18"/>
              </w:rPr>
              <w:t xml:space="preserve">(E) signed</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KFS generated</w:t>
            </w:r>
          </w:p>
        </w:tc>
        <w:tc>
          <w:tcPr>
            <w:tcW w:w="2347" w:type="dxa"/>
          </w:tcPr>
          <w:p>
            <w:pPr>
              <w:pStyle w:val="Compact"/>
              <w:spacing w:after="40"/>
              <w:jc w:val="left"/>
            </w:pPr>
            <w:r>
              <w:rPr>
                <w:sz w:val="18"/>
              </w:rPr>
              <w:t xml:space="preserve">proposal_no, validity_expiry, APR, document hash</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(kfs_id, version)</w:t>
            </w:r>
          </w:p>
        </w:tc>
        <w:tc>
          <w:tcPr>
            <w:tcW w:w="1591" w:type="dxa"/>
          </w:tcPr>
          <w:p>
            <w:pPr>
              <w:pStyle w:val="Compact"/>
              <w:spacing w:after="40"/>
              <w:jc w:val="left"/>
            </w:pPr>
            <w:r>
              <w:rPr>
                <w:sz w:val="18"/>
              </w:rPr>
              <w:t xml:space="preserve">Before acceptance</w:t>
            </w:r>
          </w:p>
        </w:tc>
      </w:tr>
      <w:tr>
        <w:tc>
          <w:tcPr>
            <w:tcW w:w="1368" w:type="dxa"/>
          </w:tcPr>
          <w:p>
            <w:pPr>
              <w:pStyle w:val="Compact"/>
              <w:spacing w:after="40"/>
              <w:jc w:val="left"/>
            </w:pPr>
            <w:r>
              <w:rPr>
                <w:rStyle w:val="VerbatimChar"/>
                <w:sz w:val="18"/>
              </w:rPr>
              <w:t xml:space="preserve">SanctionLetterIssued</w:t>
            </w:r>
            <w:r>
              <w:rPr>
                <w:sz w:val="18"/>
              </w:rPr>
              <w:t xml:space="preserve"> </w:t>
            </w:r>
            <w:r>
              <w:rPr>
                <w:sz w:val="18"/>
              </w:rPr>
              <w:t xml:space="preserve">(E) signed</w:t>
            </w:r>
          </w:p>
        </w:tc>
        <w:tc>
          <w:tcPr>
            <w:tcW w:w="890" w:type="dxa"/>
          </w:tcPr>
          <w:p>
            <w:pPr>
              <w:pStyle w:val="Compact"/>
              <w:spacing w:after="40"/>
              <w:jc w:val="left"/>
            </w:pPr>
            <w:r>
              <w:rPr>
                <w:sz w:val="18"/>
              </w:rPr>
              <w:t xml:space="preserve">FX → UD</w:t>
            </w:r>
          </w:p>
        </w:tc>
        <w:tc>
          <w:tcPr>
            <w:tcW w:w="1314" w:type="dxa"/>
          </w:tcPr>
          <w:p>
            <w:pPr>
              <w:pStyle w:val="Compact"/>
              <w:spacing w:after="40"/>
              <w:jc w:val="left"/>
            </w:pPr>
            <w:r>
              <w:rPr>
                <w:sz w:val="18"/>
              </w:rPr>
              <w:t xml:space="preserve">Sanction letter generated</w:t>
            </w:r>
          </w:p>
        </w:tc>
        <w:tc>
          <w:tcPr>
            <w:tcW w:w="2347" w:type="dxa"/>
          </w:tcPr>
          <w:p>
            <w:pPr>
              <w:pStyle w:val="Compact"/>
              <w:spacing w:after="40"/>
              <w:jc w:val="left"/>
            </w:pPr>
            <w:r>
              <w:rPr>
                <w:sz w:val="18"/>
              </w:rPr>
              <w:t xml:space="preserve">sanction_id, terms, document hash</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(sanction_id, version)</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BorrowerAccepted</w:t>
            </w:r>
            <w:r>
              <w:rPr>
                <w:sz w:val="18"/>
              </w:rPr>
              <w:t xml:space="preserve"> </w:t>
            </w:r>
            <w:r>
              <w:rPr>
                <w:sz w:val="18"/>
              </w:rPr>
              <w:t xml:space="preserve">(E)</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Acceptance within KFS validity</w:t>
            </w:r>
          </w:p>
        </w:tc>
        <w:tc>
          <w:tcPr>
            <w:tcW w:w="2347" w:type="dxa"/>
          </w:tcPr>
          <w:p>
            <w:pPr>
              <w:pStyle w:val="Compact"/>
              <w:spacing w:after="40"/>
              <w:jc w:val="left"/>
            </w:pPr>
            <w:r>
              <w:rPr>
                <w:sz w:val="18"/>
              </w:rPr>
              <w:t xml:space="preserve">accepted_at, explanation acknowledgement</w:t>
            </w:r>
          </w:p>
        </w:tc>
        <w:tc>
          <w:tcPr>
            <w:tcW w:w="1022" w:type="dxa"/>
          </w:tcPr>
          <w:p>
            <w:pPr>
              <w:pStyle w:val="Compact"/>
              <w:spacing w:after="40"/>
              <w:jc w:val="left"/>
            </w:pPr>
            <w:r>
              <w:rPr>
                <w:sz w:val="18"/>
              </w:rPr>
              <w:t xml:space="preserve">UD evidence</w:t>
            </w:r>
          </w:p>
        </w:tc>
        <w:tc>
          <w:tcPr>
            <w:tcW w:w="1106" w:type="dxa"/>
          </w:tcPr>
          <w:p>
            <w:pPr>
              <w:pStyle w:val="Compact"/>
              <w:spacing w:after="40"/>
              <w:jc w:val="left"/>
            </w:pPr>
            <w:r>
              <w:rPr>
                <w:sz w:val="18"/>
              </w:rPr>
              <w:t xml:space="preserve">kfs_id</w:t>
            </w:r>
          </w:p>
        </w:tc>
        <w:tc>
          <w:tcPr>
            <w:tcW w:w="1591" w:type="dxa"/>
          </w:tcPr>
          <w:p>
            <w:pPr>
              <w:pStyle w:val="Compact"/>
              <w:spacing w:after="40"/>
              <w:jc w:val="left"/>
            </w:pPr>
            <w:r>
              <w:rPr>
                <w:sz w:val="18"/>
              </w:rPr>
              <w:t xml:space="preserve">Rejected after validity</w:t>
            </w:r>
          </w:p>
        </w:tc>
      </w:tr>
      <w:tr>
        <w:tc>
          <w:tcPr>
            <w:tcW w:w="1368" w:type="dxa"/>
          </w:tcPr>
          <w:p>
            <w:pPr>
              <w:pStyle w:val="Compact"/>
              <w:spacing w:after="40"/>
              <w:jc w:val="left"/>
            </w:pPr>
            <w:r>
              <w:rPr>
                <w:rStyle w:val="VerbatimChar"/>
                <w:sz w:val="18"/>
              </w:rPr>
              <w:t xml:space="preserve">ESignCompleted</w:t>
            </w:r>
            <w:r>
              <w:rPr>
                <w:sz w:val="18"/>
              </w:rPr>
              <w:t xml:space="preserve"> </w:t>
            </w:r>
            <w:r>
              <w:rPr>
                <w:sz w:val="18"/>
              </w:rPr>
              <w:t xml:space="preserve">(E) signed</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ESP confirms</w:t>
            </w:r>
          </w:p>
        </w:tc>
        <w:tc>
          <w:tcPr>
            <w:tcW w:w="2347" w:type="dxa"/>
          </w:tcPr>
          <w:p>
            <w:pPr>
              <w:pStyle w:val="Compact"/>
              <w:spacing w:after="40"/>
              <w:jc w:val="left"/>
            </w:pPr>
            <w:r>
              <w:rPr>
                <w:sz w:val="18"/>
              </w:rPr>
              <w:t xml:space="preserve">ESP txn id, certificate, signed hash; never a bare flag</w:t>
            </w:r>
          </w:p>
        </w:tc>
        <w:tc>
          <w:tcPr>
            <w:tcW w:w="1022" w:type="dxa"/>
          </w:tcPr>
          <w:p>
            <w:pPr>
              <w:pStyle w:val="Compact"/>
              <w:spacing w:after="40"/>
              <w:jc w:val="left"/>
            </w:pPr>
            <w:r>
              <w:rPr>
                <w:sz w:val="18"/>
              </w:rPr>
              <w:t xml:space="preserve">UD evidence</w:t>
            </w:r>
          </w:p>
        </w:tc>
        <w:tc>
          <w:tcPr>
            <w:tcW w:w="1106" w:type="dxa"/>
          </w:tcPr>
          <w:p>
            <w:pPr>
              <w:pStyle w:val="Compact"/>
              <w:spacing w:after="40"/>
              <w:jc w:val="left"/>
            </w:pPr>
            <w:r>
              <w:rPr>
                <w:sz w:val="18"/>
              </w:rPr>
              <w:t xml:space="preserve">(document_id, esp_txn_id)</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EStampCompleted</w:t>
            </w:r>
            <w:r>
              <w:rPr>
                <w:sz w:val="18"/>
              </w:rPr>
              <w:t xml:space="preserve"> </w:t>
            </w:r>
            <w:r>
              <w:rPr>
                <w:sz w:val="18"/>
              </w:rPr>
              <w:t xml:space="preserve">(E) signed</w:t>
            </w:r>
          </w:p>
        </w:tc>
        <w:tc>
          <w:tcPr>
            <w:tcW w:w="890" w:type="dxa"/>
          </w:tcPr>
          <w:p>
            <w:pPr>
              <w:pStyle w:val="Compact"/>
              <w:spacing w:after="40"/>
              <w:jc w:val="left"/>
            </w:pPr>
            <w:r>
              <w:rPr>
                <w:sz w:val="18"/>
              </w:rPr>
              <w:t xml:space="preserve">UD → FX</w:t>
            </w:r>
          </w:p>
        </w:tc>
        <w:tc>
          <w:tcPr>
            <w:tcW w:w="1314" w:type="dxa"/>
          </w:tcPr>
          <w:p>
            <w:pPr>
              <w:pStyle w:val="Compact"/>
              <w:spacing w:after="40"/>
              <w:jc w:val="left"/>
            </w:pPr>
            <w:r>
              <w:rPr>
                <w:sz w:val="18"/>
              </w:rPr>
              <w:t xml:space="preserve">Stamp certificate issued</w:t>
            </w:r>
          </w:p>
        </w:tc>
        <w:tc>
          <w:tcPr>
            <w:tcW w:w="2347" w:type="dxa"/>
          </w:tcPr>
          <w:p>
            <w:pPr>
              <w:pStyle w:val="Compact"/>
              <w:spacing w:after="40"/>
              <w:jc w:val="left"/>
            </w:pPr>
            <w:r>
              <w:rPr>
                <w:sz w:val="18"/>
              </w:rPr>
              <w:t xml:space="preserve">certificate_no, state, duty</w:t>
            </w:r>
          </w:p>
        </w:tc>
        <w:tc>
          <w:tcPr>
            <w:tcW w:w="1022" w:type="dxa"/>
          </w:tcPr>
          <w:p>
            <w:pPr>
              <w:pStyle w:val="Compact"/>
              <w:spacing w:after="40"/>
              <w:jc w:val="left"/>
            </w:pPr>
            <w:r>
              <w:rPr>
                <w:sz w:val="18"/>
              </w:rPr>
              <w:t xml:space="preserve">UD evidence</w:t>
            </w:r>
          </w:p>
        </w:tc>
        <w:tc>
          <w:tcPr>
            <w:tcW w:w="1106" w:type="dxa"/>
          </w:tcPr>
          <w:p>
            <w:pPr>
              <w:pStyle w:val="Compact"/>
              <w:spacing w:after="40"/>
              <w:jc w:val="left"/>
            </w:pPr>
            <w:r>
              <w:rPr>
                <w:sz w:val="18"/>
              </w:rPr>
              <w:t xml:space="preserve">(document_id, certificate_no)</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RiskSignalRaised</w:t>
            </w:r>
            <w:r>
              <w:rPr>
                <w:sz w:val="18"/>
              </w:rPr>
              <w:t xml:space="preserve"> </w:t>
            </w:r>
            <w:r>
              <w:rPr>
                <w:sz w:val="18"/>
              </w:rPr>
              <w:t xml:space="preserve">(A)</w:t>
            </w:r>
          </w:p>
        </w:tc>
        <w:tc>
          <w:tcPr>
            <w:tcW w:w="890" w:type="dxa"/>
          </w:tcPr>
          <w:p>
            <w:pPr>
              <w:pStyle w:val="Compact"/>
              <w:spacing w:after="40"/>
              <w:jc w:val="left"/>
            </w:pPr>
            <w:r>
              <w:rPr>
                <w:sz w:val="18"/>
              </w:rPr>
              <w:t xml:space="preserve">UD, FIA → FX</w:t>
            </w:r>
          </w:p>
        </w:tc>
        <w:tc>
          <w:tcPr>
            <w:tcW w:w="1314" w:type="dxa"/>
          </w:tcPr>
          <w:p>
            <w:pPr>
              <w:pStyle w:val="Compact"/>
              <w:spacing w:after="40"/>
              <w:jc w:val="left"/>
            </w:pPr>
            <w:r>
              <w:rPr>
                <w:sz w:val="18"/>
              </w:rPr>
              <w:t xml:space="preserve">Fraud or EWS signal, any stage</w:t>
            </w:r>
          </w:p>
        </w:tc>
        <w:tc>
          <w:tcPr>
            <w:tcW w:w="2347" w:type="dxa"/>
          </w:tcPr>
          <w:p>
            <w:pPr>
              <w:pStyle w:val="Compact"/>
              <w:spacing w:after="40"/>
              <w:jc w:val="left"/>
            </w:pPr>
            <w:r>
              <w:rPr>
                <w:sz w:val="18"/>
              </w:rPr>
              <w:t xml:space="preserve">type, score, evidence; signals, not determinations (FRM paras 15, 19–23)</w:t>
            </w:r>
          </w:p>
        </w:tc>
        <w:tc>
          <w:tcPr>
            <w:tcW w:w="1022" w:type="dxa"/>
          </w:tcPr>
          <w:p>
            <w:pPr>
              <w:pStyle w:val="Compact"/>
              <w:spacing w:after="40"/>
              <w:jc w:val="left"/>
            </w:pPr>
            <w:r>
              <w:rPr>
                <w:sz w:val="18"/>
              </w:rPr>
              <w:t xml:space="preserve">Signal UD or FIA; decision FX</w:t>
            </w:r>
          </w:p>
        </w:tc>
        <w:tc>
          <w:tcPr>
            <w:tcW w:w="1106" w:type="dxa"/>
          </w:tcPr>
          <w:p>
            <w:pPr>
              <w:pStyle w:val="Compact"/>
              <w:spacing w:after="40"/>
              <w:jc w:val="left"/>
            </w:pPr>
            <w:r>
              <w:rPr>
                <w:sz w:val="18"/>
              </w:rPr>
              <w:t xml:space="preserve">signal_id</w:t>
            </w:r>
          </w:p>
        </w:tc>
        <w:tc>
          <w:tcPr>
            <w:tcW w:w="1591" w:type="dxa"/>
          </w:tcPr>
          <w:p>
            <w:pPr>
              <w:pStyle w:val="Compact"/>
              <w:spacing w:after="40"/>
              <w:jc w:val="left"/>
            </w:pPr>
            <w:r>
              <w:rPr>
                <w:sz w:val="18"/>
              </w:rPr>
              <w:t xml:space="preserve">≤ 15 min pre-disbursal</w:t>
            </w:r>
          </w:p>
        </w:tc>
      </w:tr>
      <w:tr>
        <w:tc>
          <w:tcPr>
            <w:tcW w:w="1368" w:type="dxa"/>
          </w:tcPr>
          <w:p>
            <w:pPr>
              <w:pStyle w:val="Compact"/>
              <w:spacing w:after="40"/>
              <w:jc w:val="left"/>
            </w:pPr>
            <w:r>
              <w:rPr>
                <w:rStyle w:val="VerbatimChar"/>
                <w:sz w:val="18"/>
              </w:rPr>
              <w:t xml:space="preserve">VerificationRequested</w:t>
            </w:r>
            <w:r>
              <w:rPr>
                <w:sz w:val="18"/>
              </w:rPr>
              <w:t xml:space="preserve"> </w:t>
            </w:r>
            <w:r>
              <w:rPr>
                <w:sz w:val="18"/>
              </w:rPr>
              <w:t xml:space="preserve">(N+)</w:t>
            </w:r>
          </w:p>
        </w:tc>
        <w:tc>
          <w:tcPr>
            <w:tcW w:w="890" w:type="dxa"/>
          </w:tcPr>
          <w:p>
            <w:pPr>
              <w:pStyle w:val="Compact"/>
              <w:spacing w:after="40"/>
              <w:jc w:val="left"/>
            </w:pPr>
            <w:r>
              <w:rPr>
                <w:sz w:val="18"/>
              </w:rPr>
              <w:t xml:space="preserve">FX → FIA, AGY</w:t>
            </w:r>
          </w:p>
        </w:tc>
        <w:tc>
          <w:tcPr>
            <w:tcW w:w="1314" w:type="dxa"/>
          </w:tcPr>
          <w:p>
            <w:pPr>
              <w:pStyle w:val="Compact"/>
              <w:spacing w:after="40"/>
              <w:jc w:val="left"/>
            </w:pPr>
            <w:r>
              <w:rPr>
                <w:sz w:val="18"/>
              </w:rPr>
              <w:t xml:space="preserve">FI, PD, RCU, legal, technical or skip-trace task</w:t>
            </w:r>
          </w:p>
        </w:tc>
        <w:tc>
          <w:tcPr>
            <w:tcW w:w="2347" w:type="dxa"/>
          </w:tcPr>
          <w:p>
            <w:pPr>
              <w:pStyle w:val="Compact"/>
              <w:spacing w:after="40"/>
              <w:jc w:val="left"/>
            </w:pPr>
            <w:r>
              <w:rPr>
                <w:sz w:val="18"/>
              </w:rPr>
              <w:t xml:space="preserve">type, address token, due, consentref or legalbasis</w:t>
            </w:r>
          </w:p>
        </w:tc>
        <w:tc>
          <w:tcPr>
            <w:tcW w:w="1022" w:type="dxa"/>
          </w:tcPr>
          <w:p>
            <w:pPr>
              <w:pStyle w:val="Compact"/>
              <w:spacing w:after="40"/>
              <w:jc w:val="left"/>
            </w:pPr>
            <w:r>
              <w:rPr>
                <w:sz w:val="18"/>
              </w:rPr>
              <w:t xml:space="preserve">FX</w:t>
            </w:r>
          </w:p>
        </w:tc>
        <w:tc>
          <w:tcPr>
            <w:tcW w:w="1106" w:type="dxa"/>
          </w:tcPr>
          <w:p>
            <w:pPr>
              <w:pStyle w:val="Compact"/>
              <w:spacing w:after="40"/>
              <w:jc w:val="left"/>
            </w:pPr>
            <w:r>
              <w:rPr>
                <w:sz w:val="18"/>
              </w:rPr>
              <w:t xml:space="preserve">task_id</w:t>
            </w:r>
          </w:p>
        </w:tc>
        <w:tc>
          <w:tcPr>
            <w:tcW w:w="1591" w:type="dxa"/>
          </w:tcPr>
          <w:p>
            <w:pPr>
              <w:pStyle w:val="Compact"/>
              <w:spacing w:after="40"/>
              <w:jc w:val="left"/>
            </w:pPr>
            <w:r>
              <w:rPr>
                <w:sz w:val="18"/>
              </w:rPr>
              <w:t xml:space="preserve">std</w:t>
            </w:r>
          </w:p>
        </w:tc>
      </w:tr>
      <w:tr>
        <w:tc>
          <w:tcPr>
            <w:tcW w:w="1368" w:type="dxa"/>
          </w:tcPr>
          <w:p>
            <w:pPr>
              <w:pStyle w:val="Compact"/>
              <w:spacing w:after="40"/>
              <w:jc w:val="left"/>
            </w:pPr>
            <w:r>
              <w:rPr>
                <w:rStyle w:val="VerbatimChar"/>
                <w:sz w:val="18"/>
              </w:rPr>
              <w:t xml:space="preserve">VerificationCompleted</w:t>
            </w:r>
            <w:r>
              <w:rPr>
                <w:sz w:val="18"/>
              </w:rPr>
              <w:t xml:space="preserve"> </w:t>
            </w:r>
            <w:r>
              <w:rPr>
                <w:sz w:val="18"/>
              </w:rPr>
              <w:t xml:space="preserve">(N+)</w:t>
            </w:r>
          </w:p>
        </w:tc>
        <w:tc>
          <w:tcPr>
            <w:tcW w:w="890" w:type="dxa"/>
          </w:tcPr>
          <w:p>
            <w:pPr>
              <w:pStyle w:val="Compact"/>
              <w:spacing w:after="40"/>
              <w:jc w:val="left"/>
            </w:pPr>
            <w:r>
              <w:rPr>
                <w:sz w:val="18"/>
              </w:rPr>
              <w:t xml:space="preserve">FIA, AGY → FX</w:t>
            </w:r>
          </w:p>
        </w:tc>
        <w:tc>
          <w:tcPr>
            <w:tcW w:w="1314" w:type="dxa"/>
          </w:tcPr>
          <w:p>
            <w:pPr>
              <w:pStyle w:val="Compact"/>
              <w:spacing w:after="40"/>
              <w:jc w:val="left"/>
            </w:pPr>
            <w:r>
              <w:rPr>
                <w:sz w:val="18"/>
              </w:rPr>
              <w:t xml:space="preserve">Task done or failed</w:t>
            </w:r>
          </w:p>
        </w:tc>
        <w:tc>
          <w:tcPr>
            <w:tcW w:w="2347" w:type="dxa"/>
          </w:tcPr>
          <w:p>
            <w:pPr>
              <w:pStyle w:val="Compact"/>
              <w:spacing w:after="40"/>
              <w:jc w:val="left"/>
            </w:pPr>
            <w:r>
              <w:rPr>
                <w:sz w:val="18"/>
              </w:rPr>
              <w:t xml:space="preserve">findings, geo, time, evidence hash, agent police verification (RBC para 94)</w:t>
            </w:r>
          </w:p>
        </w:tc>
        <w:tc>
          <w:tcPr>
            <w:tcW w:w="1022" w:type="dxa"/>
          </w:tcPr>
          <w:p>
            <w:pPr>
              <w:pStyle w:val="Compact"/>
              <w:spacing w:after="40"/>
              <w:jc w:val="left"/>
            </w:pPr>
            <w:r>
              <w:rPr>
                <w:sz w:val="18"/>
              </w:rPr>
              <w:t xml:space="preserve">FIA</w:t>
            </w:r>
          </w:p>
        </w:tc>
        <w:tc>
          <w:tcPr>
            <w:tcW w:w="1106" w:type="dxa"/>
          </w:tcPr>
          <w:p>
            <w:pPr>
              <w:pStyle w:val="Compact"/>
              <w:spacing w:after="40"/>
              <w:jc w:val="left"/>
            </w:pPr>
            <w:r>
              <w:rPr>
                <w:sz w:val="18"/>
              </w:rPr>
              <w:t xml:space="preserve">(task_id, attempt)</w:t>
            </w:r>
          </w:p>
        </w:tc>
        <w:tc>
          <w:tcPr>
            <w:tcW w:w="1591" w:type="dxa"/>
          </w:tcPr>
          <w:p>
            <w:pPr>
              <w:pStyle w:val="Compact"/>
              <w:spacing w:after="40"/>
              <w:jc w:val="left"/>
            </w:pPr>
            <w:r>
              <w:rPr>
                <w:sz w:val="18"/>
              </w:rPr>
              <w:t xml:space="preserve">≤ 15 min</w:t>
            </w:r>
          </w:p>
        </w:tc>
      </w:tr>
    </w:tbl>
    <w:bookmarkEnd w:id="49"/>
    <w:bookmarkStart w:id="50" w:name="servicing-servicing"/>
    <w:p>
      <w:pPr>
        <w:pStyle w:val="Heading2"/>
      </w:pPr>
      <w:r>
        <w:t xml:space="preserve">6.3 Servicing (</w:t>
      </w:r>
      <w:r>
        <w:rPr>
          <w:rStyle w:val="VerbatimChar"/>
        </w:rPr>
        <w:t xml:space="preserve">servicing</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703"/>
        <w:gridCol w:w="983"/>
        <w:gridCol w:w="1582"/>
        <w:gridCol w:w="2021"/>
        <w:gridCol w:w="1275"/>
        <w:gridCol w:w="1089"/>
        <w:gridCol w:w="985"/>
      </w:tblGrid>
      <w:tr>
        <w:trPr>
          <w:tblHeader w:val="true"/>
          <w:tblHeader w:val="true"/>
        </w:trPr>
        <w:tc>
          <w:tcPr>
            <w:tcW w:w="1703" w:type="dxa"/>
            <w:shd w:val="clear" w:color="auto" w:fill="1F3A5F"/>
          </w:tcPr>
          <w:p>
            <w:pPr>
              <w:pStyle w:val="Compact"/>
              <w:spacing w:after="40"/>
              <w:jc w:val="left"/>
            </w:pPr>
            <w:r>
              <w:rPr>
                <w:b/>
                <w:color w:val="FFFFFF"/>
                <w:sz w:val="18"/>
              </w:rPr>
              <w:t xml:space="preserve">Event or API</w:t>
            </w:r>
          </w:p>
        </w:tc>
        <w:tc>
          <w:tcPr>
            <w:tcW w:w="983" w:type="dxa"/>
            <w:shd w:val="clear" w:color="auto" w:fill="1F3A5F"/>
          </w:tcPr>
          <w:p>
            <w:pPr>
              <w:pStyle w:val="Compact"/>
              <w:spacing w:after="40"/>
              <w:jc w:val="left"/>
            </w:pPr>
            <w:r>
              <w:rPr>
                <w:b/>
                <w:color w:val="FFFFFF"/>
                <w:sz w:val="18"/>
              </w:rPr>
              <w:t xml:space="preserve">Producer → consumer(s)</w:t>
            </w:r>
          </w:p>
        </w:tc>
        <w:tc>
          <w:tcPr>
            <w:tcW w:w="1582" w:type="dxa"/>
            <w:shd w:val="clear" w:color="auto" w:fill="1F3A5F"/>
          </w:tcPr>
          <w:p>
            <w:pPr>
              <w:pStyle w:val="Compact"/>
              <w:spacing w:after="40"/>
              <w:jc w:val="left"/>
            </w:pPr>
            <w:r>
              <w:rPr>
                <w:b/>
                <w:color w:val="FFFFFF"/>
                <w:sz w:val="18"/>
              </w:rPr>
              <w:t xml:space="preserve">Trigger</w:t>
            </w:r>
          </w:p>
        </w:tc>
        <w:tc>
          <w:tcPr>
            <w:tcW w:w="2021" w:type="dxa"/>
            <w:shd w:val="clear" w:color="auto" w:fill="1F3A5F"/>
          </w:tcPr>
          <w:p>
            <w:pPr>
              <w:pStyle w:val="Compact"/>
              <w:spacing w:after="40"/>
              <w:jc w:val="left"/>
            </w:pPr>
            <w:r>
              <w:rPr>
                <w:b/>
                <w:color w:val="FFFFFF"/>
                <w:sz w:val="18"/>
              </w:rPr>
              <w:t xml:space="preserve">Key payload fields</w:t>
            </w:r>
          </w:p>
        </w:tc>
        <w:tc>
          <w:tcPr>
            <w:tcW w:w="1275" w:type="dxa"/>
            <w:shd w:val="clear" w:color="auto" w:fill="1F3A5F"/>
          </w:tcPr>
          <w:p>
            <w:pPr>
              <w:pStyle w:val="Compact"/>
              <w:spacing w:after="40"/>
              <w:jc w:val="left"/>
            </w:pPr>
            <w:r>
              <w:rPr>
                <w:b/>
                <w:color w:val="FFFFFF"/>
                <w:sz w:val="18"/>
              </w:rPr>
              <w:t xml:space="preserve">Owner</w:t>
            </w:r>
          </w:p>
        </w:tc>
        <w:tc>
          <w:tcPr>
            <w:tcW w:w="1089" w:type="dxa"/>
            <w:shd w:val="clear" w:color="auto" w:fill="1F3A5F"/>
          </w:tcPr>
          <w:p>
            <w:pPr>
              <w:pStyle w:val="Compact"/>
              <w:spacing w:after="40"/>
              <w:jc w:val="left"/>
            </w:pPr>
            <w:r>
              <w:rPr>
                <w:b/>
                <w:color w:val="FFFFFF"/>
                <w:sz w:val="18"/>
              </w:rPr>
              <w:t xml:space="preserve">Idempotency key</w:t>
            </w:r>
          </w:p>
        </w:tc>
        <w:tc>
          <w:tcPr>
            <w:tcW w:w="985" w:type="dxa"/>
            <w:shd w:val="clear" w:color="auto" w:fill="1F3A5F"/>
          </w:tcPr>
          <w:p>
            <w:pPr>
              <w:pStyle w:val="Compact"/>
              <w:spacing w:after="40"/>
              <w:jc w:val="left"/>
            </w:pPr>
            <w:r>
              <w:rPr>
                <w:b/>
                <w:color w:val="FFFFFF"/>
                <w:sz w:val="18"/>
              </w:rPr>
              <w:t xml:space="preserve">SLA</w:t>
            </w:r>
          </w:p>
        </w:tc>
      </w:tr>
      <w:tr>
        <w:tc>
          <w:tcPr>
            <w:tcW w:w="1703" w:type="dxa"/>
          </w:tcPr>
          <w:p>
            <w:pPr>
              <w:pStyle w:val="Compact"/>
              <w:spacing w:after="40"/>
              <w:jc w:val="left"/>
            </w:pPr>
            <w:r>
              <w:rPr>
                <w:rStyle w:val="VerbatimChar"/>
                <w:sz w:val="18"/>
              </w:rPr>
              <w:t xml:space="preserve">LoanDisbursed</w:t>
            </w:r>
            <w:r>
              <w:rPr>
                <w:sz w:val="18"/>
              </w:rPr>
              <w:t xml:space="preserve"> </w:t>
            </w:r>
            <w:r>
              <w:rPr>
                <w:sz w:val="18"/>
              </w:rPr>
              <w:t xml:space="preserve">(E) signed</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Bank confirms settlement</w:t>
            </w:r>
          </w:p>
        </w:tc>
        <w:tc>
          <w:tcPr>
            <w:tcW w:w="2021" w:type="dxa"/>
          </w:tcPr>
          <w:p>
            <w:pPr>
              <w:pStyle w:val="Compact"/>
              <w:spacing w:after="40"/>
              <w:jc w:val="left"/>
            </w:pPr>
            <w:r>
              <w:rPr>
                <w:sz w:val="18"/>
              </w:rPr>
              <w:t xml:space="preserve">utr, amount, value date, beneficiary type, kind (INITIAL, TRANCHE, DRAWDOWN), cooling-off end</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utr)</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DisbursementFailed</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Payout failed or returned</w:t>
            </w:r>
          </w:p>
        </w:tc>
        <w:tc>
          <w:tcPr>
            <w:tcW w:w="2021" w:type="dxa"/>
          </w:tcPr>
          <w:p>
            <w:pPr>
              <w:pStyle w:val="Compact"/>
              <w:spacing w:after="40"/>
              <w:jc w:val="left"/>
            </w:pPr>
            <w:r>
              <w:rPr>
                <w:sz w:val="18"/>
              </w:rPr>
              <w:t xml:space="preserve">attempt, reason, next step</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attempt)</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DrawdownRequested</w:t>
            </w:r>
            <w:r>
              <w:rPr>
                <w:sz w:val="18"/>
              </w:rPr>
              <w:t xml:space="preserve"> </w:t>
            </w:r>
            <w:r>
              <w:rPr>
                <w:sz w:val="18"/>
              </w:rPr>
              <w:t xml:space="preserve">(N+) API</w:t>
            </w:r>
            <w:r>
              <w:rPr>
                <w:sz w:val="18"/>
              </w:rPr>
              <w:t xml:space="preserve"> </w:t>
            </w:r>
            <w:r>
              <w:rPr>
                <w:rStyle w:val="VerbatimChar"/>
                <w:sz w:val="18"/>
              </w:rPr>
              <w:t xml:space="preserve">POST /v1/facilities/{loan_id}/drawdowns</w:t>
            </w:r>
          </w:p>
        </w:tc>
        <w:tc>
          <w:tcPr>
            <w:tcW w:w="983" w:type="dxa"/>
          </w:tcPr>
          <w:p>
            <w:pPr>
              <w:pStyle w:val="Compact"/>
              <w:spacing w:after="40"/>
              <w:jc w:val="left"/>
            </w:pPr>
            <w:r>
              <w:rPr>
                <w:sz w:val="18"/>
              </w:rPr>
              <w:t xml:space="preserve">UD → FX (FAPI 2.0)</w:t>
            </w:r>
          </w:p>
        </w:tc>
        <w:tc>
          <w:tcPr>
            <w:tcW w:w="1582" w:type="dxa"/>
          </w:tcPr>
          <w:p>
            <w:pPr>
              <w:pStyle w:val="Compact"/>
              <w:spacing w:after="40"/>
              <w:jc w:val="left"/>
            </w:pPr>
            <w:r>
              <w:rPr>
                <w:sz w:val="18"/>
              </w:rPr>
              <w:t xml:space="preserve">Borrower requests a drawdown</w:t>
            </w:r>
          </w:p>
        </w:tc>
        <w:tc>
          <w:tcPr>
            <w:tcW w:w="2021" w:type="dxa"/>
          </w:tcPr>
          <w:p>
            <w:pPr>
              <w:pStyle w:val="Compact"/>
              <w:spacing w:after="40"/>
              <w:jc w:val="left"/>
            </w:pPr>
            <w:r>
              <w:rPr>
                <w:sz w:val="18"/>
              </w:rPr>
              <w:t xml:space="preserve">amount, acr, auth_time</w:t>
            </w:r>
          </w:p>
        </w:tc>
        <w:tc>
          <w:tcPr>
            <w:tcW w:w="1275" w:type="dxa"/>
          </w:tcPr>
          <w:p>
            <w:pPr>
              <w:pStyle w:val="Compact"/>
              <w:spacing w:after="40"/>
              <w:jc w:val="left"/>
            </w:pPr>
            <w:r>
              <w:rPr>
                <w:sz w:val="18"/>
              </w:rPr>
              <w:t xml:space="preserve">FX decides; executes as</w:t>
            </w:r>
            <w:r>
              <w:rPr>
                <w:sz w:val="18"/>
              </w:rPr>
              <w:t xml:space="preserve"> </w:t>
            </w:r>
            <w:r>
              <w:rPr>
                <w:rStyle w:val="VerbatimChar"/>
                <w:sz w:val="18"/>
              </w:rPr>
              <w:t xml:space="preserve">LoanDisbursed</w:t>
            </w:r>
          </w:p>
        </w:tc>
        <w:tc>
          <w:tcPr>
            <w:tcW w:w="1089" w:type="dxa"/>
          </w:tcPr>
          <w:p>
            <w:pPr>
              <w:pStyle w:val="Compact"/>
              <w:spacing w:after="40"/>
              <w:jc w:val="left"/>
            </w:pPr>
            <w:r>
              <w:rPr>
                <w:sz w:val="18"/>
              </w:rPr>
              <w:t xml:space="preserve">Idempotency-Key</w:t>
            </w:r>
          </w:p>
        </w:tc>
        <w:tc>
          <w:tcPr>
            <w:tcW w:w="985" w:type="dxa"/>
          </w:tcPr>
          <w:p>
            <w:pPr>
              <w:pStyle w:val="Compact"/>
              <w:spacing w:after="40"/>
              <w:jc w:val="left"/>
            </w:pPr>
            <w:r>
              <w:rPr>
                <w:sz w:val="18"/>
              </w:rPr>
              <w:t xml:space="preserve">Accept or reject ≤ 2 s</w:t>
            </w:r>
          </w:p>
        </w:tc>
      </w:tr>
      <w:tr>
        <w:tc>
          <w:tcPr>
            <w:tcW w:w="1703" w:type="dxa"/>
          </w:tcPr>
          <w:p>
            <w:pPr>
              <w:pStyle w:val="Compact"/>
              <w:spacing w:after="40"/>
              <w:jc w:val="left"/>
            </w:pPr>
            <w:r>
              <w:rPr>
                <w:rStyle w:val="VerbatimChar"/>
                <w:sz w:val="18"/>
              </w:rPr>
              <w:t xml:space="preserve">CoolingOffExitRequested</w:t>
            </w:r>
            <w:r>
              <w:rPr>
                <w:sz w:val="18"/>
              </w:rPr>
              <w:t xml:space="preserve"> </w:t>
            </w:r>
            <w:r>
              <w:rPr>
                <w:sz w:val="18"/>
              </w:rPr>
              <w:t xml:space="preserve">(E)</w:t>
            </w:r>
          </w:p>
        </w:tc>
        <w:tc>
          <w:tcPr>
            <w:tcW w:w="983" w:type="dxa"/>
          </w:tcPr>
          <w:p>
            <w:pPr>
              <w:pStyle w:val="Compact"/>
              <w:spacing w:after="40"/>
              <w:jc w:val="left"/>
            </w:pPr>
            <w:r>
              <w:rPr>
                <w:sz w:val="18"/>
              </w:rPr>
              <w:t xml:space="preserve">UD → FX</w:t>
            </w:r>
          </w:p>
        </w:tc>
        <w:tc>
          <w:tcPr>
            <w:tcW w:w="1582" w:type="dxa"/>
          </w:tcPr>
          <w:p>
            <w:pPr>
              <w:pStyle w:val="Compact"/>
              <w:spacing w:after="40"/>
              <w:jc w:val="left"/>
            </w:pPr>
            <w:r>
              <w:rPr>
                <w:sz w:val="18"/>
              </w:rPr>
              <w:t xml:space="preserve">Exit within cooling-off (CF para 11)</w:t>
            </w:r>
          </w:p>
        </w:tc>
        <w:tc>
          <w:tcPr>
            <w:tcW w:w="2021" w:type="dxa"/>
          </w:tcPr>
          <w:p>
            <w:pPr>
              <w:pStyle w:val="Compact"/>
              <w:spacing w:after="40"/>
              <w:jc w:val="left"/>
            </w:pPr>
            <w:r>
              <w:rPr>
                <w:sz w:val="18"/>
              </w:rPr>
              <w:t xml:space="preserve">requested_at, evidence</w:t>
            </w:r>
          </w:p>
        </w:tc>
        <w:tc>
          <w:tcPr>
            <w:tcW w:w="1275" w:type="dxa"/>
          </w:tcPr>
          <w:p>
            <w:pPr>
              <w:pStyle w:val="Compact"/>
              <w:spacing w:after="40"/>
              <w:jc w:val="left"/>
            </w:pPr>
            <w:r>
              <w:rPr>
                <w:sz w:val="18"/>
              </w:rPr>
              <w:t xml:space="preserve">UD request; FX payable</w:t>
            </w:r>
          </w:p>
        </w:tc>
        <w:tc>
          <w:tcPr>
            <w:tcW w:w="1089" w:type="dxa"/>
          </w:tcPr>
          <w:p>
            <w:pPr>
              <w:pStyle w:val="Compact"/>
              <w:spacing w:after="40"/>
              <w:jc w:val="left"/>
            </w:pPr>
            <w:r>
              <w:rPr>
                <w:sz w:val="18"/>
              </w:rPr>
              <w:t xml:space="preserve">loan_id</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ScheduleIssued</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Loan booked</w:t>
            </w:r>
          </w:p>
        </w:tc>
        <w:tc>
          <w:tcPr>
            <w:tcW w:w="2021" w:type="dxa"/>
          </w:tcPr>
          <w:p>
            <w:pPr>
              <w:pStyle w:val="Compact"/>
              <w:spacing w:after="40"/>
              <w:jc w:val="left"/>
            </w:pPr>
            <w:r>
              <w:rPr>
                <w:sz w:val="18"/>
              </w:rPr>
              <w:t xml:space="preserve">schedule_version, instalments</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schedule_version)</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ScheduleChanged</w:t>
            </w:r>
            <w:r>
              <w:rPr>
                <w:sz w:val="18"/>
              </w:rPr>
              <w:t xml:space="preserve"> </w:t>
            </w:r>
            <w:r>
              <w:rPr>
                <w:sz w:val="18"/>
              </w:rPr>
              <w:t xml:space="preserve">(E)</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Reset, tranche, restructuring, moratorium end, settlement</w:t>
            </w:r>
          </w:p>
        </w:tc>
        <w:tc>
          <w:tcPr>
            <w:tcW w:w="2021" w:type="dxa"/>
          </w:tcPr>
          <w:p>
            <w:pPr>
              <w:pStyle w:val="Compact"/>
              <w:spacing w:after="40"/>
              <w:jc w:val="left"/>
            </w:pPr>
            <w:r>
              <w:rPr>
                <w:sz w:val="18"/>
              </w:rPr>
              <w:t xml:space="preserve">schedule_version, reason, effective date</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schedule_version)</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DueReminderTrigger</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Reminder due under RE policy</w:t>
            </w:r>
          </w:p>
        </w:tc>
        <w:tc>
          <w:tcPr>
            <w:tcW w:w="2021" w:type="dxa"/>
          </w:tcPr>
          <w:p>
            <w:pPr>
              <w:pStyle w:val="Compact"/>
              <w:spacing w:after="40"/>
              <w:jc w:val="left"/>
            </w:pPr>
            <w:r>
              <w:rPr>
                <w:sz w:val="18"/>
              </w:rPr>
              <w:t xml:space="preserve">due date, amount, template_id</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due_date, seq)</w:t>
            </w:r>
          </w:p>
        </w:tc>
        <w:tc>
          <w:tcPr>
            <w:tcW w:w="985" w:type="dxa"/>
          </w:tcPr>
          <w:p>
            <w:pPr>
              <w:pStyle w:val="Compact"/>
              <w:spacing w:after="40"/>
              <w:jc w:val="left"/>
            </w:pPr>
            <w:r>
              <w:rPr>
                <w:sz w:val="18"/>
              </w:rPr>
              <w:t xml:space="preserve">Within contact window</w:t>
            </w:r>
          </w:p>
        </w:tc>
      </w:tr>
      <w:tr>
        <w:tc>
          <w:tcPr>
            <w:tcW w:w="1703" w:type="dxa"/>
          </w:tcPr>
          <w:p>
            <w:pPr>
              <w:pStyle w:val="Compact"/>
              <w:spacing w:after="40"/>
              <w:jc w:val="left"/>
            </w:pPr>
            <w:r>
              <w:rPr>
                <w:rStyle w:val="VerbatimChar"/>
                <w:sz w:val="18"/>
              </w:rPr>
              <w:t xml:space="preserve">DPDChanged</w:t>
            </w:r>
            <w:r>
              <w:rPr>
                <w:sz w:val="18"/>
              </w:rPr>
              <w:t xml:space="preserve"> </w:t>
            </w:r>
            <w:r>
              <w:rPr>
                <w:sz w:val="18"/>
              </w:rPr>
              <w:t xml:space="preserve">(E)</w:t>
            </w:r>
          </w:p>
        </w:tc>
        <w:tc>
          <w:tcPr>
            <w:tcW w:w="983" w:type="dxa"/>
          </w:tcPr>
          <w:p>
            <w:pPr>
              <w:pStyle w:val="Compact"/>
              <w:spacing w:after="40"/>
              <w:jc w:val="left"/>
            </w:pPr>
            <w:r>
              <w:rPr>
                <w:sz w:val="18"/>
              </w:rPr>
              <w:t xml:space="preserve">FX → UD, CL, AGY</w:t>
            </w:r>
          </w:p>
        </w:tc>
        <w:tc>
          <w:tcPr>
            <w:tcW w:w="1582" w:type="dxa"/>
          </w:tcPr>
          <w:p>
            <w:pPr>
              <w:pStyle w:val="Compact"/>
              <w:spacing w:after="40"/>
              <w:jc w:val="left"/>
            </w:pPr>
            <w:r>
              <w:rPr>
                <w:sz w:val="18"/>
              </w:rPr>
              <w:t xml:space="preserve">Day-end</w:t>
            </w:r>
          </w:p>
        </w:tc>
        <w:tc>
          <w:tcPr>
            <w:tcW w:w="2021" w:type="dxa"/>
          </w:tcPr>
          <w:p>
            <w:pPr>
              <w:pStyle w:val="Compact"/>
              <w:spacing w:after="40"/>
              <w:jc w:val="left"/>
            </w:pPr>
            <w:r>
              <w:rPr>
                <w:sz w:val="18"/>
              </w:rPr>
              <w:t xml:space="preserve">dpd, as_of</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as_of)</w:t>
            </w:r>
          </w:p>
        </w:tc>
        <w:tc>
          <w:tcPr>
            <w:tcW w:w="985" w:type="dxa"/>
          </w:tcPr>
          <w:p>
            <w:pPr>
              <w:pStyle w:val="Compact"/>
              <w:spacing w:after="40"/>
              <w:jc w:val="left"/>
            </w:pPr>
            <w:r>
              <w:rPr>
                <w:sz w:val="18"/>
              </w:rPr>
              <w:t xml:space="preserve">By 06:00 IST</w:t>
            </w:r>
          </w:p>
        </w:tc>
      </w:tr>
      <w:tr>
        <w:tc>
          <w:tcPr>
            <w:tcW w:w="1703" w:type="dxa"/>
          </w:tcPr>
          <w:p>
            <w:pPr>
              <w:pStyle w:val="Compact"/>
              <w:spacing w:after="40"/>
              <w:jc w:val="left"/>
            </w:pPr>
            <w:r>
              <w:rPr>
                <w:rStyle w:val="VerbatimChar"/>
                <w:sz w:val="18"/>
              </w:rPr>
              <w:t xml:space="preserve">AssetClassificationChanged</w:t>
            </w:r>
            <w:r>
              <w:rPr>
                <w:sz w:val="18"/>
              </w:rPr>
              <w:t xml:space="preserve"> </w:t>
            </w:r>
            <w:r>
              <w:rPr>
                <w:sz w:val="18"/>
              </w:rPr>
              <w:t xml:space="preserve">(E)</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Day-end, borrower-level (IRACP para 23)</w:t>
            </w:r>
          </w:p>
        </w:tc>
        <w:tc>
          <w:tcPr>
            <w:tcW w:w="2021" w:type="dxa"/>
          </w:tcPr>
          <w:p>
            <w:pPr>
              <w:pStyle w:val="Compact"/>
              <w:spacing w:after="40"/>
              <w:jc w:val="left"/>
            </w:pPr>
            <w:r>
              <w:rPr>
                <w:sz w:val="18"/>
              </w:rPr>
              <w:t xml:space="preserve">from, to, as_of (borrower wording RE-approved)</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 as_of)</w:t>
            </w:r>
          </w:p>
        </w:tc>
        <w:tc>
          <w:tcPr>
            <w:tcW w:w="985" w:type="dxa"/>
          </w:tcPr>
          <w:p>
            <w:pPr>
              <w:pStyle w:val="Compact"/>
              <w:spacing w:after="40"/>
              <w:jc w:val="left"/>
            </w:pPr>
            <w:r>
              <w:rPr>
                <w:sz w:val="18"/>
              </w:rPr>
              <w:t xml:space="preserve">By 06:00 IST</w:t>
            </w:r>
          </w:p>
        </w:tc>
      </w:tr>
      <w:tr>
        <w:tc>
          <w:tcPr>
            <w:tcW w:w="1703" w:type="dxa"/>
          </w:tcPr>
          <w:p>
            <w:pPr>
              <w:pStyle w:val="Compact"/>
              <w:spacing w:after="40"/>
              <w:jc w:val="left"/>
            </w:pPr>
            <w:r>
              <w:rPr>
                <w:rStyle w:val="VerbatimChar"/>
                <w:sz w:val="18"/>
              </w:rPr>
              <w:t xml:space="preserve">LoanClosed</w:t>
            </w:r>
            <w:r>
              <w:rPr>
                <w:sz w:val="18"/>
              </w:rPr>
              <w:t xml:space="preserve"> </w:t>
            </w:r>
            <w:r>
              <w:rPr>
                <w:sz w:val="18"/>
              </w:rPr>
              <w:t xml:space="preserve">(E)</w:t>
            </w:r>
          </w:p>
        </w:tc>
        <w:tc>
          <w:tcPr>
            <w:tcW w:w="983" w:type="dxa"/>
          </w:tcPr>
          <w:p>
            <w:pPr>
              <w:pStyle w:val="Compact"/>
              <w:spacing w:after="40"/>
              <w:jc w:val="left"/>
            </w:pPr>
            <w:r>
              <w:rPr>
                <w:sz w:val="18"/>
              </w:rPr>
              <w:t xml:space="preserve">FX → UD, CL</w:t>
            </w:r>
          </w:p>
        </w:tc>
        <w:tc>
          <w:tcPr>
            <w:tcW w:w="1582" w:type="dxa"/>
          </w:tcPr>
          <w:p>
            <w:pPr>
              <w:pStyle w:val="Compact"/>
              <w:spacing w:after="40"/>
              <w:jc w:val="left"/>
            </w:pPr>
            <w:r>
              <w:rPr>
                <w:sz w:val="18"/>
              </w:rPr>
              <w:t xml:space="preserve">Zero dues</w:t>
            </w:r>
          </w:p>
        </w:tc>
        <w:tc>
          <w:tcPr>
            <w:tcW w:w="2021" w:type="dxa"/>
          </w:tcPr>
          <w:p>
            <w:pPr>
              <w:pStyle w:val="Compact"/>
              <w:spacing w:after="40"/>
              <w:jc w:val="left"/>
            </w:pPr>
            <w:r>
              <w:rPr>
                <w:sz w:val="18"/>
              </w:rPr>
              <w:t xml:space="preserve">closed_on, closure type</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w:t>
            </w:r>
          </w:p>
        </w:tc>
        <w:tc>
          <w:tcPr>
            <w:tcW w:w="985" w:type="dxa"/>
          </w:tcPr>
          <w:p>
            <w:pPr>
              <w:pStyle w:val="Compact"/>
              <w:spacing w:after="40"/>
              <w:jc w:val="left"/>
            </w:pPr>
            <w:r>
              <w:rPr>
                <w:sz w:val="18"/>
              </w:rPr>
              <w:t xml:space="preserve">std</w:t>
            </w:r>
          </w:p>
        </w:tc>
      </w:tr>
      <w:tr>
        <w:tc>
          <w:tcPr>
            <w:tcW w:w="1703" w:type="dxa"/>
          </w:tcPr>
          <w:p>
            <w:pPr>
              <w:pStyle w:val="Compact"/>
              <w:spacing w:after="40"/>
              <w:jc w:val="left"/>
            </w:pPr>
            <w:r>
              <w:rPr>
                <w:rStyle w:val="VerbatimChar"/>
                <w:sz w:val="18"/>
              </w:rPr>
              <w:t xml:space="preserve">NOCIssued</w:t>
            </w:r>
            <w:r>
              <w:rPr>
                <w:sz w:val="18"/>
              </w:rPr>
              <w:t xml:space="preserve"> </w:t>
            </w:r>
            <w:r>
              <w:rPr>
                <w:sz w:val="18"/>
              </w:rPr>
              <w:t xml:space="preserve">(E)</w:t>
            </w:r>
          </w:p>
        </w:tc>
        <w:tc>
          <w:tcPr>
            <w:tcW w:w="983" w:type="dxa"/>
          </w:tcPr>
          <w:p>
            <w:pPr>
              <w:pStyle w:val="Compact"/>
              <w:spacing w:after="40"/>
              <w:jc w:val="left"/>
            </w:pPr>
            <w:r>
              <w:rPr>
                <w:sz w:val="18"/>
              </w:rPr>
              <w:t xml:space="preserve">FX → UD</w:t>
            </w:r>
          </w:p>
        </w:tc>
        <w:tc>
          <w:tcPr>
            <w:tcW w:w="1582" w:type="dxa"/>
          </w:tcPr>
          <w:p>
            <w:pPr>
              <w:pStyle w:val="Compact"/>
              <w:spacing w:after="40"/>
              <w:jc w:val="left"/>
            </w:pPr>
            <w:r>
              <w:rPr>
                <w:sz w:val="18"/>
              </w:rPr>
              <w:t xml:space="preserve">NOC generated</w:t>
            </w:r>
          </w:p>
        </w:tc>
        <w:tc>
          <w:tcPr>
            <w:tcW w:w="2021" w:type="dxa"/>
          </w:tcPr>
          <w:p>
            <w:pPr>
              <w:pStyle w:val="Compact"/>
              <w:spacing w:after="40"/>
              <w:jc w:val="left"/>
            </w:pPr>
            <w:r>
              <w:rPr>
                <w:sz w:val="18"/>
              </w:rPr>
              <w:t xml:space="preserve">document hash, pending release actions</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loan_id</w:t>
            </w:r>
          </w:p>
        </w:tc>
        <w:tc>
          <w:tcPr>
            <w:tcW w:w="985" w:type="dxa"/>
          </w:tcPr>
          <w:p>
            <w:pPr>
              <w:pStyle w:val="Compact"/>
              <w:spacing w:after="40"/>
              <w:jc w:val="left"/>
            </w:pPr>
            <w:r>
              <w:rPr>
                <w:sz w:val="18"/>
              </w:rPr>
              <w:t xml:space="preserve">≤ 1 working day [REC]</w:t>
            </w:r>
          </w:p>
        </w:tc>
      </w:tr>
      <w:tr>
        <w:tc>
          <w:tcPr>
            <w:tcW w:w="1703" w:type="dxa"/>
          </w:tcPr>
          <w:p>
            <w:pPr>
              <w:pStyle w:val="Compact"/>
              <w:spacing w:after="40"/>
              <w:jc w:val="left"/>
            </w:pPr>
            <w:r>
              <w:rPr>
                <w:sz w:val="18"/>
              </w:rPr>
              <w:t xml:space="preserve">API</w:t>
            </w:r>
            <w:r>
              <w:rPr>
                <w:sz w:val="18"/>
              </w:rPr>
              <w:t xml:space="preserve"> </w:t>
            </w:r>
            <w:r>
              <w:rPr>
                <w:rStyle w:val="VerbatimChar"/>
                <w:sz w:val="18"/>
              </w:rPr>
              <w:t xml:space="preserve">GET /v1/facilities/{loan_id}/summary</w:t>
            </w:r>
          </w:p>
        </w:tc>
        <w:tc>
          <w:tcPr>
            <w:tcW w:w="983" w:type="dxa"/>
          </w:tcPr>
          <w:p>
            <w:pPr>
              <w:pStyle w:val="Compact"/>
              <w:spacing w:after="40"/>
              <w:jc w:val="left"/>
            </w:pPr>
            <w:r>
              <w:rPr>
                <w:sz w:val="18"/>
              </w:rPr>
              <w:t xml:space="preserve">UD → FX</w:t>
            </w:r>
          </w:p>
        </w:tc>
        <w:tc>
          <w:tcPr>
            <w:tcW w:w="1582" w:type="dxa"/>
          </w:tcPr>
          <w:p>
            <w:pPr>
              <w:pStyle w:val="Compact"/>
              <w:spacing w:after="40"/>
              <w:jc w:val="left"/>
            </w:pPr>
            <w:r>
              <w:rPr>
                <w:sz w:val="18"/>
              </w:rPr>
              <w:t xml:space="preserve">Display</w:t>
            </w:r>
          </w:p>
        </w:tc>
        <w:tc>
          <w:tcPr>
            <w:tcW w:w="2021" w:type="dxa"/>
          </w:tcPr>
          <w:p>
            <w:pPr>
              <w:pStyle w:val="Compact"/>
              <w:spacing w:after="40"/>
              <w:jc w:val="left"/>
            </w:pPr>
            <w:r>
              <w:rPr>
                <w:sz w:val="18"/>
              </w:rPr>
              <w:t xml:space="preserve">limit, utilised, DP, available, as_of</w:t>
            </w:r>
          </w:p>
        </w:tc>
        <w:tc>
          <w:tcPr>
            <w:tcW w:w="1275" w:type="dxa"/>
          </w:tcPr>
          <w:p>
            <w:pPr>
              <w:pStyle w:val="Compact"/>
              <w:spacing w:after="40"/>
              <w:jc w:val="left"/>
            </w:pPr>
            <w:r>
              <w:rPr>
                <w:sz w:val="18"/>
              </w:rPr>
              <w:t xml:space="preserve">FX</w:t>
            </w:r>
          </w:p>
        </w:tc>
        <w:tc>
          <w:tcPr>
            <w:tcW w:w="1089" w:type="dxa"/>
          </w:tcPr>
          <w:p>
            <w:pPr>
              <w:pStyle w:val="Compact"/>
              <w:spacing w:after="40"/>
              <w:jc w:val="left"/>
            </w:pPr>
            <w:r>
              <w:rPr>
                <w:sz w:val="18"/>
              </w:rPr>
              <w:t xml:space="preserve">n/a</w:t>
            </w:r>
          </w:p>
        </w:tc>
        <w:tc>
          <w:tcPr>
            <w:tcW w:w="985" w:type="dxa"/>
          </w:tcPr>
          <w:p>
            <w:pPr>
              <w:pStyle w:val="Compact"/>
              <w:spacing w:after="40"/>
              <w:jc w:val="left"/>
            </w:pPr>
            <w:r>
              <w:rPr>
                <w:sz w:val="18"/>
              </w:rPr>
              <w:t xml:space="preserve">p95 ≤ 800 ms</w:t>
            </w:r>
          </w:p>
        </w:tc>
      </w:tr>
    </w:tbl>
    <w:bookmarkEnd w:id="50"/>
    <w:bookmarkStart w:id="51" w:name="payments-and-mandates-payments"/>
    <w:p>
      <w:pPr>
        <w:pStyle w:val="Heading2"/>
      </w:pPr>
      <w:r>
        <w:t xml:space="preserve">6.4 Payments and mandates (</w:t>
      </w:r>
      <w:r>
        <w:rPr>
          <w:rStyle w:val="VerbatimChar"/>
        </w:rPr>
        <w:t xml:space="preserve">payments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96"/>
        <w:gridCol w:w="1336"/>
        <w:gridCol w:w="1234"/>
        <w:gridCol w:w="1861"/>
        <w:gridCol w:w="887"/>
        <w:gridCol w:w="1485"/>
        <w:gridCol w:w="1539"/>
      </w:tblGrid>
      <w:tr>
        <w:trPr>
          <w:tblHeader w:val="true"/>
          <w:tblHeader w:val="true"/>
        </w:trPr>
        <w:tc>
          <w:tcPr>
            <w:tcW w:w="1296" w:type="dxa"/>
            <w:shd w:val="clear" w:color="auto" w:fill="1F3A5F"/>
          </w:tcPr>
          <w:p>
            <w:pPr>
              <w:pStyle w:val="Compact"/>
              <w:spacing w:after="40"/>
              <w:jc w:val="left"/>
            </w:pPr>
            <w:r>
              <w:rPr>
                <w:b/>
                <w:color w:val="FFFFFF"/>
                <w:sz w:val="18"/>
              </w:rPr>
              <w:t xml:space="preserve">Event or API</w:t>
            </w:r>
          </w:p>
        </w:tc>
        <w:tc>
          <w:tcPr>
            <w:tcW w:w="1336" w:type="dxa"/>
            <w:shd w:val="clear" w:color="auto" w:fill="1F3A5F"/>
          </w:tcPr>
          <w:p>
            <w:pPr>
              <w:pStyle w:val="Compact"/>
              <w:spacing w:after="40"/>
              <w:jc w:val="left"/>
            </w:pPr>
            <w:r>
              <w:rPr>
                <w:b/>
                <w:color w:val="FFFFFF"/>
                <w:sz w:val="18"/>
              </w:rPr>
              <w:t xml:space="preserve">Producer → consumer(s)</w:t>
            </w:r>
          </w:p>
        </w:tc>
        <w:tc>
          <w:tcPr>
            <w:tcW w:w="1234" w:type="dxa"/>
            <w:shd w:val="clear" w:color="auto" w:fill="1F3A5F"/>
          </w:tcPr>
          <w:p>
            <w:pPr>
              <w:pStyle w:val="Compact"/>
              <w:spacing w:after="40"/>
              <w:jc w:val="left"/>
            </w:pPr>
            <w:r>
              <w:rPr>
                <w:b/>
                <w:color w:val="FFFFFF"/>
                <w:sz w:val="18"/>
              </w:rPr>
              <w:t xml:space="preserve">Trigger</w:t>
            </w:r>
          </w:p>
        </w:tc>
        <w:tc>
          <w:tcPr>
            <w:tcW w:w="1861" w:type="dxa"/>
            <w:shd w:val="clear" w:color="auto" w:fill="1F3A5F"/>
          </w:tcPr>
          <w:p>
            <w:pPr>
              <w:pStyle w:val="Compact"/>
              <w:spacing w:after="40"/>
              <w:jc w:val="left"/>
            </w:pPr>
            <w:r>
              <w:rPr>
                <w:b/>
                <w:color w:val="FFFFFF"/>
                <w:sz w:val="18"/>
              </w:rPr>
              <w:t xml:space="preserve">Key payload fields</w:t>
            </w:r>
          </w:p>
        </w:tc>
        <w:tc>
          <w:tcPr>
            <w:tcW w:w="887" w:type="dxa"/>
            <w:shd w:val="clear" w:color="auto" w:fill="1F3A5F"/>
          </w:tcPr>
          <w:p>
            <w:pPr>
              <w:pStyle w:val="Compact"/>
              <w:spacing w:after="40"/>
              <w:jc w:val="left"/>
            </w:pPr>
            <w:r>
              <w:rPr>
                <w:b/>
                <w:color w:val="FFFFFF"/>
                <w:sz w:val="18"/>
              </w:rPr>
              <w:t xml:space="preserve">Owner</w:t>
            </w:r>
          </w:p>
        </w:tc>
        <w:tc>
          <w:tcPr>
            <w:tcW w:w="1485" w:type="dxa"/>
            <w:shd w:val="clear" w:color="auto" w:fill="1F3A5F"/>
          </w:tcPr>
          <w:p>
            <w:pPr>
              <w:pStyle w:val="Compact"/>
              <w:spacing w:after="40"/>
              <w:jc w:val="left"/>
            </w:pPr>
            <w:r>
              <w:rPr>
                <w:b/>
                <w:color w:val="FFFFFF"/>
                <w:sz w:val="18"/>
              </w:rPr>
              <w:t xml:space="preserve">Idempotency key</w:t>
            </w:r>
          </w:p>
        </w:tc>
        <w:tc>
          <w:tcPr>
            <w:tcW w:w="1539" w:type="dxa"/>
            <w:shd w:val="clear" w:color="auto" w:fill="1F3A5F"/>
          </w:tcPr>
          <w:p>
            <w:pPr>
              <w:pStyle w:val="Compact"/>
              <w:spacing w:after="40"/>
              <w:jc w:val="left"/>
            </w:pPr>
            <w:r>
              <w:rPr>
                <w:b/>
                <w:color w:val="FFFFFF"/>
                <w:sz w:val="18"/>
              </w:rPr>
              <w:t xml:space="preserve">SLA</w:t>
            </w:r>
          </w:p>
        </w:tc>
      </w:tr>
      <w:tr>
        <w:tc>
          <w:tcPr>
            <w:tcW w:w="1296" w:type="dxa"/>
          </w:tcPr>
          <w:p>
            <w:pPr>
              <w:pStyle w:val="Compact"/>
              <w:spacing w:after="40"/>
              <w:jc w:val="left"/>
            </w:pPr>
            <w:r>
              <w:rPr>
                <w:rStyle w:val="VerbatimChar"/>
                <w:sz w:val="18"/>
              </w:rPr>
              <w:t xml:space="preserve">MandateRegistered</w:t>
            </w:r>
            <w:r>
              <w:rPr>
                <w:sz w:val="18"/>
              </w:rPr>
              <w:t xml:space="preserve"> </w:t>
            </w:r>
            <w:r>
              <w:rPr>
                <w:sz w:val="18"/>
              </w:rPr>
              <w:t xml:space="preserve">(E)</w:t>
            </w:r>
          </w:p>
        </w:tc>
        <w:tc>
          <w:tcPr>
            <w:tcW w:w="1336" w:type="dxa"/>
          </w:tcPr>
          <w:p>
            <w:pPr>
              <w:pStyle w:val="Compact"/>
              <w:spacing w:after="40"/>
              <w:jc w:val="left"/>
            </w:pPr>
            <w:r>
              <w:rPr>
                <w:sz w:val="18"/>
              </w:rPr>
              <w:t xml:space="preserve">UD → FX</w:t>
            </w:r>
          </w:p>
        </w:tc>
        <w:tc>
          <w:tcPr>
            <w:tcW w:w="1234" w:type="dxa"/>
          </w:tcPr>
          <w:p>
            <w:pPr>
              <w:pStyle w:val="Compact"/>
              <w:spacing w:after="40"/>
              <w:jc w:val="left"/>
            </w:pPr>
            <w:r>
              <w:rPr>
                <w:sz w:val="18"/>
              </w:rPr>
              <w:t xml:space="preserve">Mandate confirmed</w:t>
            </w:r>
          </w:p>
        </w:tc>
        <w:tc>
          <w:tcPr>
            <w:tcW w:w="1861" w:type="dxa"/>
          </w:tcPr>
          <w:p>
            <w:pPr>
              <w:pStyle w:val="Compact"/>
              <w:spacing w:after="40"/>
              <w:jc w:val="left"/>
            </w:pPr>
            <w:r>
              <w:rPr>
                <w:sz w:val="18"/>
              </w:rPr>
              <w:t xml:space="preserve">umrn, type, sponsor bank, limits, validity, beneficiary = RE</w:t>
            </w:r>
          </w:p>
        </w:tc>
        <w:tc>
          <w:tcPr>
            <w:tcW w:w="887" w:type="dxa"/>
          </w:tcPr>
          <w:p>
            <w:pPr>
              <w:pStyle w:val="Compact"/>
              <w:spacing w:after="40"/>
              <w:jc w:val="left"/>
            </w:pPr>
            <w:r>
              <w:rPr>
                <w:sz w:val="18"/>
              </w:rPr>
              <w:t xml:space="preserve">FX; UD evidence</w:t>
            </w:r>
          </w:p>
        </w:tc>
        <w:tc>
          <w:tcPr>
            <w:tcW w:w="1485" w:type="dxa"/>
          </w:tcPr>
          <w:p>
            <w:pPr>
              <w:pStyle w:val="Compact"/>
              <w:spacing w:after="40"/>
              <w:jc w:val="left"/>
            </w:pPr>
            <w:r>
              <w:rPr>
                <w:sz w:val="18"/>
              </w:rPr>
              <w:t xml:space="preserve">umrn</w:t>
            </w:r>
          </w:p>
        </w:tc>
        <w:tc>
          <w:tcPr>
            <w:tcW w:w="1539" w:type="dxa"/>
          </w:tcPr>
          <w:p>
            <w:pPr>
              <w:pStyle w:val="Compact"/>
              <w:spacing w:after="40"/>
              <w:jc w:val="left"/>
            </w:pPr>
            <w:r>
              <w:rPr>
                <w:sz w:val="18"/>
              </w:rPr>
              <w:t xml:space="preserve">std</w:t>
            </w:r>
          </w:p>
        </w:tc>
      </w:tr>
      <w:tr>
        <w:tc>
          <w:tcPr>
            <w:tcW w:w="1296" w:type="dxa"/>
          </w:tcPr>
          <w:p>
            <w:pPr>
              <w:pStyle w:val="Compact"/>
              <w:spacing w:after="40"/>
              <w:jc w:val="left"/>
            </w:pPr>
            <w:r>
              <w:rPr>
                <w:rStyle w:val="VerbatimChar"/>
                <w:sz w:val="18"/>
              </w:rPr>
              <w:t xml:space="preserve">PaymentReceived</w:t>
            </w:r>
            <w:r>
              <w:rPr>
                <w:sz w:val="18"/>
              </w:rPr>
              <w:t xml:space="preserve"> </w:t>
            </w:r>
            <w:r>
              <w:rPr>
                <w:sz w:val="18"/>
              </w:rPr>
              <w:t xml:space="preserve">(E)</w:t>
            </w:r>
          </w:p>
        </w:tc>
        <w:tc>
          <w:tcPr>
            <w:tcW w:w="1336" w:type="dxa"/>
          </w:tcPr>
          <w:p>
            <w:pPr>
              <w:pStyle w:val="Compact"/>
              <w:spacing w:after="40"/>
              <w:jc w:val="left"/>
            </w:pPr>
            <w:r>
              <w:rPr>
                <w:sz w:val="18"/>
              </w:rPr>
              <w:t xml:space="preserve">FX → UD, CL, EQ (under settlement)</w:t>
            </w:r>
          </w:p>
        </w:tc>
        <w:tc>
          <w:tcPr>
            <w:tcW w:w="1234" w:type="dxa"/>
          </w:tcPr>
          <w:p>
            <w:pPr>
              <w:pStyle w:val="Compact"/>
              <w:spacing w:after="40"/>
              <w:jc w:val="left"/>
            </w:pPr>
            <w:r>
              <w:rPr>
                <w:sz w:val="18"/>
              </w:rPr>
              <w:t xml:space="preserve">Receipt allocated</w:t>
            </w:r>
          </w:p>
        </w:tc>
        <w:tc>
          <w:tcPr>
            <w:tcW w:w="1861" w:type="dxa"/>
          </w:tcPr>
          <w:p>
            <w:pPr>
              <w:pStyle w:val="Compact"/>
              <w:spacing w:after="40"/>
              <w:jc w:val="left"/>
            </w:pPr>
            <w:r>
              <w:rPr>
                <w:sz w:val="18"/>
              </w:rPr>
              <w:t xml:space="preserve">utr, rail, amount, allocation by component and share, collected_by</w:t>
            </w:r>
          </w:p>
        </w:tc>
        <w:tc>
          <w:tcPr>
            <w:tcW w:w="887" w:type="dxa"/>
          </w:tcPr>
          <w:p>
            <w:pPr>
              <w:pStyle w:val="Compact"/>
              <w:spacing w:after="40"/>
              <w:jc w:val="left"/>
            </w:pPr>
            <w:r>
              <w:rPr>
                <w:sz w:val="18"/>
              </w:rPr>
              <w:t xml:space="preserve">FX</w:t>
            </w:r>
          </w:p>
        </w:tc>
        <w:tc>
          <w:tcPr>
            <w:tcW w:w="1485" w:type="dxa"/>
          </w:tcPr>
          <w:p>
            <w:pPr>
              <w:pStyle w:val="Compact"/>
              <w:spacing w:after="40"/>
              <w:jc w:val="left"/>
            </w:pPr>
            <w:r>
              <w:rPr>
                <w:sz w:val="18"/>
              </w:rPr>
              <w:t xml:space="preserve">(loan_id, utr)</w:t>
            </w:r>
          </w:p>
        </w:tc>
        <w:tc>
          <w:tcPr>
            <w:tcW w:w="1539" w:type="dxa"/>
          </w:tcPr>
          <w:p>
            <w:pPr>
              <w:pStyle w:val="Compact"/>
              <w:spacing w:after="40"/>
              <w:jc w:val="left"/>
            </w:pPr>
            <w:r>
              <w:rPr>
                <w:sz w:val="18"/>
              </w:rPr>
              <w:t xml:space="preserve">Same day; agent cash same day (CF para 10(5))</w:t>
            </w:r>
          </w:p>
        </w:tc>
      </w:tr>
      <w:tr>
        <w:tc>
          <w:tcPr>
            <w:tcW w:w="1296" w:type="dxa"/>
          </w:tcPr>
          <w:p>
            <w:pPr>
              <w:pStyle w:val="Compact"/>
              <w:spacing w:after="40"/>
              <w:jc w:val="left"/>
            </w:pPr>
            <w:r>
              <w:rPr>
                <w:rStyle w:val="VerbatimChar"/>
                <w:sz w:val="18"/>
              </w:rPr>
              <w:t xml:space="preserve">PaymentBounced</w:t>
            </w:r>
            <w:r>
              <w:rPr>
                <w:sz w:val="18"/>
              </w:rPr>
              <w:t xml:space="preserve"> </w:t>
            </w:r>
            <w:r>
              <w:rPr>
                <w:sz w:val="18"/>
              </w:rPr>
              <w:t xml:space="preserve">(E)</w:t>
            </w:r>
          </w:p>
        </w:tc>
        <w:tc>
          <w:tcPr>
            <w:tcW w:w="1336" w:type="dxa"/>
          </w:tcPr>
          <w:p>
            <w:pPr>
              <w:pStyle w:val="Compact"/>
              <w:spacing w:after="40"/>
              <w:jc w:val="left"/>
            </w:pPr>
            <w:r>
              <w:rPr>
                <w:sz w:val="18"/>
              </w:rPr>
              <w:t xml:space="preserve">FX → UD, RS</w:t>
            </w:r>
          </w:p>
        </w:tc>
        <w:tc>
          <w:tcPr>
            <w:tcW w:w="1234" w:type="dxa"/>
          </w:tcPr>
          <w:p>
            <w:pPr>
              <w:pStyle w:val="Compact"/>
              <w:spacing w:after="40"/>
              <w:jc w:val="left"/>
            </w:pPr>
            <w:r>
              <w:rPr>
                <w:sz w:val="18"/>
              </w:rPr>
              <w:t xml:space="preserve">Mandate, cheque or UPI return</w:t>
            </w:r>
          </w:p>
        </w:tc>
        <w:tc>
          <w:tcPr>
            <w:tcW w:w="1861" w:type="dxa"/>
          </w:tcPr>
          <w:p>
            <w:pPr>
              <w:pStyle w:val="Compact"/>
              <w:spacing w:after="40"/>
              <w:jc w:val="left"/>
            </w:pPr>
            <w:r>
              <w:rPr>
                <w:sz w:val="18"/>
              </w:rPr>
              <w:t xml:space="preserve">instrument, return reason (feeds s.138 and s.25 PSS checks)</w:t>
            </w:r>
          </w:p>
        </w:tc>
        <w:tc>
          <w:tcPr>
            <w:tcW w:w="887" w:type="dxa"/>
          </w:tcPr>
          <w:p>
            <w:pPr>
              <w:pStyle w:val="Compact"/>
              <w:spacing w:after="40"/>
              <w:jc w:val="left"/>
            </w:pPr>
            <w:r>
              <w:rPr>
                <w:sz w:val="18"/>
              </w:rPr>
              <w:t xml:space="preserve">FX</w:t>
            </w:r>
          </w:p>
        </w:tc>
        <w:tc>
          <w:tcPr>
            <w:tcW w:w="1485" w:type="dxa"/>
          </w:tcPr>
          <w:p>
            <w:pPr>
              <w:pStyle w:val="Compact"/>
              <w:spacing w:after="40"/>
              <w:jc w:val="left"/>
            </w:pPr>
            <w:r>
              <w:rPr>
                <w:sz w:val="18"/>
              </w:rPr>
              <w:t xml:space="preserve">(loan_id, instrument_ref, presentation_no)</w:t>
            </w:r>
          </w:p>
        </w:tc>
        <w:tc>
          <w:tcPr>
            <w:tcW w:w="1539" w:type="dxa"/>
          </w:tcPr>
          <w:p>
            <w:pPr>
              <w:pStyle w:val="Compact"/>
              <w:spacing w:after="40"/>
              <w:jc w:val="left"/>
            </w:pPr>
            <w:r>
              <w:rPr>
                <w:sz w:val="18"/>
              </w:rPr>
              <w:t xml:space="preserve">≤ 1 h of return file</w:t>
            </w:r>
          </w:p>
        </w:tc>
      </w:tr>
      <w:tr>
        <w:tc>
          <w:tcPr>
            <w:tcW w:w="1296" w:type="dxa"/>
          </w:tcPr>
          <w:p>
            <w:pPr>
              <w:pStyle w:val="Compact"/>
              <w:spacing w:after="40"/>
              <w:jc w:val="left"/>
            </w:pPr>
            <w:r>
              <w:rPr>
                <w:rStyle w:val="VerbatimChar"/>
                <w:sz w:val="18"/>
              </w:rPr>
              <w:t xml:space="preserve">DailyReconciliationFile</w:t>
            </w:r>
            <w:r>
              <w:rPr>
                <w:sz w:val="18"/>
              </w:rPr>
              <w:t xml:space="preserve"> </w:t>
            </w:r>
            <w:r>
              <w:rPr>
                <w:sz w:val="18"/>
              </w:rPr>
              <w:t xml:space="preserve">(E) file</w:t>
            </w:r>
          </w:p>
        </w:tc>
        <w:tc>
          <w:tcPr>
            <w:tcW w:w="1336" w:type="dxa"/>
          </w:tcPr>
          <w:p>
            <w:pPr>
              <w:pStyle w:val="Compact"/>
              <w:spacing w:after="40"/>
              <w:jc w:val="left"/>
            </w:pPr>
            <w:r>
              <w:rPr>
                <w:sz w:val="18"/>
              </w:rPr>
              <w:t xml:space="preserve">FX ↔ UD, CL</w:t>
            </w:r>
          </w:p>
        </w:tc>
        <w:tc>
          <w:tcPr>
            <w:tcW w:w="1234" w:type="dxa"/>
          </w:tcPr>
          <w:p>
            <w:pPr>
              <w:pStyle w:val="Compact"/>
              <w:spacing w:after="40"/>
              <w:jc w:val="left"/>
            </w:pPr>
            <w:r>
              <w:rPr>
                <w:sz w:val="18"/>
              </w:rPr>
              <w:t xml:space="preserve">Day close</w:t>
            </w:r>
          </w:p>
        </w:tc>
        <w:tc>
          <w:tcPr>
            <w:tcW w:w="1861" w:type="dxa"/>
          </w:tcPr>
          <w:p>
            <w:pPr>
              <w:pStyle w:val="Compact"/>
              <w:spacing w:after="40"/>
              <w:jc w:val="left"/>
            </w:pPr>
            <w:r>
              <w:rPr>
                <w:sz w:val="18"/>
              </w:rPr>
              <w:t xml:space="preserve">all flows with control totals</w:t>
            </w:r>
          </w:p>
        </w:tc>
        <w:tc>
          <w:tcPr>
            <w:tcW w:w="887" w:type="dxa"/>
          </w:tcPr>
          <w:p>
            <w:pPr>
              <w:pStyle w:val="Compact"/>
              <w:spacing w:after="40"/>
              <w:jc w:val="left"/>
            </w:pPr>
            <w:r>
              <w:rPr>
                <w:sz w:val="18"/>
              </w:rPr>
              <w:t xml:space="preserve">Each side</w:t>
            </w:r>
          </w:p>
        </w:tc>
        <w:tc>
          <w:tcPr>
            <w:tcW w:w="1485" w:type="dxa"/>
          </w:tcPr>
          <w:p>
            <w:pPr>
              <w:pStyle w:val="Compact"/>
              <w:spacing w:after="40"/>
              <w:jc w:val="left"/>
            </w:pPr>
            <w:r>
              <w:rPr>
                <w:sz w:val="18"/>
              </w:rPr>
              <w:t xml:space="preserve">(producer, business_date)</w:t>
            </w:r>
          </w:p>
        </w:tc>
        <w:tc>
          <w:tcPr>
            <w:tcW w:w="1539" w:type="dxa"/>
          </w:tcPr>
          <w:p>
            <w:pPr>
              <w:pStyle w:val="Compact"/>
              <w:spacing w:after="40"/>
              <w:jc w:val="left"/>
            </w:pPr>
            <w:r>
              <w:rPr>
                <w:sz w:val="18"/>
              </w:rPr>
              <w:t xml:space="preserve">By 06:00 IST</w:t>
            </w:r>
          </w:p>
        </w:tc>
      </w:tr>
    </w:tbl>
    <w:bookmarkEnd w:id="51"/>
    <w:bookmarkStart w:id="52" w:name="collateral-collateral"/>
    <w:p>
      <w:pPr>
        <w:pStyle w:val="Heading2"/>
      </w:pPr>
      <w:r>
        <w:t xml:space="preserve">6.5 Collateral (</w:t>
      </w:r>
      <w:r>
        <w:rPr>
          <w:rStyle w:val="VerbatimChar"/>
        </w:rPr>
        <w:t xml:space="preserve">collateral</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07"/>
        <w:gridCol w:w="935"/>
        <w:gridCol w:w="1827"/>
        <w:gridCol w:w="1680"/>
        <w:gridCol w:w="1145"/>
        <w:gridCol w:w="1073"/>
        <w:gridCol w:w="1671"/>
      </w:tblGrid>
      <w:tr>
        <w:trPr>
          <w:tblHeader w:val="true"/>
          <w:tblHeader w:val="true"/>
        </w:trPr>
        <w:tc>
          <w:tcPr>
            <w:tcW w:w="1307" w:type="dxa"/>
            <w:shd w:val="clear" w:color="auto" w:fill="1F3A5F"/>
          </w:tcPr>
          <w:p>
            <w:pPr>
              <w:pStyle w:val="Compact"/>
              <w:spacing w:after="40"/>
              <w:jc w:val="left"/>
            </w:pPr>
            <w:r>
              <w:rPr>
                <w:b/>
                <w:color w:val="FFFFFF"/>
                <w:sz w:val="18"/>
              </w:rPr>
              <w:t xml:space="preserve">Event or API</w:t>
            </w:r>
          </w:p>
        </w:tc>
        <w:tc>
          <w:tcPr>
            <w:tcW w:w="935" w:type="dxa"/>
            <w:shd w:val="clear" w:color="auto" w:fill="1F3A5F"/>
          </w:tcPr>
          <w:p>
            <w:pPr>
              <w:pStyle w:val="Compact"/>
              <w:spacing w:after="40"/>
              <w:jc w:val="left"/>
            </w:pPr>
            <w:r>
              <w:rPr>
                <w:b/>
                <w:color w:val="FFFFFF"/>
                <w:sz w:val="18"/>
              </w:rPr>
              <w:t xml:space="preserve">Producer → consumer(s)</w:t>
            </w:r>
          </w:p>
        </w:tc>
        <w:tc>
          <w:tcPr>
            <w:tcW w:w="1827" w:type="dxa"/>
            <w:shd w:val="clear" w:color="auto" w:fill="1F3A5F"/>
          </w:tcPr>
          <w:p>
            <w:pPr>
              <w:pStyle w:val="Compact"/>
              <w:spacing w:after="40"/>
              <w:jc w:val="left"/>
            </w:pPr>
            <w:r>
              <w:rPr>
                <w:b/>
                <w:color w:val="FFFFFF"/>
                <w:sz w:val="18"/>
              </w:rPr>
              <w:t xml:space="preserve">Trigger</w:t>
            </w:r>
          </w:p>
        </w:tc>
        <w:tc>
          <w:tcPr>
            <w:tcW w:w="1680" w:type="dxa"/>
            <w:shd w:val="clear" w:color="auto" w:fill="1F3A5F"/>
          </w:tcPr>
          <w:p>
            <w:pPr>
              <w:pStyle w:val="Compact"/>
              <w:spacing w:after="40"/>
              <w:jc w:val="left"/>
            </w:pPr>
            <w:r>
              <w:rPr>
                <w:b/>
                <w:color w:val="FFFFFF"/>
                <w:sz w:val="18"/>
              </w:rPr>
              <w:t xml:space="preserve">Key payload fields</w:t>
            </w:r>
          </w:p>
        </w:tc>
        <w:tc>
          <w:tcPr>
            <w:tcW w:w="1145" w:type="dxa"/>
            <w:shd w:val="clear" w:color="auto" w:fill="1F3A5F"/>
          </w:tcPr>
          <w:p>
            <w:pPr>
              <w:pStyle w:val="Compact"/>
              <w:spacing w:after="40"/>
              <w:jc w:val="left"/>
            </w:pPr>
            <w:r>
              <w:rPr>
                <w:b/>
                <w:color w:val="FFFFFF"/>
                <w:sz w:val="18"/>
              </w:rPr>
              <w:t xml:space="preserve">Owner</w:t>
            </w:r>
          </w:p>
        </w:tc>
        <w:tc>
          <w:tcPr>
            <w:tcW w:w="1073" w:type="dxa"/>
            <w:shd w:val="clear" w:color="auto" w:fill="1F3A5F"/>
          </w:tcPr>
          <w:p>
            <w:pPr>
              <w:pStyle w:val="Compact"/>
              <w:spacing w:after="40"/>
              <w:jc w:val="left"/>
            </w:pPr>
            <w:r>
              <w:rPr>
                <w:b/>
                <w:color w:val="FFFFFF"/>
                <w:sz w:val="18"/>
              </w:rPr>
              <w:t xml:space="preserve">Idempotency key</w:t>
            </w:r>
          </w:p>
        </w:tc>
        <w:tc>
          <w:tcPr>
            <w:tcW w:w="1671" w:type="dxa"/>
            <w:shd w:val="clear" w:color="auto" w:fill="1F3A5F"/>
          </w:tcPr>
          <w:p>
            <w:pPr>
              <w:pStyle w:val="Compact"/>
              <w:spacing w:after="40"/>
              <w:jc w:val="left"/>
            </w:pPr>
            <w:r>
              <w:rPr>
                <w:b/>
                <w:color w:val="FFFFFF"/>
                <w:sz w:val="18"/>
              </w:rPr>
              <w:t xml:space="preserve">SLA</w:t>
            </w:r>
          </w:p>
        </w:tc>
      </w:tr>
      <w:tr>
        <w:tc>
          <w:tcPr>
            <w:tcW w:w="1307" w:type="dxa"/>
          </w:tcPr>
          <w:p>
            <w:pPr>
              <w:pStyle w:val="Compact"/>
              <w:spacing w:after="40"/>
              <w:jc w:val="left"/>
            </w:pPr>
            <w:r>
              <w:rPr>
                <w:rStyle w:val="VerbatimChar"/>
                <w:sz w:val="18"/>
              </w:rPr>
              <w:t xml:space="preserve">CollateralHoldingsShared</w:t>
            </w:r>
            <w:r>
              <w:rPr>
                <w:sz w:val="18"/>
              </w:rPr>
              <w:t xml:space="preserve"> </w:t>
            </w:r>
            <w:r>
              <w:rPr>
                <w:sz w:val="18"/>
              </w:rPr>
              <w:t xml:space="preserve">(N+)</w:t>
            </w:r>
          </w:p>
        </w:tc>
        <w:tc>
          <w:tcPr>
            <w:tcW w:w="935" w:type="dxa"/>
          </w:tcPr>
          <w:p>
            <w:pPr>
              <w:pStyle w:val="Compact"/>
              <w:spacing w:after="40"/>
              <w:jc w:val="left"/>
            </w:pPr>
            <w:r>
              <w:rPr>
                <w:sz w:val="18"/>
              </w:rPr>
              <w:t xml:space="preserve">UD → FX</w:t>
            </w:r>
          </w:p>
        </w:tc>
        <w:tc>
          <w:tcPr>
            <w:tcW w:w="1827" w:type="dxa"/>
          </w:tcPr>
          <w:p>
            <w:pPr>
              <w:pStyle w:val="Compact"/>
              <w:spacing w:after="40"/>
              <w:jc w:val="left"/>
            </w:pPr>
            <w:r>
              <w:rPr>
                <w:sz w:val="18"/>
              </w:rPr>
              <w:t xml:space="preserve">Holdings fetched with consent (CDSL LAS, NSDL, RTA or MF Central)</w:t>
            </w:r>
          </w:p>
        </w:tc>
        <w:tc>
          <w:tcPr>
            <w:tcW w:w="1680" w:type="dxa"/>
          </w:tcPr>
          <w:p>
            <w:pPr>
              <w:pStyle w:val="Compact"/>
              <w:spacing w:after="40"/>
              <w:jc w:val="left"/>
            </w:pPr>
            <w:r>
              <w:rPr>
                <w:sz w:val="18"/>
              </w:rPr>
              <w:t xml:space="preserve">ISIN or scheme, units, source, as_of</w:t>
            </w:r>
          </w:p>
        </w:tc>
        <w:tc>
          <w:tcPr>
            <w:tcW w:w="1145" w:type="dxa"/>
          </w:tcPr>
          <w:p>
            <w:pPr>
              <w:pStyle w:val="Compact"/>
              <w:spacing w:after="40"/>
              <w:jc w:val="left"/>
            </w:pPr>
            <w:r>
              <w:rPr>
                <w:sz w:val="18"/>
              </w:rPr>
              <w:t xml:space="preserve">Depository or RTA data; FX stores</w:t>
            </w:r>
          </w:p>
        </w:tc>
        <w:tc>
          <w:tcPr>
            <w:tcW w:w="1073" w:type="dxa"/>
          </w:tcPr>
          <w:p>
            <w:pPr>
              <w:pStyle w:val="Compact"/>
              <w:spacing w:after="40"/>
              <w:jc w:val="left"/>
            </w:pPr>
            <w:r>
              <w:rPr>
                <w:sz w:val="18"/>
              </w:rPr>
              <w:t xml:space="preserve">(application_id, snapshot_id)</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sz w:val="18"/>
              </w:rPr>
              <w:t xml:space="preserve">API</w:t>
            </w:r>
            <w:r>
              <w:rPr>
                <w:sz w:val="18"/>
              </w:rPr>
              <w:t xml:space="preserve"> </w:t>
            </w:r>
            <w:r>
              <w:rPr>
                <w:rStyle w:val="VerbatimChar"/>
                <w:sz w:val="18"/>
              </w:rPr>
              <w:t xml:space="preserve">POST /v1/collateral/eligibility-quotes</w:t>
            </w:r>
          </w:p>
        </w:tc>
        <w:tc>
          <w:tcPr>
            <w:tcW w:w="935" w:type="dxa"/>
          </w:tcPr>
          <w:p>
            <w:pPr>
              <w:pStyle w:val="Compact"/>
              <w:spacing w:after="40"/>
              <w:jc w:val="left"/>
            </w:pPr>
            <w:r>
              <w:rPr>
                <w:sz w:val="18"/>
              </w:rPr>
              <w:t xml:space="preserve">UD → FX</w:t>
            </w:r>
          </w:p>
        </w:tc>
        <w:tc>
          <w:tcPr>
            <w:tcW w:w="1827" w:type="dxa"/>
          </w:tcPr>
          <w:p>
            <w:pPr>
              <w:pStyle w:val="Compact"/>
              <w:spacing w:after="40"/>
              <w:jc w:val="left"/>
            </w:pPr>
            <w:r>
              <w:rPr>
                <w:sz w:val="18"/>
              </w:rPr>
              <w:t xml:space="preserve">Indicative value</w:t>
            </w:r>
          </w:p>
        </w:tc>
        <w:tc>
          <w:tcPr>
            <w:tcW w:w="1680" w:type="dxa"/>
          </w:tcPr>
          <w:p>
            <w:pPr>
              <w:pStyle w:val="Compact"/>
              <w:spacing w:after="40"/>
              <w:jc w:val="left"/>
            </w:pPr>
            <w:r>
              <w:rPr>
                <w:sz w:val="18"/>
              </w:rPr>
              <w:t xml:space="preserve">returns indicative eligible value and DP</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Idempotency-Key</w:t>
            </w:r>
          </w:p>
        </w:tc>
        <w:tc>
          <w:tcPr>
            <w:tcW w:w="1671" w:type="dxa"/>
          </w:tcPr>
          <w:p>
            <w:pPr>
              <w:pStyle w:val="Compact"/>
              <w:spacing w:after="40"/>
              <w:jc w:val="left"/>
            </w:pPr>
            <w:r>
              <w:rPr>
                <w:sz w:val="18"/>
              </w:rPr>
              <w:t xml:space="preserve">≤ 2 s</w:t>
            </w:r>
          </w:p>
        </w:tc>
      </w:tr>
      <w:tr>
        <w:tc>
          <w:tcPr>
            <w:tcW w:w="1307" w:type="dxa"/>
          </w:tcPr>
          <w:p>
            <w:pPr>
              <w:pStyle w:val="Compact"/>
              <w:spacing w:after="40"/>
              <w:jc w:val="left"/>
            </w:pPr>
            <w:r>
              <w:rPr>
                <w:rStyle w:val="VerbatimChar"/>
                <w:sz w:val="18"/>
              </w:rPr>
              <w:t xml:space="preserve">CollateralPledgeRequested</w:t>
            </w:r>
            <w:r>
              <w:rPr>
                <w:sz w:val="18"/>
              </w:rPr>
              <w:t xml:space="preserve"> </w:t>
            </w:r>
            <w:r>
              <w:rPr>
                <w:sz w:val="18"/>
              </w:rPr>
              <w:t xml:space="preserve">(N)</w:t>
            </w:r>
          </w:p>
        </w:tc>
        <w:tc>
          <w:tcPr>
            <w:tcW w:w="935" w:type="dxa"/>
          </w:tcPr>
          <w:p>
            <w:pPr>
              <w:pStyle w:val="Compact"/>
              <w:spacing w:after="40"/>
              <w:jc w:val="left"/>
            </w:pPr>
            <w:r>
              <w:rPr>
                <w:sz w:val="18"/>
              </w:rPr>
              <w:t xml:space="preserve">FX → UD (or provider)</w:t>
            </w:r>
          </w:p>
        </w:tc>
        <w:tc>
          <w:tcPr>
            <w:tcW w:w="1827" w:type="dxa"/>
          </w:tcPr>
          <w:p>
            <w:pPr>
              <w:pStyle w:val="Compact"/>
              <w:spacing w:after="40"/>
              <w:jc w:val="left"/>
            </w:pPr>
            <w:r>
              <w:rPr>
                <w:sz w:val="18"/>
              </w:rPr>
              <w:t xml:space="preserve">Sanction requires pledge or lien</w:t>
            </w:r>
          </w:p>
        </w:tc>
        <w:tc>
          <w:tcPr>
            <w:tcW w:w="1680" w:type="dxa"/>
          </w:tcPr>
          <w:p>
            <w:pPr>
              <w:pStyle w:val="Compact"/>
              <w:spacing w:after="40"/>
              <w:jc w:val="left"/>
            </w:pPr>
            <w:r>
              <w:rPr>
                <w:sz w:val="18"/>
              </w:rPr>
              <w:t xml:space="preserve">securities, quantities, pledgee DP or RTA, agreement no, deadline</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pledge_request_id</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rStyle w:val="VerbatimChar"/>
                <w:sz w:val="18"/>
              </w:rPr>
              <w:t xml:space="preserve">CollateralPledgeCreated</w:t>
            </w:r>
            <w:r>
              <w:rPr>
                <w:sz w:val="18"/>
              </w:rPr>
              <w:t xml:space="preserve"> </w:t>
            </w:r>
            <w:r>
              <w:rPr>
                <w:sz w:val="18"/>
              </w:rPr>
              <w:t xml:space="preserve">(N) signed</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Provider confirms encumbrance (NSDL, CDSL, RTA, sealed gold packet)</w:t>
            </w:r>
          </w:p>
        </w:tc>
        <w:tc>
          <w:tcPr>
            <w:tcW w:w="1680" w:type="dxa"/>
          </w:tcPr>
          <w:p>
            <w:pPr>
              <w:pStyle w:val="Compact"/>
              <w:spacing w:after="40"/>
              <w:jc w:val="left"/>
            </w:pPr>
            <w:r>
              <w:rPr>
                <w:sz w:val="18"/>
              </w:rPr>
              <w:t xml:space="preserve">pledge_ref, units or weight, provider, evidence hash</w:t>
            </w:r>
          </w:p>
        </w:tc>
        <w:tc>
          <w:tcPr>
            <w:tcW w:w="1145" w:type="dxa"/>
          </w:tcPr>
          <w:p>
            <w:pPr>
              <w:pStyle w:val="Compact"/>
              <w:spacing w:after="40"/>
              <w:jc w:val="left"/>
            </w:pPr>
            <w:r>
              <w:rPr>
                <w:sz w:val="18"/>
              </w:rPr>
              <w:t xml:space="preserve">FX; provider is external truth</w:t>
            </w:r>
          </w:p>
        </w:tc>
        <w:tc>
          <w:tcPr>
            <w:tcW w:w="1073" w:type="dxa"/>
          </w:tcPr>
          <w:p>
            <w:pPr>
              <w:pStyle w:val="Compact"/>
              <w:spacing w:after="40"/>
              <w:jc w:val="left"/>
            </w:pPr>
            <w:r>
              <w:rPr>
                <w:sz w:val="18"/>
              </w:rPr>
              <w:t xml:space="preserve">(provider, pledge_ref)</w:t>
            </w:r>
          </w:p>
        </w:tc>
        <w:tc>
          <w:tcPr>
            <w:tcW w:w="1671" w:type="dxa"/>
          </w:tcPr>
          <w:p>
            <w:pPr>
              <w:pStyle w:val="Compact"/>
              <w:spacing w:after="40"/>
              <w:jc w:val="left"/>
            </w:pPr>
            <w:r>
              <w:rPr>
                <w:sz w:val="18"/>
              </w:rPr>
              <w:t xml:space="preserve">std; disbursement gate</w:t>
            </w:r>
          </w:p>
        </w:tc>
      </w:tr>
      <w:tr>
        <w:tc>
          <w:tcPr>
            <w:tcW w:w="1307" w:type="dxa"/>
          </w:tcPr>
          <w:p>
            <w:pPr>
              <w:pStyle w:val="Compact"/>
              <w:spacing w:after="40"/>
              <w:jc w:val="left"/>
            </w:pPr>
            <w:r>
              <w:rPr>
                <w:rStyle w:val="VerbatimChar"/>
                <w:sz w:val="18"/>
              </w:rPr>
              <w:t xml:space="preserve">CollateralPledgeFailed</w:t>
            </w:r>
            <w:r>
              <w:rPr>
                <w:sz w:val="18"/>
              </w:rPr>
              <w:t xml:space="preserve"> </w:t>
            </w:r>
            <w:r>
              <w:rPr>
                <w:sz w:val="18"/>
              </w:rPr>
              <w:t xml:space="preserve">(N+)</w:t>
            </w:r>
          </w:p>
        </w:tc>
        <w:tc>
          <w:tcPr>
            <w:tcW w:w="935" w:type="dxa"/>
          </w:tcPr>
          <w:p>
            <w:pPr>
              <w:pStyle w:val="Compact"/>
              <w:spacing w:after="40"/>
              <w:jc w:val="left"/>
            </w:pPr>
            <w:r>
              <w:rPr>
                <w:sz w:val="18"/>
              </w:rPr>
              <w:t xml:space="preserve">FX → UD</w:t>
            </w:r>
          </w:p>
        </w:tc>
        <w:tc>
          <w:tcPr>
            <w:tcW w:w="1827" w:type="dxa"/>
          </w:tcPr>
          <w:p>
            <w:pPr>
              <w:pStyle w:val="Compact"/>
              <w:spacing w:after="40"/>
              <w:jc w:val="left"/>
            </w:pPr>
            <w:r>
              <w:rPr>
                <w:sz w:val="18"/>
              </w:rPr>
              <w:t xml:space="preserve">Rejection, OTP failure, expiry</w:t>
            </w:r>
          </w:p>
        </w:tc>
        <w:tc>
          <w:tcPr>
            <w:tcW w:w="1680" w:type="dxa"/>
          </w:tcPr>
          <w:p>
            <w:pPr>
              <w:pStyle w:val="Compact"/>
              <w:spacing w:after="40"/>
              <w:jc w:val="left"/>
            </w:pPr>
            <w:r>
              <w:rPr>
                <w:sz w:val="18"/>
              </w:rPr>
              <w:t xml:space="preserve">reason, retry allowed</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(pledge_request_id, attempt)</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rStyle w:val="VerbatimChar"/>
                <w:sz w:val="18"/>
              </w:rPr>
              <w:t xml:space="preserve">CollateralChargeRegistered</w:t>
            </w:r>
            <w:r>
              <w:rPr>
                <w:sz w:val="18"/>
              </w:rPr>
              <w:t xml:space="preserve"> </w:t>
            </w:r>
            <w:r>
              <w:rPr>
                <w:sz w:val="18"/>
              </w:rPr>
              <w:t xml:space="preserve">(N+)</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Mortgage, hypothecation, assignment or guarantee cover registered</w:t>
            </w:r>
          </w:p>
        </w:tc>
        <w:tc>
          <w:tcPr>
            <w:tcW w:w="1680" w:type="dxa"/>
          </w:tcPr>
          <w:p>
            <w:pPr>
              <w:pStyle w:val="Compact"/>
              <w:spacing w:after="40"/>
              <w:jc w:val="left"/>
            </w:pPr>
            <w:r>
              <w:rPr>
                <w:sz w:val="18"/>
              </w:rPr>
              <w:t xml:space="preserve">charge type, registry (CERSAI, VAHAN, TREDS, CGTMSE), registry_ref</w:t>
            </w:r>
          </w:p>
        </w:tc>
        <w:tc>
          <w:tcPr>
            <w:tcW w:w="1145" w:type="dxa"/>
          </w:tcPr>
          <w:p>
            <w:pPr>
              <w:pStyle w:val="Compact"/>
              <w:spacing w:after="40"/>
              <w:jc w:val="left"/>
            </w:pPr>
            <w:r>
              <w:rPr>
                <w:sz w:val="18"/>
              </w:rPr>
              <w:t xml:space="preserve">FX; registry external</w:t>
            </w:r>
          </w:p>
        </w:tc>
        <w:tc>
          <w:tcPr>
            <w:tcW w:w="1073" w:type="dxa"/>
          </w:tcPr>
          <w:p>
            <w:pPr>
              <w:pStyle w:val="Compact"/>
              <w:spacing w:after="40"/>
              <w:jc w:val="left"/>
            </w:pPr>
            <w:r>
              <w:rPr>
                <w:sz w:val="18"/>
              </w:rPr>
              <w:t xml:space="preserve">(registry, registry_ref)</w:t>
            </w:r>
          </w:p>
        </w:tc>
        <w:tc>
          <w:tcPr>
            <w:tcW w:w="1671" w:type="dxa"/>
          </w:tcPr>
          <w:p>
            <w:pPr>
              <w:pStyle w:val="Compact"/>
              <w:spacing w:after="40"/>
              <w:jc w:val="left"/>
            </w:pPr>
            <w:r>
              <w:rPr>
                <w:sz w:val="18"/>
              </w:rPr>
              <w:t xml:space="preserve">Per SARFAESI s.23 and CERSAI Rules [VERIFY: filing window]</w:t>
            </w:r>
          </w:p>
        </w:tc>
      </w:tr>
      <w:tr>
        <w:tc>
          <w:tcPr>
            <w:tcW w:w="1307" w:type="dxa"/>
          </w:tcPr>
          <w:p>
            <w:pPr>
              <w:pStyle w:val="Compact"/>
              <w:spacing w:after="40"/>
              <w:jc w:val="left"/>
            </w:pPr>
            <w:r>
              <w:rPr>
                <w:rStyle w:val="VerbatimChar"/>
                <w:sz w:val="18"/>
              </w:rPr>
              <w:t xml:space="preserve">CollateralValuationUpdated</w:t>
            </w:r>
            <w:r>
              <w:rPr>
                <w:sz w:val="18"/>
              </w:rPr>
              <w:t xml:space="preserve"> </w:t>
            </w:r>
            <w:r>
              <w:rPr>
                <w:sz w:val="18"/>
              </w:rPr>
              <w:t xml:space="preserve">(N)</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Valuation run, revaluation, gold assay</w:t>
            </w:r>
          </w:p>
        </w:tc>
        <w:tc>
          <w:tcPr>
            <w:tcW w:w="1680" w:type="dxa"/>
          </w:tcPr>
          <w:p>
            <w:pPr>
              <w:pStyle w:val="Compact"/>
              <w:spacing w:after="40"/>
              <w:jc w:val="left"/>
            </w:pPr>
            <w:r>
              <w:rPr>
                <w:sz w:val="18"/>
              </w:rPr>
              <w:t xml:space="preserve">value, price source and as_of, haircut version, DP, LTV, freeze flag</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(loan_id, valuation_run_id)</w:t>
            </w:r>
          </w:p>
        </w:tc>
        <w:tc>
          <w:tcPr>
            <w:tcW w:w="1671" w:type="dxa"/>
          </w:tcPr>
          <w:p>
            <w:pPr>
              <w:pStyle w:val="Compact"/>
              <w:spacing w:after="40"/>
              <w:jc w:val="left"/>
            </w:pPr>
            <w:r>
              <w:rPr>
                <w:sz w:val="18"/>
              </w:rPr>
              <w:t xml:space="preserve">LAS daily by 09:30 IST [REC]</w:t>
            </w:r>
          </w:p>
        </w:tc>
      </w:tr>
      <w:tr>
        <w:tc>
          <w:tcPr>
            <w:tcW w:w="1307" w:type="dxa"/>
          </w:tcPr>
          <w:p>
            <w:pPr>
              <w:pStyle w:val="Compact"/>
              <w:spacing w:after="40"/>
              <w:jc w:val="left"/>
            </w:pPr>
            <w:r>
              <w:rPr>
                <w:rStyle w:val="VerbatimChar"/>
                <w:sz w:val="18"/>
              </w:rPr>
              <w:t xml:space="preserve">MarginCallRaised</w:t>
            </w:r>
            <w:r>
              <w:rPr>
                <w:sz w:val="18"/>
              </w:rPr>
              <w:t xml:space="preserve"> </w:t>
            </w:r>
            <w:r>
              <w:rPr>
                <w:sz w:val="18"/>
              </w:rPr>
              <w:t xml:space="preserve">(N) signed</w:t>
            </w:r>
          </w:p>
        </w:tc>
        <w:tc>
          <w:tcPr>
            <w:tcW w:w="935" w:type="dxa"/>
          </w:tcPr>
          <w:p>
            <w:pPr>
              <w:pStyle w:val="Compact"/>
              <w:spacing w:after="40"/>
              <w:jc w:val="left"/>
            </w:pPr>
            <w:r>
              <w:rPr>
                <w:sz w:val="18"/>
              </w:rPr>
              <w:t xml:space="preserve">FX → UD</w:t>
            </w:r>
          </w:p>
        </w:tc>
        <w:tc>
          <w:tcPr>
            <w:tcW w:w="1827" w:type="dxa"/>
          </w:tcPr>
          <w:p>
            <w:pPr>
              <w:pStyle w:val="Compact"/>
              <w:spacing w:after="40"/>
              <w:jc w:val="left"/>
            </w:pPr>
            <w:r>
              <w:rPr>
                <w:sz w:val="18"/>
              </w:rPr>
              <w:t xml:space="preserve">LTV above permitted level</w:t>
            </w:r>
          </w:p>
        </w:tc>
        <w:tc>
          <w:tcPr>
            <w:tcW w:w="1680" w:type="dxa"/>
          </w:tcPr>
          <w:p>
            <w:pPr>
              <w:pStyle w:val="Compact"/>
              <w:spacing w:after="40"/>
              <w:jc w:val="left"/>
            </w:pPr>
            <w:r>
              <w:rPr>
                <w:sz w:val="18"/>
              </w:rPr>
              <w:t xml:space="preserve">LTV, shortfall, cure options, cure_deadline, basis</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margin_call_id</w:t>
            </w:r>
          </w:p>
        </w:tc>
        <w:tc>
          <w:tcPr>
            <w:tcW w:w="1671" w:type="dxa"/>
          </w:tcPr>
          <w:p>
            <w:pPr>
              <w:pStyle w:val="Compact"/>
              <w:spacing w:after="40"/>
              <w:jc w:val="left"/>
            </w:pPr>
            <w:r>
              <w:rPr>
                <w:sz w:val="18"/>
              </w:rPr>
              <w:t xml:space="preserve">≤ 15 min; borrower told same day</w:t>
            </w:r>
          </w:p>
        </w:tc>
      </w:tr>
      <w:tr>
        <w:tc>
          <w:tcPr>
            <w:tcW w:w="1307" w:type="dxa"/>
          </w:tcPr>
          <w:p>
            <w:pPr>
              <w:pStyle w:val="Compact"/>
              <w:spacing w:after="40"/>
              <w:jc w:val="left"/>
            </w:pPr>
            <w:r>
              <w:rPr>
                <w:sz w:val="18"/>
              </w:rPr>
              <w:t xml:space="preserve">API</w:t>
            </w:r>
            <w:r>
              <w:rPr>
                <w:sz w:val="18"/>
              </w:rPr>
              <w:t xml:space="preserve"> </w:t>
            </w:r>
            <w:r>
              <w:rPr>
                <w:rStyle w:val="VerbatimChar"/>
                <w:sz w:val="18"/>
              </w:rPr>
              <w:t xml:space="preserve">POST /v1/margin-calls/{id}/cure-intents</w:t>
            </w:r>
          </w:p>
        </w:tc>
        <w:tc>
          <w:tcPr>
            <w:tcW w:w="935" w:type="dxa"/>
          </w:tcPr>
          <w:p>
            <w:pPr>
              <w:pStyle w:val="Compact"/>
              <w:spacing w:after="40"/>
              <w:jc w:val="left"/>
            </w:pPr>
            <w:r>
              <w:rPr>
                <w:sz w:val="18"/>
              </w:rPr>
              <w:t xml:space="preserve">UD → FX</w:t>
            </w:r>
          </w:p>
        </w:tc>
        <w:tc>
          <w:tcPr>
            <w:tcW w:w="1827" w:type="dxa"/>
          </w:tcPr>
          <w:p>
            <w:pPr>
              <w:pStyle w:val="Compact"/>
              <w:spacing w:after="40"/>
              <w:jc w:val="left"/>
            </w:pPr>
            <w:r>
              <w:rPr>
                <w:sz w:val="18"/>
              </w:rPr>
              <w:t xml:space="preserve">Borrower chooses a cure</w:t>
            </w:r>
          </w:p>
        </w:tc>
        <w:tc>
          <w:tcPr>
            <w:tcW w:w="1680" w:type="dxa"/>
          </w:tcPr>
          <w:p>
            <w:pPr>
              <w:pStyle w:val="Compact"/>
              <w:spacing w:after="40"/>
              <w:jc w:val="left"/>
            </w:pPr>
            <w:r>
              <w:rPr>
                <w:sz w:val="18"/>
              </w:rPr>
              <w:t xml:space="preserve">top-up, part payment or sell-to-cure</w:t>
            </w:r>
          </w:p>
        </w:tc>
        <w:tc>
          <w:tcPr>
            <w:tcW w:w="1145" w:type="dxa"/>
          </w:tcPr>
          <w:p>
            <w:pPr>
              <w:pStyle w:val="Compact"/>
              <w:spacing w:after="40"/>
              <w:jc w:val="left"/>
            </w:pPr>
            <w:r>
              <w:rPr>
                <w:sz w:val="18"/>
              </w:rPr>
              <w:t xml:space="preserve">FX decides</w:t>
            </w:r>
          </w:p>
        </w:tc>
        <w:tc>
          <w:tcPr>
            <w:tcW w:w="1073" w:type="dxa"/>
          </w:tcPr>
          <w:p>
            <w:pPr>
              <w:pStyle w:val="Compact"/>
              <w:spacing w:after="40"/>
              <w:jc w:val="left"/>
            </w:pPr>
            <w:r>
              <w:rPr>
                <w:sz w:val="18"/>
              </w:rPr>
              <w:t xml:space="preserve">Idempotency-Key</w:t>
            </w:r>
          </w:p>
        </w:tc>
        <w:tc>
          <w:tcPr>
            <w:tcW w:w="1671" w:type="dxa"/>
          </w:tcPr>
          <w:p>
            <w:pPr>
              <w:pStyle w:val="Compact"/>
              <w:spacing w:after="40"/>
              <w:jc w:val="left"/>
            </w:pPr>
            <w:r>
              <w:rPr>
                <w:sz w:val="18"/>
              </w:rPr>
              <w:t xml:space="preserve">≤ 2 s</w:t>
            </w:r>
          </w:p>
        </w:tc>
      </w:tr>
      <w:tr>
        <w:tc>
          <w:tcPr>
            <w:tcW w:w="1307" w:type="dxa"/>
          </w:tcPr>
          <w:p>
            <w:pPr>
              <w:pStyle w:val="Compact"/>
              <w:spacing w:after="40"/>
              <w:jc w:val="left"/>
            </w:pPr>
            <w:r>
              <w:rPr>
                <w:rStyle w:val="VerbatimChar"/>
                <w:sz w:val="18"/>
              </w:rPr>
              <w:t xml:space="preserve">MarginCallCured</w:t>
            </w:r>
            <w:r>
              <w:rPr>
                <w:sz w:val="18"/>
              </w:rPr>
              <w:t xml:space="preserve"> </w:t>
            </w:r>
            <w:r>
              <w:rPr>
                <w:sz w:val="18"/>
              </w:rPr>
              <w:t xml:space="preserve">(N)</w:t>
            </w:r>
          </w:p>
        </w:tc>
        <w:tc>
          <w:tcPr>
            <w:tcW w:w="935" w:type="dxa"/>
          </w:tcPr>
          <w:p>
            <w:pPr>
              <w:pStyle w:val="Compact"/>
              <w:spacing w:after="40"/>
              <w:jc w:val="left"/>
            </w:pPr>
            <w:r>
              <w:rPr>
                <w:sz w:val="18"/>
              </w:rPr>
              <w:t xml:space="preserve">FX → UD</w:t>
            </w:r>
          </w:p>
        </w:tc>
        <w:tc>
          <w:tcPr>
            <w:tcW w:w="1827" w:type="dxa"/>
          </w:tcPr>
          <w:p>
            <w:pPr>
              <w:pStyle w:val="Compact"/>
              <w:spacing w:after="40"/>
              <w:jc w:val="left"/>
            </w:pPr>
            <w:r>
              <w:rPr>
                <w:sz w:val="18"/>
              </w:rPr>
              <w:t xml:space="preserve">Shortfall cleared</w:t>
            </w:r>
          </w:p>
        </w:tc>
        <w:tc>
          <w:tcPr>
            <w:tcW w:w="1680" w:type="dxa"/>
          </w:tcPr>
          <w:p>
            <w:pPr>
              <w:pStyle w:val="Compact"/>
              <w:spacing w:after="40"/>
              <w:jc w:val="left"/>
            </w:pPr>
            <w:r>
              <w:rPr>
                <w:sz w:val="18"/>
              </w:rPr>
              <w:t xml:space="preserve">method, cured_at, post-cure LTV</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margin_call_id</w:t>
            </w:r>
          </w:p>
        </w:tc>
        <w:tc>
          <w:tcPr>
            <w:tcW w:w="1671" w:type="dxa"/>
          </w:tcPr>
          <w:p>
            <w:pPr>
              <w:pStyle w:val="Compact"/>
              <w:spacing w:after="40"/>
              <w:jc w:val="left"/>
            </w:pPr>
            <w:r>
              <w:rPr>
                <w:sz w:val="18"/>
              </w:rPr>
              <w:t xml:space="preserve">≤ 15 min</w:t>
            </w:r>
          </w:p>
        </w:tc>
      </w:tr>
      <w:tr>
        <w:tc>
          <w:tcPr>
            <w:tcW w:w="1307" w:type="dxa"/>
          </w:tcPr>
          <w:p>
            <w:pPr>
              <w:pStyle w:val="Compact"/>
              <w:spacing w:after="40"/>
              <w:jc w:val="left"/>
            </w:pPr>
            <w:r>
              <w:rPr>
                <w:rStyle w:val="VerbatimChar"/>
                <w:sz w:val="18"/>
              </w:rPr>
              <w:t xml:space="preserve">MarginCallLapsed</w:t>
            </w:r>
            <w:r>
              <w:rPr>
                <w:sz w:val="18"/>
              </w:rPr>
              <w:t xml:space="preserve"> </w:t>
            </w:r>
            <w:r>
              <w:rPr>
                <w:sz w:val="18"/>
              </w:rPr>
              <w:t xml:space="preserve">(N+)</w:t>
            </w:r>
          </w:p>
        </w:tc>
        <w:tc>
          <w:tcPr>
            <w:tcW w:w="935" w:type="dxa"/>
          </w:tcPr>
          <w:p>
            <w:pPr>
              <w:pStyle w:val="Compact"/>
              <w:spacing w:after="40"/>
              <w:jc w:val="left"/>
            </w:pPr>
            <w:r>
              <w:rPr>
                <w:sz w:val="18"/>
              </w:rPr>
              <w:t xml:space="preserve">FX → UD, RS</w:t>
            </w:r>
          </w:p>
        </w:tc>
        <w:tc>
          <w:tcPr>
            <w:tcW w:w="1827" w:type="dxa"/>
          </w:tcPr>
          <w:p>
            <w:pPr>
              <w:pStyle w:val="Compact"/>
              <w:spacing w:after="40"/>
              <w:jc w:val="left"/>
            </w:pPr>
            <w:r>
              <w:rPr>
                <w:sz w:val="18"/>
              </w:rPr>
              <w:t xml:space="preserve">Deadline passed uncured</w:t>
            </w:r>
          </w:p>
        </w:tc>
        <w:tc>
          <w:tcPr>
            <w:tcW w:w="1680" w:type="dxa"/>
          </w:tcPr>
          <w:p>
            <w:pPr>
              <w:pStyle w:val="Compact"/>
              <w:spacing w:after="40"/>
              <w:jc w:val="left"/>
            </w:pPr>
            <w:r>
              <w:rPr>
                <w:sz w:val="18"/>
              </w:rPr>
              <w:t xml:space="preserve">shortfall, next step, freeze status</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margin_call_id</w:t>
            </w:r>
          </w:p>
        </w:tc>
        <w:tc>
          <w:tcPr>
            <w:tcW w:w="1671" w:type="dxa"/>
          </w:tcPr>
          <w:p>
            <w:pPr>
              <w:pStyle w:val="Compact"/>
              <w:spacing w:after="40"/>
              <w:jc w:val="left"/>
            </w:pPr>
            <w:r>
              <w:rPr>
                <w:sz w:val="18"/>
              </w:rPr>
              <w:t xml:space="preserve">At deadline</w:t>
            </w:r>
          </w:p>
        </w:tc>
      </w:tr>
      <w:tr>
        <w:tc>
          <w:tcPr>
            <w:tcW w:w="1307" w:type="dxa"/>
          </w:tcPr>
          <w:p>
            <w:pPr>
              <w:pStyle w:val="Compact"/>
              <w:spacing w:after="40"/>
              <w:jc w:val="left"/>
            </w:pPr>
            <w:r>
              <w:rPr>
                <w:rStyle w:val="VerbatimChar"/>
                <w:sz w:val="18"/>
              </w:rPr>
              <w:t xml:space="preserve">CollateralInvoked</w:t>
            </w:r>
            <w:r>
              <w:rPr>
                <w:sz w:val="18"/>
              </w:rPr>
              <w:t xml:space="preserve"> </w:t>
            </w:r>
            <w:r>
              <w:rPr>
                <w:sz w:val="18"/>
              </w:rPr>
              <w:t xml:space="preserve">(N) signed</w:t>
            </w:r>
          </w:p>
        </w:tc>
        <w:tc>
          <w:tcPr>
            <w:tcW w:w="935" w:type="dxa"/>
          </w:tcPr>
          <w:p>
            <w:pPr>
              <w:pStyle w:val="Compact"/>
              <w:spacing w:after="40"/>
              <w:jc w:val="left"/>
            </w:pPr>
            <w:r>
              <w:rPr>
                <w:sz w:val="18"/>
              </w:rPr>
              <w:t xml:space="preserve">FX → UD, CL, RS</w:t>
            </w:r>
          </w:p>
        </w:tc>
        <w:tc>
          <w:tcPr>
            <w:tcW w:w="1827" w:type="dxa"/>
          </w:tcPr>
          <w:p>
            <w:pPr>
              <w:pStyle w:val="Compact"/>
              <w:spacing w:after="40"/>
              <w:jc w:val="left"/>
            </w:pPr>
            <w:r>
              <w:rPr>
                <w:sz w:val="18"/>
              </w:rPr>
              <w:t xml:space="preserve">Pledge invoked, guarantee claimed, deposit set off</w:t>
            </w:r>
          </w:p>
        </w:tc>
        <w:tc>
          <w:tcPr>
            <w:tcW w:w="1680" w:type="dxa"/>
          </w:tcPr>
          <w:p>
            <w:pPr>
              <w:pStyle w:val="Compact"/>
              <w:spacing w:after="40"/>
              <w:jc w:val="left"/>
            </w:pPr>
            <w:r>
              <w:rPr>
                <w:sz w:val="18"/>
              </w:rPr>
              <w:t xml:space="preserve">quantity, proceeds, notice ref</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(provider, invocation_ref)</w:t>
            </w:r>
          </w:p>
        </w:tc>
        <w:tc>
          <w:tcPr>
            <w:tcW w:w="1671" w:type="dxa"/>
          </w:tcPr>
          <w:p>
            <w:pPr>
              <w:pStyle w:val="Compact"/>
              <w:spacing w:after="40"/>
              <w:jc w:val="left"/>
            </w:pPr>
            <w:r>
              <w:rPr>
                <w:sz w:val="18"/>
              </w:rPr>
              <w:t xml:space="preserve">std</w:t>
            </w:r>
          </w:p>
        </w:tc>
      </w:tr>
      <w:tr>
        <w:tc>
          <w:tcPr>
            <w:tcW w:w="1307" w:type="dxa"/>
          </w:tcPr>
          <w:p>
            <w:pPr>
              <w:pStyle w:val="Compact"/>
              <w:spacing w:after="40"/>
              <w:jc w:val="left"/>
            </w:pPr>
            <w:r>
              <w:rPr>
                <w:rStyle w:val="VerbatimChar"/>
                <w:sz w:val="18"/>
              </w:rPr>
              <w:t xml:space="preserve">CollateralReleased</w:t>
            </w:r>
            <w:r>
              <w:rPr>
                <w:sz w:val="18"/>
              </w:rPr>
              <w:t xml:space="preserve"> </w:t>
            </w:r>
            <w:r>
              <w:rPr>
                <w:sz w:val="18"/>
              </w:rPr>
              <w:t xml:space="preserve">(N) signed</w:t>
            </w:r>
          </w:p>
        </w:tc>
        <w:tc>
          <w:tcPr>
            <w:tcW w:w="935" w:type="dxa"/>
          </w:tcPr>
          <w:p>
            <w:pPr>
              <w:pStyle w:val="Compact"/>
              <w:spacing w:after="40"/>
              <w:jc w:val="left"/>
            </w:pPr>
            <w:r>
              <w:rPr>
                <w:sz w:val="18"/>
              </w:rPr>
              <w:t xml:space="preserve">FX → UD, CL</w:t>
            </w:r>
          </w:p>
        </w:tc>
        <w:tc>
          <w:tcPr>
            <w:tcW w:w="1827" w:type="dxa"/>
          </w:tcPr>
          <w:p>
            <w:pPr>
              <w:pStyle w:val="Compact"/>
              <w:spacing w:after="40"/>
              <w:jc w:val="left"/>
            </w:pPr>
            <w:r>
              <w:rPr>
                <w:sz w:val="18"/>
              </w:rPr>
              <w:t xml:space="preserve">Pledge closed, lien revoked, CERSAI satisfied, Vahan NOC, gold or documents returned</w:t>
            </w:r>
          </w:p>
        </w:tc>
        <w:tc>
          <w:tcPr>
            <w:tcW w:w="1680" w:type="dxa"/>
          </w:tcPr>
          <w:p>
            <w:pPr>
              <w:pStyle w:val="Compact"/>
              <w:spacing w:after="40"/>
              <w:jc w:val="left"/>
            </w:pPr>
            <w:r>
              <w:rPr>
                <w:sz w:val="18"/>
              </w:rPr>
              <w:t xml:space="preserve">release type, registry_ref, delay days, compensation (RBC paras 39, 69)</w:t>
            </w:r>
          </w:p>
        </w:tc>
        <w:tc>
          <w:tcPr>
            <w:tcW w:w="1145" w:type="dxa"/>
          </w:tcPr>
          <w:p>
            <w:pPr>
              <w:pStyle w:val="Compact"/>
              <w:spacing w:after="40"/>
              <w:jc w:val="left"/>
            </w:pPr>
            <w:r>
              <w:rPr>
                <w:sz w:val="18"/>
              </w:rPr>
              <w:t xml:space="preserve">FX</w:t>
            </w:r>
          </w:p>
        </w:tc>
        <w:tc>
          <w:tcPr>
            <w:tcW w:w="1073" w:type="dxa"/>
          </w:tcPr>
          <w:p>
            <w:pPr>
              <w:pStyle w:val="Compact"/>
              <w:spacing w:after="40"/>
              <w:jc w:val="left"/>
            </w:pPr>
            <w:r>
              <w:rPr>
                <w:sz w:val="18"/>
              </w:rPr>
              <w:t xml:space="preserve">(collateral_id, release_ref)</w:t>
            </w:r>
          </w:p>
        </w:tc>
        <w:tc>
          <w:tcPr>
            <w:tcW w:w="1671" w:type="dxa"/>
          </w:tcPr>
          <w:p>
            <w:pPr>
              <w:pStyle w:val="Compact"/>
              <w:spacing w:after="40"/>
              <w:jc w:val="left"/>
            </w:pPr>
            <w:r>
              <w:rPr>
                <w:sz w:val="18"/>
              </w:rPr>
              <w:t xml:space="preserve">Gold ≤ 7 working days (RBC para 58); documents ≤ 30 days (RBC para 35)</w:t>
            </w:r>
          </w:p>
        </w:tc>
      </w:tr>
    </w:tbl>
    <w:bookmarkEnd w:id="52"/>
    <w:bookmarkStart w:id="53" w:name="Xa113b96d0010c006073536ac6712a14d2f55dc0"/>
    <w:p>
      <w:pPr>
        <w:pStyle w:val="Heading2"/>
      </w:pPr>
      <w:r>
        <w:t xml:space="preserve">6.6 Co-lending, transfers and consortium (</w:t>
      </w:r>
      <w:r>
        <w:rPr>
          <w:rStyle w:val="VerbatimChar"/>
        </w:rPr>
        <w:t xml:space="preserve">colending</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37"/>
        <w:gridCol w:w="1514"/>
        <w:gridCol w:w="1555"/>
        <w:gridCol w:w="1815"/>
        <w:gridCol w:w="935"/>
        <w:gridCol w:w="1021"/>
        <w:gridCol w:w="1661"/>
      </w:tblGrid>
      <w:tr>
        <w:trPr>
          <w:tblHeader w:val="true"/>
          <w:tblHeader w:val="true"/>
        </w:trPr>
        <w:tc>
          <w:tcPr>
            <w:tcW w:w="1137" w:type="dxa"/>
            <w:shd w:val="clear" w:color="auto" w:fill="1F3A5F"/>
          </w:tcPr>
          <w:p>
            <w:pPr>
              <w:pStyle w:val="Compact"/>
              <w:spacing w:after="40"/>
              <w:jc w:val="left"/>
            </w:pPr>
            <w:r>
              <w:rPr>
                <w:b/>
                <w:color w:val="FFFFFF"/>
                <w:sz w:val="18"/>
              </w:rPr>
              <w:t xml:space="preserve">Event or API</w:t>
            </w:r>
          </w:p>
        </w:tc>
        <w:tc>
          <w:tcPr>
            <w:tcW w:w="1514" w:type="dxa"/>
            <w:shd w:val="clear" w:color="auto" w:fill="1F3A5F"/>
          </w:tcPr>
          <w:p>
            <w:pPr>
              <w:pStyle w:val="Compact"/>
              <w:spacing w:after="40"/>
              <w:jc w:val="left"/>
            </w:pPr>
            <w:r>
              <w:rPr>
                <w:b/>
                <w:color w:val="FFFFFF"/>
                <w:sz w:val="18"/>
              </w:rPr>
              <w:t xml:space="preserve">Producer → consumer(s)</w:t>
            </w:r>
          </w:p>
        </w:tc>
        <w:tc>
          <w:tcPr>
            <w:tcW w:w="1555" w:type="dxa"/>
            <w:shd w:val="clear" w:color="auto" w:fill="1F3A5F"/>
          </w:tcPr>
          <w:p>
            <w:pPr>
              <w:pStyle w:val="Compact"/>
              <w:spacing w:after="40"/>
              <w:jc w:val="left"/>
            </w:pPr>
            <w:r>
              <w:rPr>
                <w:b/>
                <w:color w:val="FFFFFF"/>
                <w:sz w:val="18"/>
              </w:rPr>
              <w:t xml:space="preserve">Trigger</w:t>
            </w:r>
          </w:p>
        </w:tc>
        <w:tc>
          <w:tcPr>
            <w:tcW w:w="1815" w:type="dxa"/>
            <w:shd w:val="clear" w:color="auto" w:fill="1F3A5F"/>
          </w:tcPr>
          <w:p>
            <w:pPr>
              <w:pStyle w:val="Compact"/>
              <w:spacing w:after="40"/>
              <w:jc w:val="left"/>
            </w:pPr>
            <w:r>
              <w:rPr>
                <w:b/>
                <w:color w:val="FFFFFF"/>
                <w:sz w:val="18"/>
              </w:rPr>
              <w:t xml:space="preserve">Key payload fields</w:t>
            </w:r>
          </w:p>
        </w:tc>
        <w:tc>
          <w:tcPr>
            <w:tcW w:w="935" w:type="dxa"/>
            <w:shd w:val="clear" w:color="auto" w:fill="1F3A5F"/>
          </w:tcPr>
          <w:p>
            <w:pPr>
              <w:pStyle w:val="Compact"/>
              <w:spacing w:after="40"/>
              <w:jc w:val="left"/>
            </w:pPr>
            <w:r>
              <w:rPr>
                <w:b/>
                <w:color w:val="FFFFFF"/>
                <w:sz w:val="18"/>
              </w:rPr>
              <w:t xml:space="preserve">Owner</w:t>
            </w:r>
          </w:p>
        </w:tc>
        <w:tc>
          <w:tcPr>
            <w:tcW w:w="1021" w:type="dxa"/>
            <w:shd w:val="clear" w:color="auto" w:fill="1F3A5F"/>
          </w:tcPr>
          <w:p>
            <w:pPr>
              <w:pStyle w:val="Compact"/>
              <w:spacing w:after="40"/>
              <w:jc w:val="left"/>
            </w:pPr>
            <w:r>
              <w:rPr>
                <w:b/>
                <w:color w:val="FFFFFF"/>
                <w:sz w:val="18"/>
              </w:rPr>
              <w:t xml:space="preserve">Idempotency key</w:t>
            </w:r>
          </w:p>
        </w:tc>
        <w:tc>
          <w:tcPr>
            <w:tcW w:w="1661" w:type="dxa"/>
            <w:shd w:val="clear" w:color="auto" w:fill="1F3A5F"/>
          </w:tcPr>
          <w:p>
            <w:pPr>
              <w:pStyle w:val="Compact"/>
              <w:spacing w:after="40"/>
              <w:jc w:val="left"/>
            </w:pPr>
            <w:r>
              <w:rPr>
                <w:b/>
                <w:color w:val="FFFFFF"/>
                <w:sz w:val="18"/>
              </w:rPr>
              <w:t xml:space="preserve">SLA</w:t>
            </w:r>
          </w:p>
        </w:tc>
      </w:tr>
      <w:tr>
        <w:tc>
          <w:tcPr>
            <w:tcW w:w="1137" w:type="dxa"/>
          </w:tcPr>
          <w:p>
            <w:pPr>
              <w:pStyle w:val="Compact"/>
              <w:spacing w:after="40"/>
              <w:jc w:val="left"/>
            </w:pPr>
            <w:r>
              <w:rPr>
                <w:rStyle w:val="VerbatimChar"/>
                <w:sz w:val="18"/>
              </w:rPr>
              <w:t xml:space="preserve">CoLendingSplitConfirmed</w:t>
            </w:r>
            <w:r>
              <w:rPr>
                <w:sz w:val="18"/>
              </w:rPr>
              <w:t xml:space="preserve"> </w:t>
            </w:r>
            <w:r>
              <w:rPr>
                <w:sz w:val="18"/>
              </w:rPr>
              <w:t xml:space="preserve">(N)</w:t>
            </w:r>
          </w:p>
        </w:tc>
        <w:tc>
          <w:tcPr>
            <w:tcW w:w="1514" w:type="dxa"/>
          </w:tcPr>
          <w:p>
            <w:pPr>
              <w:pStyle w:val="Compact"/>
              <w:spacing w:after="40"/>
              <w:jc w:val="left"/>
            </w:pPr>
            <w:r>
              <w:rPr>
                <w:sz w:val="18"/>
              </w:rPr>
              <w:t xml:space="preserve">CL partner → originator</w:t>
            </w:r>
          </w:p>
        </w:tc>
        <w:tc>
          <w:tcPr>
            <w:tcW w:w="1555" w:type="dxa"/>
          </w:tcPr>
          <w:p>
            <w:pPr>
              <w:pStyle w:val="Compact"/>
              <w:spacing w:after="40"/>
              <w:jc w:val="left"/>
            </w:pPr>
            <w:r>
              <w:rPr>
                <w:sz w:val="18"/>
              </w:rPr>
              <w:t xml:space="preserve">Partner books its share</w:t>
            </w:r>
          </w:p>
        </w:tc>
        <w:tc>
          <w:tcPr>
            <w:tcW w:w="1815" w:type="dxa"/>
          </w:tcPr>
          <w:p>
            <w:pPr>
              <w:pStyle w:val="Compact"/>
              <w:spacing w:after="40"/>
              <w:jc w:val="left"/>
            </w:pPr>
            <w:r>
              <w:rPr>
                <w:sz w:val="18"/>
              </w:rPr>
              <w:t xml:space="preserve">share_pct, booked_on</w:t>
            </w:r>
          </w:p>
        </w:tc>
        <w:tc>
          <w:tcPr>
            <w:tcW w:w="935" w:type="dxa"/>
          </w:tcPr>
          <w:p>
            <w:pPr>
              <w:pStyle w:val="Compact"/>
              <w:spacing w:after="40"/>
              <w:jc w:val="left"/>
            </w:pPr>
            <w:r>
              <w:rPr>
                <w:sz w:val="18"/>
              </w:rPr>
              <w:t xml:space="preserve">Each RE for its share</w:t>
            </w:r>
          </w:p>
        </w:tc>
        <w:tc>
          <w:tcPr>
            <w:tcW w:w="1021" w:type="dxa"/>
          </w:tcPr>
          <w:p>
            <w:pPr>
              <w:pStyle w:val="Compact"/>
              <w:spacing w:after="40"/>
              <w:jc w:val="left"/>
            </w:pPr>
            <w:r>
              <w:rPr>
                <w:sz w:val="18"/>
              </w:rPr>
              <w:t xml:space="preserve">(cla_id, loan_id)</w:t>
            </w:r>
          </w:p>
        </w:tc>
        <w:tc>
          <w:tcPr>
            <w:tcW w:w="1661" w:type="dxa"/>
          </w:tcPr>
          <w:p>
            <w:pPr>
              <w:pStyle w:val="Compact"/>
              <w:spacing w:after="40"/>
              <w:jc w:val="left"/>
            </w:pPr>
            <w:r>
              <w:rPr>
                <w:sz w:val="18"/>
              </w:rPr>
              <w:t xml:space="preserve">≤ 15 calendar days of disbursement (TDCR paras 113, 115)</w:t>
            </w:r>
          </w:p>
        </w:tc>
      </w:tr>
      <w:tr>
        <w:tc>
          <w:tcPr>
            <w:tcW w:w="1137" w:type="dxa"/>
          </w:tcPr>
          <w:p>
            <w:pPr>
              <w:pStyle w:val="Compact"/>
              <w:spacing w:after="40"/>
              <w:jc w:val="left"/>
            </w:pPr>
            <w:r>
              <w:rPr>
                <w:rStyle w:val="VerbatimChar"/>
                <w:sz w:val="18"/>
              </w:rPr>
              <w:t xml:space="preserve">CoLendingReceiptAllocated</w:t>
            </w:r>
            <w:r>
              <w:rPr>
                <w:sz w:val="18"/>
              </w:rPr>
              <w:t xml:space="preserve"> </w:t>
            </w:r>
            <w:r>
              <w:rPr>
                <w:sz w:val="18"/>
              </w:rPr>
              <w:t xml:space="preserve">(N+)</w:t>
            </w:r>
          </w:p>
        </w:tc>
        <w:tc>
          <w:tcPr>
            <w:tcW w:w="1514" w:type="dxa"/>
          </w:tcPr>
          <w:p>
            <w:pPr>
              <w:pStyle w:val="Compact"/>
              <w:spacing w:after="40"/>
              <w:jc w:val="left"/>
            </w:pPr>
            <w:r>
              <w:rPr>
                <w:sz w:val="18"/>
              </w:rPr>
              <w:t xml:space="preserve">Escrow-managing RE → other CL</w:t>
            </w:r>
          </w:p>
        </w:tc>
        <w:tc>
          <w:tcPr>
            <w:tcW w:w="1555" w:type="dxa"/>
          </w:tcPr>
          <w:p>
            <w:pPr>
              <w:pStyle w:val="Compact"/>
              <w:spacing w:after="40"/>
              <w:jc w:val="left"/>
            </w:pPr>
            <w:r>
              <w:rPr>
                <w:sz w:val="18"/>
              </w:rPr>
              <w:t xml:space="preserve">Escrow receipt appropriated</w:t>
            </w:r>
          </w:p>
        </w:tc>
        <w:tc>
          <w:tcPr>
            <w:tcW w:w="1815" w:type="dxa"/>
          </w:tcPr>
          <w:p>
            <w:pPr>
              <w:pStyle w:val="Compact"/>
              <w:spacing w:after="40"/>
              <w:jc w:val="left"/>
            </w:pPr>
            <w:r>
              <w:rPr>
                <w:sz w:val="18"/>
              </w:rPr>
              <w:t xml:space="preserve">utr, allocation by component and share</w:t>
            </w:r>
          </w:p>
        </w:tc>
        <w:tc>
          <w:tcPr>
            <w:tcW w:w="935" w:type="dxa"/>
          </w:tcPr>
          <w:p>
            <w:pPr>
              <w:pStyle w:val="Compact"/>
              <w:spacing w:after="40"/>
              <w:jc w:val="left"/>
            </w:pPr>
            <w:r>
              <w:rPr>
                <w:sz w:val="18"/>
              </w:rPr>
              <w:t xml:space="preserve">Escrow-managing RE</w:t>
            </w:r>
          </w:p>
        </w:tc>
        <w:tc>
          <w:tcPr>
            <w:tcW w:w="1021" w:type="dxa"/>
          </w:tcPr>
          <w:p>
            <w:pPr>
              <w:pStyle w:val="Compact"/>
              <w:spacing w:after="40"/>
              <w:jc w:val="left"/>
            </w:pPr>
            <w:r>
              <w:rPr>
                <w:sz w:val="18"/>
              </w:rPr>
              <w:t xml:space="preserve">(cla_id, utr)</w:t>
            </w:r>
          </w:p>
        </w:tc>
        <w:tc>
          <w:tcPr>
            <w:tcW w:w="1661" w:type="dxa"/>
          </w:tcPr>
          <w:p>
            <w:pPr>
              <w:pStyle w:val="Compact"/>
              <w:spacing w:after="40"/>
              <w:jc w:val="left"/>
            </w:pPr>
            <w:r>
              <w:rPr>
                <w:sz w:val="18"/>
              </w:rPr>
              <w:t xml:space="preserve">Same day [REC]; escrow routing and appropriation per TDCR para 117</w:t>
            </w:r>
          </w:p>
        </w:tc>
      </w:tr>
      <w:tr>
        <w:tc>
          <w:tcPr>
            <w:tcW w:w="1137" w:type="dxa"/>
          </w:tcPr>
          <w:p>
            <w:pPr>
              <w:pStyle w:val="Compact"/>
              <w:spacing w:after="40"/>
              <w:jc w:val="left"/>
            </w:pPr>
            <w:r>
              <w:rPr>
                <w:rStyle w:val="VerbatimChar"/>
                <w:sz w:val="18"/>
              </w:rPr>
              <w:t xml:space="preserve">ClassificationSynced</w:t>
            </w:r>
            <w:r>
              <w:rPr>
                <w:sz w:val="18"/>
              </w:rPr>
              <w:t xml:space="preserve"> </w:t>
            </w:r>
            <w:r>
              <w:rPr>
                <w:sz w:val="18"/>
              </w:rPr>
              <w:t xml:space="preserve">(N) signed</w:t>
            </w:r>
          </w:p>
        </w:tc>
        <w:tc>
          <w:tcPr>
            <w:tcW w:w="1514" w:type="dxa"/>
          </w:tcPr>
          <w:p>
            <w:pPr>
              <w:pStyle w:val="Compact"/>
              <w:spacing w:after="40"/>
              <w:jc w:val="left"/>
            </w:pPr>
            <w:r>
              <w:rPr>
                <w:sz w:val="18"/>
              </w:rPr>
              <w:t xml:space="preserve">Either CL → other</w:t>
            </w:r>
          </w:p>
        </w:tc>
        <w:tc>
          <w:tcPr>
            <w:tcW w:w="1555" w:type="dxa"/>
          </w:tcPr>
          <w:p>
            <w:pPr>
              <w:pStyle w:val="Compact"/>
              <w:spacing w:after="40"/>
              <w:jc w:val="left"/>
            </w:pPr>
            <w:r>
              <w:rPr>
                <w:sz w:val="18"/>
              </w:rPr>
              <w:t xml:space="preserve">CLA exposure moves to SMA or NPA, or upgrades</w:t>
            </w:r>
          </w:p>
        </w:tc>
        <w:tc>
          <w:tcPr>
            <w:tcW w:w="1815" w:type="dxa"/>
          </w:tcPr>
          <w:p>
            <w:pPr>
              <w:pStyle w:val="Compact"/>
              <w:spacing w:after="40"/>
              <w:jc w:val="left"/>
            </w:pPr>
            <w:r>
              <w:rPr>
                <w:sz w:val="18"/>
              </w:rPr>
              <w:t xml:space="preserve">borrower ref, class, as_of, dpd, reason</w:t>
            </w:r>
          </w:p>
        </w:tc>
        <w:tc>
          <w:tcPr>
            <w:tcW w:w="935" w:type="dxa"/>
          </w:tcPr>
          <w:p>
            <w:pPr>
              <w:pStyle w:val="Compact"/>
              <w:spacing w:after="40"/>
              <w:jc w:val="left"/>
            </w:pPr>
            <w:r>
              <w:rPr>
                <w:sz w:val="18"/>
              </w:rPr>
              <w:t xml:space="preserve">Classifying RE</w:t>
            </w:r>
          </w:p>
        </w:tc>
        <w:tc>
          <w:tcPr>
            <w:tcW w:w="1021" w:type="dxa"/>
          </w:tcPr>
          <w:p>
            <w:pPr>
              <w:pStyle w:val="Compact"/>
              <w:spacing w:after="40"/>
              <w:jc w:val="left"/>
            </w:pPr>
            <w:r>
              <w:rPr>
                <w:sz w:val="18"/>
              </w:rPr>
              <w:t xml:space="preserve">(cla_id, borrower, as_of)</w:t>
            </w:r>
          </w:p>
        </w:tc>
        <w:tc>
          <w:tcPr>
            <w:tcW w:w="1661" w:type="dxa"/>
          </w:tcPr>
          <w:p>
            <w:pPr>
              <w:pStyle w:val="Compact"/>
              <w:spacing w:after="40"/>
              <w:jc w:val="left"/>
            </w:pPr>
            <w:r>
              <w:rPr>
                <w:sz w:val="18"/>
              </w:rPr>
              <w:t xml:space="preserve">By 23:59 IST next working day (TDCR para 124)</w:t>
            </w:r>
          </w:p>
        </w:tc>
      </w:tr>
      <w:tr>
        <w:tc>
          <w:tcPr>
            <w:tcW w:w="1137" w:type="dxa"/>
          </w:tcPr>
          <w:p>
            <w:pPr>
              <w:pStyle w:val="Compact"/>
              <w:spacing w:after="40"/>
              <w:jc w:val="left"/>
            </w:pPr>
            <w:r>
              <w:rPr>
                <w:rStyle w:val="VerbatimChar"/>
                <w:sz w:val="18"/>
              </w:rPr>
              <w:t xml:space="preserve">LoanTransferred</w:t>
            </w:r>
            <w:r>
              <w:rPr>
                <w:sz w:val="18"/>
              </w:rPr>
              <w:t xml:space="preserve"> </w:t>
            </w:r>
            <w:r>
              <w:rPr>
                <w:sz w:val="18"/>
              </w:rPr>
              <w:t xml:space="preserve">(N)</w:t>
            </w:r>
          </w:p>
        </w:tc>
        <w:tc>
          <w:tcPr>
            <w:tcW w:w="1514" w:type="dxa"/>
          </w:tcPr>
          <w:p>
            <w:pPr>
              <w:pStyle w:val="Compact"/>
              <w:spacing w:after="40"/>
              <w:jc w:val="left"/>
            </w:pPr>
            <w:r>
              <w:rPr>
                <w:sz w:val="18"/>
              </w:rPr>
              <w:t xml:space="preserve">FX → transferee, UD (if servicing or mirroring), RS, EQ</w:t>
            </w:r>
          </w:p>
        </w:tc>
        <w:tc>
          <w:tcPr>
            <w:tcW w:w="1555" w:type="dxa"/>
          </w:tcPr>
          <w:p>
            <w:pPr>
              <w:pStyle w:val="Compact"/>
              <w:spacing w:after="40"/>
              <w:jc w:val="left"/>
            </w:pPr>
            <w:r>
              <w:rPr>
                <w:sz w:val="18"/>
              </w:rPr>
              <w:t xml:space="preserve">Transfer effective</w:t>
            </w:r>
          </w:p>
        </w:tc>
        <w:tc>
          <w:tcPr>
            <w:tcW w:w="1815" w:type="dxa"/>
          </w:tcPr>
          <w:p>
            <w:pPr>
              <w:pStyle w:val="Compact"/>
              <w:spacing w:after="40"/>
              <w:jc w:val="left"/>
            </w:pPr>
            <w:r>
              <w:rPr>
                <w:sz w:val="18"/>
              </w:rPr>
              <w:t xml:space="preserve">mode, transferee, share, servicer, payment instructions, notice ref (TPA s.131)</w:t>
            </w:r>
          </w:p>
        </w:tc>
        <w:tc>
          <w:tcPr>
            <w:tcW w:w="935" w:type="dxa"/>
          </w:tcPr>
          <w:p>
            <w:pPr>
              <w:pStyle w:val="Compact"/>
              <w:spacing w:after="40"/>
              <w:jc w:val="left"/>
            </w:pPr>
            <w:r>
              <w:rPr>
                <w:sz w:val="18"/>
              </w:rPr>
              <w:t xml:space="preserve">Transferor</w:t>
            </w:r>
          </w:p>
        </w:tc>
        <w:tc>
          <w:tcPr>
            <w:tcW w:w="1021" w:type="dxa"/>
          </w:tcPr>
          <w:p>
            <w:pPr>
              <w:pStyle w:val="Compact"/>
              <w:spacing w:after="40"/>
              <w:jc w:val="left"/>
            </w:pPr>
            <w:r>
              <w:rPr>
                <w:sz w:val="18"/>
              </w:rPr>
              <w:t xml:space="preserve">(loan_id, transfer_id)</w:t>
            </w:r>
          </w:p>
        </w:tc>
        <w:tc>
          <w:tcPr>
            <w:tcW w:w="1661" w:type="dxa"/>
          </w:tcPr>
          <w:p>
            <w:pPr>
              <w:pStyle w:val="Compact"/>
              <w:spacing w:after="40"/>
              <w:jc w:val="left"/>
            </w:pPr>
            <w:r>
              <w:rPr>
                <w:sz w:val="18"/>
              </w:rPr>
              <w:t xml:space="preserve">≤ 1 working day</w:t>
            </w:r>
          </w:p>
        </w:tc>
      </w:tr>
      <w:tr>
        <w:tc>
          <w:tcPr>
            <w:tcW w:w="1137" w:type="dxa"/>
          </w:tcPr>
          <w:p>
            <w:pPr>
              <w:pStyle w:val="Compact"/>
              <w:spacing w:after="40"/>
              <w:jc w:val="left"/>
            </w:pPr>
            <w:r>
              <w:rPr>
                <w:rStyle w:val="VerbatimChar"/>
                <w:sz w:val="18"/>
              </w:rPr>
              <w:t xml:space="preserve">ServicerChanged</w:t>
            </w:r>
            <w:r>
              <w:rPr>
                <w:sz w:val="18"/>
              </w:rPr>
              <w:t xml:space="preserve"> </w:t>
            </w:r>
            <w:r>
              <w:rPr>
                <w:sz w:val="18"/>
              </w:rPr>
              <w:t xml:space="preserve">(N)</w:t>
            </w:r>
          </w:p>
        </w:tc>
        <w:tc>
          <w:tcPr>
            <w:tcW w:w="1514" w:type="dxa"/>
          </w:tcPr>
          <w:p>
            <w:pPr>
              <w:pStyle w:val="Compact"/>
              <w:spacing w:after="40"/>
              <w:jc w:val="left"/>
            </w:pPr>
            <w:r>
              <w:rPr>
                <w:sz w:val="18"/>
              </w:rPr>
              <w:t xml:space="preserve">FX → UD, CL, transferee</w:t>
            </w:r>
          </w:p>
        </w:tc>
        <w:tc>
          <w:tcPr>
            <w:tcW w:w="1555" w:type="dxa"/>
          </w:tcPr>
          <w:p>
            <w:pPr>
              <w:pStyle w:val="Compact"/>
              <w:spacing w:after="40"/>
              <w:jc w:val="left"/>
            </w:pPr>
            <w:r>
              <w:rPr>
                <w:sz w:val="18"/>
              </w:rPr>
              <w:t xml:space="preserve">Servicer appointed or replaced (TDCR para 30; SEC para 70)</w:t>
            </w:r>
          </w:p>
        </w:tc>
        <w:tc>
          <w:tcPr>
            <w:tcW w:w="1815" w:type="dxa"/>
          </w:tcPr>
          <w:p>
            <w:pPr>
              <w:pStyle w:val="Compact"/>
              <w:spacing w:after="40"/>
              <w:jc w:val="left"/>
            </w:pPr>
            <w:r>
              <w:rPr>
                <w:sz w:val="18"/>
              </w:rPr>
              <w:t xml:space="preserve">new servicer, date, borrower notice ref</w:t>
            </w:r>
          </w:p>
        </w:tc>
        <w:tc>
          <w:tcPr>
            <w:tcW w:w="935" w:type="dxa"/>
          </w:tcPr>
          <w:p>
            <w:pPr>
              <w:pStyle w:val="Compact"/>
              <w:spacing w:after="40"/>
              <w:jc w:val="left"/>
            </w:pPr>
            <w:r>
              <w:rPr>
                <w:sz w:val="18"/>
              </w:rPr>
              <w:t xml:space="preserve">Transferor or SPE</w:t>
            </w:r>
          </w:p>
        </w:tc>
        <w:tc>
          <w:tcPr>
            <w:tcW w:w="1021" w:type="dxa"/>
          </w:tcPr>
          <w:p>
            <w:pPr>
              <w:pStyle w:val="Compact"/>
              <w:spacing w:after="40"/>
              <w:jc w:val="left"/>
            </w:pPr>
            <w:r>
              <w:rPr>
                <w:sz w:val="18"/>
              </w:rPr>
              <w:t xml:space="preserve">(loan_id, change_id)</w:t>
            </w:r>
          </w:p>
        </w:tc>
        <w:tc>
          <w:tcPr>
            <w:tcW w:w="1661" w:type="dxa"/>
          </w:tcPr>
          <w:p>
            <w:pPr>
              <w:pStyle w:val="Compact"/>
              <w:spacing w:after="40"/>
              <w:jc w:val="left"/>
            </w:pPr>
            <w:r>
              <w:rPr>
                <w:sz w:val="18"/>
              </w:rPr>
              <w:t xml:space="preserve">Borrower told before effect [REC]</w:t>
            </w:r>
          </w:p>
        </w:tc>
      </w:tr>
      <w:tr>
        <w:tc>
          <w:tcPr>
            <w:tcW w:w="1137" w:type="dxa"/>
          </w:tcPr>
          <w:p>
            <w:pPr>
              <w:pStyle w:val="Compact"/>
              <w:spacing w:after="40"/>
              <w:jc w:val="left"/>
            </w:pPr>
            <w:r>
              <w:rPr>
                <w:sz w:val="18"/>
              </w:rPr>
              <w:t xml:space="preserve">API</w:t>
            </w:r>
            <w:r>
              <w:rPr>
                <w:sz w:val="18"/>
              </w:rPr>
              <w:t xml:space="preserve"> </w:t>
            </w:r>
            <w:r>
              <w:rPr>
                <w:rStyle w:val="VerbatimChar"/>
                <w:sz w:val="18"/>
              </w:rPr>
              <w:t xml:space="preserve">POST /v1/ica/{ica_id}/votes</w:t>
            </w:r>
          </w:p>
        </w:tc>
        <w:tc>
          <w:tcPr>
            <w:tcW w:w="1514" w:type="dxa"/>
          </w:tcPr>
          <w:p>
            <w:pPr>
              <w:pStyle w:val="Compact"/>
              <w:spacing w:after="40"/>
              <w:jc w:val="left"/>
            </w:pPr>
            <w:r>
              <w:rPr>
                <w:sz w:val="18"/>
              </w:rPr>
              <w:t xml:space="preserve">Lenders → ICA lead</w:t>
            </w:r>
          </w:p>
        </w:tc>
        <w:tc>
          <w:tcPr>
            <w:tcW w:w="1555" w:type="dxa"/>
          </w:tcPr>
          <w:p>
            <w:pPr>
              <w:pStyle w:val="Compact"/>
              <w:spacing w:after="40"/>
              <w:jc w:val="left"/>
            </w:pPr>
            <w:r>
              <w:rPr>
                <w:sz w:val="18"/>
              </w:rPr>
              <w:t xml:space="preserve">ICA decision</w:t>
            </w:r>
          </w:p>
        </w:tc>
        <w:tc>
          <w:tcPr>
            <w:tcW w:w="1815" w:type="dxa"/>
          </w:tcPr>
          <w:p>
            <w:pPr>
              <w:pStyle w:val="Compact"/>
              <w:spacing w:after="40"/>
              <w:jc w:val="left"/>
            </w:pPr>
            <w:r>
              <w:rPr>
                <w:sz w:val="18"/>
              </w:rPr>
              <w:t xml:space="preserve">resolution id, lender, value, vote</w:t>
            </w:r>
          </w:p>
        </w:tc>
        <w:tc>
          <w:tcPr>
            <w:tcW w:w="935" w:type="dxa"/>
          </w:tcPr>
          <w:p>
            <w:pPr>
              <w:pStyle w:val="Compact"/>
              <w:spacing w:after="40"/>
              <w:jc w:val="left"/>
            </w:pPr>
            <w:r>
              <w:rPr>
                <w:sz w:val="18"/>
              </w:rPr>
              <w:t xml:space="preserve">ICA lead</w:t>
            </w:r>
          </w:p>
        </w:tc>
        <w:tc>
          <w:tcPr>
            <w:tcW w:w="1021" w:type="dxa"/>
          </w:tcPr>
          <w:p>
            <w:pPr>
              <w:pStyle w:val="Compact"/>
              <w:spacing w:after="40"/>
              <w:jc w:val="left"/>
            </w:pPr>
            <w:r>
              <w:rPr>
                <w:sz w:val="18"/>
              </w:rPr>
              <w:t xml:space="preserve">Idempotency-Key</w:t>
            </w:r>
          </w:p>
        </w:tc>
        <w:tc>
          <w:tcPr>
            <w:tcW w:w="1661" w:type="dxa"/>
          </w:tcPr>
          <w:p>
            <w:pPr>
              <w:pStyle w:val="Compact"/>
              <w:spacing w:after="40"/>
              <w:jc w:val="left"/>
            </w:pPr>
            <w:r>
              <w:rPr>
                <w:sz w:val="18"/>
              </w:rPr>
              <w:t xml:space="preserve">Passes at 75% by value and 60% by number (RSA para 32)</w:t>
            </w:r>
          </w:p>
        </w:tc>
      </w:tr>
    </w:tbl>
    <w:bookmarkEnd w:id="53"/>
    <w:bookmarkStart w:id="54" w:name="collections-collections"/>
    <w:p>
      <w:pPr>
        <w:pStyle w:val="Heading2"/>
      </w:pPr>
      <w:r>
        <w:t xml:space="preserve">6.7 Collections (</w:t>
      </w:r>
      <w:r>
        <w:rPr>
          <w:rStyle w:val="VerbatimChar"/>
        </w:rPr>
        <w:t xml:space="preserve">collections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72"/>
        <w:gridCol w:w="1128"/>
        <w:gridCol w:w="1700"/>
        <w:gridCol w:w="1666"/>
        <w:gridCol w:w="931"/>
        <w:gridCol w:w="1202"/>
        <w:gridCol w:w="1739"/>
      </w:tblGrid>
      <w:tr>
        <w:trPr>
          <w:tblHeader w:val="true"/>
          <w:tblHeader w:val="true"/>
        </w:trPr>
        <w:tc>
          <w:tcPr>
            <w:tcW w:w="1272" w:type="dxa"/>
            <w:shd w:val="clear" w:color="auto" w:fill="1F3A5F"/>
          </w:tcPr>
          <w:p>
            <w:pPr>
              <w:pStyle w:val="Compact"/>
              <w:spacing w:after="40"/>
              <w:jc w:val="left"/>
            </w:pPr>
            <w:r>
              <w:rPr>
                <w:b/>
                <w:color w:val="FFFFFF"/>
                <w:sz w:val="18"/>
              </w:rPr>
              <w:t xml:space="preserve">Event or API</w:t>
            </w:r>
          </w:p>
        </w:tc>
        <w:tc>
          <w:tcPr>
            <w:tcW w:w="1128" w:type="dxa"/>
            <w:shd w:val="clear" w:color="auto" w:fill="1F3A5F"/>
          </w:tcPr>
          <w:p>
            <w:pPr>
              <w:pStyle w:val="Compact"/>
              <w:spacing w:after="40"/>
              <w:jc w:val="left"/>
            </w:pPr>
            <w:r>
              <w:rPr>
                <w:b/>
                <w:color w:val="FFFFFF"/>
                <w:sz w:val="18"/>
              </w:rPr>
              <w:t xml:space="preserve">Producer → consumer(s)</w:t>
            </w:r>
          </w:p>
        </w:tc>
        <w:tc>
          <w:tcPr>
            <w:tcW w:w="1700" w:type="dxa"/>
            <w:shd w:val="clear" w:color="auto" w:fill="1F3A5F"/>
          </w:tcPr>
          <w:p>
            <w:pPr>
              <w:pStyle w:val="Compact"/>
              <w:spacing w:after="40"/>
              <w:jc w:val="left"/>
            </w:pPr>
            <w:r>
              <w:rPr>
                <w:b/>
                <w:color w:val="FFFFFF"/>
                <w:sz w:val="18"/>
              </w:rPr>
              <w:t xml:space="preserve">Trigger</w:t>
            </w:r>
          </w:p>
        </w:tc>
        <w:tc>
          <w:tcPr>
            <w:tcW w:w="1666" w:type="dxa"/>
            <w:shd w:val="clear" w:color="auto" w:fill="1F3A5F"/>
          </w:tcPr>
          <w:p>
            <w:pPr>
              <w:pStyle w:val="Compact"/>
              <w:spacing w:after="40"/>
              <w:jc w:val="left"/>
            </w:pPr>
            <w:r>
              <w:rPr>
                <w:b/>
                <w:color w:val="FFFFFF"/>
                <w:sz w:val="18"/>
              </w:rPr>
              <w:t xml:space="preserve">Key payload fields</w:t>
            </w:r>
          </w:p>
        </w:tc>
        <w:tc>
          <w:tcPr>
            <w:tcW w:w="931" w:type="dxa"/>
            <w:shd w:val="clear" w:color="auto" w:fill="1F3A5F"/>
          </w:tcPr>
          <w:p>
            <w:pPr>
              <w:pStyle w:val="Compact"/>
              <w:spacing w:after="40"/>
              <w:jc w:val="left"/>
            </w:pPr>
            <w:r>
              <w:rPr>
                <w:b/>
                <w:color w:val="FFFFFF"/>
                <w:sz w:val="18"/>
              </w:rPr>
              <w:t xml:space="preserve">Owner</w:t>
            </w:r>
          </w:p>
        </w:tc>
        <w:tc>
          <w:tcPr>
            <w:tcW w:w="1202" w:type="dxa"/>
            <w:shd w:val="clear" w:color="auto" w:fill="1F3A5F"/>
          </w:tcPr>
          <w:p>
            <w:pPr>
              <w:pStyle w:val="Compact"/>
              <w:spacing w:after="40"/>
              <w:jc w:val="left"/>
            </w:pPr>
            <w:r>
              <w:rPr>
                <w:b/>
                <w:color w:val="FFFFFF"/>
                <w:sz w:val="18"/>
              </w:rPr>
              <w:t xml:space="preserve">Idempotency key</w:t>
            </w:r>
          </w:p>
        </w:tc>
        <w:tc>
          <w:tcPr>
            <w:tcW w:w="1739" w:type="dxa"/>
            <w:shd w:val="clear" w:color="auto" w:fill="1F3A5F"/>
          </w:tcPr>
          <w:p>
            <w:pPr>
              <w:pStyle w:val="Compact"/>
              <w:spacing w:after="40"/>
              <w:jc w:val="left"/>
            </w:pPr>
            <w:r>
              <w:rPr>
                <w:b/>
                <w:color w:val="FFFFFF"/>
                <w:sz w:val="18"/>
              </w:rPr>
              <w:t xml:space="preserve">SLA</w:t>
            </w:r>
          </w:p>
        </w:tc>
      </w:tr>
      <w:tr>
        <w:tc>
          <w:tcPr>
            <w:tcW w:w="1272" w:type="dxa"/>
          </w:tcPr>
          <w:p>
            <w:pPr>
              <w:pStyle w:val="Compact"/>
              <w:spacing w:after="40"/>
              <w:jc w:val="left"/>
            </w:pPr>
            <w:r>
              <w:rPr>
                <w:rStyle w:val="VerbatimChar"/>
                <w:sz w:val="18"/>
              </w:rPr>
              <w:t xml:space="preserve">CollectionAllocated</w:t>
            </w:r>
            <w:r>
              <w:rPr>
                <w:sz w:val="18"/>
              </w:rPr>
              <w:t xml:space="preserve"> </w:t>
            </w:r>
            <w:r>
              <w:rPr>
                <w:sz w:val="18"/>
              </w:rPr>
              <w:t xml:space="preserve">(E)</w:t>
            </w:r>
          </w:p>
        </w:tc>
        <w:tc>
          <w:tcPr>
            <w:tcW w:w="1128" w:type="dxa"/>
          </w:tcPr>
          <w:p>
            <w:pPr>
              <w:pStyle w:val="Compact"/>
              <w:spacing w:after="40"/>
              <w:jc w:val="left"/>
            </w:pPr>
            <w:r>
              <w:rPr>
                <w:sz w:val="18"/>
              </w:rPr>
              <w:t xml:space="preserve">FX → UD, AGY</w:t>
            </w:r>
          </w:p>
        </w:tc>
        <w:tc>
          <w:tcPr>
            <w:tcW w:w="1700" w:type="dxa"/>
          </w:tcPr>
          <w:p>
            <w:pPr>
              <w:pStyle w:val="Compact"/>
              <w:spacing w:after="40"/>
              <w:jc w:val="left"/>
            </w:pPr>
            <w:r>
              <w:rPr>
                <w:sz w:val="18"/>
              </w:rPr>
              <w:t xml:space="preserve">Allocation under an active appointment</w:t>
            </w:r>
          </w:p>
        </w:tc>
        <w:tc>
          <w:tcPr>
            <w:tcW w:w="1666" w:type="dxa"/>
          </w:tcPr>
          <w:p>
            <w:pPr>
              <w:pStyle w:val="Compact"/>
              <w:spacing w:after="40"/>
              <w:jc w:val="left"/>
            </w:pPr>
            <w:r>
              <w:rPr>
                <w:sz w:val="18"/>
              </w:rPr>
              <w:t xml:space="preserve">bucket, contact rules, agents, territory</w:t>
            </w:r>
          </w:p>
        </w:tc>
        <w:tc>
          <w:tcPr>
            <w:tcW w:w="931" w:type="dxa"/>
          </w:tcPr>
          <w:p>
            <w:pPr>
              <w:pStyle w:val="Compact"/>
              <w:spacing w:after="40"/>
              <w:jc w:val="left"/>
            </w:pPr>
            <w:r>
              <w:rPr>
                <w:sz w:val="18"/>
              </w:rPr>
              <w:t xml:space="preserve">FX</w:t>
            </w:r>
          </w:p>
        </w:tc>
        <w:tc>
          <w:tcPr>
            <w:tcW w:w="1202" w:type="dxa"/>
          </w:tcPr>
          <w:p>
            <w:pPr>
              <w:pStyle w:val="Compact"/>
              <w:spacing w:after="40"/>
              <w:jc w:val="left"/>
            </w:pPr>
            <w:r>
              <w:rPr>
                <w:sz w:val="18"/>
              </w:rPr>
              <w:t xml:space="preserve">allocation_id</w:t>
            </w:r>
          </w:p>
        </w:tc>
        <w:tc>
          <w:tcPr>
            <w:tcW w:w="1739" w:type="dxa"/>
          </w:tcPr>
          <w:p>
            <w:pPr>
              <w:pStyle w:val="Compact"/>
              <w:spacing w:after="40"/>
              <w:jc w:val="left"/>
            </w:pPr>
            <w:r>
              <w:rPr>
                <w:sz w:val="18"/>
              </w:rPr>
              <w:t xml:space="preserve">Receiver rejects without matching appointment</w:t>
            </w:r>
          </w:p>
        </w:tc>
      </w:tr>
      <w:tr>
        <w:tc>
          <w:tcPr>
            <w:tcW w:w="1272" w:type="dxa"/>
          </w:tcPr>
          <w:p>
            <w:pPr>
              <w:pStyle w:val="Compact"/>
              <w:spacing w:after="40"/>
              <w:jc w:val="left"/>
            </w:pPr>
            <w:r>
              <w:rPr>
                <w:rStyle w:val="VerbatimChar"/>
                <w:sz w:val="18"/>
              </w:rPr>
              <w:t xml:space="preserve">CollectionDeallocated</w:t>
            </w:r>
            <w:r>
              <w:rPr>
                <w:sz w:val="18"/>
              </w:rPr>
              <w:t xml:space="preserve"> </w:t>
            </w:r>
            <w:r>
              <w:rPr>
                <w:sz w:val="18"/>
              </w:rPr>
              <w:t xml:space="preserve">(E)</w:t>
            </w:r>
          </w:p>
        </w:tc>
        <w:tc>
          <w:tcPr>
            <w:tcW w:w="1128" w:type="dxa"/>
          </w:tcPr>
          <w:p>
            <w:pPr>
              <w:pStyle w:val="Compact"/>
              <w:spacing w:after="40"/>
              <w:jc w:val="left"/>
            </w:pPr>
            <w:r>
              <w:rPr>
                <w:sz w:val="18"/>
              </w:rPr>
              <w:t xml:space="preserve">FX → UD, AGY</w:t>
            </w:r>
          </w:p>
        </w:tc>
        <w:tc>
          <w:tcPr>
            <w:tcW w:w="1700" w:type="dxa"/>
          </w:tcPr>
          <w:p>
            <w:pPr>
              <w:pStyle w:val="Compact"/>
              <w:spacing w:after="40"/>
              <w:jc w:val="left"/>
            </w:pPr>
            <w:r>
              <w:rPr>
                <w:sz w:val="18"/>
              </w:rPr>
              <w:t xml:space="preserve">Recall, cure, settlement, hold, appointment end</w:t>
            </w:r>
          </w:p>
        </w:tc>
        <w:tc>
          <w:tcPr>
            <w:tcW w:w="1666" w:type="dxa"/>
          </w:tcPr>
          <w:p>
            <w:pPr>
              <w:pStyle w:val="Compact"/>
              <w:spacing w:after="40"/>
              <w:jc w:val="left"/>
            </w:pPr>
            <w:r>
              <w:rPr>
                <w:sz w:val="18"/>
              </w:rPr>
              <w:t xml:space="preserve">reason</w:t>
            </w:r>
          </w:p>
        </w:tc>
        <w:tc>
          <w:tcPr>
            <w:tcW w:w="931" w:type="dxa"/>
          </w:tcPr>
          <w:p>
            <w:pPr>
              <w:pStyle w:val="Compact"/>
              <w:spacing w:after="40"/>
              <w:jc w:val="left"/>
            </w:pPr>
            <w:r>
              <w:rPr>
                <w:sz w:val="18"/>
              </w:rPr>
              <w:t xml:space="preserve">FX</w:t>
            </w:r>
          </w:p>
        </w:tc>
        <w:tc>
          <w:tcPr>
            <w:tcW w:w="1202" w:type="dxa"/>
          </w:tcPr>
          <w:p>
            <w:pPr>
              <w:pStyle w:val="Compact"/>
              <w:spacing w:after="40"/>
              <w:jc w:val="left"/>
            </w:pPr>
            <w:r>
              <w:rPr>
                <w:sz w:val="18"/>
              </w:rPr>
              <w:t xml:space="preserve">allocation_id</w:t>
            </w:r>
          </w:p>
        </w:tc>
        <w:tc>
          <w:tcPr>
            <w:tcW w:w="1739" w:type="dxa"/>
          </w:tcPr>
          <w:p>
            <w:pPr>
              <w:pStyle w:val="Compact"/>
              <w:spacing w:after="40"/>
              <w:jc w:val="left"/>
            </w:pPr>
            <w:r>
              <w:rPr>
                <w:sz w:val="18"/>
              </w:rPr>
              <w:t xml:space="preserve">Contact stops immediately</w:t>
            </w:r>
          </w:p>
        </w:tc>
      </w:tr>
      <w:tr>
        <w:tc>
          <w:tcPr>
            <w:tcW w:w="1272" w:type="dxa"/>
          </w:tcPr>
          <w:p>
            <w:pPr>
              <w:pStyle w:val="Compact"/>
              <w:spacing w:after="40"/>
              <w:jc w:val="left"/>
            </w:pPr>
            <w:r>
              <w:rPr>
                <w:rStyle w:val="VerbatimChar"/>
                <w:sz w:val="18"/>
              </w:rPr>
              <w:t xml:space="preserve">RecoveryAgentNoticeSent</w:t>
            </w:r>
            <w:r>
              <w:rPr>
                <w:sz w:val="18"/>
              </w:rPr>
              <w:t xml:space="preserve"> </w:t>
            </w:r>
            <w:r>
              <w:rPr>
                <w:sz w:val="18"/>
              </w:rPr>
              <w:t xml:space="preserve">(N+)</w:t>
            </w:r>
          </w:p>
        </w:tc>
        <w:tc>
          <w:tcPr>
            <w:tcW w:w="1128" w:type="dxa"/>
          </w:tcPr>
          <w:p>
            <w:pPr>
              <w:pStyle w:val="Compact"/>
              <w:spacing w:after="40"/>
              <w:jc w:val="left"/>
            </w:pPr>
            <w:r>
              <w:rPr>
                <w:sz w:val="18"/>
              </w:rPr>
              <w:t xml:space="preserve">FX → UD, AGY</w:t>
            </w:r>
          </w:p>
        </w:tc>
        <w:tc>
          <w:tcPr>
            <w:tcW w:w="1700" w:type="dxa"/>
          </w:tcPr>
          <w:p>
            <w:pPr>
              <w:pStyle w:val="Compact"/>
              <w:spacing w:after="40"/>
              <w:jc w:val="left"/>
            </w:pPr>
            <w:r>
              <w:rPr>
                <w:sz w:val="18"/>
              </w:rPr>
              <w:t xml:space="preserve">Agent particulars sent to borrower by email or SMS</w:t>
            </w:r>
          </w:p>
        </w:tc>
        <w:tc>
          <w:tcPr>
            <w:tcW w:w="1666" w:type="dxa"/>
          </w:tcPr>
          <w:p>
            <w:pPr>
              <w:pStyle w:val="Compact"/>
              <w:spacing w:after="40"/>
              <w:jc w:val="left"/>
            </w:pPr>
            <w:r>
              <w:rPr>
                <w:sz w:val="18"/>
              </w:rPr>
              <w:t xml:space="preserve">agent details, delivery evidence</w:t>
            </w:r>
          </w:p>
        </w:tc>
        <w:tc>
          <w:tcPr>
            <w:tcW w:w="931" w:type="dxa"/>
          </w:tcPr>
          <w:p>
            <w:pPr>
              <w:pStyle w:val="Compact"/>
              <w:spacing w:after="40"/>
              <w:jc w:val="left"/>
            </w:pPr>
            <w:r>
              <w:rPr>
                <w:sz w:val="18"/>
              </w:rPr>
              <w:t xml:space="preserve">FX</w:t>
            </w:r>
          </w:p>
        </w:tc>
        <w:tc>
          <w:tcPr>
            <w:tcW w:w="1202" w:type="dxa"/>
          </w:tcPr>
          <w:p>
            <w:pPr>
              <w:pStyle w:val="Compact"/>
              <w:spacing w:after="40"/>
              <w:jc w:val="left"/>
            </w:pPr>
            <w:r>
              <w:rPr>
                <w:sz w:val="18"/>
              </w:rPr>
              <w:t xml:space="preserve">(allocation_id, borrower)</w:t>
            </w:r>
          </w:p>
        </w:tc>
        <w:tc>
          <w:tcPr>
            <w:tcW w:w="1739" w:type="dxa"/>
          </w:tcPr>
          <w:p>
            <w:pPr>
              <w:pStyle w:val="Compact"/>
              <w:spacing w:after="40"/>
              <w:jc w:val="left"/>
            </w:pPr>
            <w:r>
              <w:rPr>
                <w:sz w:val="18"/>
              </w:rPr>
              <w:t xml:space="preserve">Before first contact (CF para 9(6); RBC paras 95–96)</w:t>
            </w:r>
          </w:p>
        </w:tc>
      </w:tr>
      <w:tr>
        <w:tc>
          <w:tcPr>
            <w:tcW w:w="1272" w:type="dxa"/>
          </w:tcPr>
          <w:p>
            <w:pPr>
              <w:pStyle w:val="Compact"/>
              <w:spacing w:after="40"/>
              <w:jc w:val="left"/>
            </w:pPr>
            <w:r>
              <w:rPr>
                <w:rStyle w:val="VerbatimChar"/>
                <w:sz w:val="18"/>
              </w:rPr>
              <w:t xml:space="preserve">CollectionActivityLogged</w:t>
            </w:r>
            <w:r>
              <w:rPr>
                <w:sz w:val="18"/>
              </w:rPr>
              <w:t xml:space="preserve"> </w:t>
            </w:r>
            <w:r>
              <w:rPr>
                <w:sz w:val="18"/>
              </w:rPr>
              <w:t xml:space="preserve">(E)</w:t>
            </w:r>
          </w:p>
        </w:tc>
        <w:tc>
          <w:tcPr>
            <w:tcW w:w="1128" w:type="dxa"/>
          </w:tcPr>
          <w:p>
            <w:pPr>
              <w:pStyle w:val="Compact"/>
              <w:spacing w:after="40"/>
              <w:jc w:val="left"/>
            </w:pPr>
            <w:r>
              <w:rPr>
                <w:sz w:val="18"/>
              </w:rPr>
              <w:t xml:space="preserve">UD, AGY → FX</w:t>
            </w:r>
          </w:p>
        </w:tc>
        <w:tc>
          <w:tcPr>
            <w:tcW w:w="1700" w:type="dxa"/>
          </w:tcPr>
          <w:p>
            <w:pPr>
              <w:pStyle w:val="Compact"/>
              <w:spacing w:after="40"/>
              <w:jc w:val="left"/>
            </w:pPr>
            <w:r>
              <w:rPr>
                <w:sz w:val="18"/>
              </w:rPr>
              <w:t xml:space="preserve">Call, message or visit attempt</w:t>
            </w:r>
          </w:p>
        </w:tc>
        <w:tc>
          <w:tcPr>
            <w:tcW w:w="1666" w:type="dxa"/>
          </w:tcPr>
          <w:p>
            <w:pPr>
              <w:pStyle w:val="Compact"/>
              <w:spacing w:after="40"/>
              <w:jc w:val="left"/>
            </w:pPr>
            <w:r>
              <w:rPr>
                <w:sz w:val="18"/>
              </w:rPr>
              <w:t xml:space="preserve">channel, outcome, recording ref, policy check id</w:t>
            </w:r>
          </w:p>
        </w:tc>
        <w:tc>
          <w:tcPr>
            <w:tcW w:w="931" w:type="dxa"/>
          </w:tcPr>
          <w:p>
            <w:pPr>
              <w:pStyle w:val="Compact"/>
              <w:spacing w:after="40"/>
              <w:jc w:val="left"/>
            </w:pPr>
            <w:r>
              <w:rPr>
                <w:sz w:val="18"/>
              </w:rPr>
              <w:t xml:space="preserve">UD or AGY</w:t>
            </w:r>
          </w:p>
        </w:tc>
        <w:tc>
          <w:tcPr>
            <w:tcW w:w="1202" w:type="dxa"/>
          </w:tcPr>
          <w:p>
            <w:pPr>
              <w:pStyle w:val="Compact"/>
              <w:spacing w:after="40"/>
              <w:jc w:val="left"/>
            </w:pPr>
            <w:r>
              <w:rPr>
                <w:sz w:val="18"/>
              </w:rPr>
              <w:t xml:space="preserve">attempt_id</w:t>
            </w:r>
          </w:p>
        </w:tc>
        <w:tc>
          <w:tcPr>
            <w:tcW w:w="1739" w:type="dxa"/>
          </w:tcPr>
          <w:p>
            <w:pPr>
              <w:pStyle w:val="Compact"/>
              <w:spacing w:after="40"/>
              <w:jc w:val="left"/>
            </w:pPr>
            <w:r>
              <w:rPr>
                <w:sz w:val="18"/>
              </w:rPr>
              <w:t xml:space="preserve">≤ 15 min</w:t>
            </w:r>
          </w:p>
        </w:tc>
      </w:tr>
      <w:tr>
        <w:tc>
          <w:tcPr>
            <w:tcW w:w="1272" w:type="dxa"/>
          </w:tcPr>
          <w:p>
            <w:pPr>
              <w:pStyle w:val="Compact"/>
              <w:spacing w:after="40"/>
              <w:jc w:val="left"/>
            </w:pPr>
            <w:r>
              <w:rPr>
                <w:rStyle w:val="VerbatimChar"/>
                <w:sz w:val="18"/>
              </w:rPr>
              <w:t xml:space="preserve">PTPCaptured</w:t>
            </w:r>
            <w:r>
              <w:rPr>
                <w:sz w:val="18"/>
              </w:rPr>
              <w:t xml:space="preserve"> </w:t>
            </w:r>
            <w:r>
              <w:rPr>
                <w:sz w:val="18"/>
              </w:rPr>
              <w:t xml:space="preserve">(E)</w:t>
            </w:r>
          </w:p>
        </w:tc>
        <w:tc>
          <w:tcPr>
            <w:tcW w:w="1128" w:type="dxa"/>
          </w:tcPr>
          <w:p>
            <w:pPr>
              <w:pStyle w:val="Compact"/>
              <w:spacing w:after="40"/>
              <w:jc w:val="left"/>
            </w:pPr>
            <w:r>
              <w:rPr>
                <w:sz w:val="18"/>
              </w:rPr>
              <w:t xml:space="preserve">UD, AGY → FX</w:t>
            </w:r>
          </w:p>
        </w:tc>
        <w:tc>
          <w:tcPr>
            <w:tcW w:w="1700" w:type="dxa"/>
          </w:tcPr>
          <w:p>
            <w:pPr>
              <w:pStyle w:val="Compact"/>
              <w:spacing w:after="40"/>
              <w:jc w:val="left"/>
            </w:pPr>
            <w:r>
              <w:rPr>
                <w:sz w:val="18"/>
              </w:rPr>
              <w:t xml:space="preserve">Promise to pay</w:t>
            </w:r>
          </w:p>
        </w:tc>
        <w:tc>
          <w:tcPr>
            <w:tcW w:w="1666" w:type="dxa"/>
          </w:tcPr>
          <w:p>
            <w:pPr>
              <w:pStyle w:val="Compact"/>
              <w:spacing w:after="40"/>
              <w:jc w:val="left"/>
            </w:pPr>
            <w:r>
              <w:rPr>
                <w:sz w:val="18"/>
              </w:rPr>
              <w:t xml:space="preserve">amount, date, evidence</w:t>
            </w:r>
          </w:p>
        </w:tc>
        <w:tc>
          <w:tcPr>
            <w:tcW w:w="931" w:type="dxa"/>
          </w:tcPr>
          <w:p>
            <w:pPr>
              <w:pStyle w:val="Compact"/>
              <w:spacing w:after="40"/>
              <w:jc w:val="left"/>
            </w:pPr>
            <w:r>
              <w:rPr>
                <w:sz w:val="18"/>
              </w:rPr>
              <w:t xml:space="preserve">UD or AGY</w:t>
            </w:r>
          </w:p>
        </w:tc>
        <w:tc>
          <w:tcPr>
            <w:tcW w:w="1202" w:type="dxa"/>
          </w:tcPr>
          <w:p>
            <w:pPr>
              <w:pStyle w:val="Compact"/>
              <w:spacing w:after="40"/>
              <w:jc w:val="left"/>
            </w:pPr>
            <w:r>
              <w:rPr>
                <w:sz w:val="18"/>
              </w:rPr>
              <w:t xml:space="preserve">ptp_id</w:t>
            </w:r>
          </w:p>
        </w:tc>
        <w:tc>
          <w:tcPr>
            <w:tcW w:w="1739" w:type="dxa"/>
          </w:tcPr>
          <w:p>
            <w:pPr>
              <w:pStyle w:val="Compact"/>
              <w:spacing w:after="40"/>
              <w:jc w:val="left"/>
            </w:pPr>
            <w:r>
              <w:rPr>
                <w:sz w:val="18"/>
              </w:rPr>
              <w:t xml:space="preserve">≤ 15 min</w:t>
            </w:r>
          </w:p>
        </w:tc>
      </w:tr>
      <w:tr>
        <w:tc>
          <w:tcPr>
            <w:tcW w:w="1272" w:type="dxa"/>
          </w:tcPr>
          <w:p>
            <w:pPr>
              <w:pStyle w:val="Compact"/>
              <w:spacing w:after="40"/>
              <w:jc w:val="left"/>
            </w:pPr>
            <w:r>
              <w:rPr>
                <w:rStyle w:val="VerbatimChar"/>
                <w:sz w:val="18"/>
              </w:rPr>
              <w:t xml:space="preserve">FieldVisitLogged</w:t>
            </w:r>
            <w:r>
              <w:rPr>
                <w:sz w:val="18"/>
              </w:rPr>
              <w:t xml:space="preserve"> </w:t>
            </w:r>
            <w:r>
              <w:rPr>
                <w:sz w:val="18"/>
              </w:rPr>
              <w:t xml:space="preserve">(E)</w:t>
            </w:r>
          </w:p>
        </w:tc>
        <w:tc>
          <w:tcPr>
            <w:tcW w:w="1128" w:type="dxa"/>
          </w:tcPr>
          <w:p>
            <w:pPr>
              <w:pStyle w:val="Compact"/>
              <w:spacing w:after="40"/>
              <w:jc w:val="left"/>
            </w:pPr>
            <w:r>
              <w:rPr>
                <w:sz w:val="18"/>
              </w:rPr>
              <w:t xml:space="preserve">UD, AGY, FIA → FX</w:t>
            </w:r>
          </w:p>
        </w:tc>
        <w:tc>
          <w:tcPr>
            <w:tcW w:w="1700" w:type="dxa"/>
          </w:tcPr>
          <w:p>
            <w:pPr>
              <w:pStyle w:val="Compact"/>
              <w:spacing w:after="40"/>
              <w:jc w:val="left"/>
            </w:pPr>
            <w:r>
              <w:rPr>
                <w:sz w:val="18"/>
              </w:rPr>
              <w:t xml:space="preserve">Field visit</w:t>
            </w:r>
          </w:p>
        </w:tc>
        <w:tc>
          <w:tcPr>
            <w:tcW w:w="1666" w:type="dxa"/>
          </w:tcPr>
          <w:p>
            <w:pPr>
              <w:pStyle w:val="Compact"/>
              <w:spacing w:after="40"/>
              <w:jc w:val="left"/>
            </w:pPr>
            <w:r>
              <w:rPr>
                <w:sz w:val="18"/>
              </w:rPr>
              <w:t xml:space="preserve">geo, time, premises photo, outcome</w:t>
            </w:r>
          </w:p>
        </w:tc>
        <w:tc>
          <w:tcPr>
            <w:tcW w:w="931" w:type="dxa"/>
          </w:tcPr>
          <w:p>
            <w:pPr>
              <w:pStyle w:val="Compact"/>
              <w:spacing w:after="40"/>
              <w:jc w:val="left"/>
            </w:pPr>
            <w:r>
              <w:rPr>
                <w:sz w:val="18"/>
              </w:rPr>
              <w:t xml:space="preserve">Visiting system</w:t>
            </w:r>
          </w:p>
        </w:tc>
        <w:tc>
          <w:tcPr>
            <w:tcW w:w="1202" w:type="dxa"/>
          </w:tcPr>
          <w:p>
            <w:pPr>
              <w:pStyle w:val="Compact"/>
              <w:spacing w:after="40"/>
              <w:jc w:val="left"/>
            </w:pPr>
            <w:r>
              <w:rPr>
                <w:sz w:val="18"/>
              </w:rPr>
              <w:t xml:space="preserve">visit_id</w:t>
            </w:r>
          </w:p>
        </w:tc>
        <w:tc>
          <w:tcPr>
            <w:tcW w:w="1739" w:type="dxa"/>
          </w:tcPr>
          <w:p>
            <w:pPr>
              <w:pStyle w:val="Compact"/>
              <w:spacing w:after="40"/>
              <w:jc w:val="left"/>
            </w:pPr>
            <w:r>
              <w:rPr>
                <w:sz w:val="18"/>
              </w:rPr>
              <w:t xml:space="preserve">≤ 15 min</w:t>
            </w:r>
          </w:p>
        </w:tc>
      </w:tr>
      <w:tr>
        <w:tc>
          <w:tcPr>
            <w:tcW w:w="1272" w:type="dxa"/>
          </w:tcPr>
          <w:p>
            <w:pPr>
              <w:pStyle w:val="Compact"/>
              <w:spacing w:after="40"/>
              <w:jc w:val="left"/>
            </w:pPr>
            <w:r>
              <w:rPr>
                <w:rStyle w:val="VerbatimChar"/>
                <w:sz w:val="18"/>
              </w:rPr>
              <w:t xml:space="preserve">ReceiptIssued</w:t>
            </w:r>
            <w:r>
              <w:rPr>
                <w:sz w:val="18"/>
              </w:rPr>
              <w:t xml:space="preserve"> </w:t>
            </w:r>
            <w:r>
              <w:rPr>
                <w:sz w:val="18"/>
              </w:rPr>
              <w:t xml:space="preserve">(E)</w:t>
            </w:r>
          </w:p>
        </w:tc>
        <w:tc>
          <w:tcPr>
            <w:tcW w:w="1128" w:type="dxa"/>
          </w:tcPr>
          <w:p>
            <w:pPr>
              <w:pStyle w:val="Compact"/>
              <w:spacing w:after="40"/>
              <w:jc w:val="left"/>
            </w:pPr>
            <w:r>
              <w:rPr>
                <w:sz w:val="18"/>
              </w:rPr>
              <w:t xml:space="preserve">UD, AGY → FX</w:t>
            </w:r>
          </w:p>
        </w:tc>
        <w:tc>
          <w:tcPr>
            <w:tcW w:w="1700" w:type="dxa"/>
          </w:tcPr>
          <w:p>
            <w:pPr>
              <w:pStyle w:val="Compact"/>
              <w:spacing w:after="40"/>
              <w:jc w:val="left"/>
            </w:pPr>
            <w:r>
              <w:rPr>
                <w:sz w:val="18"/>
              </w:rPr>
              <w:t xml:space="preserve">Cash or instrument collected by appointed agent</w:t>
            </w:r>
          </w:p>
        </w:tc>
        <w:tc>
          <w:tcPr>
            <w:tcW w:w="1666" w:type="dxa"/>
          </w:tcPr>
          <w:p>
            <w:pPr>
              <w:pStyle w:val="Compact"/>
              <w:spacing w:after="40"/>
              <w:jc w:val="left"/>
            </w:pPr>
            <w:r>
              <w:rPr>
                <w:sz w:val="18"/>
              </w:rPr>
              <w:t xml:space="preserve">receipt_no, amount, deposit ref into RE account</w:t>
            </w:r>
          </w:p>
        </w:tc>
        <w:tc>
          <w:tcPr>
            <w:tcW w:w="931" w:type="dxa"/>
          </w:tcPr>
          <w:p>
            <w:pPr>
              <w:pStyle w:val="Compact"/>
              <w:spacing w:after="40"/>
              <w:jc w:val="left"/>
            </w:pPr>
            <w:r>
              <w:rPr>
                <w:sz w:val="18"/>
              </w:rPr>
              <w:t xml:space="preserve">FX posting</w:t>
            </w:r>
          </w:p>
        </w:tc>
        <w:tc>
          <w:tcPr>
            <w:tcW w:w="1202" w:type="dxa"/>
          </w:tcPr>
          <w:p>
            <w:pPr>
              <w:pStyle w:val="Compact"/>
              <w:spacing w:after="40"/>
              <w:jc w:val="left"/>
            </w:pPr>
            <w:r>
              <w:rPr>
                <w:sz w:val="18"/>
              </w:rPr>
              <w:t xml:space="preserve">receipt_no</w:t>
            </w:r>
          </w:p>
        </w:tc>
        <w:tc>
          <w:tcPr>
            <w:tcW w:w="1739" w:type="dxa"/>
          </w:tcPr>
          <w:p>
            <w:pPr>
              <w:pStyle w:val="Compact"/>
              <w:spacing w:after="40"/>
              <w:jc w:val="left"/>
            </w:pPr>
            <w:r>
              <w:rPr>
                <w:sz w:val="18"/>
              </w:rPr>
              <w:t xml:space="preserve">Posted same day, no fee deducted (CF para 10(5))</w:t>
            </w:r>
          </w:p>
        </w:tc>
      </w:tr>
    </w:tbl>
    <w:bookmarkEnd w:id="54"/>
    <w:bookmarkStart w:id="55" w:name="recovery-recovery"/>
    <w:p>
      <w:pPr>
        <w:pStyle w:val="Heading2"/>
      </w:pPr>
      <w:r>
        <w:t xml:space="preserve">6.8 Recovery (</w:t>
      </w:r>
      <w:r>
        <w:rPr>
          <w:rStyle w:val="VerbatimChar"/>
        </w:rPr>
        <w:t xml:space="preserve">recovery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39"/>
        <w:gridCol w:w="1675"/>
        <w:gridCol w:w="1224"/>
        <w:gridCol w:w="1925"/>
        <w:gridCol w:w="873"/>
        <w:gridCol w:w="1119"/>
        <w:gridCol w:w="1383"/>
      </w:tblGrid>
      <w:tr>
        <w:trPr>
          <w:tblHeader w:val="true"/>
          <w:tblHeader w:val="true"/>
        </w:trPr>
        <w:tc>
          <w:tcPr>
            <w:tcW w:w="1439" w:type="dxa"/>
            <w:shd w:val="clear" w:color="auto" w:fill="1F3A5F"/>
          </w:tcPr>
          <w:p>
            <w:pPr>
              <w:pStyle w:val="Compact"/>
              <w:spacing w:after="40"/>
              <w:jc w:val="left"/>
            </w:pPr>
            <w:r>
              <w:rPr>
                <w:b/>
                <w:color w:val="FFFFFF"/>
                <w:sz w:val="18"/>
              </w:rPr>
              <w:t xml:space="preserve">Event or API</w:t>
            </w:r>
          </w:p>
        </w:tc>
        <w:tc>
          <w:tcPr>
            <w:tcW w:w="1675" w:type="dxa"/>
            <w:shd w:val="clear" w:color="auto" w:fill="1F3A5F"/>
          </w:tcPr>
          <w:p>
            <w:pPr>
              <w:pStyle w:val="Compact"/>
              <w:spacing w:after="40"/>
              <w:jc w:val="left"/>
            </w:pPr>
            <w:r>
              <w:rPr>
                <w:b/>
                <w:color w:val="FFFFFF"/>
                <w:sz w:val="18"/>
              </w:rPr>
              <w:t xml:space="preserve">Producer → consumer(s)</w:t>
            </w:r>
          </w:p>
        </w:tc>
        <w:tc>
          <w:tcPr>
            <w:tcW w:w="1224" w:type="dxa"/>
            <w:shd w:val="clear" w:color="auto" w:fill="1F3A5F"/>
          </w:tcPr>
          <w:p>
            <w:pPr>
              <w:pStyle w:val="Compact"/>
              <w:spacing w:after="40"/>
              <w:jc w:val="left"/>
            </w:pPr>
            <w:r>
              <w:rPr>
                <w:b/>
                <w:color w:val="FFFFFF"/>
                <w:sz w:val="18"/>
              </w:rPr>
              <w:t xml:space="preserve">Trigger</w:t>
            </w:r>
          </w:p>
        </w:tc>
        <w:tc>
          <w:tcPr>
            <w:tcW w:w="1925" w:type="dxa"/>
            <w:shd w:val="clear" w:color="auto" w:fill="1F3A5F"/>
          </w:tcPr>
          <w:p>
            <w:pPr>
              <w:pStyle w:val="Compact"/>
              <w:spacing w:after="40"/>
              <w:jc w:val="left"/>
            </w:pPr>
            <w:r>
              <w:rPr>
                <w:b/>
                <w:color w:val="FFFFFF"/>
                <w:sz w:val="18"/>
              </w:rPr>
              <w:t xml:space="preserve">Key payload fields</w:t>
            </w:r>
          </w:p>
        </w:tc>
        <w:tc>
          <w:tcPr>
            <w:tcW w:w="873" w:type="dxa"/>
            <w:shd w:val="clear" w:color="auto" w:fill="1F3A5F"/>
          </w:tcPr>
          <w:p>
            <w:pPr>
              <w:pStyle w:val="Compact"/>
              <w:spacing w:after="40"/>
              <w:jc w:val="left"/>
            </w:pPr>
            <w:r>
              <w:rPr>
                <w:b/>
                <w:color w:val="FFFFFF"/>
                <w:sz w:val="18"/>
              </w:rPr>
              <w:t xml:space="preserve">Owner</w:t>
            </w:r>
          </w:p>
        </w:tc>
        <w:tc>
          <w:tcPr>
            <w:tcW w:w="1119" w:type="dxa"/>
            <w:shd w:val="clear" w:color="auto" w:fill="1F3A5F"/>
          </w:tcPr>
          <w:p>
            <w:pPr>
              <w:pStyle w:val="Compact"/>
              <w:spacing w:after="40"/>
              <w:jc w:val="left"/>
            </w:pPr>
            <w:r>
              <w:rPr>
                <w:b/>
                <w:color w:val="FFFFFF"/>
                <w:sz w:val="18"/>
              </w:rPr>
              <w:t xml:space="preserve">Idempotency key</w:t>
            </w:r>
          </w:p>
        </w:tc>
        <w:tc>
          <w:tcPr>
            <w:tcW w:w="1383" w:type="dxa"/>
            <w:shd w:val="clear" w:color="auto" w:fill="1F3A5F"/>
          </w:tcPr>
          <w:p>
            <w:pPr>
              <w:pStyle w:val="Compact"/>
              <w:spacing w:after="40"/>
              <w:jc w:val="left"/>
            </w:pPr>
            <w:r>
              <w:rPr>
                <w:b/>
                <w:color w:val="FFFFFF"/>
                <w:sz w:val="18"/>
              </w:rPr>
              <w:t xml:space="preserve">SLA</w:t>
            </w:r>
          </w:p>
        </w:tc>
      </w:tr>
      <w:tr>
        <w:tc>
          <w:tcPr>
            <w:tcW w:w="1439" w:type="dxa"/>
          </w:tcPr>
          <w:p>
            <w:pPr>
              <w:pStyle w:val="Compact"/>
              <w:spacing w:after="40"/>
              <w:jc w:val="left"/>
            </w:pPr>
            <w:r>
              <w:rPr>
                <w:rStyle w:val="VerbatimChar"/>
                <w:sz w:val="18"/>
              </w:rPr>
              <w:t xml:space="preserve">RecoveryCaseOpened</w:t>
            </w:r>
            <w:r>
              <w:rPr>
                <w:sz w:val="18"/>
              </w:rPr>
              <w:t xml:space="preserve"> </w:t>
            </w:r>
            <w:r>
              <w:rPr>
                <w:sz w:val="18"/>
              </w:rPr>
              <w:t xml:space="preserve">(N)</w:t>
            </w:r>
          </w:p>
        </w:tc>
        <w:tc>
          <w:tcPr>
            <w:tcW w:w="1675" w:type="dxa"/>
          </w:tcPr>
          <w:p>
            <w:pPr>
              <w:pStyle w:val="Compact"/>
              <w:spacing w:after="40"/>
              <w:jc w:val="left"/>
            </w:pPr>
            <w:r>
              <w:rPr>
                <w:sz w:val="18"/>
              </w:rPr>
              <w:t xml:space="preserve">RS → UD (projection), LDC</w:t>
            </w:r>
          </w:p>
        </w:tc>
        <w:tc>
          <w:tcPr>
            <w:tcW w:w="1224" w:type="dxa"/>
          </w:tcPr>
          <w:p>
            <w:pPr>
              <w:pStyle w:val="Compact"/>
              <w:spacing w:after="40"/>
              <w:jc w:val="left"/>
            </w:pPr>
            <w:r>
              <w:rPr>
                <w:sz w:val="18"/>
              </w:rPr>
              <w:t xml:space="preserve">Rule trigger (DPD, NPA, bounce, fraud, death) or manual</w:t>
            </w:r>
          </w:p>
        </w:tc>
        <w:tc>
          <w:tcPr>
            <w:tcW w:w="1925" w:type="dxa"/>
          </w:tcPr>
          <w:p>
            <w:pPr>
              <w:pStyle w:val="Compact"/>
              <w:spacing w:after="40"/>
              <w:jc w:val="left"/>
            </w:pPr>
            <w:r>
              <w:rPr>
                <w:sz w:val="18"/>
              </w:rPr>
              <w:t xml:space="preserve">trigger, permitted and blocked mechanisms, limitation dates, legal_stage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recovery_case_id</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RecoveryStrategyChanged</w:t>
            </w:r>
            <w:r>
              <w:rPr>
                <w:sz w:val="18"/>
              </w:rPr>
              <w:t xml:space="preserve"> </w:t>
            </w:r>
            <w:r>
              <w:rPr>
                <w:sz w:val="18"/>
              </w:rPr>
              <w:t xml:space="preserve">(N)</w:t>
            </w:r>
          </w:p>
        </w:tc>
        <w:tc>
          <w:tcPr>
            <w:tcW w:w="1675" w:type="dxa"/>
          </w:tcPr>
          <w:p>
            <w:pPr>
              <w:pStyle w:val="Compact"/>
              <w:spacing w:after="40"/>
              <w:jc w:val="left"/>
            </w:pPr>
            <w:r>
              <w:rPr>
                <w:sz w:val="18"/>
              </w:rPr>
              <w:t xml:space="preserve">RS → UD (projection), AGY</w:t>
            </w:r>
          </w:p>
        </w:tc>
        <w:tc>
          <w:tcPr>
            <w:tcW w:w="1224" w:type="dxa"/>
          </w:tcPr>
          <w:p>
            <w:pPr>
              <w:pStyle w:val="Compact"/>
              <w:spacing w:after="40"/>
              <w:jc w:val="left"/>
            </w:pPr>
            <w:r>
              <w:rPr>
                <w:sz w:val="18"/>
              </w:rPr>
              <w:t xml:space="preserve">Re-evaluation on a material event</w:t>
            </w:r>
          </w:p>
        </w:tc>
        <w:tc>
          <w:tcPr>
            <w:tcW w:w="1925" w:type="dxa"/>
          </w:tcPr>
          <w:p>
            <w:pPr>
              <w:pStyle w:val="Compact"/>
              <w:spacing w:after="40"/>
              <w:jc w:val="left"/>
            </w:pPr>
            <w:r>
              <w:rPr>
                <w:sz w:val="18"/>
              </w:rPr>
              <w:t xml:space="preserve">mechanisms, rule version, approver, legal_stage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(case_id, strategy_version)</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LegalNoticeIssued</w:t>
            </w:r>
            <w:r>
              <w:rPr>
                <w:sz w:val="18"/>
              </w:rPr>
              <w:t xml:space="preserve"> </w:t>
            </w:r>
            <w:r>
              <w:rPr>
                <w:sz w:val="18"/>
              </w:rPr>
              <w:t xml:space="preserve">(N) signed</w:t>
            </w:r>
          </w:p>
        </w:tc>
        <w:tc>
          <w:tcPr>
            <w:tcW w:w="1675" w:type="dxa"/>
          </w:tcPr>
          <w:p>
            <w:pPr>
              <w:pStyle w:val="Compact"/>
              <w:spacing w:after="40"/>
              <w:jc w:val="left"/>
            </w:pPr>
            <w:r>
              <w:rPr>
                <w:sz w:val="18"/>
              </w:rPr>
              <w:t xml:space="preserve">RS → DSP, UD (copy if permitted), EQ (ADR notices)</w:t>
            </w:r>
          </w:p>
        </w:tc>
        <w:tc>
          <w:tcPr>
            <w:tcW w:w="1224" w:type="dxa"/>
          </w:tcPr>
          <w:p>
            <w:pPr>
              <w:pStyle w:val="Compact"/>
              <w:spacing w:after="40"/>
              <w:jc w:val="left"/>
            </w:pPr>
            <w:r>
              <w:rPr>
                <w:sz w:val="18"/>
              </w:rPr>
              <w:t xml:space="preserve">Notice approved and signed</w:t>
            </w:r>
          </w:p>
        </w:tc>
        <w:tc>
          <w:tcPr>
            <w:tcW w:w="1925" w:type="dxa"/>
          </w:tcPr>
          <w:p>
            <w:pPr>
              <w:pStyle w:val="Compact"/>
              <w:spacing w:after="40"/>
              <w:jc w:val="left"/>
            </w:pPr>
            <w:r>
              <w:rPr>
                <w:sz w:val="18"/>
              </w:rPr>
              <w:t xml:space="preserve">instrument, statute ref, template version, addressees, dues, document hash, signer</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notice_id</w:t>
            </w:r>
          </w:p>
        </w:tc>
        <w:tc>
          <w:tcPr>
            <w:tcW w:w="1383" w:type="dxa"/>
          </w:tcPr>
          <w:p>
            <w:pPr>
              <w:pStyle w:val="Compact"/>
              <w:spacing w:after="40"/>
              <w:jc w:val="left"/>
            </w:pPr>
            <w:r>
              <w:rPr>
                <w:sz w:val="18"/>
              </w:rPr>
              <w:t xml:space="preserve">Dispatch same day [REC]</w:t>
            </w:r>
          </w:p>
        </w:tc>
      </w:tr>
      <w:tr>
        <w:tc>
          <w:tcPr>
            <w:tcW w:w="1439" w:type="dxa"/>
          </w:tcPr>
          <w:p>
            <w:pPr>
              <w:pStyle w:val="Compact"/>
              <w:spacing w:after="40"/>
              <w:jc w:val="left"/>
            </w:pPr>
            <w:r>
              <w:rPr>
                <w:rStyle w:val="VerbatimChar"/>
                <w:sz w:val="18"/>
              </w:rPr>
              <w:t xml:space="preserve">NoticeServiceUpdated</w:t>
            </w:r>
            <w:r>
              <w:rPr>
                <w:sz w:val="18"/>
              </w:rPr>
              <w:t xml:space="preserve"> </w:t>
            </w:r>
            <w:r>
              <w:rPr>
                <w:sz w:val="18"/>
              </w:rPr>
              <w:t xml:space="preserve">(N)</w:t>
            </w:r>
          </w:p>
        </w:tc>
        <w:tc>
          <w:tcPr>
            <w:tcW w:w="1675" w:type="dxa"/>
          </w:tcPr>
          <w:p>
            <w:pPr>
              <w:pStyle w:val="Compact"/>
              <w:spacing w:after="40"/>
              <w:jc w:val="left"/>
            </w:pPr>
            <w:r>
              <w:rPr>
                <w:sz w:val="18"/>
              </w:rPr>
              <w:t xml:space="preserve">DSP, EQ, UD (own in-app, SMS-link or email delivery only) → RS; RS → UD (projection, if the RE permits)</w:t>
            </w:r>
          </w:p>
        </w:tc>
        <w:tc>
          <w:tcPr>
            <w:tcW w:w="1224" w:type="dxa"/>
          </w:tcPr>
          <w:p>
            <w:pPr>
              <w:pStyle w:val="Compact"/>
              <w:spacing w:after="40"/>
              <w:jc w:val="left"/>
            </w:pPr>
            <w:r>
              <w:rPr>
                <w:sz w:val="18"/>
              </w:rPr>
              <w:t xml:space="preserve">Delivery event per party per mode</w:t>
            </w:r>
          </w:p>
        </w:tc>
        <w:tc>
          <w:tcPr>
            <w:tcW w:w="1925" w:type="dxa"/>
          </w:tcPr>
          <w:p>
            <w:pPr>
              <w:pStyle w:val="Compact"/>
              <w:spacing w:after="40"/>
              <w:jc w:val="left"/>
            </w:pPr>
            <w:r>
              <w:rPr>
                <w:sz w:val="18"/>
              </w:rPr>
              <w:t xml:space="preserve">channel (dispatch mode, EQUATOR or UDOFIN_APP), status, evidence, deemed service date (never set from a UD channel event), deadlines</w:t>
            </w:r>
          </w:p>
        </w:tc>
        <w:tc>
          <w:tcPr>
            <w:tcW w:w="873" w:type="dxa"/>
          </w:tcPr>
          <w:p>
            <w:pPr>
              <w:pStyle w:val="Compact"/>
              <w:spacing w:after="40"/>
              <w:jc w:val="left"/>
            </w:pPr>
            <w:r>
              <w:rPr>
                <w:sz w:val="18"/>
              </w:rPr>
              <w:t xml:space="preserve">Provider event; RS register</w:t>
            </w:r>
          </w:p>
        </w:tc>
        <w:tc>
          <w:tcPr>
            <w:tcW w:w="1119" w:type="dxa"/>
          </w:tcPr>
          <w:p>
            <w:pPr>
              <w:pStyle w:val="Compact"/>
              <w:spacing w:after="40"/>
              <w:jc w:val="left"/>
            </w:pPr>
            <w:r>
              <w:rPr>
                <w:sz w:val="18"/>
              </w:rPr>
              <w:t xml:space="preserve">(notice_id, party_id, mode, provider_event_id)</w:t>
            </w:r>
          </w:p>
        </w:tc>
        <w:tc>
          <w:tcPr>
            <w:tcW w:w="1383" w:type="dxa"/>
          </w:tcPr>
          <w:p>
            <w:pPr>
              <w:pStyle w:val="Compact"/>
              <w:spacing w:after="40"/>
              <w:jc w:val="left"/>
            </w:pPr>
            <w:r>
              <w:rPr>
                <w:sz w:val="18"/>
              </w:rPr>
              <w:t xml:space="preserve">≤ 1 h</w:t>
            </w:r>
          </w:p>
        </w:tc>
      </w:tr>
      <w:tr>
        <w:tc>
          <w:tcPr>
            <w:tcW w:w="1439" w:type="dxa"/>
          </w:tcPr>
          <w:p>
            <w:pPr>
              <w:pStyle w:val="Compact"/>
              <w:spacing w:after="40"/>
              <w:jc w:val="left"/>
            </w:pPr>
            <w:r>
              <w:rPr>
                <w:rStyle w:val="VerbatimChar"/>
                <w:sz w:val="18"/>
              </w:rPr>
              <w:t xml:space="preserve">SettlementRequested</w:t>
            </w:r>
            <w:r>
              <w:rPr>
                <w:sz w:val="18"/>
              </w:rPr>
              <w:t xml:space="preserve"> </w:t>
            </w:r>
            <w:r>
              <w:rPr>
                <w:sz w:val="18"/>
              </w:rPr>
              <w:t xml:space="preserve">(A) API</w:t>
            </w:r>
            <w:r>
              <w:rPr>
                <w:sz w:val="18"/>
              </w:rPr>
              <w:t xml:space="preserve"> </w:t>
            </w:r>
            <w:r>
              <w:rPr>
                <w:rStyle w:val="VerbatimChar"/>
                <w:sz w:val="18"/>
              </w:rPr>
              <w:t xml:space="preserve">POST /v1/recovery-cases/{id}/settlement-requests</w:t>
            </w:r>
          </w:p>
        </w:tc>
        <w:tc>
          <w:tcPr>
            <w:tcW w:w="1675" w:type="dxa"/>
          </w:tcPr>
          <w:p>
            <w:pPr>
              <w:pStyle w:val="Compact"/>
              <w:spacing w:after="40"/>
              <w:jc w:val="left"/>
            </w:pPr>
            <w:r>
              <w:rPr>
                <w:sz w:val="18"/>
              </w:rPr>
              <w:t xml:space="preserve">UD, borrower portal → RS</w:t>
            </w:r>
          </w:p>
        </w:tc>
        <w:tc>
          <w:tcPr>
            <w:tcW w:w="1224" w:type="dxa"/>
          </w:tcPr>
          <w:p>
            <w:pPr>
              <w:pStyle w:val="Compact"/>
              <w:spacing w:after="40"/>
              <w:jc w:val="left"/>
            </w:pPr>
            <w:r>
              <w:rPr>
                <w:sz w:val="18"/>
              </w:rPr>
              <w:t xml:space="preserve">Borrower asks to settle</w:t>
            </w:r>
          </w:p>
        </w:tc>
        <w:tc>
          <w:tcPr>
            <w:tcW w:w="1925" w:type="dxa"/>
          </w:tcPr>
          <w:p>
            <w:pPr>
              <w:pStyle w:val="Compact"/>
              <w:spacing w:after="40"/>
              <w:jc w:val="left"/>
            </w:pPr>
            <w:r>
              <w:rPr>
                <w:sz w:val="18"/>
              </w:rPr>
              <w:t xml:space="preserve">proposal, reason, documents</w:t>
            </w:r>
          </w:p>
        </w:tc>
        <w:tc>
          <w:tcPr>
            <w:tcW w:w="873" w:type="dxa"/>
          </w:tcPr>
          <w:p>
            <w:pPr>
              <w:pStyle w:val="Compact"/>
              <w:spacing w:after="40"/>
              <w:jc w:val="left"/>
            </w:pPr>
            <w:r>
              <w:rPr>
                <w:sz w:val="18"/>
              </w:rPr>
              <w:t xml:space="preserve">UD request; RS decision</w:t>
            </w:r>
          </w:p>
        </w:tc>
        <w:tc>
          <w:tcPr>
            <w:tcW w:w="1119" w:type="dxa"/>
          </w:tcPr>
          <w:p>
            <w:pPr>
              <w:pStyle w:val="Compact"/>
              <w:spacing w:after="40"/>
              <w:jc w:val="left"/>
            </w:pPr>
            <w:r>
              <w:rPr>
                <w:sz w:val="18"/>
              </w:rPr>
              <w:t xml:space="preserve">request_id</w:t>
            </w:r>
          </w:p>
        </w:tc>
        <w:tc>
          <w:tcPr>
            <w:tcW w:w="1383" w:type="dxa"/>
          </w:tcPr>
          <w:p>
            <w:pPr>
              <w:pStyle w:val="Compact"/>
              <w:spacing w:after="40"/>
              <w:jc w:val="left"/>
            </w:pPr>
            <w:r>
              <w:rPr>
                <w:sz w:val="18"/>
              </w:rPr>
              <w:t xml:space="preserve">Ack ≤ 1 working day [REC]</w:t>
            </w:r>
          </w:p>
        </w:tc>
      </w:tr>
      <w:tr>
        <w:tc>
          <w:tcPr>
            <w:tcW w:w="1439" w:type="dxa"/>
          </w:tcPr>
          <w:p>
            <w:pPr>
              <w:pStyle w:val="Compact"/>
              <w:spacing w:after="40"/>
              <w:jc w:val="left"/>
            </w:pPr>
            <w:r>
              <w:rPr>
                <w:rStyle w:val="VerbatimChar"/>
                <w:sz w:val="18"/>
              </w:rPr>
              <w:t xml:space="preserve">SettlementApproved</w:t>
            </w:r>
            <w:r>
              <w:rPr>
                <w:sz w:val="18"/>
              </w:rPr>
              <w:t xml:space="preserve"> </w:t>
            </w:r>
            <w:r>
              <w:rPr>
                <w:sz w:val="18"/>
              </w:rPr>
              <w:t xml:space="preserve">(N) signed</w:t>
            </w:r>
          </w:p>
        </w:tc>
        <w:tc>
          <w:tcPr>
            <w:tcW w:w="1675" w:type="dxa"/>
          </w:tcPr>
          <w:p>
            <w:pPr>
              <w:pStyle w:val="Compact"/>
              <w:spacing w:after="40"/>
              <w:jc w:val="left"/>
            </w:pPr>
            <w:r>
              <w:rPr>
                <w:sz w:val="18"/>
              </w:rPr>
              <w:t xml:space="preserve">RS → UD (projection), EQ</w:t>
            </w:r>
          </w:p>
        </w:tc>
        <w:tc>
          <w:tcPr>
            <w:tcW w:w="1224" w:type="dxa"/>
          </w:tcPr>
          <w:p>
            <w:pPr>
              <w:pStyle w:val="Compact"/>
              <w:spacing w:after="40"/>
              <w:jc w:val="left"/>
            </w:pPr>
            <w:r>
              <w:rPr>
                <w:sz w:val="18"/>
              </w:rPr>
              <w:t xml:space="preserve">Approval at required level</w:t>
            </w:r>
          </w:p>
        </w:tc>
        <w:tc>
          <w:tcPr>
            <w:tcW w:w="1925" w:type="dxa"/>
          </w:tcPr>
          <w:p>
            <w:pPr>
              <w:pStyle w:val="Compact"/>
              <w:spacing w:after="40"/>
              <w:jc w:val="left"/>
            </w:pPr>
            <w:r>
              <w:rPr>
                <w:sz w:val="18"/>
              </w:rPr>
              <w:t xml:space="preserve">terms, approver level (RSA para 16(5)), Board ref (fraud, WD), restructuring (para 89), consent decree (para 100), cooling end (para 95)</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(settlement_id, approval_version)</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SettlementOfferIssued</w:t>
            </w:r>
            <w:r>
              <w:rPr>
                <w:sz w:val="18"/>
              </w:rPr>
              <w:t xml:space="preserve"> </w:t>
            </w:r>
            <w:r>
              <w:rPr>
                <w:sz w:val="18"/>
              </w:rPr>
              <w:t xml:space="preserve">(N) signed</w:t>
            </w:r>
          </w:p>
        </w:tc>
        <w:tc>
          <w:tcPr>
            <w:tcW w:w="1675" w:type="dxa"/>
          </w:tcPr>
          <w:p>
            <w:pPr>
              <w:pStyle w:val="Compact"/>
              <w:spacing w:after="40"/>
              <w:jc w:val="left"/>
            </w:pPr>
            <w:r>
              <w:rPr>
                <w:sz w:val="18"/>
              </w:rPr>
              <w:t xml:space="preserve">RS → UD, EQ</w:t>
            </w:r>
          </w:p>
        </w:tc>
        <w:tc>
          <w:tcPr>
            <w:tcW w:w="1224" w:type="dxa"/>
          </w:tcPr>
          <w:p>
            <w:pPr>
              <w:pStyle w:val="Compact"/>
              <w:spacing w:after="40"/>
              <w:jc w:val="left"/>
            </w:pPr>
            <w:r>
              <w:rPr>
                <w:sz w:val="18"/>
              </w:rPr>
              <w:t xml:space="preserve">Offer within approval or approved band</w:t>
            </w:r>
          </w:p>
        </w:tc>
        <w:tc>
          <w:tcPr>
            <w:tcW w:w="1925" w:type="dxa"/>
          </w:tcPr>
          <w:p>
            <w:pPr>
              <w:pStyle w:val="Compact"/>
              <w:spacing w:after="40"/>
              <w:jc w:val="left"/>
            </w:pPr>
            <w:r>
              <w:rPr>
                <w:sz w:val="18"/>
              </w:rPr>
              <w:t xml:space="preserve">document, validity, RE-account payment instructions</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(settlement_id, offer_version)</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rStyle w:val="VerbatimChar"/>
                <w:sz w:val="18"/>
              </w:rPr>
              <w:t xml:space="preserve">SettlementOfferAccepted</w:t>
            </w:r>
            <w:r>
              <w:rPr>
                <w:sz w:val="18"/>
              </w:rPr>
              <w:t xml:space="preserve"> </w:t>
            </w:r>
            <w:r>
              <w:rPr>
                <w:sz w:val="18"/>
              </w:rPr>
              <w:t xml:space="preserve">(N+)</w:t>
            </w:r>
          </w:p>
        </w:tc>
        <w:tc>
          <w:tcPr>
            <w:tcW w:w="1675" w:type="dxa"/>
          </w:tcPr>
          <w:p>
            <w:pPr>
              <w:pStyle w:val="Compact"/>
              <w:spacing w:after="40"/>
              <w:jc w:val="left"/>
            </w:pPr>
            <w:r>
              <w:rPr>
                <w:sz w:val="18"/>
              </w:rPr>
              <w:t xml:space="preserve">UD, EQ, portal → RS</w:t>
            </w:r>
          </w:p>
        </w:tc>
        <w:tc>
          <w:tcPr>
            <w:tcW w:w="1224" w:type="dxa"/>
          </w:tcPr>
          <w:p>
            <w:pPr>
              <w:pStyle w:val="Compact"/>
              <w:spacing w:after="40"/>
              <w:jc w:val="left"/>
            </w:pPr>
            <w:r>
              <w:rPr>
                <w:sz w:val="18"/>
              </w:rPr>
              <w:t xml:space="preserve">Borrower accepts by eSign or OTP</w:t>
            </w:r>
          </w:p>
        </w:tc>
        <w:tc>
          <w:tcPr>
            <w:tcW w:w="1925" w:type="dxa"/>
          </w:tcPr>
          <w:p>
            <w:pPr>
              <w:pStyle w:val="Compact"/>
              <w:spacing w:after="40"/>
              <w:jc w:val="left"/>
            </w:pPr>
            <w:r>
              <w:rPr>
                <w:sz w:val="18"/>
              </w:rPr>
              <w:t xml:space="preserve">acceptance evidence</w:t>
            </w:r>
          </w:p>
        </w:tc>
        <w:tc>
          <w:tcPr>
            <w:tcW w:w="873" w:type="dxa"/>
          </w:tcPr>
          <w:p>
            <w:pPr>
              <w:pStyle w:val="Compact"/>
              <w:spacing w:after="40"/>
              <w:jc w:val="left"/>
            </w:pPr>
            <w:r>
              <w:rPr>
                <w:sz w:val="18"/>
              </w:rPr>
              <w:t xml:space="preserve">Capturer evidence; RS record</w:t>
            </w:r>
          </w:p>
        </w:tc>
        <w:tc>
          <w:tcPr>
            <w:tcW w:w="1119" w:type="dxa"/>
          </w:tcPr>
          <w:p>
            <w:pPr>
              <w:pStyle w:val="Compact"/>
              <w:spacing w:after="40"/>
              <w:jc w:val="left"/>
            </w:pPr>
            <w:r>
              <w:rPr>
                <w:sz w:val="18"/>
              </w:rPr>
              <w:t xml:space="preserve">(settlement_id, offer_version)</w:t>
            </w:r>
          </w:p>
        </w:tc>
        <w:tc>
          <w:tcPr>
            <w:tcW w:w="1383" w:type="dxa"/>
          </w:tcPr>
          <w:p>
            <w:pPr>
              <w:pStyle w:val="Compact"/>
              <w:spacing w:after="40"/>
              <w:jc w:val="left"/>
            </w:pPr>
            <w:r>
              <w:rPr>
                <w:sz w:val="18"/>
              </w:rPr>
              <w:t xml:space="preserve">std</w:t>
            </w:r>
          </w:p>
        </w:tc>
      </w:tr>
      <w:tr>
        <w:tc>
          <w:tcPr>
            <w:tcW w:w="1439" w:type="dxa"/>
          </w:tcPr>
          <w:p>
            <w:pPr>
              <w:pStyle w:val="Compact"/>
              <w:spacing w:after="40"/>
              <w:jc w:val="left"/>
            </w:pPr>
            <w:r>
              <w:rPr>
                <w:rStyle w:val="VerbatimChar"/>
                <w:sz w:val="18"/>
              </w:rPr>
              <w:t xml:space="preserve">SettlementBreached</w:t>
            </w:r>
            <w:r>
              <w:rPr>
                <w:sz w:val="18"/>
              </w:rPr>
              <w:t xml:space="preserve"> </w:t>
            </w:r>
            <w:r>
              <w:rPr>
                <w:sz w:val="18"/>
              </w:rPr>
              <w:t xml:space="preserve">(N)</w:t>
            </w:r>
          </w:p>
        </w:tc>
        <w:tc>
          <w:tcPr>
            <w:tcW w:w="1675" w:type="dxa"/>
          </w:tcPr>
          <w:p>
            <w:pPr>
              <w:pStyle w:val="Compact"/>
              <w:spacing w:after="40"/>
              <w:jc w:val="left"/>
            </w:pPr>
            <w:r>
              <w:rPr>
                <w:sz w:val="18"/>
              </w:rPr>
              <w:t xml:space="preserve">RS → UD, EQ</w:t>
            </w:r>
          </w:p>
        </w:tc>
        <w:tc>
          <w:tcPr>
            <w:tcW w:w="1224" w:type="dxa"/>
          </w:tcPr>
          <w:p>
            <w:pPr>
              <w:pStyle w:val="Compact"/>
              <w:spacing w:after="40"/>
              <w:jc w:val="left"/>
            </w:pPr>
            <w:r>
              <w:rPr>
                <w:sz w:val="18"/>
              </w:rPr>
              <w:t xml:space="preserve">Instalment unpaid beyond grace</w:t>
            </w:r>
          </w:p>
        </w:tc>
        <w:tc>
          <w:tcPr>
            <w:tcW w:w="1925" w:type="dxa"/>
          </w:tcPr>
          <w:p>
            <w:pPr>
              <w:pStyle w:val="Compact"/>
              <w:spacing w:after="40"/>
              <w:jc w:val="left"/>
            </w:pPr>
            <w:r>
              <w:rPr>
                <w:sz w:val="18"/>
              </w:rPr>
              <w:t xml:space="preserve">breach details, consequence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(settlement_id, breach_seq)</w:t>
            </w:r>
          </w:p>
        </w:tc>
        <w:tc>
          <w:tcPr>
            <w:tcW w:w="1383" w:type="dxa"/>
          </w:tcPr>
          <w:p>
            <w:pPr>
              <w:pStyle w:val="Compact"/>
              <w:spacing w:after="40"/>
              <w:jc w:val="left"/>
            </w:pPr>
            <w:r>
              <w:rPr>
                <w:sz w:val="18"/>
              </w:rPr>
              <w:t xml:space="preserve">≤ 1 working day</w:t>
            </w:r>
          </w:p>
        </w:tc>
      </w:tr>
      <w:tr>
        <w:tc>
          <w:tcPr>
            <w:tcW w:w="1439" w:type="dxa"/>
          </w:tcPr>
          <w:p>
            <w:pPr>
              <w:pStyle w:val="Compact"/>
              <w:spacing w:after="40"/>
              <w:jc w:val="left"/>
            </w:pPr>
            <w:r>
              <w:rPr>
                <w:rStyle w:val="VerbatimChar"/>
                <w:sz w:val="18"/>
              </w:rPr>
              <w:t xml:space="preserve">AssetRepossessed</w:t>
            </w:r>
            <w:r>
              <w:rPr>
                <w:sz w:val="18"/>
              </w:rPr>
              <w:t xml:space="preserve"> </w:t>
            </w:r>
            <w:r>
              <w:rPr>
                <w:sz w:val="18"/>
              </w:rPr>
              <w:t xml:space="preserve">(N)</w:t>
            </w:r>
          </w:p>
        </w:tc>
        <w:tc>
          <w:tcPr>
            <w:tcW w:w="1675" w:type="dxa"/>
          </w:tcPr>
          <w:p>
            <w:pPr>
              <w:pStyle w:val="Compact"/>
              <w:spacing w:after="40"/>
              <w:jc w:val="left"/>
            </w:pPr>
            <w:r>
              <w:rPr>
                <w:sz w:val="18"/>
              </w:rPr>
              <w:t xml:space="preserve">RS → UD (projection)</w:t>
            </w:r>
          </w:p>
        </w:tc>
        <w:tc>
          <w:tcPr>
            <w:tcW w:w="1224" w:type="dxa"/>
          </w:tcPr>
          <w:p>
            <w:pPr>
              <w:pStyle w:val="Compact"/>
              <w:spacing w:after="40"/>
              <w:jc w:val="left"/>
            </w:pPr>
            <w:r>
              <w:rPr>
                <w:sz w:val="18"/>
              </w:rPr>
              <w:t xml:space="preserve">Repossession or SARFAESI possession</w:t>
            </w:r>
          </w:p>
        </w:tc>
        <w:tc>
          <w:tcPr>
            <w:tcW w:w="1925" w:type="dxa"/>
          </w:tcPr>
          <w:p>
            <w:pPr>
              <w:pStyle w:val="Compact"/>
              <w:spacing w:after="40"/>
              <w:jc w:val="left"/>
            </w:pPr>
            <w:r>
              <w:rPr>
                <w:sz w:val="18"/>
              </w:rPr>
              <w:t xml:space="preserve">mode, date, possession memo or panchnama, inventory</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(collateral_id, repossession_id)</w:t>
            </w:r>
          </w:p>
        </w:tc>
        <w:tc>
          <w:tcPr>
            <w:tcW w:w="1383" w:type="dxa"/>
          </w:tcPr>
          <w:p>
            <w:pPr>
              <w:pStyle w:val="Compact"/>
              <w:spacing w:after="40"/>
              <w:jc w:val="left"/>
            </w:pPr>
            <w:r>
              <w:rPr>
                <w:sz w:val="18"/>
              </w:rPr>
              <w:t xml:space="preserve">≤ 1 h</w:t>
            </w:r>
          </w:p>
        </w:tc>
      </w:tr>
      <w:tr>
        <w:tc>
          <w:tcPr>
            <w:tcW w:w="1439" w:type="dxa"/>
          </w:tcPr>
          <w:p>
            <w:pPr>
              <w:pStyle w:val="Compact"/>
              <w:spacing w:after="40"/>
              <w:jc w:val="left"/>
            </w:pPr>
            <w:r>
              <w:rPr>
                <w:rStyle w:val="VerbatimChar"/>
                <w:sz w:val="18"/>
              </w:rPr>
              <w:t xml:space="preserve">AuctionScheduled</w:t>
            </w:r>
            <w:r>
              <w:rPr>
                <w:sz w:val="18"/>
              </w:rPr>
              <w:t xml:space="preserve"> </w:t>
            </w:r>
            <w:r>
              <w:rPr>
                <w:sz w:val="18"/>
              </w:rPr>
              <w:t xml:space="preserve">(N)</w:t>
            </w:r>
          </w:p>
        </w:tc>
        <w:tc>
          <w:tcPr>
            <w:tcW w:w="1675" w:type="dxa"/>
          </w:tcPr>
          <w:p>
            <w:pPr>
              <w:pStyle w:val="Compact"/>
              <w:spacing w:after="40"/>
              <w:jc w:val="left"/>
            </w:pPr>
            <w:r>
              <w:rPr>
                <w:sz w:val="18"/>
              </w:rPr>
              <w:t xml:space="preserve">RS → UD (projection), auction adapter</w:t>
            </w:r>
          </w:p>
        </w:tc>
        <w:tc>
          <w:tcPr>
            <w:tcW w:w="1224" w:type="dxa"/>
          </w:tcPr>
          <w:p>
            <w:pPr>
              <w:pStyle w:val="Compact"/>
              <w:spacing w:after="40"/>
              <w:jc w:val="left"/>
            </w:pPr>
            <w:r>
              <w:rPr>
                <w:sz w:val="18"/>
              </w:rPr>
              <w:t xml:space="preserve">Sale notice published</w:t>
            </w:r>
          </w:p>
        </w:tc>
        <w:tc>
          <w:tcPr>
            <w:tcW w:w="1925" w:type="dxa"/>
          </w:tcPr>
          <w:p>
            <w:pPr>
              <w:pStyle w:val="Compact"/>
              <w:spacing w:after="40"/>
              <w:jc w:val="left"/>
            </w:pPr>
            <w:r>
              <w:rPr>
                <w:sz w:val="18"/>
              </w:rPr>
              <w:t xml:space="preserve">platform, reserve, date, notice refs</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(asset_sale_id, attempt)</w:t>
            </w:r>
          </w:p>
        </w:tc>
        <w:tc>
          <w:tcPr>
            <w:tcW w:w="1383" w:type="dxa"/>
          </w:tcPr>
          <w:p>
            <w:pPr>
              <w:pStyle w:val="Compact"/>
              <w:spacing w:after="40"/>
              <w:jc w:val="left"/>
            </w:pPr>
            <w:r>
              <w:rPr>
                <w:sz w:val="18"/>
              </w:rPr>
              <w:t xml:space="preserve">≥ 30 days after sale notice (SARFAESI Rule 9(1)); gold RBC paras 60–66</w:t>
            </w:r>
          </w:p>
        </w:tc>
      </w:tr>
      <w:tr>
        <w:tc>
          <w:tcPr>
            <w:tcW w:w="1439" w:type="dxa"/>
          </w:tcPr>
          <w:p>
            <w:pPr>
              <w:pStyle w:val="Compact"/>
              <w:spacing w:after="40"/>
              <w:jc w:val="left"/>
            </w:pPr>
            <w:r>
              <w:rPr>
                <w:rStyle w:val="VerbatimChar"/>
                <w:sz w:val="18"/>
              </w:rPr>
              <w:t xml:space="preserve">AuctionConcluded</w:t>
            </w:r>
            <w:r>
              <w:rPr>
                <w:sz w:val="18"/>
              </w:rPr>
              <w:t xml:space="preserve"> </w:t>
            </w:r>
            <w:r>
              <w:rPr>
                <w:sz w:val="18"/>
              </w:rPr>
              <w:t xml:space="preserve">(N)</w:t>
            </w:r>
          </w:p>
        </w:tc>
        <w:tc>
          <w:tcPr>
            <w:tcW w:w="1675" w:type="dxa"/>
          </w:tcPr>
          <w:p>
            <w:pPr>
              <w:pStyle w:val="Compact"/>
              <w:spacing w:after="40"/>
              <w:jc w:val="left"/>
            </w:pPr>
            <w:r>
              <w:rPr>
                <w:sz w:val="18"/>
              </w:rPr>
              <w:t xml:space="preserve">RS, auction adapter → UD (projection)</w:t>
            </w:r>
          </w:p>
        </w:tc>
        <w:tc>
          <w:tcPr>
            <w:tcW w:w="1224" w:type="dxa"/>
          </w:tcPr>
          <w:p>
            <w:pPr>
              <w:pStyle w:val="Compact"/>
              <w:spacing w:after="40"/>
              <w:jc w:val="left"/>
            </w:pPr>
            <w:r>
              <w:rPr>
                <w:sz w:val="18"/>
              </w:rPr>
              <w:t xml:space="preserve">Auction closed</w:t>
            </w:r>
          </w:p>
        </w:tc>
        <w:tc>
          <w:tcPr>
            <w:tcW w:w="1925" w:type="dxa"/>
          </w:tcPr>
          <w:p>
            <w:pPr>
              <w:pStyle w:val="Compact"/>
              <w:spacing w:after="40"/>
              <w:jc w:val="left"/>
            </w:pPr>
            <w:r>
              <w:rPr>
                <w:sz w:val="18"/>
              </w:rPr>
              <w:t xml:space="preserve">result, price, deposit and balance dates</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(asset_sale_id, attempt)</w:t>
            </w:r>
          </w:p>
        </w:tc>
        <w:tc>
          <w:tcPr>
            <w:tcW w:w="1383" w:type="dxa"/>
          </w:tcPr>
          <w:p>
            <w:pPr>
              <w:pStyle w:val="Compact"/>
              <w:spacing w:after="40"/>
              <w:jc w:val="left"/>
            </w:pPr>
            <w:r>
              <w:rPr>
                <w:sz w:val="18"/>
              </w:rPr>
              <w:t xml:space="preserve">25% by next working day; balance ≤ 15 days (Rule 9(3)–(4))</w:t>
            </w:r>
          </w:p>
        </w:tc>
      </w:tr>
      <w:tr>
        <w:tc>
          <w:tcPr>
            <w:tcW w:w="1439" w:type="dxa"/>
          </w:tcPr>
          <w:p>
            <w:pPr>
              <w:pStyle w:val="Compact"/>
              <w:spacing w:after="40"/>
              <w:jc w:val="left"/>
            </w:pPr>
            <w:r>
              <w:rPr>
                <w:rStyle w:val="VerbatimChar"/>
                <w:sz w:val="18"/>
              </w:rPr>
              <w:t xml:space="preserve">RecoveryReceiptPosted</w:t>
            </w:r>
            <w:r>
              <w:rPr>
                <w:sz w:val="18"/>
              </w:rPr>
              <w:t xml:space="preserve"> </w:t>
            </w:r>
            <w:r>
              <w:rPr>
                <w:sz w:val="18"/>
              </w:rPr>
              <w:t xml:space="preserve">(N) signed</w:t>
            </w:r>
          </w:p>
        </w:tc>
        <w:tc>
          <w:tcPr>
            <w:tcW w:w="1675" w:type="dxa"/>
          </w:tcPr>
          <w:p>
            <w:pPr>
              <w:pStyle w:val="Compact"/>
              <w:spacing w:after="40"/>
              <w:jc w:val="left"/>
            </w:pPr>
            <w:r>
              <w:rPr>
                <w:sz w:val="18"/>
              </w:rPr>
              <w:t xml:space="preserve">RS (FX ledger) → UD, EQ, CL, DLG provider</w:t>
            </w:r>
          </w:p>
        </w:tc>
        <w:tc>
          <w:tcPr>
            <w:tcW w:w="1224" w:type="dxa"/>
          </w:tcPr>
          <w:p>
            <w:pPr>
              <w:pStyle w:val="Compact"/>
              <w:spacing w:after="40"/>
              <w:jc w:val="left"/>
            </w:pPr>
            <w:r>
              <w:rPr>
                <w:sz w:val="18"/>
              </w:rPr>
              <w:t xml:space="preserve">Recovery receipt appropriated</w:t>
            </w:r>
          </w:p>
        </w:tc>
        <w:tc>
          <w:tcPr>
            <w:tcW w:w="1925" w:type="dxa"/>
          </w:tcPr>
          <w:p>
            <w:pPr>
              <w:pStyle w:val="Compact"/>
              <w:spacing w:after="40"/>
              <w:jc w:val="left"/>
            </w:pPr>
            <w:r>
              <w:rPr>
                <w:sz w:val="18"/>
              </w:rPr>
              <w:t xml:space="preserve">source, amount, appropriation (s.13(7) for SARFAESI), shares</w:t>
            </w:r>
          </w:p>
        </w:tc>
        <w:tc>
          <w:tcPr>
            <w:tcW w:w="873" w:type="dxa"/>
          </w:tcPr>
          <w:p>
            <w:pPr>
              <w:pStyle w:val="Compact"/>
              <w:spacing w:after="40"/>
              <w:jc w:val="left"/>
            </w:pPr>
            <w:r>
              <w:rPr>
                <w:sz w:val="18"/>
              </w:rPr>
              <w:t xml:space="preserve">FX</w:t>
            </w:r>
          </w:p>
        </w:tc>
        <w:tc>
          <w:tcPr>
            <w:tcW w:w="1119" w:type="dxa"/>
          </w:tcPr>
          <w:p>
            <w:pPr>
              <w:pStyle w:val="Compact"/>
              <w:spacing w:after="40"/>
              <w:jc w:val="left"/>
            </w:pPr>
            <w:r>
              <w:rPr>
                <w:sz w:val="18"/>
              </w:rPr>
              <w:t xml:space="preserve">(loan_id, receipt_ref)</w:t>
            </w:r>
          </w:p>
        </w:tc>
        <w:tc>
          <w:tcPr>
            <w:tcW w:w="1383" w:type="dxa"/>
          </w:tcPr>
          <w:p>
            <w:pPr>
              <w:pStyle w:val="Compact"/>
              <w:spacing w:after="40"/>
              <w:jc w:val="left"/>
            </w:pPr>
            <w:r>
              <w:rPr>
                <w:sz w:val="18"/>
              </w:rPr>
              <w:t xml:space="preserve">Same day</w:t>
            </w:r>
          </w:p>
        </w:tc>
      </w:tr>
      <w:tr>
        <w:tc>
          <w:tcPr>
            <w:tcW w:w="1439" w:type="dxa"/>
          </w:tcPr>
          <w:p>
            <w:pPr>
              <w:pStyle w:val="Compact"/>
              <w:spacing w:after="40"/>
              <w:jc w:val="left"/>
            </w:pPr>
            <w:r>
              <w:rPr>
                <w:rStyle w:val="VerbatimChar"/>
                <w:sz w:val="18"/>
              </w:rPr>
              <w:t xml:space="preserve">SurplusRefunded</w:t>
            </w:r>
            <w:r>
              <w:rPr>
                <w:sz w:val="18"/>
              </w:rPr>
              <w:t xml:space="preserve"> </w:t>
            </w:r>
            <w:r>
              <w:rPr>
                <w:sz w:val="18"/>
              </w:rPr>
              <w:t xml:space="preserve">(N+)</w:t>
            </w:r>
          </w:p>
        </w:tc>
        <w:tc>
          <w:tcPr>
            <w:tcW w:w="1675" w:type="dxa"/>
          </w:tcPr>
          <w:p>
            <w:pPr>
              <w:pStyle w:val="Compact"/>
              <w:spacing w:after="40"/>
              <w:jc w:val="left"/>
            </w:pPr>
            <w:r>
              <w:rPr>
                <w:sz w:val="18"/>
              </w:rPr>
              <w:t xml:space="preserve">RS → UD</w:t>
            </w:r>
          </w:p>
        </w:tc>
        <w:tc>
          <w:tcPr>
            <w:tcW w:w="1224" w:type="dxa"/>
          </w:tcPr>
          <w:p>
            <w:pPr>
              <w:pStyle w:val="Compact"/>
              <w:spacing w:after="40"/>
              <w:jc w:val="left"/>
            </w:pPr>
            <w:r>
              <w:rPr>
                <w:sz w:val="18"/>
              </w:rPr>
              <w:t xml:space="preserve">Surplus paid to borrower or persons entitled</w:t>
            </w:r>
          </w:p>
        </w:tc>
        <w:tc>
          <w:tcPr>
            <w:tcW w:w="1925" w:type="dxa"/>
          </w:tcPr>
          <w:p>
            <w:pPr>
              <w:pStyle w:val="Compact"/>
              <w:spacing w:after="40"/>
              <w:jc w:val="left"/>
            </w:pPr>
            <w:r>
              <w:rPr>
                <w:sz w:val="18"/>
              </w:rPr>
              <w:t xml:space="preserve">amount, utr, days from receipt</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asset_sale_id</w:t>
            </w:r>
          </w:p>
        </w:tc>
        <w:tc>
          <w:tcPr>
            <w:tcW w:w="1383" w:type="dxa"/>
          </w:tcPr>
          <w:p>
            <w:pPr>
              <w:pStyle w:val="Compact"/>
              <w:spacing w:after="40"/>
              <w:jc w:val="left"/>
            </w:pPr>
            <w:r>
              <w:rPr>
                <w:sz w:val="18"/>
              </w:rPr>
              <w:t xml:space="preserve">Gold ≤ 7 working days (RBC para 66)</w:t>
            </w:r>
          </w:p>
        </w:tc>
      </w:tr>
      <w:tr>
        <w:tc>
          <w:tcPr>
            <w:tcW w:w="1439" w:type="dxa"/>
          </w:tcPr>
          <w:p>
            <w:pPr>
              <w:pStyle w:val="Compact"/>
              <w:spacing w:after="40"/>
              <w:jc w:val="left"/>
            </w:pPr>
            <w:r>
              <w:rPr>
                <w:rStyle w:val="VerbatimChar"/>
                <w:sz w:val="18"/>
              </w:rPr>
              <w:t xml:space="preserve">RecoveryCaseClosed</w:t>
            </w:r>
            <w:r>
              <w:rPr>
                <w:sz w:val="18"/>
              </w:rPr>
              <w:t xml:space="preserve"> </w:t>
            </w:r>
            <w:r>
              <w:rPr>
                <w:sz w:val="18"/>
              </w:rPr>
              <w:t xml:space="preserve">(N)</w:t>
            </w:r>
          </w:p>
        </w:tc>
        <w:tc>
          <w:tcPr>
            <w:tcW w:w="1675" w:type="dxa"/>
          </w:tcPr>
          <w:p>
            <w:pPr>
              <w:pStyle w:val="Compact"/>
              <w:spacing w:after="40"/>
              <w:jc w:val="left"/>
            </w:pPr>
            <w:r>
              <w:rPr>
                <w:sz w:val="18"/>
              </w:rPr>
              <w:t xml:space="preserve">RS → UD, LDC</w:t>
            </w:r>
          </w:p>
        </w:tc>
        <w:tc>
          <w:tcPr>
            <w:tcW w:w="1224" w:type="dxa"/>
          </w:tcPr>
          <w:p>
            <w:pPr>
              <w:pStyle w:val="Compact"/>
              <w:spacing w:after="40"/>
              <w:jc w:val="left"/>
            </w:pPr>
            <w:r>
              <w:rPr>
                <w:sz w:val="18"/>
              </w:rPr>
              <w:t xml:space="preserve">Case ends</w:t>
            </w:r>
          </w:p>
        </w:tc>
        <w:tc>
          <w:tcPr>
            <w:tcW w:w="1925" w:type="dxa"/>
          </w:tcPr>
          <w:p>
            <w:pPr>
              <w:pStyle w:val="Compact"/>
              <w:spacing w:after="40"/>
              <w:jc w:val="left"/>
            </w:pPr>
            <w:r>
              <w:rPr>
                <w:sz w:val="18"/>
              </w:rPr>
              <w:t xml:space="preserve">closure reason</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recovery_case_id</w:t>
            </w:r>
          </w:p>
        </w:tc>
        <w:tc>
          <w:tcPr>
            <w:tcW w:w="1383" w:type="dxa"/>
          </w:tcPr>
          <w:p>
            <w:pPr>
              <w:pStyle w:val="Compact"/>
              <w:spacing w:after="40"/>
              <w:jc w:val="left"/>
            </w:pPr>
            <w:r>
              <w:rPr>
                <w:sz w:val="18"/>
              </w:rPr>
              <w:t xml:space="preserve">≤ 15 min</w:t>
            </w:r>
          </w:p>
        </w:tc>
      </w:tr>
      <w:tr>
        <w:tc>
          <w:tcPr>
            <w:tcW w:w="1439" w:type="dxa"/>
          </w:tcPr>
          <w:p>
            <w:pPr>
              <w:pStyle w:val="Compact"/>
              <w:spacing w:after="40"/>
              <w:jc w:val="left"/>
            </w:pPr>
            <w:r>
              <w:rPr>
                <w:sz w:val="18"/>
              </w:rPr>
              <w:t xml:space="preserve">API</w:t>
            </w:r>
            <w:r>
              <w:rPr>
                <w:sz w:val="18"/>
              </w:rPr>
              <w:t xml:space="preserve"> </w:t>
            </w:r>
            <w:r>
              <w:rPr>
                <w:rStyle w:val="VerbatimChar"/>
                <w:sz w:val="18"/>
              </w:rPr>
              <w:t xml:space="preserve">GET /v1/recovery-cases/{id}</w:t>
            </w:r>
          </w:p>
        </w:tc>
        <w:tc>
          <w:tcPr>
            <w:tcW w:w="1675" w:type="dxa"/>
          </w:tcPr>
          <w:p>
            <w:pPr>
              <w:pStyle w:val="Compact"/>
              <w:spacing w:after="40"/>
              <w:jc w:val="left"/>
            </w:pPr>
            <w:r>
              <w:rPr>
                <w:sz w:val="18"/>
              </w:rPr>
              <w:t xml:space="preserve">UD, EQ → RS</w:t>
            </w:r>
          </w:p>
        </w:tc>
        <w:tc>
          <w:tcPr>
            <w:tcW w:w="1224" w:type="dxa"/>
          </w:tcPr>
          <w:p>
            <w:pPr>
              <w:pStyle w:val="Compact"/>
              <w:spacing w:after="40"/>
              <w:jc w:val="left"/>
            </w:pPr>
            <w:r>
              <w:rPr>
                <w:sz w:val="18"/>
              </w:rPr>
              <w:t xml:space="preserve">Display or referral</w:t>
            </w:r>
          </w:p>
        </w:tc>
        <w:tc>
          <w:tcPr>
            <w:tcW w:w="1925" w:type="dxa"/>
          </w:tcPr>
          <w:p>
            <w:pPr>
              <w:pStyle w:val="Compact"/>
              <w:spacing w:after="40"/>
              <w:jc w:val="left"/>
            </w:pPr>
            <w:r>
              <w:rPr>
                <w:sz w:val="18"/>
              </w:rPr>
              <w:t xml:space="preserve">projection by scope</w:t>
            </w:r>
          </w:p>
        </w:tc>
        <w:tc>
          <w:tcPr>
            <w:tcW w:w="873" w:type="dxa"/>
          </w:tcPr>
          <w:p>
            <w:pPr>
              <w:pStyle w:val="Compact"/>
              <w:spacing w:after="40"/>
              <w:jc w:val="left"/>
            </w:pPr>
            <w:r>
              <w:rPr>
                <w:sz w:val="18"/>
              </w:rPr>
              <w:t xml:space="preserve">RS</w:t>
            </w:r>
          </w:p>
        </w:tc>
        <w:tc>
          <w:tcPr>
            <w:tcW w:w="1119" w:type="dxa"/>
          </w:tcPr>
          <w:p>
            <w:pPr>
              <w:pStyle w:val="Compact"/>
              <w:spacing w:after="40"/>
              <w:jc w:val="left"/>
            </w:pPr>
            <w:r>
              <w:rPr>
                <w:sz w:val="18"/>
              </w:rPr>
              <w:t xml:space="preserve">n/a</w:t>
            </w:r>
          </w:p>
        </w:tc>
        <w:tc>
          <w:tcPr>
            <w:tcW w:w="1383" w:type="dxa"/>
          </w:tcPr>
          <w:p>
            <w:pPr>
              <w:pStyle w:val="Compact"/>
              <w:spacing w:after="40"/>
              <w:jc w:val="left"/>
            </w:pPr>
            <w:r>
              <w:rPr>
                <w:sz w:val="18"/>
              </w:rPr>
              <w:t xml:space="preserve">p95 ≤ 800 ms</w:t>
            </w:r>
          </w:p>
        </w:tc>
      </w:tr>
    </w:tbl>
    <w:bookmarkEnd w:id="55"/>
    <w:bookmarkStart w:id="56" w:name="adr-equator-or-another-provider-adr"/>
    <w:p>
      <w:pPr>
        <w:pStyle w:val="Heading2"/>
      </w:pPr>
      <w:r>
        <w:t xml:space="preserve">6.9 ADR — Equator or another provider (</w:t>
      </w:r>
      <w:r>
        <w:rPr>
          <w:rStyle w:val="VerbatimChar"/>
        </w:rPr>
        <w:t xml:space="preserve">adr</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36"/>
        <w:gridCol w:w="1042"/>
        <w:gridCol w:w="1572"/>
        <w:gridCol w:w="1816"/>
        <w:gridCol w:w="1042"/>
        <w:gridCol w:w="1177"/>
        <w:gridCol w:w="1453"/>
      </w:tblGrid>
      <w:tr>
        <w:trPr>
          <w:tblHeader w:val="true"/>
          <w:tblHeader w:val="true"/>
        </w:trPr>
        <w:tc>
          <w:tcPr>
            <w:tcW w:w="1536" w:type="dxa"/>
            <w:shd w:val="clear" w:color="auto" w:fill="1F3A5F"/>
          </w:tcPr>
          <w:p>
            <w:pPr>
              <w:pStyle w:val="Compact"/>
              <w:spacing w:after="40"/>
              <w:jc w:val="left"/>
            </w:pPr>
            <w:r>
              <w:rPr>
                <w:b/>
                <w:color w:val="FFFFFF"/>
                <w:sz w:val="18"/>
              </w:rPr>
              <w:t xml:space="preserve">Event or API</w:t>
            </w:r>
          </w:p>
        </w:tc>
        <w:tc>
          <w:tcPr>
            <w:tcW w:w="1042" w:type="dxa"/>
            <w:shd w:val="clear" w:color="auto" w:fill="1F3A5F"/>
          </w:tcPr>
          <w:p>
            <w:pPr>
              <w:pStyle w:val="Compact"/>
              <w:spacing w:after="40"/>
              <w:jc w:val="left"/>
            </w:pPr>
            <w:r>
              <w:rPr>
                <w:b/>
                <w:color w:val="FFFFFF"/>
                <w:sz w:val="18"/>
              </w:rPr>
              <w:t xml:space="preserve">Producer → consumer(s)</w:t>
            </w:r>
          </w:p>
        </w:tc>
        <w:tc>
          <w:tcPr>
            <w:tcW w:w="1572" w:type="dxa"/>
            <w:shd w:val="clear" w:color="auto" w:fill="1F3A5F"/>
          </w:tcPr>
          <w:p>
            <w:pPr>
              <w:pStyle w:val="Compact"/>
              <w:spacing w:after="40"/>
              <w:jc w:val="left"/>
            </w:pPr>
            <w:r>
              <w:rPr>
                <w:b/>
                <w:color w:val="FFFFFF"/>
                <w:sz w:val="18"/>
              </w:rPr>
              <w:t xml:space="preserve">Trigger</w:t>
            </w:r>
          </w:p>
        </w:tc>
        <w:tc>
          <w:tcPr>
            <w:tcW w:w="1816" w:type="dxa"/>
            <w:shd w:val="clear" w:color="auto" w:fill="1F3A5F"/>
          </w:tcPr>
          <w:p>
            <w:pPr>
              <w:pStyle w:val="Compact"/>
              <w:spacing w:after="40"/>
              <w:jc w:val="left"/>
            </w:pPr>
            <w:r>
              <w:rPr>
                <w:b/>
                <w:color w:val="FFFFFF"/>
                <w:sz w:val="18"/>
              </w:rPr>
              <w:t xml:space="preserve">Key payload fields</w:t>
            </w:r>
          </w:p>
        </w:tc>
        <w:tc>
          <w:tcPr>
            <w:tcW w:w="1042" w:type="dxa"/>
            <w:shd w:val="clear" w:color="auto" w:fill="1F3A5F"/>
          </w:tcPr>
          <w:p>
            <w:pPr>
              <w:pStyle w:val="Compact"/>
              <w:spacing w:after="40"/>
              <w:jc w:val="left"/>
            </w:pPr>
            <w:r>
              <w:rPr>
                <w:b/>
                <w:color w:val="FFFFFF"/>
                <w:sz w:val="18"/>
              </w:rPr>
              <w:t xml:space="preserve">Owner</w:t>
            </w:r>
          </w:p>
        </w:tc>
        <w:tc>
          <w:tcPr>
            <w:tcW w:w="1177" w:type="dxa"/>
            <w:shd w:val="clear" w:color="auto" w:fill="1F3A5F"/>
          </w:tcPr>
          <w:p>
            <w:pPr>
              <w:pStyle w:val="Compact"/>
              <w:spacing w:after="40"/>
              <w:jc w:val="left"/>
            </w:pPr>
            <w:r>
              <w:rPr>
                <w:b/>
                <w:color w:val="FFFFFF"/>
                <w:sz w:val="18"/>
              </w:rPr>
              <w:t xml:space="preserve">Idempotency key</w:t>
            </w:r>
          </w:p>
        </w:tc>
        <w:tc>
          <w:tcPr>
            <w:tcW w:w="1453" w:type="dxa"/>
            <w:shd w:val="clear" w:color="auto" w:fill="1F3A5F"/>
          </w:tcPr>
          <w:p>
            <w:pPr>
              <w:pStyle w:val="Compact"/>
              <w:spacing w:after="40"/>
              <w:jc w:val="left"/>
            </w:pPr>
            <w:r>
              <w:rPr>
                <w:b/>
                <w:color w:val="FFFFFF"/>
                <w:sz w:val="18"/>
              </w:rPr>
              <w:t xml:space="preserve">SLA</w:t>
            </w:r>
          </w:p>
        </w:tc>
      </w:tr>
      <w:tr>
        <w:tc>
          <w:tcPr>
            <w:tcW w:w="1536" w:type="dxa"/>
          </w:tcPr>
          <w:p>
            <w:pPr>
              <w:pStyle w:val="Compact"/>
              <w:spacing w:after="40"/>
              <w:jc w:val="left"/>
            </w:pPr>
            <w:r>
              <w:rPr>
                <w:rStyle w:val="VerbatimChar"/>
                <w:sz w:val="18"/>
              </w:rPr>
              <w:t xml:space="preserve">ADRReferralCreated</w:t>
            </w:r>
            <w:r>
              <w:rPr>
                <w:sz w:val="18"/>
              </w:rPr>
              <w:t xml:space="preserve"> </w:t>
            </w:r>
            <w:r>
              <w:rPr>
                <w:sz w:val="18"/>
              </w:rPr>
              <w:t xml:space="preserve">(N) signed; API</w:t>
            </w:r>
            <w:r>
              <w:rPr>
                <w:sz w:val="18"/>
              </w:rPr>
              <w:t xml:space="preserve"> </w:t>
            </w:r>
            <w:r>
              <w:rPr>
                <w:rStyle w:val="VerbatimChar"/>
                <w:sz w:val="18"/>
              </w:rPr>
              <w:t xml:space="preserve">POST /v1/adr/referrals</w:t>
            </w:r>
            <w:r>
              <w:rPr>
                <w:sz w:val="18"/>
              </w:rPr>
              <w:t xml:space="preserve"> </w:t>
            </w:r>
            <w:r>
              <w:rPr>
                <w:sz w:val="18"/>
              </w:rPr>
              <w:t xml:space="preserve">at EQ</w:t>
            </w:r>
          </w:p>
        </w:tc>
        <w:tc>
          <w:tcPr>
            <w:tcW w:w="1042" w:type="dxa"/>
          </w:tcPr>
          <w:p>
            <w:pPr>
              <w:pStyle w:val="Compact"/>
              <w:spacing w:after="40"/>
              <w:jc w:val="left"/>
            </w:pPr>
            <w:r>
              <w:rPr>
                <w:sz w:val="18"/>
              </w:rPr>
              <w:t xml:space="preserve">RS → EQ, UD (projection), LDC</w:t>
            </w:r>
          </w:p>
        </w:tc>
        <w:tc>
          <w:tcPr>
            <w:tcW w:w="1572" w:type="dxa"/>
          </w:tcPr>
          <w:p>
            <w:pPr>
              <w:pStyle w:val="Compact"/>
              <w:spacing w:after="40"/>
              <w:jc w:val="left"/>
            </w:pPr>
            <w:r>
              <w:rPr>
                <w:sz w:val="18"/>
              </w:rPr>
              <w:t xml:space="preserve">RE referral after Part 8.2 gates</w:t>
            </w:r>
          </w:p>
        </w:tc>
        <w:tc>
          <w:tcPr>
            <w:tcW w:w="1816" w:type="dxa"/>
          </w:tcPr>
          <w:p>
            <w:pPr>
              <w:pStyle w:val="Compact"/>
              <w:spacing w:after="40"/>
              <w:jc w:val="left"/>
            </w:pPr>
            <w:r>
              <w:rPr>
                <w:sz w:val="18"/>
              </w:rPr>
              <w:t xml:space="preserve">process, basis, clause ref, stamp proof, claim, parties, pack hashes, sealed mandate ref</w:t>
            </w:r>
          </w:p>
        </w:tc>
        <w:tc>
          <w:tcPr>
            <w:tcW w:w="1042" w:type="dxa"/>
          </w:tcPr>
          <w:p>
            <w:pPr>
              <w:pStyle w:val="Compact"/>
              <w:spacing w:after="40"/>
              <w:jc w:val="left"/>
            </w:pPr>
            <w:r>
              <w:rPr>
                <w:sz w:val="18"/>
              </w:rPr>
              <w:t xml:space="preserve">RS referral; EQ docket</w:t>
            </w:r>
          </w:p>
        </w:tc>
        <w:tc>
          <w:tcPr>
            <w:tcW w:w="1177" w:type="dxa"/>
          </w:tcPr>
          <w:p>
            <w:pPr>
              <w:pStyle w:val="Compact"/>
              <w:spacing w:after="40"/>
              <w:jc w:val="left"/>
            </w:pPr>
            <w:r>
              <w:rPr>
                <w:sz w:val="18"/>
              </w:rPr>
              <w:t xml:space="preserve">referral_id</w:t>
            </w:r>
          </w:p>
        </w:tc>
        <w:tc>
          <w:tcPr>
            <w:tcW w:w="1453" w:type="dxa"/>
          </w:tcPr>
          <w:p>
            <w:pPr>
              <w:pStyle w:val="Compact"/>
              <w:spacing w:after="40"/>
              <w:jc w:val="left"/>
            </w:pPr>
            <w:r>
              <w:rPr>
                <w:sz w:val="18"/>
              </w:rPr>
              <w:t xml:space="preserve">Sync ack; screening ≤ 2 business days</w:t>
            </w:r>
          </w:p>
        </w:tc>
      </w:tr>
      <w:tr>
        <w:tc>
          <w:tcPr>
            <w:tcW w:w="1536" w:type="dxa"/>
          </w:tcPr>
          <w:p>
            <w:pPr>
              <w:pStyle w:val="Compact"/>
              <w:spacing w:after="40"/>
              <w:jc w:val="left"/>
            </w:pPr>
            <w:r>
              <w:rPr>
                <w:rStyle w:val="VerbatimChar"/>
                <w:sz w:val="18"/>
              </w:rPr>
              <w:t xml:space="preserve">ADRConsentRecorded</w:t>
            </w:r>
            <w:r>
              <w:rPr>
                <w:sz w:val="18"/>
              </w:rPr>
              <w:t xml:space="preserve"> </w:t>
            </w:r>
            <w:r>
              <w:rPr>
                <w:sz w:val="18"/>
              </w:rPr>
              <w:t xml:space="preserve">(N) signed</w:t>
            </w:r>
          </w:p>
        </w:tc>
        <w:tc>
          <w:tcPr>
            <w:tcW w:w="1042" w:type="dxa"/>
          </w:tcPr>
          <w:p>
            <w:pPr>
              <w:pStyle w:val="Compact"/>
              <w:spacing w:after="40"/>
              <w:jc w:val="left"/>
            </w:pPr>
            <w:r>
              <w:rPr>
                <w:sz w:val="18"/>
              </w:rPr>
              <w:t xml:space="preserve">EQ (or RS) → RS, UD</w:t>
            </w:r>
          </w:p>
        </w:tc>
        <w:tc>
          <w:tcPr>
            <w:tcW w:w="1572" w:type="dxa"/>
          </w:tcPr>
          <w:p>
            <w:pPr>
              <w:pStyle w:val="Compact"/>
              <w:spacing w:after="40"/>
              <w:jc w:val="left"/>
            </w:pPr>
            <w:r>
              <w:rPr>
                <w:sz w:val="18"/>
              </w:rPr>
              <w:t xml:space="preserve">Consent, decline or deemed decline</w:t>
            </w:r>
          </w:p>
        </w:tc>
        <w:tc>
          <w:tcPr>
            <w:tcW w:w="1816" w:type="dxa"/>
          </w:tcPr>
          <w:p>
            <w:pPr>
              <w:pStyle w:val="Compact"/>
              <w:spacing w:after="40"/>
              <w:jc w:val="left"/>
            </w:pPr>
            <w:r>
              <w:rPr>
                <w:sz w:val="18"/>
              </w:rPr>
              <w:t xml:space="preserve">consent type, decision, method, evidence hash</w:t>
            </w:r>
          </w:p>
        </w:tc>
        <w:tc>
          <w:tcPr>
            <w:tcW w:w="1042" w:type="dxa"/>
          </w:tcPr>
          <w:p>
            <w:pPr>
              <w:pStyle w:val="Compact"/>
              <w:spacing w:after="40"/>
              <w:jc w:val="left"/>
            </w:pPr>
            <w:r>
              <w:rPr>
                <w:sz w:val="18"/>
              </w:rPr>
              <w:t xml:space="preserve">Capturer</w:t>
            </w:r>
          </w:p>
        </w:tc>
        <w:tc>
          <w:tcPr>
            <w:tcW w:w="1177" w:type="dxa"/>
          </w:tcPr>
          <w:p>
            <w:pPr>
              <w:pStyle w:val="Compact"/>
              <w:spacing w:after="40"/>
              <w:jc w:val="left"/>
            </w:pPr>
            <w:r>
              <w:rPr>
                <w:sz w:val="18"/>
              </w:rPr>
              <w:t xml:space="preserve">(adr_case_id, party_id, consent_type)</w:t>
            </w:r>
          </w:p>
        </w:tc>
        <w:tc>
          <w:tcPr>
            <w:tcW w:w="1453" w:type="dxa"/>
          </w:tcPr>
          <w:p>
            <w:pPr>
              <w:pStyle w:val="Compact"/>
              <w:spacing w:after="40"/>
              <w:jc w:val="left"/>
            </w:pPr>
            <w:r>
              <w:rPr>
                <w:sz w:val="18"/>
              </w:rPr>
              <w:t xml:space="preserve">std</w:t>
            </w:r>
          </w:p>
        </w:tc>
      </w:tr>
      <w:tr>
        <w:tc>
          <w:tcPr>
            <w:tcW w:w="1536" w:type="dxa"/>
          </w:tcPr>
          <w:p>
            <w:pPr>
              <w:pStyle w:val="Compact"/>
              <w:spacing w:after="40"/>
              <w:jc w:val="left"/>
            </w:pPr>
            <w:r>
              <w:rPr>
                <w:rStyle w:val="VerbatimChar"/>
                <w:sz w:val="18"/>
              </w:rPr>
              <w:t xml:space="preserve">ADRNeutralAppointed</w:t>
            </w:r>
            <w:r>
              <w:rPr>
                <w:sz w:val="18"/>
              </w:rPr>
              <w:t xml:space="preserve"> </w:t>
            </w:r>
            <w:r>
              <w:rPr>
                <w:sz w:val="18"/>
              </w:rPr>
              <w:t xml:space="preserve">(N)</w:t>
            </w:r>
          </w:p>
        </w:tc>
        <w:tc>
          <w:tcPr>
            <w:tcW w:w="1042" w:type="dxa"/>
          </w:tcPr>
          <w:p>
            <w:pPr>
              <w:pStyle w:val="Compact"/>
              <w:spacing w:after="40"/>
              <w:jc w:val="left"/>
            </w:pPr>
            <w:r>
              <w:rPr>
                <w:sz w:val="18"/>
              </w:rPr>
              <w:t xml:space="preserve">EQ → RS, UD (name only)</w:t>
            </w:r>
          </w:p>
        </w:tc>
        <w:tc>
          <w:tcPr>
            <w:tcW w:w="1572" w:type="dxa"/>
          </w:tcPr>
          <w:p>
            <w:pPr>
              <w:pStyle w:val="Compact"/>
              <w:spacing w:after="40"/>
              <w:jc w:val="left"/>
            </w:pPr>
            <w:r>
              <w:rPr>
                <w:sz w:val="18"/>
              </w:rPr>
              <w:t xml:space="preserve">Appointment accepted after disclosure</w:t>
            </w:r>
          </w:p>
        </w:tc>
        <w:tc>
          <w:tcPr>
            <w:tcW w:w="1816" w:type="dxa"/>
          </w:tcPr>
          <w:p>
            <w:pPr>
              <w:pStyle w:val="Compact"/>
              <w:spacing w:after="40"/>
              <w:jc w:val="left"/>
            </w:pPr>
            <w:r>
              <w:rPr>
                <w:sz w:val="18"/>
              </w:rPr>
              <w:t xml:space="preserve">neutral, selection-log ref, Sixth Schedule disclosure, challenge end</w:t>
            </w:r>
          </w:p>
        </w:tc>
        <w:tc>
          <w:tcPr>
            <w:tcW w:w="1042" w:type="dxa"/>
          </w:tcPr>
          <w:p>
            <w:pPr>
              <w:pStyle w:val="Compact"/>
              <w:spacing w:after="40"/>
              <w:jc w:val="left"/>
            </w:pPr>
            <w:r>
              <w:rPr>
                <w:sz w:val="18"/>
              </w:rPr>
              <w:t xml:space="preserve">EQ</w:t>
            </w:r>
          </w:p>
        </w:tc>
        <w:tc>
          <w:tcPr>
            <w:tcW w:w="1177" w:type="dxa"/>
          </w:tcPr>
          <w:p>
            <w:pPr>
              <w:pStyle w:val="Compact"/>
              <w:spacing w:after="40"/>
              <w:jc w:val="left"/>
            </w:pPr>
            <w:r>
              <w:rPr>
                <w:sz w:val="18"/>
              </w:rPr>
              <w:t xml:space="preserve">(adr_case_id, appointment_seq)</w:t>
            </w:r>
          </w:p>
        </w:tc>
        <w:tc>
          <w:tcPr>
            <w:tcW w:w="1453" w:type="dxa"/>
          </w:tcPr>
          <w:p>
            <w:pPr>
              <w:pStyle w:val="Compact"/>
              <w:spacing w:after="40"/>
              <w:jc w:val="left"/>
            </w:pPr>
            <w:r>
              <w:rPr>
                <w:sz w:val="18"/>
              </w:rPr>
              <w:t xml:space="preserve">≤ 7 days [REC]</w:t>
            </w:r>
          </w:p>
        </w:tc>
      </w:tr>
      <w:tr>
        <w:tc>
          <w:tcPr>
            <w:tcW w:w="1536" w:type="dxa"/>
          </w:tcPr>
          <w:p>
            <w:pPr>
              <w:pStyle w:val="Compact"/>
              <w:spacing w:after="40"/>
              <w:jc w:val="left"/>
            </w:pPr>
            <w:r>
              <w:rPr>
                <w:rStyle w:val="VerbatimChar"/>
                <w:sz w:val="18"/>
              </w:rPr>
              <w:t xml:space="preserve">ADRHearingScheduled</w:t>
            </w:r>
            <w:r>
              <w:rPr>
                <w:sz w:val="18"/>
              </w:rPr>
              <w:t xml:space="preserve"> </w:t>
            </w:r>
            <w:r>
              <w:rPr>
                <w:sz w:val="18"/>
              </w:rPr>
              <w:t xml:space="preserve">(N)</w:t>
            </w:r>
          </w:p>
        </w:tc>
        <w:tc>
          <w:tcPr>
            <w:tcW w:w="1042" w:type="dxa"/>
          </w:tcPr>
          <w:p>
            <w:pPr>
              <w:pStyle w:val="Compact"/>
              <w:spacing w:after="40"/>
              <w:jc w:val="left"/>
            </w:pPr>
            <w:r>
              <w:rPr>
                <w:sz w:val="18"/>
              </w:rPr>
              <w:t xml:space="preserve">EQ → RS, UD</w:t>
            </w:r>
          </w:p>
        </w:tc>
        <w:tc>
          <w:tcPr>
            <w:tcW w:w="1572" w:type="dxa"/>
          </w:tcPr>
          <w:p>
            <w:pPr>
              <w:pStyle w:val="Compact"/>
              <w:spacing w:after="40"/>
              <w:jc w:val="left"/>
            </w:pPr>
            <w:r>
              <w:rPr>
                <w:sz w:val="18"/>
              </w:rPr>
              <w:t xml:space="preserve">Hearing or session fixed</w:t>
            </w:r>
          </w:p>
        </w:tc>
        <w:tc>
          <w:tcPr>
            <w:tcW w:w="1816" w:type="dxa"/>
          </w:tcPr>
          <w:p>
            <w:pPr>
              <w:pStyle w:val="Compact"/>
              <w:spacing w:after="40"/>
              <w:jc w:val="left"/>
            </w:pPr>
            <w:r>
              <w:rPr>
                <w:sz w:val="18"/>
              </w:rPr>
              <w:t xml:space="preserve">date, mode; party link via launch flow (4.4)</w:t>
            </w:r>
          </w:p>
        </w:tc>
        <w:tc>
          <w:tcPr>
            <w:tcW w:w="1042" w:type="dxa"/>
          </w:tcPr>
          <w:p>
            <w:pPr>
              <w:pStyle w:val="Compact"/>
              <w:spacing w:after="40"/>
              <w:jc w:val="left"/>
            </w:pPr>
            <w:r>
              <w:rPr>
                <w:sz w:val="18"/>
              </w:rPr>
              <w:t xml:space="preserve">EQ</w:t>
            </w:r>
          </w:p>
        </w:tc>
        <w:tc>
          <w:tcPr>
            <w:tcW w:w="1177" w:type="dxa"/>
          </w:tcPr>
          <w:p>
            <w:pPr>
              <w:pStyle w:val="Compact"/>
              <w:spacing w:after="40"/>
              <w:jc w:val="left"/>
            </w:pPr>
            <w:r>
              <w:rPr>
                <w:sz w:val="18"/>
              </w:rPr>
              <w:t xml:space="preserve">(adr_case_id, hearing_id)</w:t>
            </w:r>
          </w:p>
        </w:tc>
        <w:tc>
          <w:tcPr>
            <w:tcW w:w="1453" w:type="dxa"/>
          </w:tcPr>
          <w:p>
            <w:pPr>
              <w:pStyle w:val="Compact"/>
              <w:spacing w:after="40"/>
              <w:jc w:val="left"/>
            </w:pPr>
            <w:r>
              <w:rPr>
                <w:sz w:val="18"/>
              </w:rPr>
              <w:t xml:space="preserve">≥ 3 days before [REC]</w:t>
            </w:r>
          </w:p>
        </w:tc>
      </w:tr>
      <w:tr>
        <w:tc>
          <w:tcPr>
            <w:tcW w:w="1536" w:type="dxa"/>
          </w:tcPr>
          <w:p>
            <w:pPr>
              <w:pStyle w:val="Compact"/>
              <w:spacing w:after="40"/>
              <w:jc w:val="left"/>
            </w:pPr>
            <w:r>
              <w:rPr>
                <w:rStyle w:val="VerbatimChar"/>
                <w:sz w:val="18"/>
              </w:rPr>
              <w:t xml:space="preserve">ADRCaseStatusChanged</w:t>
            </w:r>
            <w:r>
              <w:rPr>
                <w:sz w:val="18"/>
              </w:rPr>
              <w:t xml:space="preserve"> </w:t>
            </w:r>
            <w:r>
              <w:rPr>
                <w:sz w:val="18"/>
              </w:rPr>
              <w:t xml:space="preserve">(N)</w:t>
            </w:r>
          </w:p>
        </w:tc>
        <w:tc>
          <w:tcPr>
            <w:tcW w:w="1042" w:type="dxa"/>
          </w:tcPr>
          <w:p>
            <w:pPr>
              <w:pStyle w:val="Compact"/>
              <w:spacing w:after="40"/>
              <w:jc w:val="left"/>
            </w:pPr>
            <w:r>
              <w:rPr>
                <w:sz w:val="18"/>
              </w:rPr>
              <w:t xml:space="preserve">EQ → RS, UD (projection)</w:t>
            </w:r>
          </w:p>
        </w:tc>
        <w:tc>
          <w:tcPr>
            <w:tcW w:w="1572" w:type="dxa"/>
          </w:tcPr>
          <w:p>
            <w:pPr>
              <w:pStyle w:val="Compact"/>
              <w:spacing w:after="40"/>
              <w:jc w:val="left"/>
            </w:pPr>
            <w:r>
              <w:rPr>
                <w:sz w:val="18"/>
              </w:rPr>
              <w:t xml:space="preserve">Transition (Part 8.3)</w:t>
            </w:r>
          </w:p>
        </w:tc>
        <w:tc>
          <w:tcPr>
            <w:tcW w:w="1816" w:type="dxa"/>
          </w:tcPr>
          <w:p>
            <w:pPr>
              <w:pStyle w:val="Compact"/>
              <w:spacing w:after="40"/>
              <w:jc w:val="left"/>
            </w:pPr>
            <w:r>
              <w:rPr>
                <w:sz w:val="18"/>
              </w:rPr>
              <w:t xml:space="preserve">from, to, reason, clocks, borrower_action_required</w:t>
            </w:r>
          </w:p>
        </w:tc>
        <w:tc>
          <w:tcPr>
            <w:tcW w:w="1042" w:type="dxa"/>
          </w:tcPr>
          <w:p>
            <w:pPr>
              <w:pStyle w:val="Compact"/>
              <w:spacing w:after="40"/>
              <w:jc w:val="left"/>
            </w:pPr>
            <w:r>
              <w:rPr>
                <w:sz w:val="18"/>
              </w:rPr>
              <w:t xml:space="preserve">EQ</w:t>
            </w:r>
          </w:p>
        </w:tc>
        <w:tc>
          <w:tcPr>
            <w:tcW w:w="1177" w:type="dxa"/>
          </w:tcPr>
          <w:p>
            <w:pPr>
              <w:pStyle w:val="Compact"/>
              <w:spacing w:after="40"/>
              <w:jc w:val="left"/>
            </w:pPr>
            <w:r>
              <w:rPr>
                <w:sz w:val="18"/>
              </w:rPr>
              <w:t xml:space="preserve">(adr_case_id, seq)</w:t>
            </w:r>
          </w:p>
        </w:tc>
        <w:tc>
          <w:tcPr>
            <w:tcW w:w="1453" w:type="dxa"/>
          </w:tcPr>
          <w:p>
            <w:pPr>
              <w:pStyle w:val="Compact"/>
              <w:spacing w:after="40"/>
              <w:jc w:val="left"/>
            </w:pPr>
            <w:r>
              <w:rPr>
                <w:sz w:val="18"/>
              </w:rPr>
              <w:t xml:space="preserve">std</w:t>
            </w:r>
          </w:p>
        </w:tc>
      </w:tr>
      <w:tr>
        <w:tc>
          <w:tcPr>
            <w:tcW w:w="1536" w:type="dxa"/>
          </w:tcPr>
          <w:p>
            <w:pPr>
              <w:pStyle w:val="Compact"/>
              <w:spacing w:after="40"/>
              <w:jc w:val="left"/>
            </w:pPr>
            <w:r>
              <w:rPr>
                <w:rStyle w:val="VerbatimChar"/>
                <w:sz w:val="18"/>
              </w:rPr>
              <w:t xml:space="preserve">ADROutcomeRecorded</w:t>
            </w:r>
            <w:r>
              <w:rPr>
                <w:sz w:val="18"/>
              </w:rPr>
              <w:t xml:space="preserve"> </w:t>
            </w:r>
            <w:r>
              <w:rPr>
                <w:sz w:val="18"/>
              </w:rPr>
              <w:t xml:space="preserve">(N) signed</w:t>
            </w:r>
          </w:p>
        </w:tc>
        <w:tc>
          <w:tcPr>
            <w:tcW w:w="1042" w:type="dxa"/>
          </w:tcPr>
          <w:p>
            <w:pPr>
              <w:pStyle w:val="Compact"/>
              <w:spacing w:after="40"/>
              <w:jc w:val="left"/>
            </w:pPr>
            <w:r>
              <w:rPr>
                <w:sz w:val="18"/>
              </w:rPr>
              <w:t xml:space="preserve">EQ → RS, UD (summary)</w:t>
            </w:r>
          </w:p>
        </w:tc>
        <w:tc>
          <w:tcPr>
            <w:tcW w:w="1572" w:type="dxa"/>
          </w:tcPr>
          <w:p>
            <w:pPr>
              <w:pStyle w:val="Compact"/>
              <w:spacing w:after="40"/>
              <w:jc w:val="left"/>
            </w:pPr>
            <w:r>
              <w:rPr>
                <w:sz w:val="18"/>
              </w:rPr>
              <w:t xml:space="preserve">Award or settlement signed and stamped; non-settlement; withdrawal</w:t>
            </w:r>
          </w:p>
        </w:tc>
        <w:tc>
          <w:tcPr>
            <w:tcW w:w="1816" w:type="dxa"/>
          </w:tcPr>
          <w:p>
            <w:pPr>
              <w:pStyle w:val="Compact"/>
              <w:spacing w:after="40"/>
              <w:jc w:val="left"/>
            </w:pPr>
            <w:r>
              <w:rPr>
                <w:sz w:val="18"/>
              </w:rPr>
              <w:t xml:space="preserve">outcome type, terms, document hash, e-stamp, served_at, s.34 window</w:t>
            </w:r>
          </w:p>
        </w:tc>
        <w:tc>
          <w:tcPr>
            <w:tcW w:w="1042" w:type="dxa"/>
          </w:tcPr>
          <w:p>
            <w:pPr>
              <w:pStyle w:val="Compact"/>
              <w:spacing w:after="40"/>
              <w:jc w:val="left"/>
            </w:pPr>
            <w:r>
              <w:rPr>
                <w:sz w:val="18"/>
              </w:rPr>
              <w:t xml:space="preserve">EQ instrument; RS loan effect</w:t>
            </w:r>
          </w:p>
        </w:tc>
        <w:tc>
          <w:tcPr>
            <w:tcW w:w="1177" w:type="dxa"/>
          </w:tcPr>
          <w:p>
            <w:pPr>
              <w:pStyle w:val="Compact"/>
              <w:spacing w:after="40"/>
              <w:jc w:val="left"/>
            </w:pPr>
            <w:r>
              <w:rPr>
                <w:sz w:val="18"/>
              </w:rPr>
              <w:t xml:space="preserve">(adr_case_id, outcome_seq)</w:t>
            </w:r>
          </w:p>
        </w:tc>
        <w:tc>
          <w:tcPr>
            <w:tcW w:w="1453" w:type="dxa"/>
          </w:tcPr>
          <w:p>
            <w:pPr>
              <w:pStyle w:val="Compact"/>
              <w:spacing w:after="40"/>
              <w:jc w:val="left"/>
            </w:pPr>
            <w:r>
              <w:rPr>
                <w:sz w:val="18"/>
              </w:rPr>
              <w:t xml:space="preserve">Stamp at signing; certified copy ≤ 2 business days [REC]</w:t>
            </w:r>
          </w:p>
        </w:tc>
      </w:tr>
      <w:tr>
        <w:tc>
          <w:tcPr>
            <w:tcW w:w="1536" w:type="dxa"/>
          </w:tcPr>
          <w:p>
            <w:pPr>
              <w:pStyle w:val="Compact"/>
              <w:spacing w:after="40"/>
              <w:jc w:val="left"/>
            </w:pPr>
            <w:r>
              <w:rPr>
                <w:rStyle w:val="VerbatimChar"/>
                <w:sz w:val="18"/>
              </w:rPr>
              <w:t xml:space="preserve">ADROutcomeComplianceUpdated</w:t>
            </w:r>
            <w:r>
              <w:rPr>
                <w:sz w:val="18"/>
              </w:rPr>
              <w:t xml:space="preserve"> </w:t>
            </w:r>
            <w:r>
              <w:rPr>
                <w:sz w:val="18"/>
              </w:rPr>
              <w:t xml:space="preserve">(N)</w:t>
            </w:r>
          </w:p>
        </w:tc>
        <w:tc>
          <w:tcPr>
            <w:tcW w:w="1042" w:type="dxa"/>
          </w:tcPr>
          <w:p>
            <w:pPr>
              <w:pStyle w:val="Compact"/>
              <w:spacing w:after="40"/>
              <w:jc w:val="left"/>
            </w:pPr>
            <w:r>
              <w:rPr>
                <w:sz w:val="18"/>
              </w:rPr>
              <w:t xml:space="preserve">RS → EQ, UD</w:t>
            </w:r>
          </w:p>
        </w:tc>
        <w:tc>
          <w:tcPr>
            <w:tcW w:w="1572" w:type="dxa"/>
          </w:tcPr>
          <w:p>
            <w:pPr>
              <w:pStyle w:val="Compact"/>
              <w:spacing w:after="40"/>
              <w:jc w:val="left"/>
            </w:pPr>
            <w:r>
              <w:rPr>
                <w:sz w:val="18"/>
              </w:rPr>
              <w:t xml:space="preserve">Payment or breach against schedule</w:t>
            </w:r>
          </w:p>
        </w:tc>
        <w:tc>
          <w:tcPr>
            <w:tcW w:w="1816" w:type="dxa"/>
          </w:tcPr>
          <w:p>
            <w:pPr>
              <w:pStyle w:val="Compact"/>
              <w:spacing w:after="40"/>
              <w:jc w:val="left"/>
            </w:pPr>
            <w:r>
              <w:rPr>
                <w:sz w:val="18"/>
              </w:rPr>
              <w:t xml:space="preserve">status, amounts</w:t>
            </w:r>
          </w:p>
        </w:tc>
        <w:tc>
          <w:tcPr>
            <w:tcW w:w="1042" w:type="dxa"/>
          </w:tcPr>
          <w:p>
            <w:pPr>
              <w:pStyle w:val="Compact"/>
              <w:spacing w:after="40"/>
              <w:jc w:val="left"/>
            </w:pPr>
            <w:r>
              <w:rPr>
                <w:sz w:val="18"/>
              </w:rPr>
              <w:t xml:space="preserve">RS</w:t>
            </w:r>
          </w:p>
        </w:tc>
        <w:tc>
          <w:tcPr>
            <w:tcW w:w="1177" w:type="dxa"/>
          </w:tcPr>
          <w:p>
            <w:pPr>
              <w:pStyle w:val="Compact"/>
              <w:spacing w:after="40"/>
              <w:jc w:val="left"/>
            </w:pPr>
            <w:r>
              <w:rPr>
                <w:sz w:val="18"/>
              </w:rPr>
              <w:t xml:space="preserve">(adr_case_id, compliance_seq)</w:t>
            </w:r>
          </w:p>
        </w:tc>
        <w:tc>
          <w:tcPr>
            <w:tcW w:w="1453" w:type="dxa"/>
          </w:tcPr>
          <w:p>
            <w:pPr>
              <w:pStyle w:val="Compact"/>
              <w:spacing w:after="40"/>
              <w:jc w:val="left"/>
            </w:pPr>
            <w:r>
              <w:rPr>
                <w:sz w:val="18"/>
              </w:rPr>
              <w:t xml:space="preserve">≤ 1 working day</w:t>
            </w:r>
          </w:p>
        </w:tc>
      </w:tr>
      <w:tr>
        <w:tc>
          <w:tcPr>
            <w:tcW w:w="1536" w:type="dxa"/>
          </w:tcPr>
          <w:p>
            <w:pPr>
              <w:pStyle w:val="Compact"/>
              <w:spacing w:after="40"/>
              <w:jc w:val="left"/>
            </w:pPr>
            <w:r>
              <w:rPr>
                <w:sz w:val="18"/>
              </w:rPr>
              <w:t xml:space="preserve">API</w:t>
            </w:r>
            <w:r>
              <w:rPr>
                <w:sz w:val="18"/>
              </w:rPr>
              <w:t xml:space="preserve"> </w:t>
            </w:r>
            <w:r>
              <w:rPr>
                <w:rStyle w:val="VerbatimChar"/>
                <w:sz w:val="18"/>
              </w:rPr>
              <w:t xml:space="preserve">PUT /v1/adr/cases/{id}/settlement-mandate</w:t>
            </w:r>
          </w:p>
        </w:tc>
        <w:tc>
          <w:tcPr>
            <w:tcW w:w="1042" w:type="dxa"/>
          </w:tcPr>
          <w:p>
            <w:pPr>
              <w:pStyle w:val="Compact"/>
              <w:spacing w:after="40"/>
              <w:jc w:val="left"/>
            </w:pPr>
            <w:r>
              <w:rPr>
                <w:sz w:val="18"/>
              </w:rPr>
              <w:t xml:space="preserve">RS → EQ</w:t>
            </w:r>
          </w:p>
        </w:tc>
        <w:tc>
          <w:tcPr>
            <w:tcW w:w="1572" w:type="dxa"/>
          </w:tcPr>
          <w:p>
            <w:pPr>
              <w:pStyle w:val="Compact"/>
              <w:spacing w:after="40"/>
              <w:jc w:val="left"/>
            </w:pPr>
            <w:r>
              <w:rPr>
                <w:sz w:val="18"/>
              </w:rPr>
              <w:t xml:space="preserve">Set or change settlement band</w:t>
            </w:r>
          </w:p>
        </w:tc>
        <w:tc>
          <w:tcPr>
            <w:tcW w:w="1816" w:type="dxa"/>
          </w:tcPr>
          <w:p>
            <w:pPr>
              <w:pStyle w:val="Compact"/>
              <w:spacing w:after="40"/>
              <w:jc w:val="left"/>
            </w:pPr>
            <w:r>
              <w:rPr>
                <w:sz w:val="18"/>
              </w:rPr>
              <w:t xml:space="preserve">floor, tenor, waiver limit, approver, expiry</w:t>
            </w:r>
          </w:p>
        </w:tc>
        <w:tc>
          <w:tcPr>
            <w:tcW w:w="1042" w:type="dxa"/>
          </w:tcPr>
          <w:p>
            <w:pPr>
              <w:pStyle w:val="Compact"/>
              <w:spacing w:after="40"/>
              <w:jc w:val="left"/>
            </w:pPr>
            <w:r>
              <w:rPr>
                <w:sz w:val="18"/>
              </w:rPr>
              <w:t xml:space="preserve">RS</w:t>
            </w:r>
          </w:p>
        </w:tc>
        <w:tc>
          <w:tcPr>
            <w:tcW w:w="1177" w:type="dxa"/>
          </w:tcPr>
          <w:p>
            <w:pPr>
              <w:pStyle w:val="Compact"/>
              <w:spacing w:after="40"/>
              <w:jc w:val="left"/>
            </w:pPr>
            <w:r>
              <w:rPr>
                <w:sz w:val="18"/>
              </w:rPr>
              <w:t xml:space="preserve">Idempotency-Key</w:t>
            </w:r>
          </w:p>
        </w:tc>
        <w:tc>
          <w:tcPr>
            <w:tcW w:w="1453" w:type="dxa"/>
          </w:tcPr>
          <w:p>
            <w:pPr>
              <w:pStyle w:val="Compact"/>
              <w:spacing w:after="40"/>
              <w:jc w:val="left"/>
            </w:pPr>
            <w:r>
              <w:rPr>
                <w:sz w:val="18"/>
              </w:rPr>
              <w:t xml:space="preserve">Never visible to borrower or UD</w:t>
            </w:r>
          </w:p>
        </w:tc>
      </w:tr>
      <w:tr>
        <w:tc>
          <w:tcPr>
            <w:tcW w:w="1536" w:type="dxa"/>
          </w:tcPr>
          <w:p>
            <w:pPr>
              <w:pStyle w:val="Compact"/>
              <w:spacing w:after="40"/>
              <w:jc w:val="left"/>
            </w:pPr>
            <w:r>
              <w:rPr>
                <w:sz w:val="18"/>
              </w:rPr>
              <w:t xml:space="preserve">API</w:t>
            </w:r>
            <w:r>
              <w:rPr>
                <w:sz w:val="18"/>
              </w:rPr>
              <w:t xml:space="preserve"> </w:t>
            </w:r>
            <w:r>
              <w:rPr>
                <w:rStyle w:val="VerbatimChar"/>
                <w:sz w:val="18"/>
              </w:rPr>
              <w:t xml:space="preserve">POST /v1/adr/cases/{id}/withdrawal</w:t>
            </w:r>
          </w:p>
        </w:tc>
        <w:tc>
          <w:tcPr>
            <w:tcW w:w="1042" w:type="dxa"/>
          </w:tcPr>
          <w:p>
            <w:pPr>
              <w:pStyle w:val="Compact"/>
              <w:spacing w:after="40"/>
              <w:jc w:val="left"/>
            </w:pPr>
            <w:r>
              <w:rPr>
                <w:sz w:val="18"/>
              </w:rPr>
              <w:t xml:space="preserve">RS → EQ</w:t>
            </w:r>
          </w:p>
        </w:tc>
        <w:tc>
          <w:tcPr>
            <w:tcW w:w="1572" w:type="dxa"/>
          </w:tcPr>
          <w:p>
            <w:pPr>
              <w:pStyle w:val="Compact"/>
              <w:spacing w:after="40"/>
              <w:jc w:val="left"/>
            </w:pPr>
            <w:r>
              <w:rPr>
                <w:sz w:val="18"/>
              </w:rPr>
              <w:t xml:space="preserve">RE withdraws</w:t>
            </w:r>
          </w:p>
        </w:tc>
        <w:tc>
          <w:tcPr>
            <w:tcW w:w="1816" w:type="dxa"/>
          </w:tcPr>
          <w:p>
            <w:pPr>
              <w:pStyle w:val="Compact"/>
              <w:spacing w:after="40"/>
              <w:jc w:val="left"/>
            </w:pPr>
            <w:r>
              <w:rPr>
                <w:sz w:val="18"/>
              </w:rPr>
              <w:t xml:space="preserve">reason</w:t>
            </w:r>
          </w:p>
        </w:tc>
        <w:tc>
          <w:tcPr>
            <w:tcW w:w="1042" w:type="dxa"/>
          </w:tcPr>
          <w:p>
            <w:pPr>
              <w:pStyle w:val="Compact"/>
              <w:spacing w:after="40"/>
              <w:jc w:val="left"/>
            </w:pPr>
            <w:r>
              <w:rPr>
                <w:sz w:val="18"/>
              </w:rPr>
              <w:t xml:space="preserve">RS</w:t>
            </w:r>
          </w:p>
        </w:tc>
        <w:tc>
          <w:tcPr>
            <w:tcW w:w="1177" w:type="dxa"/>
          </w:tcPr>
          <w:p>
            <w:pPr>
              <w:pStyle w:val="Compact"/>
              <w:spacing w:after="40"/>
              <w:jc w:val="left"/>
            </w:pPr>
            <w:r>
              <w:rPr>
                <w:sz w:val="18"/>
              </w:rPr>
              <w:t xml:space="preserve">Idempotency-Key</w:t>
            </w:r>
          </w:p>
        </w:tc>
        <w:tc>
          <w:tcPr>
            <w:tcW w:w="1453" w:type="dxa"/>
          </w:tcPr>
          <w:p>
            <w:pPr>
              <w:pStyle w:val="Compact"/>
              <w:spacing w:after="40"/>
              <w:jc w:val="left"/>
            </w:pPr>
            <w:r>
              <w:rPr>
                <w:sz w:val="18"/>
              </w:rPr>
              <w:t xml:space="preserve">≤ 1 working day</w:t>
            </w:r>
          </w:p>
        </w:tc>
      </w:tr>
    </w:tbl>
    <w:bookmarkEnd w:id="56"/>
    <w:bookmarkStart w:id="57" w:name="litigation-litigation"/>
    <w:p>
      <w:pPr>
        <w:pStyle w:val="Heading2"/>
      </w:pPr>
      <w:r>
        <w:t xml:space="preserve">6.10 Litigation (</w:t>
      </w:r>
      <w:r>
        <w:rPr>
          <w:rStyle w:val="VerbatimChar"/>
        </w:rPr>
        <w:t xml:space="preserve">litigation</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94"/>
        <w:gridCol w:w="1654"/>
        <w:gridCol w:w="2136"/>
        <w:gridCol w:w="1722"/>
        <w:gridCol w:w="811"/>
        <w:gridCol w:w="1194"/>
        <w:gridCol w:w="927"/>
      </w:tblGrid>
      <w:tr>
        <w:trPr>
          <w:tblHeader w:val="true"/>
          <w:tblHeader w:val="true"/>
        </w:trPr>
        <w:tc>
          <w:tcPr>
            <w:tcW w:w="1194" w:type="dxa"/>
            <w:shd w:val="clear" w:color="auto" w:fill="1F3A5F"/>
          </w:tcPr>
          <w:p>
            <w:pPr>
              <w:pStyle w:val="Compact"/>
              <w:spacing w:after="40"/>
              <w:jc w:val="left"/>
            </w:pPr>
            <w:r>
              <w:rPr>
                <w:b/>
                <w:color w:val="FFFFFF"/>
                <w:sz w:val="18"/>
              </w:rPr>
              <w:t xml:space="preserve">Event or API</w:t>
            </w:r>
          </w:p>
        </w:tc>
        <w:tc>
          <w:tcPr>
            <w:tcW w:w="1654" w:type="dxa"/>
            <w:shd w:val="clear" w:color="auto" w:fill="1F3A5F"/>
          </w:tcPr>
          <w:p>
            <w:pPr>
              <w:pStyle w:val="Compact"/>
              <w:spacing w:after="40"/>
              <w:jc w:val="left"/>
            </w:pPr>
            <w:r>
              <w:rPr>
                <w:b/>
                <w:color w:val="FFFFFF"/>
                <w:sz w:val="18"/>
              </w:rPr>
              <w:t xml:space="preserve">Producer → consumer(s)</w:t>
            </w:r>
          </w:p>
        </w:tc>
        <w:tc>
          <w:tcPr>
            <w:tcW w:w="2136" w:type="dxa"/>
            <w:shd w:val="clear" w:color="auto" w:fill="1F3A5F"/>
          </w:tcPr>
          <w:p>
            <w:pPr>
              <w:pStyle w:val="Compact"/>
              <w:spacing w:after="40"/>
              <w:jc w:val="left"/>
            </w:pPr>
            <w:r>
              <w:rPr>
                <w:b/>
                <w:color w:val="FFFFFF"/>
                <w:sz w:val="18"/>
              </w:rPr>
              <w:t xml:space="preserve">Trigger</w:t>
            </w:r>
          </w:p>
        </w:tc>
        <w:tc>
          <w:tcPr>
            <w:tcW w:w="1722" w:type="dxa"/>
            <w:shd w:val="clear" w:color="auto" w:fill="1F3A5F"/>
          </w:tcPr>
          <w:p>
            <w:pPr>
              <w:pStyle w:val="Compact"/>
              <w:spacing w:after="40"/>
              <w:jc w:val="left"/>
            </w:pPr>
            <w:r>
              <w:rPr>
                <w:b/>
                <w:color w:val="FFFFFF"/>
                <w:sz w:val="18"/>
              </w:rPr>
              <w:t xml:space="preserve">Key payload fields</w:t>
            </w:r>
          </w:p>
        </w:tc>
        <w:tc>
          <w:tcPr>
            <w:tcW w:w="811" w:type="dxa"/>
            <w:shd w:val="clear" w:color="auto" w:fill="1F3A5F"/>
          </w:tcPr>
          <w:p>
            <w:pPr>
              <w:pStyle w:val="Compact"/>
              <w:spacing w:after="40"/>
              <w:jc w:val="left"/>
            </w:pPr>
            <w:r>
              <w:rPr>
                <w:b/>
                <w:color w:val="FFFFFF"/>
                <w:sz w:val="18"/>
              </w:rPr>
              <w:t xml:space="preserve">Owner</w:t>
            </w:r>
          </w:p>
        </w:tc>
        <w:tc>
          <w:tcPr>
            <w:tcW w:w="1194" w:type="dxa"/>
            <w:shd w:val="clear" w:color="auto" w:fill="1F3A5F"/>
          </w:tcPr>
          <w:p>
            <w:pPr>
              <w:pStyle w:val="Compact"/>
              <w:spacing w:after="40"/>
              <w:jc w:val="left"/>
            </w:pPr>
            <w:r>
              <w:rPr>
                <w:b/>
                <w:color w:val="FFFFFF"/>
                <w:sz w:val="18"/>
              </w:rPr>
              <w:t xml:space="preserve">Idempotency key</w:t>
            </w:r>
          </w:p>
        </w:tc>
        <w:tc>
          <w:tcPr>
            <w:tcW w:w="927" w:type="dxa"/>
            <w:shd w:val="clear" w:color="auto" w:fill="1F3A5F"/>
          </w:tcPr>
          <w:p>
            <w:pPr>
              <w:pStyle w:val="Compact"/>
              <w:spacing w:after="40"/>
              <w:jc w:val="left"/>
            </w:pPr>
            <w:r>
              <w:rPr>
                <w:b/>
                <w:color w:val="FFFFFF"/>
                <w:sz w:val="18"/>
              </w:rPr>
              <w:t xml:space="preserve">SLA</w:t>
            </w:r>
          </w:p>
        </w:tc>
      </w:tr>
      <w:tr>
        <w:tc>
          <w:tcPr>
            <w:tcW w:w="1194" w:type="dxa"/>
          </w:tcPr>
          <w:p>
            <w:pPr>
              <w:pStyle w:val="Compact"/>
              <w:spacing w:after="40"/>
              <w:jc w:val="left"/>
            </w:pPr>
            <w:r>
              <w:rPr>
                <w:rStyle w:val="VerbatimChar"/>
                <w:sz w:val="18"/>
              </w:rPr>
              <w:t xml:space="preserve">LitigationCaseOpened</w:t>
            </w:r>
            <w:r>
              <w:rPr>
                <w:sz w:val="18"/>
              </w:rPr>
              <w:t xml:space="preserve"> </w:t>
            </w:r>
            <w:r>
              <w:rPr>
                <w:sz w:val="18"/>
              </w:rPr>
              <w:t xml:space="preserve">(N)</w:t>
            </w:r>
          </w:p>
        </w:tc>
        <w:tc>
          <w:tcPr>
            <w:tcW w:w="1654" w:type="dxa"/>
          </w:tcPr>
          <w:p>
            <w:pPr>
              <w:pStyle w:val="Compact"/>
              <w:spacing w:after="40"/>
              <w:jc w:val="left"/>
            </w:pPr>
            <w:r>
              <w:rPr>
                <w:sz w:val="18"/>
              </w:rPr>
              <w:t xml:space="preserve">RS → LDC, UD (if permitted)</w:t>
            </w:r>
          </w:p>
        </w:tc>
        <w:tc>
          <w:tcPr>
            <w:tcW w:w="2136" w:type="dxa"/>
          </w:tcPr>
          <w:p>
            <w:pPr>
              <w:pStyle w:val="Compact"/>
              <w:spacing w:after="40"/>
              <w:jc w:val="left"/>
            </w:pPr>
            <w:r>
              <w:rPr>
                <w:sz w:val="18"/>
              </w:rPr>
              <w:t xml:space="preserve">RE filing, or borrower-initiated proceeding received (s.17, consumer, writ, PLA)</w:t>
            </w:r>
          </w:p>
        </w:tc>
        <w:tc>
          <w:tcPr>
            <w:tcW w:w="1722" w:type="dxa"/>
          </w:tcPr>
          <w:p>
            <w:pPr>
              <w:pStyle w:val="Compact"/>
              <w:spacing w:after="40"/>
              <w:jc w:val="left"/>
            </w:pPr>
            <w:r>
              <w:rPr>
                <w:sz w:val="18"/>
              </w:rPr>
              <w:t xml:space="preserve">role, mechanism, forum, CNR, claim, linked ids</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w:t>
            </w:r>
          </w:p>
        </w:tc>
        <w:tc>
          <w:tcPr>
            <w:tcW w:w="927" w:type="dxa"/>
          </w:tcPr>
          <w:p>
            <w:pPr>
              <w:pStyle w:val="Compact"/>
              <w:spacing w:after="40"/>
              <w:jc w:val="left"/>
            </w:pPr>
            <w:r>
              <w:rPr>
                <w:sz w:val="18"/>
              </w:rPr>
              <w:t xml:space="preserve">≤ 1 working day</w:t>
            </w:r>
          </w:p>
        </w:tc>
      </w:tr>
      <w:tr>
        <w:tc>
          <w:tcPr>
            <w:tcW w:w="1194" w:type="dxa"/>
          </w:tcPr>
          <w:p>
            <w:pPr>
              <w:pStyle w:val="Compact"/>
              <w:spacing w:after="40"/>
              <w:jc w:val="left"/>
            </w:pPr>
            <w:r>
              <w:rPr>
                <w:rStyle w:val="VerbatimChar"/>
                <w:sz w:val="18"/>
              </w:rPr>
              <w:t xml:space="preserve">LitigationCaseUpdated</w:t>
            </w:r>
            <w:r>
              <w:rPr>
                <w:sz w:val="18"/>
              </w:rPr>
              <w:t xml:space="preserve"> </w:t>
            </w:r>
            <w:r>
              <w:rPr>
                <w:sz w:val="18"/>
              </w:rPr>
              <w:t xml:space="preserve">(N)</w:t>
            </w:r>
          </w:p>
        </w:tc>
        <w:tc>
          <w:tcPr>
            <w:tcW w:w="1654" w:type="dxa"/>
          </w:tcPr>
          <w:p>
            <w:pPr>
              <w:pStyle w:val="Compact"/>
              <w:spacing w:after="40"/>
              <w:jc w:val="left"/>
            </w:pPr>
            <w:r>
              <w:rPr>
                <w:sz w:val="18"/>
              </w:rPr>
              <w:t xml:space="preserve">RS (from CDA and counsel) → LDC, UD (projection)</w:t>
            </w:r>
          </w:p>
        </w:tc>
        <w:tc>
          <w:tcPr>
            <w:tcW w:w="2136" w:type="dxa"/>
          </w:tcPr>
          <w:p>
            <w:pPr>
              <w:pStyle w:val="Compact"/>
              <w:spacing w:after="40"/>
              <w:jc w:val="left"/>
            </w:pPr>
            <w:r>
              <w:rPr>
                <w:sz w:val="18"/>
              </w:rPr>
              <w:t xml:space="preserve">Stage, stay, substitution, counsel change</w:t>
            </w:r>
          </w:p>
        </w:tc>
        <w:tc>
          <w:tcPr>
            <w:tcW w:w="1722" w:type="dxa"/>
          </w:tcPr>
          <w:p>
            <w:pPr>
              <w:pStyle w:val="Compact"/>
              <w:spacing w:after="40"/>
              <w:jc w:val="left"/>
            </w:pPr>
            <w:r>
              <w:rPr>
                <w:sz w:val="18"/>
              </w:rPr>
              <w:t xml:space="preserve">stage, stay, substitution, legal_stage</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 seq)</w:t>
            </w:r>
          </w:p>
        </w:tc>
        <w:tc>
          <w:tcPr>
            <w:tcW w:w="927" w:type="dxa"/>
          </w:tcPr>
          <w:p>
            <w:pPr>
              <w:pStyle w:val="Compact"/>
              <w:spacing w:after="40"/>
              <w:jc w:val="left"/>
            </w:pPr>
            <w:r>
              <w:rPr>
                <w:sz w:val="18"/>
              </w:rPr>
              <w:t xml:space="preserve">≤ 1 working day</w:t>
            </w:r>
          </w:p>
        </w:tc>
      </w:tr>
      <w:tr>
        <w:tc>
          <w:tcPr>
            <w:tcW w:w="1194" w:type="dxa"/>
          </w:tcPr>
          <w:p>
            <w:pPr>
              <w:pStyle w:val="Compact"/>
              <w:spacing w:after="40"/>
              <w:jc w:val="left"/>
            </w:pPr>
            <w:r>
              <w:rPr>
                <w:rStyle w:val="VerbatimChar"/>
                <w:sz w:val="18"/>
              </w:rPr>
              <w:t xml:space="preserve">HearingScheduled</w:t>
            </w:r>
            <w:r>
              <w:rPr>
                <w:sz w:val="18"/>
              </w:rPr>
              <w:t xml:space="preserve"> </w:t>
            </w:r>
            <w:r>
              <w:rPr>
                <w:sz w:val="18"/>
              </w:rPr>
              <w:t xml:space="preserve">(N)</w:t>
            </w:r>
          </w:p>
        </w:tc>
        <w:tc>
          <w:tcPr>
            <w:tcW w:w="1654" w:type="dxa"/>
          </w:tcPr>
          <w:p>
            <w:pPr>
              <w:pStyle w:val="Compact"/>
              <w:spacing w:after="40"/>
              <w:jc w:val="left"/>
            </w:pPr>
            <w:r>
              <w:rPr>
                <w:sz w:val="18"/>
              </w:rPr>
              <w:t xml:space="preserve">RS → counsel portal, LDC, UD (date only)</w:t>
            </w:r>
          </w:p>
        </w:tc>
        <w:tc>
          <w:tcPr>
            <w:tcW w:w="2136" w:type="dxa"/>
          </w:tcPr>
          <w:p>
            <w:pPr>
              <w:pStyle w:val="Compact"/>
              <w:spacing w:after="40"/>
              <w:jc w:val="left"/>
            </w:pPr>
            <w:r>
              <w:rPr>
                <w:sz w:val="18"/>
              </w:rPr>
              <w:t xml:space="preserve">Next date or cause-list match</w:t>
            </w:r>
          </w:p>
        </w:tc>
        <w:tc>
          <w:tcPr>
            <w:tcW w:w="1722" w:type="dxa"/>
          </w:tcPr>
          <w:p>
            <w:pPr>
              <w:pStyle w:val="Compact"/>
              <w:spacing w:after="40"/>
              <w:jc w:val="left"/>
            </w:pPr>
            <w:r>
              <w:rPr>
                <w:sz w:val="18"/>
              </w:rPr>
              <w:t xml:space="preserve">date, bench, item, purpose</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 date, item)</w:t>
            </w:r>
          </w:p>
        </w:tc>
        <w:tc>
          <w:tcPr>
            <w:tcW w:w="927" w:type="dxa"/>
          </w:tcPr>
          <w:p>
            <w:pPr>
              <w:pStyle w:val="Compact"/>
              <w:spacing w:after="40"/>
              <w:jc w:val="left"/>
            </w:pPr>
            <w:r>
              <w:rPr>
                <w:sz w:val="18"/>
              </w:rPr>
              <w:t xml:space="preserve">Same day</w:t>
            </w:r>
          </w:p>
        </w:tc>
      </w:tr>
      <w:tr>
        <w:tc>
          <w:tcPr>
            <w:tcW w:w="1194" w:type="dxa"/>
          </w:tcPr>
          <w:p>
            <w:pPr>
              <w:pStyle w:val="Compact"/>
              <w:spacing w:after="40"/>
              <w:jc w:val="left"/>
            </w:pPr>
            <w:r>
              <w:rPr>
                <w:rStyle w:val="VerbatimChar"/>
                <w:sz w:val="18"/>
              </w:rPr>
              <w:t xml:space="preserve">OrderRecorded</w:t>
            </w:r>
            <w:r>
              <w:rPr>
                <w:sz w:val="18"/>
              </w:rPr>
              <w:t xml:space="preserve"> </w:t>
            </w:r>
            <w:r>
              <w:rPr>
                <w:sz w:val="18"/>
              </w:rPr>
              <w:t xml:space="preserve">(N) signed</w:t>
            </w:r>
          </w:p>
        </w:tc>
        <w:tc>
          <w:tcPr>
            <w:tcW w:w="1654" w:type="dxa"/>
          </w:tcPr>
          <w:p>
            <w:pPr>
              <w:pStyle w:val="Compact"/>
              <w:spacing w:after="40"/>
              <w:jc w:val="left"/>
            </w:pPr>
            <w:r>
              <w:rPr>
                <w:sz w:val="18"/>
              </w:rPr>
              <w:t xml:space="preserve">RS → LDC</w:t>
            </w:r>
          </w:p>
        </w:tc>
        <w:tc>
          <w:tcPr>
            <w:tcW w:w="2136" w:type="dxa"/>
          </w:tcPr>
          <w:p>
            <w:pPr>
              <w:pStyle w:val="Compact"/>
              <w:spacing w:after="40"/>
              <w:jc w:val="left"/>
            </w:pPr>
            <w:r>
              <w:rPr>
                <w:sz w:val="18"/>
              </w:rPr>
              <w:t xml:space="preserve">Order or decree verified</w:t>
            </w:r>
          </w:p>
        </w:tc>
        <w:tc>
          <w:tcPr>
            <w:tcW w:w="1722" w:type="dxa"/>
          </w:tcPr>
          <w:p>
            <w:pPr>
              <w:pStyle w:val="Compact"/>
              <w:spacing w:after="40"/>
              <w:jc w:val="left"/>
            </w:pPr>
            <w:r>
              <w:rPr>
                <w:sz w:val="18"/>
              </w:rPr>
              <w:t xml:space="preserve">order type, directions with due dates, document hash</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 order_id)</w:t>
            </w:r>
          </w:p>
        </w:tc>
        <w:tc>
          <w:tcPr>
            <w:tcW w:w="927" w:type="dxa"/>
          </w:tcPr>
          <w:p>
            <w:pPr>
              <w:pStyle w:val="Compact"/>
              <w:spacing w:after="40"/>
              <w:jc w:val="left"/>
            </w:pPr>
            <w:r>
              <w:rPr>
                <w:sz w:val="18"/>
              </w:rPr>
              <w:t xml:space="preserve">≤ 1 working day</w:t>
            </w:r>
          </w:p>
        </w:tc>
      </w:tr>
      <w:tr>
        <w:tc>
          <w:tcPr>
            <w:tcW w:w="1194" w:type="dxa"/>
          </w:tcPr>
          <w:p>
            <w:pPr>
              <w:pStyle w:val="Compact"/>
              <w:spacing w:after="40"/>
              <w:jc w:val="left"/>
            </w:pPr>
            <w:r>
              <w:rPr>
                <w:rStyle w:val="VerbatimChar"/>
                <w:sz w:val="18"/>
              </w:rPr>
              <w:t xml:space="preserve">LitigationCaseClosed</w:t>
            </w:r>
            <w:r>
              <w:rPr>
                <w:sz w:val="18"/>
              </w:rPr>
              <w:t xml:space="preserve"> </w:t>
            </w:r>
            <w:r>
              <w:rPr>
                <w:sz w:val="18"/>
              </w:rPr>
              <w:t xml:space="preserve">(N)</w:t>
            </w:r>
          </w:p>
        </w:tc>
        <w:tc>
          <w:tcPr>
            <w:tcW w:w="1654" w:type="dxa"/>
          </w:tcPr>
          <w:p>
            <w:pPr>
              <w:pStyle w:val="Compact"/>
              <w:spacing w:after="40"/>
              <w:jc w:val="left"/>
            </w:pPr>
            <w:r>
              <w:rPr>
                <w:sz w:val="18"/>
              </w:rPr>
              <w:t xml:space="preserve">RS → LDC, UD</w:t>
            </w:r>
          </w:p>
        </w:tc>
        <w:tc>
          <w:tcPr>
            <w:tcW w:w="2136" w:type="dxa"/>
          </w:tcPr>
          <w:p>
            <w:pPr>
              <w:pStyle w:val="Compact"/>
              <w:spacing w:after="40"/>
              <w:jc w:val="left"/>
            </w:pPr>
            <w:r>
              <w:rPr>
                <w:sz w:val="18"/>
              </w:rPr>
              <w:t xml:space="preserve">Disposal, withdrawal, consent decree</w:t>
            </w:r>
          </w:p>
        </w:tc>
        <w:tc>
          <w:tcPr>
            <w:tcW w:w="1722" w:type="dxa"/>
          </w:tcPr>
          <w:p>
            <w:pPr>
              <w:pStyle w:val="Compact"/>
              <w:spacing w:after="40"/>
              <w:jc w:val="left"/>
            </w:pPr>
            <w:r>
              <w:rPr>
                <w:sz w:val="18"/>
              </w:rPr>
              <w:t xml:space="preserve">outcome, amount, date</w:t>
            </w:r>
          </w:p>
        </w:tc>
        <w:tc>
          <w:tcPr>
            <w:tcW w:w="811" w:type="dxa"/>
          </w:tcPr>
          <w:p>
            <w:pPr>
              <w:pStyle w:val="Compact"/>
              <w:spacing w:after="40"/>
              <w:jc w:val="left"/>
            </w:pPr>
            <w:r>
              <w:rPr>
                <w:sz w:val="18"/>
              </w:rPr>
              <w:t xml:space="preserve">RS</w:t>
            </w:r>
          </w:p>
        </w:tc>
        <w:tc>
          <w:tcPr>
            <w:tcW w:w="1194" w:type="dxa"/>
          </w:tcPr>
          <w:p>
            <w:pPr>
              <w:pStyle w:val="Compact"/>
              <w:spacing w:after="40"/>
              <w:jc w:val="left"/>
            </w:pPr>
            <w:r>
              <w:rPr>
                <w:sz w:val="18"/>
              </w:rPr>
              <w:t xml:space="preserve">lit_case_id</w:t>
            </w:r>
          </w:p>
        </w:tc>
        <w:tc>
          <w:tcPr>
            <w:tcW w:w="927" w:type="dxa"/>
          </w:tcPr>
          <w:p>
            <w:pPr>
              <w:pStyle w:val="Compact"/>
              <w:spacing w:after="40"/>
              <w:jc w:val="left"/>
            </w:pPr>
            <w:r>
              <w:rPr>
                <w:sz w:val="18"/>
              </w:rPr>
              <w:t xml:space="preserve">≤ 1 working day</w:t>
            </w:r>
          </w:p>
        </w:tc>
      </w:tr>
    </w:tbl>
    <w:bookmarkEnd w:id="57"/>
    <w:bookmarkStart w:id="58" w:name="dlg-dlg"/>
    <w:p>
      <w:pPr>
        <w:pStyle w:val="Heading2"/>
      </w:pPr>
      <w:r>
        <w:t xml:space="preserve">6.11 DLG (</w:t>
      </w:r>
      <w:r>
        <w:rPr>
          <w:rStyle w:val="VerbatimChar"/>
        </w:rPr>
        <w:t xml:space="preserve">dlg</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47"/>
        <w:gridCol w:w="1017"/>
        <w:gridCol w:w="2124"/>
        <w:gridCol w:w="1865"/>
        <w:gridCol w:w="1084"/>
        <w:gridCol w:w="993"/>
        <w:gridCol w:w="1408"/>
      </w:tblGrid>
      <w:tr>
        <w:trPr>
          <w:tblHeader w:val="true"/>
          <w:tblHeader w:val="true"/>
        </w:trPr>
        <w:tc>
          <w:tcPr>
            <w:tcW w:w="1147" w:type="dxa"/>
            <w:shd w:val="clear" w:color="auto" w:fill="1F3A5F"/>
          </w:tcPr>
          <w:p>
            <w:pPr>
              <w:pStyle w:val="Compact"/>
              <w:spacing w:after="40"/>
              <w:jc w:val="left"/>
            </w:pPr>
            <w:r>
              <w:rPr>
                <w:b/>
                <w:color w:val="FFFFFF"/>
                <w:sz w:val="18"/>
              </w:rPr>
              <w:t xml:space="preserve">Event or API</w:t>
            </w:r>
          </w:p>
        </w:tc>
        <w:tc>
          <w:tcPr>
            <w:tcW w:w="1017" w:type="dxa"/>
            <w:shd w:val="clear" w:color="auto" w:fill="1F3A5F"/>
          </w:tcPr>
          <w:p>
            <w:pPr>
              <w:pStyle w:val="Compact"/>
              <w:spacing w:after="40"/>
              <w:jc w:val="left"/>
            </w:pPr>
            <w:r>
              <w:rPr>
                <w:b/>
                <w:color w:val="FFFFFF"/>
                <w:sz w:val="18"/>
              </w:rPr>
              <w:t xml:space="preserve">Producer → consumer(s)</w:t>
            </w:r>
          </w:p>
        </w:tc>
        <w:tc>
          <w:tcPr>
            <w:tcW w:w="2124" w:type="dxa"/>
            <w:shd w:val="clear" w:color="auto" w:fill="1F3A5F"/>
          </w:tcPr>
          <w:p>
            <w:pPr>
              <w:pStyle w:val="Compact"/>
              <w:spacing w:after="40"/>
              <w:jc w:val="left"/>
            </w:pPr>
            <w:r>
              <w:rPr>
                <w:b/>
                <w:color w:val="FFFFFF"/>
                <w:sz w:val="18"/>
              </w:rPr>
              <w:t xml:space="preserve">Trigger</w:t>
            </w:r>
          </w:p>
        </w:tc>
        <w:tc>
          <w:tcPr>
            <w:tcW w:w="1865" w:type="dxa"/>
            <w:shd w:val="clear" w:color="auto" w:fill="1F3A5F"/>
          </w:tcPr>
          <w:p>
            <w:pPr>
              <w:pStyle w:val="Compact"/>
              <w:spacing w:after="40"/>
              <w:jc w:val="left"/>
            </w:pPr>
            <w:r>
              <w:rPr>
                <w:b/>
                <w:color w:val="FFFFFF"/>
                <w:sz w:val="18"/>
              </w:rPr>
              <w:t xml:space="preserve">Key payload fields</w:t>
            </w:r>
          </w:p>
        </w:tc>
        <w:tc>
          <w:tcPr>
            <w:tcW w:w="1084" w:type="dxa"/>
            <w:shd w:val="clear" w:color="auto" w:fill="1F3A5F"/>
          </w:tcPr>
          <w:p>
            <w:pPr>
              <w:pStyle w:val="Compact"/>
              <w:spacing w:after="40"/>
              <w:jc w:val="left"/>
            </w:pPr>
            <w:r>
              <w:rPr>
                <w:b/>
                <w:color w:val="FFFFFF"/>
                <w:sz w:val="18"/>
              </w:rPr>
              <w:t xml:space="preserve">Owner</w:t>
            </w:r>
          </w:p>
        </w:tc>
        <w:tc>
          <w:tcPr>
            <w:tcW w:w="993" w:type="dxa"/>
            <w:shd w:val="clear" w:color="auto" w:fill="1F3A5F"/>
          </w:tcPr>
          <w:p>
            <w:pPr>
              <w:pStyle w:val="Compact"/>
              <w:spacing w:after="40"/>
              <w:jc w:val="left"/>
            </w:pPr>
            <w:r>
              <w:rPr>
                <w:b/>
                <w:color w:val="FFFFFF"/>
                <w:sz w:val="18"/>
              </w:rPr>
              <w:t xml:space="preserve">Idempotency key</w:t>
            </w:r>
          </w:p>
        </w:tc>
        <w:tc>
          <w:tcPr>
            <w:tcW w:w="1408" w:type="dxa"/>
            <w:shd w:val="clear" w:color="auto" w:fill="1F3A5F"/>
          </w:tcPr>
          <w:p>
            <w:pPr>
              <w:pStyle w:val="Compact"/>
              <w:spacing w:after="40"/>
              <w:jc w:val="left"/>
            </w:pPr>
            <w:r>
              <w:rPr>
                <w:b/>
                <w:color w:val="FFFFFF"/>
                <w:sz w:val="18"/>
              </w:rPr>
              <w:t xml:space="preserve">SLA</w:t>
            </w:r>
          </w:p>
        </w:tc>
      </w:tr>
      <w:tr>
        <w:tc>
          <w:tcPr>
            <w:tcW w:w="1147" w:type="dxa"/>
          </w:tcPr>
          <w:p>
            <w:pPr>
              <w:pStyle w:val="Compact"/>
              <w:spacing w:after="40"/>
              <w:jc w:val="left"/>
            </w:pPr>
            <w:r>
              <w:rPr>
                <w:rStyle w:val="VerbatimChar"/>
                <w:sz w:val="18"/>
              </w:rPr>
              <w:t xml:space="preserve">DLGArrangementRegistered</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Entered or renewed</w:t>
            </w:r>
          </w:p>
        </w:tc>
        <w:tc>
          <w:tcPr>
            <w:tcW w:w="1865" w:type="dxa"/>
          </w:tcPr>
          <w:p>
            <w:pPr>
              <w:pStyle w:val="Compact"/>
              <w:spacing w:after="40"/>
              <w:jc w:val="left"/>
            </w:pPr>
            <w:r>
              <w:rPr>
                <w:sz w:val="18"/>
              </w:rPr>
              <w:t xml:space="preserve">form (CF para 23), fixed set, cap, tenor, auditor declaration (para 20(3))</w:t>
            </w:r>
          </w:p>
        </w:tc>
        <w:tc>
          <w:tcPr>
            <w:tcW w:w="1084" w:type="dxa"/>
          </w:tcPr>
          <w:p>
            <w:pPr>
              <w:pStyle w:val="Compact"/>
              <w:spacing w:after="40"/>
              <w:jc w:val="left"/>
            </w:pPr>
            <w:r>
              <w:rPr>
                <w:sz w:val="18"/>
              </w:rPr>
              <w:t xml:space="preserve">FX ledger; UD own records</w:t>
            </w:r>
          </w:p>
        </w:tc>
        <w:tc>
          <w:tcPr>
            <w:tcW w:w="993" w:type="dxa"/>
          </w:tcPr>
          <w:p>
            <w:pPr>
              <w:pStyle w:val="Compact"/>
              <w:spacing w:after="40"/>
              <w:jc w:val="left"/>
            </w:pPr>
            <w:r>
              <w:rPr>
                <w:sz w:val="18"/>
              </w:rPr>
              <w:t xml:space="preserve">(dlg_id, version)</w:t>
            </w:r>
          </w:p>
        </w:tc>
        <w:tc>
          <w:tcPr>
            <w:tcW w:w="1408" w:type="dxa"/>
          </w:tcPr>
          <w:p>
            <w:pPr>
              <w:pStyle w:val="Compact"/>
              <w:spacing w:after="40"/>
              <w:jc w:val="left"/>
            </w:pPr>
            <w:r>
              <w:rPr>
                <w:sz w:val="18"/>
              </w:rPr>
              <w:t xml:space="preserve">Before reliance</w:t>
            </w:r>
          </w:p>
        </w:tc>
      </w:tr>
      <w:tr>
        <w:tc>
          <w:tcPr>
            <w:tcW w:w="1147" w:type="dxa"/>
          </w:tcPr>
          <w:p>
            <w:pPr>
              <w:pStyle w:val="Compact"/>
              <w:spacing w:after="40"/>
              <w:jc w:val="left"/>
            </w:pPr>
            <w:r>
              <w:rPr>
                <w:rStyle w:val="VerbatimChar"/>
                <w:sz w:val="18"/>
              </w:rPr>
              <w:t xml:space="preserve">DLGInvocationRaised</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RE invokes</w:t>
            </w:r>
          </w:p>
        </w:tc>
        <w:tc>
          <w:tcPr>
            <w:tcW w:w="1865" w:type="dxa"/>
          </w:tcPr>
          <w:p>
            <w:pPr>
              <w:pStyle w:val="Compact"/>
              <w:spacing w:after="40"/>
              <w:jc w:val="left"/>
            </w:pPr>
            <w:r>
              <w:rPr>
                <w:sz w:val="18"/>
              </w:rPr>
              <w:t xml:space="preserve">loans, amount, overdue days</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invocation_id</w:t>
            </w:r>
          </w:p>
        </w:tc>
        <w:tc>
          <w:tcPr>
            <w:tcW w:w="1408" w:type="dxa"/>
          </w:tcPr>
          <w:p>
            <w:pPr>
              <w:pStyle w:val="Compact"/>
              <w:spacing w:after="40"/>
              <w:jc w:val="left"/>
            </w:pPr>
            <w:r>
              <w:rPr>
                <w:sz w:val="18"/>
              </w:rPr>
              <w:t xml:space="preserve">Within 120 days overdue (CF para 27(1))</w:t>
            </w:r>
          </w:p>
        </w:tc>
      </w:tr>
      <w:tr>
        <w:tc>
          <w:tcPr>
            <w:tcW w:w="1147" w:type="dxa"/>
          </w:tcPr>
          <w:p>
            <w:pPr>
              <w:pStyle w:val="Compact"/>
              <w:spacing w:after="40"/>
              <w:jc w:val="left"/>
            </w:pPr>
            <w:r>
              <w:rPr>
                <w:rStyle w:val="VerbatimChar"/>
                <w:sz w:val="18"/>
              </w:rPr>
              <w:t xml:space="preserve">DLGInvocationSettled</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Cover appropriated</w:t>
            </w:r>
          </w:p>
        </w:tc>
        <w:tc>
          <w:tcPr>
            <w:tcW w:w="1865" w:type="dxa"/>
          </w:tcPr>
          <w:p>
            <w:pPr>
              <w:pStyle w:val="Compact"/>
              <w:spacing w:after="40"/>
              <w:jc w:val="left"/>
            </w:pPr>
            <w:r>
              <w:rPr>
                <w:sz w:val="18"/>
              </w:rPr>
              <w:t xml:space="preserve">amount, method</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invocation_id</w:t>
            </w:r>
          </w:p>
        </w:tc>
        <w:tc>
          <w:tcPr>
            <w:tcW w:w="1408" w:type="dxa"/>
          </w:tcPr>
          <w:p>
            <w:pPr>
              <w:pStyle w:val="Compact"/>
              <w:spacing w:after="40"/>
              <w:jc w:val="left"/>
            </w:pPr>
            <w:r>
              <w:rPr>
                <w:sz w:val="18"/>
              </w:rPr>
              <w:t xml:space="preserve">≤ 1 working day</w:t>
            </w:r>
          </w:p>
        </w:tc>
      </w:tr>
      <w:tr>
        <w:tc>
          <w:tcPr>
            <w:tcW w:w="1147" w:type="dxa"/>
          </w:tcPr>
          <w:p>
            <w:pPr>
              <w:pStyle w:val="Compact"/>
              <w:spacing w:after="40"/>
              <w:jc w:val="left"/>
            </w:pPr>
            <w:r>
              <w:rPr>
                <w:rStyle w:val="VerbatimChar"/>
                <w:sz w:val="18"/>
              </w:rPr>
              <w:t xml:space="preserve">DLGPortfolioCoverage</w:t>
            </w:r>
            <w:r>
              <w:rPr>
                <w:sz w:val="18"/>
              </w:rPr>
              <w:t xml:space="preserve"> </w:t>
            </w:r>
            <w:r>
              <w:rPr>
                <w:sz w:val="18"/>
              </w:rPr>
              <w:t xml:space="preserve">(E)</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Month end</w:t>
            </w:r>
          </w:p>
        </w:tc>
        <w:tc>
          <w:tcPr>
            <w:tcW w:w="1865" w:type="dxa"/>
          </w:tcPr>
          <w:p>
            <w:pPr>
              <w:pStyle w:val="Compact"/>
              <w:spacing w:after="40"/>
              <w:jc w:val="left"/>
            </w:pPr>
            <w:r>
              <w:rPr>
                <w:sz w:val="18"/>
              </w:rPr>
              <w:t xml:space="preserve">disbursed, cap, cover, invoked, remaining</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(dlg_set_id, month)</w:t>
            </w:r>
          </w:p>
        </w:tc>
        <w:tc>
          <w:tcPr>
            <w:tcW w:w="1408" w:type="dxa"/>
          </w:tcPr>
          <w:p>
            <w:pPr>
              <w:pStyle w:val="Compact"/>
              <w:spacing w:after="40"/>
              <w:jc w:val="left"/>
            </w:pPr>
            <w:r>
              <w:rPr>
                <w:sz w:val="18"/>
              </w:rPr>
              <w:t xml:space="preserve">≤ 3 working days</w:t>
            </w:r>
          </w:p>
        </w:tc>
      </w:tr>
      <w:tr>
        <w:tc>
          <w:tcPr>
            <w:tcW w:w="1147" w:type="dxa"/>
          </w:tcPr>
          <w:p>
            <w:pPr>
              <w:pStyle w:val="Compact"/>
              <w:spacing w:after="40"/>
              <w:jc w:val="left"/>
            </w:pPr>
            <w:r>
              <w:rPr>
                <w:rStyle w:val="VerbatimChar"/>
                <w:sz w:val="18"/>
              </w:rPr>
              <w:t xml:space="preserve">DLGDisclosurePublished</w:t>
            </w:r>
            <w:r>
              <w:rPr>
                <w:sz w:val="18"/>
              </w:rPr>
              <w:t xml:space="preserve"> </w:t>
            </w:r>
            <w:r>
              <w:rPr>
                <w:sz w:val="18"/>
              </w:rPr>
              <w:t xml:space="preserve">(A)</w:t>
            </w:r>
          </w:p>
        </w:tc>
        <w:tc>
          <w:tcPr>
            <w:tcW w:w="1017" w:type="dxa"/>
          </w:tcPr>
          <w:p>
            <w:pPr>
              <w:pStyle w:val="Compact"/>
              <w:spacing w:after="40"/>
              <w:jc w:val="left"/>
            </w:pPr>
            <w:r>
              <w:rPr>
                <w:sz w:val="18"/>
              </w:rPr>
              <w:t xml:space="preserve">UD → FX, LDC</w:t>
            </w:r>
          </w:p>
        </w:tc>
        <w:tc>
          <w:tcPr>
            <w:tcW w:w="2124" w:type="dxa"/>
          </w:tcPr>
          <w:p>
            <w:pPr>
              <w:pStyle w:val="Compact"/>
              <w:spacing w:after="40"/>
              <w:jc w:val="left"/>
            </w:pPr>
            <w:r>
              <w:rPr>
                <w:sz w:val="18"/>
              </w:rPr>
              <w:t xml:space="preserve">Monthly disclosure published</w:t>
            </w:r>
          </w:p>
        </w:tc>
        <w:tc>
          <w:tcPr>
            <w:tcW w:w="1865" w:type="dxa"/>
          </w:tcPr>
          <w:p>
            <w:pPr>
              <w:pStyle w:val="Compact"/>
              <w:spacing w:after="40"/>
              <w:jc w:val="left"/>
            </w:pPr>
            <w:r>
              <w:rPr>
                <w:sz w:val="18"/>
              </w:rPr>
              <w:t xml:space="preserve">month, URL, document hash</w:t>
            </w:r>
          </w:p>
        </w:tc>
        <w:tc>
          <w:tcPr>
            <w:tcW w:w="1084" w:type="dxa"/>
          </w:tcPr>
          <w:p>
            <w:pPr>
              <w:pStyle w:val="Compact"/>
              <w:spacing w:after="40"/>
              <w:jc w:val="left"/>
            </w:pPr>
            <w:r>
              <w:rPr>
                <w:sz w:val="18"/>
              </w:rPr>
              <w:t xml:space="preserve">UD</w:t>
            </w:r>
          </w:p>
        </w:tc>
        <w:tc>
          <w:tcPr>
            <w:tcW w:w="993" w:type="dxa"/>
          </w:tcPr>
          <w:p>
            <w:pPr>
              <w:pStyle w:val="Compact"/>
              <w:spacing w:after="40"/>
              <w:jc w:val="left"/>
            </w:pPr>
            <w:r>
              <w:rPr>
                <w:sz w:val="18"/>
              </w:rPr>
              <w:t xml:space="preserve">(lsp_id, month)</w:t>
            </w:r>
          </w:p>
        </w:tc>
        <w:tc>
          <w:tcPr>
            <w:tcW w:w="1408" w:type="dxa"/>
          </w:tcPr>
          <w:p>
            <w:pPr>
              <w:pStyle w:val="Compact"/>
              <w:spacing w:after="40"/>
              <w:jc w:val="left"/>
            </w:pPr>
            <w:r>
              <w:rPr>
                <w:sz w:val="18"/>
              </w:rPr>
              <w:t xml:space="preserve">≤ 7 working days of month end (CF para 28)</w:t>
            </w:r>
          </w:p>
        </w:tc>
      </w:tr>
      <w:tr>
        <w:tc>
          <w:tcPr>
            <w:tcW w:w="1147" w:type="dxa"/>
          </w:tcPr>
          <w:p>
            <w:pPr>
              <w:pStyle w:val="Compact"/>
              <w:spacing w:after="40"/>
              <w:jc w:val="left"/>
            </w:pPr>
            <w:r>
              <w:rPr>
                <w:rStyle w:val="VerbatimChar"/>
                <w:sz w:val="18"/>
              </w:rPr>
              <w:t xml:space="preserve">DLGRecoveryShared</w:t>
            </w:r>
            <w:r>
              <w:rPr>
                <w:sz w:val="18"/>
              </w:rPr>
              <w:t xml:space="preserve"> </w:t>
            </w:r>
            <w:r>
              <w:rPr>
                <w:sz w:val="18"/>
              </w:rPr>
              <w:t xml:space="preserve">(N+)</w:t>
            </w:r>
          </w:p>
        </w:tc>
        <w:tc>
          <w:tcPr>
            <w:tcW w:w="1017" w:type="dxa"/>
          </w:tcPr>
          <w:p>
            <w:pPr>
              <w:pStyle w:val="Compact"/>
              <w:spacing w:after="40"/>
              <w:jc w:val="left"/>
            </w:pPr>
            <w:r>
              <w:rPr>
                <w:sz w:val="18"/>
              </w:rPr>
              <w:t xml:space="preserve">FX → UD</w:t>
            </w:r>
          </w:p>
        </w:tc>
        <w:tc>
          <w:tcPr>
            <w:tcW w:w="2124" w:type="dxa"/>
          </w:tcPr>
          <w:p>
            <w:pPr>
              <w:pStyle w:val="Compact"/>
              <w:spacing w:after="40"/>
              <w:jc w:val="left"/>
            </w:pPr>
            <w:r>
              <w:rPr>
                <w:sz w:val="18"/>
              </w:rPr>
              <w:t xml:space="preserve">Post-invocation recovery shared per contract (CF para 25(3)); never credited to the loan (25(2))</w:t>
            </w:r>
          </w:p>
        </w:tc>
        <w:tc>
          <w:tcPr>
            <w:tcW w:w="1865" w:type="dxa"/>
          </w:tcPr>
          <w:p>
            <w:pPr>
              <w:pStyle w:val="Compact"/>
              <w:spacing w:after="40"/>
              <w:jc w:val="left"/>
            </w:pPr>
            <w:r>
              <w:rPr>
                <w:sz w:val="18"/>
              </w:rPr>
              <w:t xml:space="preserve">loan, receipt_ref, share</w:t>
            </w:r>
          </w:p>
        </w:tc>
        <w:tc>
          <w:tcPr>
            <w:tcW w:w="1084" w:type="dxa"/>
          </w:tcPr>
          <w:p>
            <w:pPr>
              <w:pStyle w:val="Compact"/>
              <w:spacing w:after="40"/>
              <w:jc w:val="left"/>
            </w:pPr>
            <w:r>
              <w:rPr>
                <w:sz w:val="18"/>
              </w:rPr>
              <w:t xml:space="preserve">FX</w:t>
            </w:r>
          </w:p>
        </w:tc>
        <w:tc>
          <w:tcPr>
            <w:tcW w:w="993" w:type="dxa"/>
          </w:tcPr>
          <w:p>
            <w:pPr>
              <w:pStyle w:val="Compact"/>
              <w:spacing w:after="40"/>
              <w:jc w:val="left"/>
            </w:pPr>
            <w:r>
              <w:rPr>
                <w:sz w:val="18"/>
              </w:rPr>
              <w:t xml:space="preserve">(dlg_id, receipt_ref)</w:t>
            </w:r>
          </w:p>
        </w:tc>
        <w:tc>
          <w:tcPr>
            <w:tcW w:w="1408" w:type="dxa"/>
          </w:tcPr>
          <w:p>
            <w:pPr>
              <w:pStyle w:val="Compact"/>
              <w:spacing w:after="40"/>
              <w:jc w:val="left"/>
            </w:pPr>
            <w:r>
              <w:rPr>
                <w:sz w:val="18"/>
              </w:rPr>
              <w:t xml:space="preserve">Per contract</w:t>
            </w:r>
          </w:p>
        </w:tc>
      </w:tr>
    </w:tbl>
    <w:bookmarkEnd w:id="58"/>
    <w:bookmarkStart w:id="59" w:name="grievance-grievance"/>
    <w:p>
      <w:pPr>
        <w:pStyle w:val="Heading2"/>
      </w:pPr>
      <w:r>
        <w:t xml:space="preserve">6.12 Grievance (</w:t>
      </w:r>
      <w:r>
        <w:rPr>
          <w:rStyle w:val="VerbatimChar"/>
        </w:rPr>
        <w:t xml:space="preserve">grievance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788"/>
        <w:gridCol w:w="1457"/>
        <w:gridCol w:w="1511"/>
        <w:gridCol w:w="2041"/>
        <w:gridCol w:w="825"/>
        <w:gridCol w:w="917"/>
        <w:gridCol w:w="2099"/>
      </w:tblGrid>
      <w:tr>
        <w:trPr>
          <w:tblHeader w:val="true"/>
          <w:tblHeader w:val="true"/>
        </w:trPr>
        <w:tc>
          <w:tcPr>
            <w:tcW w:w="788" w:type="dxa"/>
            <w:shd w:val="clear" w:color="auto" w:fill="1F3A5F"/>
          </w:tcPr>
          <w:p>
            <w:pPr>
              <w:pStyle w:val="Compact"/>
              <w:spacing w:after="40"/>
              <w:jc w:val="left"/>
            </w:pPr>
            <w:r>
              <w:rPr>
                <w:b/>
                <w:color w:val="FFFFFF"/>
                <w:sz w:val="18"/>
              </w:rPr>
              <w:t xml:space="preserve">Event or API</w:t>
            </w:r>
          </w:p>
        </w:tc>
        <w:tc>
          <w:tcPr>
            <w:tcW w:w="1457" w:type="dxa"/>
            <w:shd w:val="clear" w:color="auto" w:fill="1F3A5F"/>
          </w:tcPr>
          <w:p>
            <w:pPr>
              <w:pStyle w:val="Compact"/>
              <w:spacing w:after="40"/>
              <w:jc w:val="left"/>
            </w:pPr>
            <w:r>
              <w:rPr>
                <w:b/>
                <w:color w:val="FFFFFF"/>
                <w:sz w:val="18"/>
              </w:rPr>
              <w:t xml:space="preserve">Producer → consumer(s)</w:t>
            </w:r>
          </w:p>
        </w:tc>
        <w:tc>
          <w:tcPr>
            <w:tcW w:w="1511" w:type="dxa"/>
            <w:shd w:val="clear" w:color="auto" w:fill="1F3A5F"/>
          </w:tcPr>
          <w:p>
            <w:pPr>
              <w:pStyle w:val="Compact"/>
              <w:spacing w:after="40"/>
              <w:jc w:val="left"/>
            </w:pPr>
            <w:r>
              <w:rPr>
                <w:b/>
                <w:color w:val="FFFFFF"/>
                <w:sz w:val="18"/>
              </w:rPr>
              <w:t xml:space="preserve">Trigger</w:t>
            </w:r>
          </w:p>
        </w:tc>
        <w:tc>
          <w:tcPr>
            <w:tcW w:w="2041" w:type="dxa"/>
            <w:shd w:val="clear" w:color="auto" w:fill="1F3A5F"/>
          </w:tcPr>
          <w:p>
            <w:pPr>
              <w:pStyle w:val="Compact"/>
              <w:spacing w:after="40"/>
              <w:jc w:val="left"/>
            </w:pPr>
            <w:r>
              <w:rPr>
                <w:b/>
                <w:color w:val="FFFFFF"/>
                <w:sz w:val="18"/>
              </w:rPr>
              <w:t xml:space="preserve">Key payload fields</w:t>
            </w:r>
          </w:p>
        </w:tc>
        <w:tc>
          <w:tcPr>
            <w:tcW w:w="825" w:type="dxa"/>
            <w:shd w:val="clear" w:color="auto" w:fill="1F3A5F"/>
          </w:tcPr>
          <w:p>
            <w:pPr>
              <w:pStyle w:val="Compact"/>
              <w:spacing w:after="40"/>
              <w:jc w:val="left"/>
            </w:pPr>
            <w:r>
              <w:rPr>
                <w:b/>
                <w:color w:val="FFFFFF"/>
                <w:sz w:val="18"/>
              </w:rPr>
              <w:t xml:space="preserve">Owner</w:t>
            </w:r>
          </w:p>
        </w:tc>
        <w:tc>
          <w:tcPr>
            <w:tcW w:w="917" w:type="dxa"/>
            <w:shd w:val="clear" w:color="auto" w:fill="1F3A5F"/>
          </w:tcPr>
          <w:p>
            <w:pPr>
              <w:pStyle w:val="Compact"/>
              <w:spacing w:after="40"/>
              <w:jc w:val="left"/>
            </w:pPr>
            <w:r>
              <w:rPr>
                <w:b/>
                <w:color w:val="FFFFFF"/>
                <w:sz w:val="18"/>
              </w:rPr>
              <w:t xml:space="preserve">Idempotency key</w:t>
            </w:r>
          </w:p>
        </w:tc>
        <w:tc>
          <w:tcPr>
            <w:tcW w:w="2099" w:type="dxa"/>
            <w:shd w:val="clear" w:color="auto" w:fill="1F3A5F"/>
          </w:tcPr>
          <w:p>
            <w:pPr>
              <w:pStyle w:val="Compact"/>
              <w:spacing w:after="40"/>
              <w:jc w:val="left"/>
            </w:pPr>
            <w:r>
              <w:rPr>
                <w:b/>
                <w:color w:val="FFFFFF"/>
                <w:sz w:val="18"/>
              </w:rPr>
              <w:t xml:space="preserve">SLA</w:t>
            </w:r>
          </w:p>
        </w:tc>
      </w:tr>
      <w:tr>
        <w:tc>
          <w:tcPr>
            <w:tcW w:w="788" w:type="dxa"/>
          </w:tcPr>
          <w:p>
            <w:pPr>
              <w:pStyle w:val="Compact"/>
              <w:spacing w:after="40"/>
              <w:jc w:val="left"/>
            </w:pPr>
            <w:r>
              <w:rPr>
                <w:rStyle w:val="VerbatimChar"/>
                <w:sz w:val="18"/>
              </w:rPr>
              <w:t xml:space="preserve">GrievanceRaised</w:t>
            </w:r>
            <w:r>
              <w:rPr>
                <w:sz w:val="18"/>
              </w:rPr>
              <w:t xml:space="preserve"> </w:t>
            </w:r>
            <w:r>
              <w:rPr>
                <w:sz w:val="18"/>
              </w:rPr>
              <w:t xml:space="preserve">(E)</w:t>
            </w:r>
          </w:p>
        </w:tc>
        <w:tc>
          <w:tcPr>
            <w:tcW w:w="1457" w:type="dxa"/>
          </w:tcPr>
          <w:p>
            <w:pPr>
              <w:pStyle w:val="Compact"/>
              <w:spacing w:after="40"/>
              <w:jc w:val="left"/>
            </w:pPr>
            <w:r>
              <w:rPr>
                <w:sz w:val="18"/>
              </w:rPr>
              <w:t xml:space="preserve">UD, FX, EQ → grievance host</w:t>
            </w:r>
          </w:p>
        </w:tc>
        <w:tc>
          <w:tcPr>
            <w:tcW w:w="1511" w:type="dxa"/>
          </w:tcPr>
          <w:p>
            <w:pPr>
              <w:pStyle w:val="Compact"/>
              <w:spacing w:after="40"/>
              <w:jc w:val="left"/>
            </w:pPr>
            <w:r>
              <w:rPr>
                <w:sz w:val="18"/>
              </w:rPr>
              <w:t xml:space="preserve">Complaint on any channel</w:t>
            </w:r>
          </w:p>
        </w:tc>
        <w:tc>
          <w:tcPr>
            <w:tcW w:w="2041" w:type="dxa"/>
          </w:tcPr>
          <w:p>
            <w:pPr>
              <w:pStyle w:val="Compact"/>
              <w:spacing w:after="40"/>
              <w:jc w:val="left"/>
            </w:pPr>
            <w:r>
              <w:rPr>
                <w:sz w:val="18"/>
              </w:rPr>
              <w:t xml:space="preserve">channel, category, description, attachments</w:t>
            </w:r>
          </w:p>
        </w:tc>
        <w:tc>
          <w:tcPr>
            <w:tcW w:w="825" w:type="dxa"/>
          </w:tcPr>
          <w:p>
            <w:pPr>
              <w:pStyle w:val="Compact"/>
              <w:spacing w:after="40"/>
              <w:jc w:val="left"/>
            </w:pPr>
            <w:r>
              <w:rPr>
                <w:sz w:val="18"/>
              </w:rPr>
              <w:t xml:space="preserve">Host (FX, UD lender portal or LDC)</w:t>
            </w:r>
          </w:p>
        </w:tc>
        <w:tc>
          <w:tcPr>
            <w:tcW w:w="917" w:type="dxa"/>
          </w:tcPr>
          <w:p>
            <w:pPr>
              <w:pStyle w:val="Compact"/>
              <w:spacing w:after="40"/>
              <w:jc w:val="left"/>
            </w:pPr>
            <w:r>
              <w:rPr>
                <w:sz w:val="18"/>
              </w:rPr>
              <w:t xml:space="preserve">grievance_id</w:t>
            </w:r>
          </w:p>
        </w:tc>
        <w:tc>
          <w:tcPr>
            <w:tcW w:w="2099" w:type="dxa"/>
          </w:tcPr>
          <w:p>
            <w:pPr>
              <w:pStyle w:val="Compact"/>
              <w:spacing w:after="40"/>
              <w:jc w:val="left"/>
            </w:pPr>
            <w:r>
              <w:rPr>
                <w:sz w:val="18"/>
              </w:rPr>
              <w:t xml:space="preserve">Ack same day</w:t>
            </w:r>
          </w:p>
        </w:tc>
      </w:tr>
      <w:tr>
        <w:tc>
          <w:tcPr>
            <w:tcW w:w="788" w:type="dxa"/>
          </w:tcPr>
          <w:p>
            <w:pPr>
              <w:pStyle w:val="Compact"/>
              <w:spacing w:after="40"/>
              <w:jc w:val="left"/>
            </w:pPr>
            <w:r>
              <w:rPr>
                <w:rStyle w:val="VerbatimChar"/>
                <w:sz w:val="18"/>
              </w:rPr>
              <w:t xml:space="preserve">GrievanceUpdated</w:t>
            </w:r>
            <w:r>
              <w:rPr>
                <w:sz w:val="18"/>
              </w:rPr>
              <w:t xml:space="preserve"> </w:t>
            </w:r>
            <w:r>
              <w:rPr>
                <w:sz w:val="18"/>
              </w:rPr>
              <w:t xml:space="preserve">(E)</w:t>
            </w:r>
          </w:p>
        </w:tc>
        <w:tc>
          <w:tcPr>
            <w:tcW w:w="1457" w:type="dxa"/>
          </w:tcPr>
          <w:p>
            <w:pPr>
              <w:pStyle w:val="Compact"/>
              <w:spacing w:after="40"/>
              <w:jc w:val="left"/>
            </w:pPr>
            <w:r>
              <w:rPr>
                <w:sz w:val="18"/>
              </w:rPr>
              <w:t xml:space="preserve">Host → UD, FX</w:t>
            </w:r>
          </w:p>
        </w:tc>
        <w:tc>
          <w:tcPr>
            <w:tcW w:w="1511" w:type="dxa"/>
          </w:tcPr>
          <w:p>
            <w:pPr>
              <w:pStyle w:val="Compact"/>
              <w:spacing w:after="40"/>
              <w:jc w:val="left"/>
            </w:pPr>
            <w:r>
              <w:rPr>
                <w:sz w:val="18"/>
              </w:rPr>
              <w:t xml:space="preserve">Status or response</w:t>
            </w:r>
          </w:p>
        </w:tc>
        <w:tc>
          <w:tcPr>
            <w:tcW w:w="2041" w:type="dxa"/>
          </w:tcPr>
          <w:p>
            <w:pPr>
              <w:pStyle w:val="Compact"/>
              <w:spacing w:after="40"/>
              <w:jc w:val="left"/>
            </w:pPr>
            <w:r>
              <w:rPr>
                <w:sz w:val="18"/>
              </w:rPr>
              <w:t xml:space="preserve">status, response</w:t>
            </w:r>
          </w:p>
        </w:tc>
        <w:tc>
          <w:tcPr>
            <w:tcW w:w="825" w:type="dxa"/>
          </w:tcPr>
          <w:p>
            <w:pPr>
              <w:pStyle w:val="Compact"/>
              <w:spacing w:after="40"/>
              <w:jc w:val="left"/>
            </w:pPr>
            <w:r>
              <w:rPr>
                <w:sz w:val="18"/>
              </w:rPr>
              <w:t xml:space="preserve">Host</w:t>
            </w:r>
          </w:p>
        </w:tc>
        <w:tc>
          <w:tcPr>
            <w:tcW w:w="917" w:type="dxa"/>
          </w:tcPr>
          <w:p>
            <w:pPr>
              <w:pStyle w:val="Compact"/>
              <w:spacing w:after="40"/>
              <w:jc w:val="left"/>
            </w:pPr>
            <w:r>
              <w:rPr>
                <w:sz w:val="18"/>
              </w:rPr>
              <w:t xml:space="preserve">(grievance_id, seq)</w:t>
            </w:r>
          </w:p>
        </w:tc>
        <w:tc>
          <w:tcPr>
            <w:tcW w:w="2099" w:type="dxa"/>
          </w:tcPr>
          <w:p>
            <w:pPr>
              <w:pStyle w:val="Compact"/>
              <w:spacing w:after="40"/>
              <w:jc w:val="left"/>
            </w:pPr>
            <w:r>
              <w:rPr>
                <w:sz w:val="18"/>
              </w:rPr>
              <w:t xml:space="preserve">RE clock (CF para 12; IO rules)</w:t>
            </w:r>
          </w:p>
        </w:tc>
      </w:tr>
      <w:tr>
        <w:tc>
          <w:tcPr>
            <w:tcW w:w="788" w:type="dxa"/>
          </w:tcPr>
          <w:p>
            <w:pPr>
              <w:pStyle w:val="Compact"/>
              <w:spacing w:after="40"/>
              <w:jc w:val="left"/>
            </w:pPr>
            <w:r>
              <w:rPr>
                <w:rStyle w:val="VerbatimChar"/>
                <w:sz w:val="18"/>
              </w:rPr>
              <w:t xml:space="preserve">GrievanceEscalated</w:t>
            </w:r>
            <w:r>
              <w:rPr>
                <w:sz w:val="18"/>
              </w:rPr>
              <w:t xml:space="preserve"> </w:t>
            </w:r>
            <w:r>
              <w:rPr>
                <w:sz w:val="18"/>
              </w:rPr>
              <w:t xml:space="preserve">(E)</w:t>
            </w:r>
          </w:p>
        </w:tc>
        <w:tc>
          <w:tcPr>
            <w:tcW w:w="1457" w:type="dxa"/>
          </w:tcPr>
          <w:p>
            <w:pPr>
              <w:pStyle w:val="Compact"/>
              <w:spacing w:after="40"/>
              <w:jc w:val="left"/>
            </w:pPr>
            <w:r>
              <w:rPr>
                <w:sz w:val="18"/>
              </w:rPr>
              <w:t xml:space="preserve">Host → UD, FX</w:t>
            </w:r>
          </w:p>
        </w:tc>
        <w:tc>
          <w:tcPr>
            <w:tcW w:w="1511" w:type="dxa"/>
          </w:tcPr>
          <w:p>
            <w:pPr>
              <w:pStyle w:val="Compact"/>
              <w:spacing w:after="40"/>
              <w:jc w:val="left"/>
            </w:pPr>
            <w:r>
              <w:rPr>
                <w:sz w:val="18"/>
              </w:rPr>
              <w:t xml:space="preserve">Escalation to IO, RB-IOS information, or ADR suggested</w:t>
            </w:r>
          </w:p>
        </w:tc>
        <w:tc>
          <w:tcPr>
            <w:tcW w:w="2041" w:type="dxa"/>
          </w:tcPr>
          <w:p>
            <w:pPr>
              <w:pStyle w:val="Compact"/>
              <w:spacing w:after="40"/>
              <w:jc w:val="left"/>
            </w:pPr>
            <w:r>
              <w:rPr>
                <w:sz w:val="18"/>
              </w:rPr>
              <w:t xml:space="preserve">level, reason, ADR-suggested flag (only the RE refers)</w:t>
            </w:r>
          </w:p>
        </w:tc>
        <w:tc>
          <w:tcPr>
            <w:tcW w:w="825" w:type="dxa"/>
          </w:tcPr>
          <w:p>
            <w:pPr>
              <w:pStyle w:val="Compact"/>
              <w:spacing w:after="40"/>
              <w:jc w:val="left"/>
            </w:pPr>
            <w:r>
              <w:rPr>
                <w:sz w:val="18"/>
              </w:rPr>
              <w:t xml:space="preserve">Host</w:t>
            </w:r>
          </w:p>
        </w:tc>
        <w:tc>
          <w:tcPr>
            <w:tcW w:w="917" w:type="dxa"/>
          </w:tcPr>
          <w:p>
            <w:pPr>
              <w:pStyle w:val="Compact"/>
              <w:spacing w:after="40"/>
              <w:jc w:val="left"/>
            </w:pPr>
            <w:r>
              <w:rPr>
                <w:sz w:val="18"/>
              </w:rPr>
              <w:t xml:space="preserve">(grievance_id, level)</w:t>
            </w:r>
          </w:p>
        </w:tc>
        <w:tc>
          <w:tcPr>
            <w:tcW w:w="2099" w:type="dxa"/>
          </w:tcPr>
          <w:p>
            <w:pPr>
              <w:pStyle w:val="Compact"/>
              <w:spacing w:after="40"/>
              <w:jc w:val="left"/>
            </w:pPr>
            <w:r>
              <w:rPr>
                <w:sz w:val="18"/>
              </w:rPr>
              <w:t xml:space="preserve">Per IO and RB-IOS rules</w:t>
            </w:r>
          </w:p>
        </w:tc>
      </w:tr>
      <w:tr>
        <w:tc>
          <w:tcPr>
            <w:tcW w:w="788" w:type="dxa"/>
          </w:tcPr>
          <w:p>
            <w:pPr>
              <w:pStyle w:val="Compact"/>
              <w:spacing w:after="40"/>
              <w:jc w:val="left"/>
            </w:pPr>
            <w:r>
              <w:rPr>
                <w:rStyle w:val="VerbatimChar"/>
                <w:sz w:val="18"/>
              </w:rPr>
              <w:t xml:space="preserve">OmbudsmanReferralRecorded</w:t>
            </w:r>
            <w:r>
              <w:rPr>
                <w:sz w:val="18"/>
              </w:rPr>
              <w:t xml:space="preserve"> </w:t>
            </w:r>
            <w:r>
              <w:rPr>
                <w:sz w:val="18"/>
              </w:rPr>
              <w:t xml:space="preserve">(N11)</w:t>
            </w:r>
          </w:p>
        </w:tc>
        <w:tc>
          <w:tcPr>
            <w:tcW w:w="1457" w:type="dxa"/>
          </w:tcPr>
          <w:p>
            <w:pPr>
              <w:pStyle w:val="Compact"/>
              <w:spacing w:after="40"/>
              <w:jc w:val="left"/>
            </w:pPr>
            <w:r>
              <w:rPr>
                <w:sz w:val="18"/>
              </w:rPr>
              <w:t xml:space="preserve">UD (borrower-declared filing), FX or RE system (Ombudsman stages the RE reports) → grievance host, UD, LDC</w:t>
            </w:r>
          </w:p>
        </w:tc>
        <w:tc>
          <w:tcPr>
            <w:tcW w:w="1511" w:type="dxa"/>
          </w:tcPr>
          <w:p>
            <w:pPr>
              <w:pStyle w:val="Compact"/>
              <w:spacing w:after="40"/>
              <w:jc w:val="left"/>
            </w:pPr>
            <w:r>
              <w:rPr>
                <w:sz w:val="18"/>
              </w:rPr>
              <w:t xml:space="preserve">Borrower declares a filing with the RBI Ombudsman (CMS or CRPC) or another external forum; RE reports later stages</w:t>
            </w:r>
          </w:p>
        </w:tc>
        <w:tc>
          <w:tcPr>
            <w:tcW w:w="2041" w:type="dxa"/>
          </w:tcPr>
          <w:p>
            <w:pPr>
              <w:pStyle w:val="Compact"/>
              <w:spacing w:after="40"/>
              <w:jc w:val="left"/>
            </w:pPr>
            <w:r>
              <w:rPr>
                <w:sz w:val="18"/>
              </w:rPr>
              <w:t xml:space="preserve">external reference, forum (RBIOS_2026, COOP_OMBUDSMAN, REGISTRAR, CONSUMER_COMMISSION, OTHER), declared_at, stage (FILED, FACILITATION, CONCILIATION, ADVISORY, AWARD, CLOSED); the borrower files, never Udofin</w:t>
            </w:r>
          </w:p>
        </w:tc>
        <w:tc>
          <w:tcPr>
            <w:tcW w:w="825" w:type="dxa"/>
          </w:tcPr>
          <w:p>
            <w:pPr>
              <w:pStyle w:val="Compact"/>
              <w:spacing w:after="40"/>
              <w:jc w:val="left"/>
            </w:pPr>
            <w:r>
              <w:rPr>
                <w:sz w:val="18"/>
              </w:rPr>
              <w:t xml:space="preserve">Declarant; RE for stages</w:t>
            </w:r>
          </w:p>
        </w:tc>
        <w:tc>
          <w:tcPr>
            <w:tcW w:w="917" w:type="dxa"/>
          </w:tcPr>
          <w:p>
            <w:pPr>
              <w:pStyle w:val="Compact"/>
              <w:spacing w:after="40"/>
              <w:jc w:val="left"/>
            </w:pPr>
            <w:r>
              <w:rPr>
                <w:sz w:val="18"/>
              </w:rPr>
              <w:t xml:space="preserve">(grievance_id, forum, external_ref, stage)</w:t>
            </w:r>
          </w:p>
        </w:tc>
        <w:tc>
          <w:tcPr>
            <w:tcW w:w="2099" w:type="dxa"/>
          </w:tcPr>
          <w:p>
            <w:pPr>
              <w:pStyle w:val="Compact"/>
              <w:spacing w:after="40"/>
              <w:jc w:val="left"/>
            </w:pPr>
            <w:r>
              <w:rPr>
                <w:sz w:val="18"/>
              </w:rPr>
              <w:t xml:space="preserve">std; Udofin shows the external route from the RE’s final reply or the end of its 30-day period until 90 days after that period (RB-IOS 2026 cl.10(1)(f)–(g)) [VERIFY: day-count convention]; never shown to society members</w:t>
            </w:r>
          </w:p>
        </w:tc>
      </w:tr>
      <w:tr>
        <w:tc>
          <w:tcPr>
            <w:tcW w:w="788" w:type="dxa"/>
          </w:tcPr>
          <w:p>
            <w:pPr>
              <w:pStyle w:val="Compact"/>
              <w:spacing w:after="40"/>
              <w:jc w:val="left"/>
            </w:pPr>
            <w:r>
              <w:rPr>
                <w:rStyle w:val="VerbatimChar"/>
                <w:sz w:val="18"/>
              </w:rPr>
              <w:t xml:space="preserve">GrievanceReopened</w:t>
            </w:r>
            <w:r>
              <w:rPr>
                <w:sz w:val="18"/>
              </w:rPr>
              <w:t xml:space="preserve"> </w:t>
            </w:r>
            <w:r>
              <w:rPr>
                <w:sz w:val="18"/>
              </w:rPr>
              <w:t xml:space="preserve">(N11)</w:t>
            </w:r>
          </w:p>
        </w:tc>
        <w:tc>
          <w:tcPr>
            <w:tcW w:w="1457" w:type="dxa"/>
          </w:tcPr>
          <w:p>
            <w:pPr>
              <w:pStyle w:val="Compact"/>
              <w:spacing w:after="40"/>
              <w:jc w:val="left"/>
            </w:pPr>
            <w:r>
              <w:rPr>
                <w:sz w:val="18"/>
              </w:rPr>
              <w:t xml:space="preserve">UD, FX borrower portal → grievance host</w:t>
            </w:r>
          </w:p>
        </w:tc>
        <w:tc>
          <w:tcPr>
            <w:tcW w:w="1511" w:type="dxa"/>
          </w:tcPr>
          <w:p>
            <w:pPr>
              <w:pStyle w:val="Compact"/>
              <w:spacing w:after="40"/>
              <w:jc w:val="left"/>
            </w:pPr>
            <w:r>
              <w:rPr>
                <w:sz w:val="18"/>
              </w:rPr>
              <w:t xml:space="preserve">Borrower reopens within 30 days of closure with a reason [REC]</w:t>
            </w:r>
          </w:p>
        </w:tc>
        <w:tc>
          <w:tcPr>
            <w:tcW w:w="2041" w:type="dxa"/>
          </w:tcPr>
          <w:p>
            <w:pPr>
              <w:pStyle w:val="Compact"/>
              <w:spacing w:after="40"/>
              <w:jc w:val="left"/>
            </w:pPr>
            <w:r>
              <w:rPr>
                <w:sz w:val="18"/>
              </w:rPr>
              <w:t xml:space="preserve">reason, reopened_at; same case id; the RE treats it as a fresh receipt</w:t>
            </w:r>
          </w:p>
        </w:tc>
        <w:tc>
          <w:tcPr>
            <w:tcW w:w="825" w:type="dxa"/>
          </w:tcPr>
          <w:p>
            <w:pPr>
              <w:pStyle w:val="Compact"/>
              <w:spacing w:after="40"/>
              <w:jc w:val="left"/>
            </w:pPr>
            <w:r>
              <w:rPr>
                <w:sz w:val="18"/>
              </w:rPr>
              <w:t xml:space="preserve">Host</w:t>
            </w:r>
          </w:p>
        </w:tc>
        <w:tc>
          <w:tcPr>
            <w:tcW w:w="917" w:type="dxa"/>
          </w:tcPr>
          <w:p>
            <w:pPr>
              <w:pStyle w:val="Compact"/>
              <w:spacing w:after="40"/>
              <w:jc w:val="left"/>
            </w:pPr>
            <w:r>
              <w:rPr>
                <w:sz w:val="18"/>
              </w:rPr>
              <w:t xml:space="preserve">(grievance_id, reopen_seq)</w:t>
            </w:r>
          </w:p>
        </w:tc>
        <w:tc>
          <w:tcPr>
            <w:tcW w:w="2099" w:type="dxa"/>
          </w:tcPr>
          <w:p>
            <w:pPr>
              <w:pStyle w:val="Compact"/>
              <w:spacing w:after="40"/>
              <w:jc w:val="left"/>
            </w:pPr>
            <w:r>
              <w:rPr>
                <w:sz w:val="18"/>
              </w:rPr>
              <w:t xml:space="preserve">Ack same day</w:t>
            </w:r>
          </w:p>
        </w:tc>
      </w:tr>
      <w:tr>
        <w:tc>
          <w:tcPr>
            <w:tcW w:w="788" w:type="dxa"/>
          </w:tcPr>
          <w:p>
            <w:pPr>
              <w:pStyle w:val="Compact"/>
              <w:spacing w:after="40"/>
              <w:jc w:val="left"/>
            </w:pPr>
            <w:r>
              <w:rPr>
                <w:rStyle w:val="VerbatimChar"/>
                <w:sz w:val="18"/>
              </w:rPr>
              <w:t xml:space="preserve">GrievanceRated</w:t>
            </w:r>
            <w:r>
              <w:rPr>
                <w:sz w:val="18"/>
              </w:rPr>
              <w:t xml:space="preserve"> </w:t>
            </w:r>
            <w:r>
              <w:rPr>
                <w:sz w:val="18"/>
              </w:rPr>
              <w:t xml:space="preserve">(N11)</w:t>
            </w:r>
          </w:p>
        </w:tc>
        <w:tc>
          <w:tcPr>
            <w:tcW w:w="1457" w:type="dxa"/>
          </w:tcPr>
          <w:p>
            <w:pPr>
              <w:pStyle w:val="Compact"/>
              <w:spacing w:after="40"/>
              <w:jc w:val="left"/>
            </w:pPr>
            <w:r>
              <w:rPr>
                <w:sz w:val="18"/>
              </w:rPr>
              <w:t xml:space="preserve">UD, FX borrower portal → grievance host; LDC (aggregates)</w:t>
            </w:r>
          </w:p>
        </w:tc>
        <w:tc>
          <w:tcPr>
            <w:tcW w:w="1511" w:type="dxa"/>
          </w:tcPr>
          <w:p>
            <w:pPr>
              <w:pStyle w:val="Compact"/>
              <w:spacing w:after="40"/>
              <w:jc w:val="left"/>
            </w:pPr>
            <w:r>
              <w:rPr>
                <w:sz w:val="18"/>
              </w:rPr>
              <w:t xml:space="preserve">Borrower rates the resolution after closure</w:t>
            </w:r>
          </w:p>
        </w:tc>
        <w:tc>
          <w:tcPr>
            <w:tcW w:w="2041" w:type="dxa"/>
          </w:tcPr>
          <w:p>
            <w:pPr>
              <w:pStyle w:val="Compact"/>
              <w:spacing w:after="40"/>
              <w:jc w:val="left"/>
            </w:pPr>
            <w:r>
              <w:rPr>
                <w:sz w:val="18"/>
              </w:rPr>
              <w:t xml:space="preserve">rating 1–5, optional text; never shown to the handling agent before closure; a low rating offers escalation, never a retention offer</w:t>
            </w:r>
          </w:p>
        </w:tc>
        <w:tc>
          <w:tcPr>
            <w:tcW w:w="825" w:type="dxa"/>
          </w:tcPr>
          <w:p>
            <w:pPr>
              <w:pStyle w:val="Compact"/>
              <w:spacing w:after="40"/>
              <w:jc w:val="left"/>
            </w:pPr>
            <w:r>
              <w:rPr>
                <w:sz w:val="18"/>
              </w:rPr>
              <w:t xml:space="preserve">Host</w:t>
            </w:r>
          </w:p>
        </w:tc>
        <w:tc>
          <w:tcPr>
            <w:tcW w:w="917" w:type="dxa"/>
          </w:tcPr>
          <w:p>
            <w:pPr>
              <w:pStyle w:val="Compact"/>
              <w:spacing w:after="40"/>
              <w:jc w:val="left"/>
            </w:pPr>
            <w:r>
              <w:rPr>
                <w:sz w:val="18"/>
              </w:rPr>
              <w:t xml:space="preserve">(grievance_id, rating_seq)</w:t>
            </w:r>
          </w:p>
        </w:tc>
        <w:tc>
          <w:tcPr>
            <w:tcW w:w="2099" w:type="dxa"/>
          </w:tcPr>
          <w:p>
            <w:pPr>
              <w:pStyle w:val="Compact"/>
              <w:spacing w:after="40"/>
              <w:jc w:val="left"/>
            </w:pPr>
            <w:r>
              <w:rPr>
                <w:sz w:val="18"/>
              </w:rPr>
              <w:t xml:space="preserve">std</w:t>
            </w:r>
          </w:p>
        </w:tc>
      </w:tr>
    </w:tbl>
    <w:bookmarkEnd w:id="59"/>
    <w:bookmarkStart w:id="60" w:name="documents-documents"/>
    <w:p>
      <w:pPr>
        <w:pStyle w:val="Heading2"/>
      </w:pPr>
      <w:r>
        <w:t xml:space="preserve">6.13 Documents (</w:t>
      </w:r>
      <w:r>
        <w:rPr>
          <w:rStyle w:val="VerbatimChar"/>
        </w:rPr>
        <w:t xml:space="preserve">documents</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67"/>
        <w:gridCol w:w="1409"/>
        <w:gridCol w:w="1380"/>
        <w:gridCol w:w="2055"/>
        <w:gridCol w:w="978"/>
        <w:gridCol w:w="1349"/>
        <w:gridCol w:w="1000"/>
      </w:tblGrid>
      <w:tr>
        <w:trPr>
          <w:tblHeader w:val="true"/>
          <w:tblHeader w:val="true"/>
        </w:trPr>
        <w:tc>
          <w:tcPr>
            <w:tcW w:w="1467" w:type="dxa"/>
            <w:shd w:val="clear" w:color="auto" w:fill="1F3A5F"/>
          </w:tcPr>
          <w:p>
            <w:pPr>
              <w:pStyle w:val="Compact"/>
              <w:spacing w:after="40"/>
              <w:jc w:val="left"/>
            </w:pPr>
            <w:r>
              <w:rPr>
                <w:b/>
                <w:color w:val="FFFFFF"/>
                <w:sz w:val="18"/>
              </w:rPr>
              <w:t xml:space="preserve">Event or API</w:t>
            </w:r>
          </w:p>
        </w:tc>
        <w:tc>
          <w:tcPr>
            <w:tcW w:w="1409" w:type="dxa"/>
            <w:shd w:val="clear" w:color="auto" w:fill="1F3A5F"/>
          </w:tcPr>
          <w:p>
            <w:pPr>
              <w:pStyle w:val="Compact"/>
              <w:spacing w:after="40"/>
              <w:jc w:val="left"/>
            </w:pPr>
            <w:r>
              <w:rPr>
                <w:b/>
                <w:color w:val="FFFFFF"/>
                <w:sz w:val="18"/>
              </w:rPr>
              <w:t xml:space="preserve">Producer → consumer(s)</w:t>
            </w:r>
          </w:p>
        </w:tc>
        <w:tc>
          <w:tcPr>
            <w:tcW w:w="1380" w:type="dxa"/>
            <w:shd w:val="clear" w:color="auto" w:fill="1F3A5F"/>
          </w:tcPr>
          <w:p>
            <w:pPr>
              <w:pStyle w:val="Compact"/>
              <w:spacing w:after="40"/>
              <w:jc w:val="left"/>
            </w:pPr>
            <w:r>
              <w:rPr>
                <w:b/>
                <w:color w:val="FFFFFF"/>
                <w:sz w:val="18"/>
              </w:rPr>
              <w:t xml:space="preserve">Trigger</w:t>
            </w:r>
          </w:p>
        </w:tc>
        <w:tc>
          <w:tcPr>
            <w:tcW w:w="2055" w:type="dxa"/>
            <w:shd w:val="clear" w:color="auto" w:fill="1F3A5F"/>
          </w:tcPr>
          <w:p>
            <w:pPr>
              <w:pStyle w:val="Compact"/>
              <w:spacing w:after="40"/>
              <w:jc w:val="left"/>
            </w:pPr>
            <w:r>
              <w:rPr>
                <w:b/>
                <w:color w:val="FFFFFF"/>
                <w:sz w:val="18"/>
              </w:rPr>
              <w:t xml:space="preserve">Key payload fields</w:t>
            </w:r>
          </w:p>
        </w:tc>
        <w:tc>
          <w:tcPr>
            <w:tcW w:w="978" w:type="dxa"/>
            <w:shd w:val="clear" w:color="auto" w:fill="1F3A5F"/>
          </w:tcPr>
          <w:p>
            <w:pPr>
              <w:pStyle w:val="Compact"/>
              <w:spacing w:after="40"/>
              <w:jc w:val="left"/>
            </w:pPr>
            <w:r>
              <w:rPr>
                <w:b/>
                <w:color w:val="FFFFFF"/>
                <w:sz w:val="18"/>
              </w:rPr>
              <w:t xml:space="preserve">Owner</w:t>
            </w:r>
          </w:p>
        </w:tc>
        <w:tc>
          <w:tcPr>
            <w:tcW w:w="1349" w:type="dxa"/>
            <w:shd w:val="clear" w:color="auto" w:fill="1F3A5F"/>
          </w:tcPr>
          <w:p>
            <w:pPr>
              <w:pStyle w:val="Compact"/>
              <w:spacing w:after="40"/>
              <w:jc w:val="left"/>
            </w:pPr>
            <w:r>
              <w:rPr>
                <w:b/>
                <w:color w:val="FFFFFF"/>
                <w:sz w:val="18"/>
              </w:rPr>
              <w:t xml:space="preserve">Idempotency key</w:t>
            </w:r>
          </w:p>
        </w:tc>
        <w:tc>
          <w:tcPr>
            <w:tcW w:w="1000" w:type="dxa"/>
            <w:shd w:val="clear" w:color="auto" w:fill="1F3A5F"/>
          </w:tcPr>
          <w:p>
            <w:pPr>
              <w:pStyle w:val="Compact"/>
              <w:spacing w:after="40"/>
              <w:jc w:val="left"/>
            </w:pPr>
            <w:r>
              <w:rPr>
                <w:b/>
                <w:color w:val="FFFFFF"/>
                <w:sz w:val="18"/>
              </w:rPr>
              <w:t xml:space="preserve">SLA</w:t>
            </w:r>
          </w:p>
        </w:tc>
      </w:tr>
      <w:tr>
        <w:tc>
          <w:tcPr>
            <w:tcW w:w="1467" w:type="dxa"/>
          </w:tcPr>
          <w:p>
            <w:pPr>
              <w:pStyle w:val="Compact"/>
              <w:spacing w:after="40"/>
              <w:jc w:val="left"/>
            </w:pPr>
            <w:r>
              <w:rPr>
                <w:rStyle w:val="VerbatimChar"/>
                <w:sz w:val="18"/>
              </w:rPr>
              <w:t xml:space="preserve">DocumentShared</w:t>
            </w:r>
            <w:r>
              <w:rPr>
                <w:sz w:val="18"/>
              </w:rPr>
              <w:t xml:space="preserve"> </w:t>
            </w:r>
            <w:r>
              <w:rPr>
                <w:sz w:val="18"/>
              </w:rPr>
              <w:t xml:space="preserve">(N+)</w:t>
            </w:r>
          </w:p>
        </w:tc>
        <w:tc>
          <w:tcPr>
            <w:tcW w:w="1409" w:type="dxa"/>
          </w:tcPr>
          <w:p>
            <w:pPr>
              <w:pStyle w:val="Compact"/>
              <w:spacing w:after="40"/>
              <w:jc w:val="left"/>
            </w:pPr>
            <w:r>
              <w:rPr>
                <w:sz w:val="18"/>
              </w:rPr>
              <w:t xml:space="preserve">Any → permitted consumer</w:t>
            </w:r>
          </w:p>
        </w:tc>
        <w:tc>
          <w:tcPr>
            <w:tcW w:w="1380" w:type="dxa"/>
          </w:tcPr>
          <w:p>
            <w:pPr>
              <w:pStyle w:val="Compact"/>
              <w:spacing w:after="40"/>
              <w:jc w:val="left"/>
            </w:pPr>
            <w:r>
              <w:rPr>
                <w:sz w:val="18"/>
              </w:rPr>
              <w:t xml:space="preserve">Document made available</w:t>
            </w:r>
          </w:p>
        </w:tc>
        <w:tc>
          <w:tcPr>
            <w:tcW w:w="2055" w:type="dxa"/>
          </w:tcPr>
          <w:p>
            <w:pPr>
              <w:pStyle w:val="Compact"/>
              <w:spacing w:after="40"/>
              <w:jc w:val="left"/>
            </w:pPr>
            <w:r>
              <w:rPr>
                <w:sz w:val="18"/>
              </w:rPr>
              <w:t xml:space="preserve">type, sha256, JWS, retention class, legal hold</w:t>
            </w:r>
          </w:p>
        </w:tc>
        <w:tc>
          <w:tcPr>
            <w:tcW w:w="978" w:type="dxa"/>
          </w:tcPr>
          <w:p>
            <w:pPr>
              <w:pStyle w:val="Compact"/>
              <w:spacing w:after="40"/>
              <w:jc w:val="left"/>
            </w:pPr>
            <w:r>
              <w:rPr>
                <w:sz w:val="18"/>
              </w:rPr>
              <w:t xml:space="preserve">Producer</w:t>
            </w:r>
          </w:p>
        </w:tc>
        <w:tc>
          <w:tcPr>
            <w:tcW w:w="1349" w:type="dxa"/>
          </w:tcPr>
          <w:p>
            <w:pPr>
              <w:pStyle w:val="Compact"/>
              <w:spacing w:after="40"/>
              <w:jc w:val="left"/>
            </w:pPr>
            <w:r>
              <w:rPr>
                <w:sz w:val="18"/>
              </w:rPr>
              <w:t xml:space="preserve">(document_id, version)</w:t>
            </w:r>
          </w:p>
        </w:tc>
        <w:tc>
          <w:tcPr>
            <w:tcW w:w="1000" w:type="dxa"/>
          </w:tcPr>
          <w:p>
            <w:pPr>
              <w:pStyle w:val="Compact"/>
              <w:spacing w:after="40"/>
              <w:jc w:val="left"/>
            </w:pPr>
            <w:r>
              <w:rPr>
                <w:sz w:val="18"/>
              </w:rPr>
              <w:t xml:space="preserve">std</w:t>
            </w:r>
          </w:p>
        </w:tc>
      </w:tr>
      <w:tr>
        <w:tc>
          <w:tcPr>
            <w:tcW w:w="1467" w:type="dxa"/>
          </w:tcPr>
          <w:p>
            <w:pPr>
              <w:pStyle w:val="Compact"/>
              <w:spacing w:after="40"/>
              <w:jc w:val="left"/>
            </w:pPr>
            <w:r>
              <w:rPr>
                <w:sz w:val="18"/>
              </w:rPr>
              <w:t xml:space="preserve">API</w:t>
            </w:r>
            <w:r>
              <w:rPr>
                <w:sz w:val="18"/>
              </w:rPr>
              <w:t xml:space="preserve"> </w:t>
            </w:r>
            <w:r>
              <w:rPr>
                <w:rStyle w:val="VerbatimChar"/>
                <w:sz w:val="18"/>
              </w:rPr>
              <w:t xml:space="preserve">GET /v1/documents/{id}</w:t>
            </w:r>
          </w:p>
        </w:tc>
        <w:tc>
          <w:tcPr>
            <w:tcW w:w="1409" w:type="dxa"/>
          </w:tcPr>
          <w:p>
            <w:pPr>
              <w:pStyle w:val="Compact"/>
              <w:spacing w:after="40"/>
              <w:jc w:val="left"/>
            </w:pPr>
            <w:r>
              <w:rPr>
                <w:sz w:val="18"/>
              </w:rPr>
              <w:t xml:space="preserve">Consumer → producer</w:t>
            </w:r>
          </w:p>
        </w:tc>
        <w:tc>
          <w:tcPr>
            <w:tcW w:w="1380" w:type="dxa"/>
          </w:tcPr>
          <w:p>
            <w:pPr>
              <w:pStyle w:val="Compact"/>
              <w:spacing w:after="40"/>
              <w:jc w:val="left"/>
            </w:pPr>
            <w:r>
              <w:rPr>
                <w:sz w:val="18"/>
              </w:rPr>
              <w:t xml:space="preserve">Retrieve</w:t>
            </w:r>
          </w:p>
        </w:tc>
        <w:tc>
          <w:tcPr>
            <w:tcW w:w="2055" w:type="dxa"/>
          </w:tcPr>
          <w:p>
            <w:pPr>
              <w:pStyle w:val="Compact"/>
              <w:spacing w:after="40"/>
              <w:jc w:val="left"/>
            </w:pPr>
            <w:r>
              <w:rPr>
                <w:sz w:val="18"/>
              </w:rPr>
              <w:t xml:space="preserve">signed India-hosted URL valid ≤ 15 min, sha256, JWS</w:t>
            </w:r>
          </w:p>
        </w:tc>
        <w:tc>
          <w:tcPr>
            <w:tcW w:w="978" w:type="dxa"/>
          </w:tcPr>
          <w:p>
            <w:pPr>
              <w:pStyle w:val="Compact"/>
              <w:spacing w:after="40"/>
              <w:jc w:val="left"/>
            </w:pPr>
            <w:r>
              <w:rPr>
                <w:sz w:val="18"/>
              </w:rPr>
              <w:t xml:space="preserve">Producer</w:t>
            </w:r>
          </w:p>
        </w:tc>
        <w:tc>
          <w:tcPr>
            <w:tcW w:w="1349" w:type="dxa"/>
          </w:tcPr>
          <w:p>
            <w:pPr>
              <w:pStyle w:val="Compact"/>
              <w:spacing w:after="40"/>
              <w:jc w:val="left"/>
            </w:pPr>
            <w:r>
              <w:rPr>
                <w:sz w:val="18"/>
              </w:rPr>
              <w:t xml:space="preserve">n/a</w:t>
            </w:r>
          </w:p>
        </w:tc>
        <w:tc>
          <w:tcPr>
            <w:tcW w:w="1000" w:type="dxa"/>
          </w:tcPr>
          <w:p>
            <w:pPr>
              <w:pStyle w:val="Compact"/>
              <w:spacing w:after="40"/>
              <w:jc w:val="left"/>
            </w:pPr>
            <w:r>
              <w:rPr>
                <w:sz w:val="18"/>
              </w:rPr>
              <w:t xml:space="preserve">p95 ≤ 800 ms</w:t>
            </w:r>
          </w:p>
        </w:tc>
      </w:tr>
    </w:tbl>
    <w:bookmarkEnd w:id="60"/>
    <w:bookmarkStart w:id="61" w:name="consent-and-privacy-privacy"/>
    <w:p>
      <w:pPr>
        <w:pStyle w:val="Heading2"/>
      </w:pPr>
      <w:r>
        <w:t xml:space="preserve">6.14 Consent and privacy (</w:t>
      </w:r>
      <w:r>
        <w:rPr>
          <w:rStyle w:val="VerbatimChar"/>
        </w:rPr>
        <w:t xml:space="preserve">privacy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00"/>
        <w:gridCol w:w="1166"/>
        <w:gridCol w:w="1768"/>
        <w:gridCol w:w="1739"/>
        <w:gridCol w:w="978"/>
        <w:gridCol w:w="1145"/>
        <w:gridCol w:w="1742"/>
      </w:tblGrid>
      <w:tr>
        <w:trPr>
          <w:tblHeader w:val="true"/>
          <w:tblHeader w:val="true"/>
        </w:trPr>
        <w:tc>
          <w:tcPr>
            <w:tcW w:w="1100" w:type="dxa"/>
            <w:shd w:val="clear" w:color="auto" w:fill="1F3A5F"/>
          </w:tcPr>
          <w:p>
            <w:pPr>
              <w:pStyle w:val="Compact"/>
              <w:spacing w:after="40"/>
              <w:jc w:val="left"/>
            </w:pPr>
            <w:r>
              <w:rPr>
                <w:b/>
                <w:color w:val="FFFFFF"/>
                <w:sz w:val="18"/>
              </w:rPr>
              <w:t xml:space="preserve">Event or API</w:t>
            </w:r>
          </w:p>
        </w:tc>
        <w:tc>
          <w:tcPr>
            <w:tcW w:w="1166" w:type="dxa"/>
            <w:shd w:val="clear" w:color="auto" w:fill="1F3A5F"/>
          </w:tcPr>
          <w:p>
            <w:pPr>
              <w:pStyle w:val="Compact"/>
              <w:spacing w:after="40"/>
              <w:jc w:val="left"/>
            </w:pPr>
            <w:r>
              <w:rPr>
                <w:b/>
                <w:color w:val="FFFFFF"/>
                <w:sz w:val="18"/>
              </w:rPr>
              <w:t xml:space="preserve">Producer → consumer(s)</w:t>
            </w:r>
          </w:p>
        </w:tc>
        <w:tc>
          <w:tcPr>
            <w:tcW w:w="1768" w:type="dxa"/>
            <w:shd w:val="clear" w:color="auto" w:fill="1F3A5F"/>
          </w:tcPr>
          <w:p>
            <w:pPr>
              <w:pStyle w:val="Compact"/>
              <w:spacing w:after="40"/>
              <w:jc w:val="left"/>
            </w:pPr>
            <w:r>
              <w:rPr>
                <w:b/>
                <w:color w:val="FFFFFF"/>
                <w:sz w:val="18"/>
              </w:rPr>
              <w:t xml:space="preserve">Trigger</w:t>
            </w:r>
          </w:p>
        </w:tc>
        <w:tc>
          <w:tcPr>
            <w:tcW w:w="1739" w:type="dxa"/>
            <w:shd w:val="clear" w:color="auto" w:fill="1F3A5F"/>
          </w:tcPr>
          <w:p>
            <w:pPr>
              <w:pStyle w:val="Compact"/>
              <w:spacing w:after="40"/>
              <w:jc w:val="left"/>
            </w:pPr>
            <w:r>
              <w:rPr>
                <w:b/>
                <w:color w:val="FFFFFF"/>
                <w:sz w:val="18"/>
              </w:rPr>
              <w:t xml:space="preserve">Key payload fields</w:t>
            </w:r>
          </w:p>
        </w:tc>
        <w:tc>
          <w:tcPr>
            <w:tcW w:w="978" w:type="dxa"/>
            <w:shd w:val="clear" w:color="auto" w:fill="1F3A5F"/>
          </w:tcPr>
          <w:p>
            <w:pPr>
              <w:pStyle w:val="Compact"/>
              <w:spacing w:after="40"/>
              <w:jc w:val="left"/>
            </w:pPr>
            <w:r>
              <w:rPr>
                <w:b/>
                <w:color w:val="FFFFFF"/>
                <w:sz w:val="18"/>
              </w:rPr>
              <w:t xml:space="preserve">Owner</w:t>
            </w:r>
          </w:p>
        </w:tc>
        <w:tc>
          <w:tcPr>
            <w:tcW w:w="1145" w:type="dxa"/>
            <w:shd w:val="clear" w:color="auto" w:fill="1F3A5F"/>
          </w:tcPr>
          <w:p>
            <w:pPr>
              <w:pStyle w:val="Compact"/>
              <w:spacing w:after="40"/>
              <w:jc w:val="left"/>
            </w:pPr>
            <w:r>
              <w:rPr>
                <w:b/>
                <w:color w:val="FFFFFF"/>
                <w:sz w:val="18"/>
              </w:rPr>
              <w:t xml:space="preserve">Idempotency key</w:t>
            </w:r>
          </w:p>
        </w:tc>
        <w:tc>
          <w:tcPr>
            <w:tcW w:w="1742" w:type="dxa"/>
            <w:shd w:val="clear" w:color="auto" w:fill="1F3A5F"/>
          </w:tcPr>
          <w:p>
            <w:pPr>
              <w:pStyle w:val="Compact"/>
              <w:spacing w:after="40"/>
              <w:jc w:val="left"/>
            </w:pPr>
            <w:r>
              <w:rPr>
                <w:b/>
                <w:color w:val="FFFFFF"/>
                <w:sz w:val="18"/>
              </w:rPr>
              <w:t xml:space="preserve">SLA</w:t>
            </w:r>
          </w:p>
        </w:tc>
      </w:tr>
      <w:tr>
        <w:tc>
          <w:tcPr>
            <w:tcW w:w="1100" w:type="dxa"/>
          </w:tcPr>
          <w:p>
            <w:pPr>
              <w:pStyle w:val="Compact"/>
              <w:spacing w:after="40"/>
              <w:jc w:val="left"/>
            </w:pPr>
            <w:r>
              <w:rPr>
                <w:rStyle w:val="VerbatimChar"/>
                <w:sz w:val="18"/>
              </w:rPr>
              <w:t xml:space="preserve">ConsentRecorded</w:t>
            </w:r>
            <w:r>
              <w:rPr>
                <w:sz w:val="18"/>
              </w:rPr>
              <w:t xml:space="preserve"> </w:t>
            </w:r>
            <w:r>
              <w:rPr>
                <w:sz w:val="18"/>
              </w:rPr>
              <w:t xml:space="preserve">(N+)</w:t>
            </w:r>
          </w:p>
        </w:tc>
        <w:tc>
          <w:tcPr>
            <w:tcW w:w="1166" w:type="dxa"/>
          </w:tcPr>
          <w:p>
            <w:pPr>
              <w:pStyle w:val="Compact"/>
              <w:spacing w:after="40"/>
              <w:jc w:val="left"/>
            </w:pPr>
            <w:r>
              <w:rPr>
                <w:sz w:val="18"/>
              </w:rPr>
              <w:t xml:space="preserve">Capturer → named recipients</w:t>
            </w:r>
          </w:p>
        </w:tc>
        <w:tc>
          <w:tcPr>
            <w:tcW w:w="1768" w:type="dxa"/>
          </w:tcPr>
          <w:p>
            <w:pPr>
              <w:pStyle w:val="Compact"/>
              <w:spacing w:after="40"/>
              <w:jc w:val="left"/>
            </w:pPr>
            <w:r>
              <w:rPr>
                <w:sz w:val="18"/>
              </w:rPr>
              <w:t xml:space="preserve">Consent captured after the application (holdings, ADR sharing)</w:t>
            </w:r>
          </w:p>
        </w:tc>
        <w:tc>
          <w:tcPr>
            <w:tcW w:w="1739" w:type="dxa"/>
          </w:tcPr>
          <w:p>
            <w:pPr>
              <w:pStyle w:val="Compact"/>
              <w:spacing w:after="40"/>
              <w:jc w:val="left"/>
            </w:pPr>
            <w:r>
              <w:rPr>
                <w:sz w:val="18"/>
              </w:rPr>
              <w:t xml:space="preserve">consent artefact (Part 5.2 row 29)</w:t>
            </w:r>
          </w:p>
        </w:tc>
        <w:tc>
          <w:tcPr>
            <w:tcW w:w="978" w:type="dxa"/>
          </w:tcPr>
          <w:p>
            <w:pPr>
              <w:pStyle w:val="Compact"/>
              <w:spacing w:after="40"/>
              <w:jc w:val="left"/>
            </w:pPr>
            <w:r>
              <w:rPr>
                <w:sz w:val="18"/>
              </w:rPr>
              <w:t xml:space="preserve">Capturer</w:t>
            </w:r>
          </w:p>
        </w:tc>
        <w:tc>
          <w:tcPr>
            <w:tcW w:w="1145" w:type="dxa"/>
          </w:tcPr>
          <w:p>
            <w:pPr>
              <w:pStyle w:val="Compact"/>
              <w:spacing w:after="40"/>
              <w:jc w:val="left"/>
            </w:pPr>
            <w:r>
              <w:rPr>
                <w:sz w:val="18"/>
              </w:rPr>
              <w:t xml:space="preserve">consentref</w:t>
            </w:r>
          </w:p>
        </w:tc>
        <w:tc>
          <w:tcPr>
            <w:tcW w:w="1742" w:type="dxa"/>
          </w:tcPr>
          <w:p>
            <w:pPr>
              <w:pStyle w:val="Compact"/>
              <w:spacing w:after="40"/>
              <w:jc w:val="left"/>
            </w:pPr>
            <w:r>
              <w:rPr>
                <w:sz w:val="18"/>
              </w:rPr>
              <w:t xml:space="preserve">std</w:t>
            </w:r>
          </w:p>
        </w:tc>
      </w:tr>
      <w:tr>
        <w:tc>
          <w:tcPr>
            <w:tcW w:w="1100" w:type="dxa"/>
          </w:tcPr>
          <w:p>
            <w:pPr>
              <w:pStyle w:val="Compact"/>
              <w:spacing w:after="40"/>
              <w:jc w:val="left"/>
            </w:pPr>
            <w:r>
              <w:rPr>
                <w:rStyle w:val="VerbatimChar"/>
                <w:sz w:val="18"/>
              </w:rPr>
              <w:t xml:space="preserve">ConsentWithdrawn</w:t>
            </w:r>
            <w:r>
              <w:rPr>
                <w:sz w:val="18"/>
              </w:rPr>
              <w:t xml:space="preserve"> </w:t>
            </w:r>
            <w:r>
              <w:rPr>
                <w:sz w:val="18"/>
              </w:rPr>
              <w:t xml:space="preserve">(A)</w:t>
            </w:r>
          </w:p>
        </w:tc>
        <w:tc>
          <w:tcPr>
            <w:tcW w:w="1166" w:type="dxa"/>
          </w:tcPr>
          <w:p>
            <w:pPr>
              <w:pStyle w:val="Compact"/>
              <w:spacing w:after="40"/>
              <w:jc w:val="left"/>
            </w:pPr>
            <w:r>
              <w:rPr>
                <w:sz w:val="18"/>
              </w:rPr>
              <w:t xml:space="preserve">Capturer → every recipient</w:t>
            </w:r>
          </w:p>
        </w:tc>
        <w:tc>
          <w:tcPr>
            <w:tcW w:w="1768" w:type="dxa"/>
          </w:tcPr>
          <w:p>
            <w:pPr>
              <w:pStyle w:val="Compact"/>
              <w:spacing w:after="40"/>
              <w:jc w:val="left"/>
            </w:pPr>
            <w:r>
              <w:rPr>
                <w:sz w:val="18"/>
              </w:rPr>
              <w:t xml:space="preserve">Withdrawal</w:t>
            </w:r>
          </w:p>
        </w:tc>
        <w:tc>
          <w:tcPr>
            <w:tcW w:w="1739" w:type="dxa"/>
          </w:tcPr>
          <w:p>
            <w:pPr>
              <w:pStyle w:val="Compact"/>
              <w:spacing w:after="40"/>
              <w:jc w:val="left"/>
            </w:pPr>
            <w:r>
              <w:rPr>
                <w:sz w:val="18"/>
              </w:rPr>
              <w:t xml:space="preserve">scope, withdrawn_at; processing stops except legal retention</w:t>
            </w:r>
          </w:p>
        </w:tc>
        <w:tc>
          <w:tcPr>
            <w:tcW w:w="978" w:type="dxa"/>
          </w:tcPr>
          <w:p>
            <w:pPr>
              <w:pStyle w:val="Compact"/>
              <w:spacing w:after="40"/>
              <w:jc w:val="left"/>
            </w:pPr>
            <w:r>
              <w:rPr>
                <w:sz w:val="18"/>
              </w:rPr>
              <w:t xml:space="preserve">Capturer</w:t>
            </w:r>
          </w:p>
        </w:tc>
        <w:tc>
          <w:tcPr>
            <w:tcW w:w="1145" w:type="dxa"/>
          </w:tcPr>
          <w:p>
            <w:pPr>
              <w:pStyle w:val="Compact"/>
              <w:spacing w:after="40"/>
              <w:jc w:val="left"/>
            </w:pPr>
            <w:r>
              <w:rPr>
                <w:sz w:val="18"/>
              </w:rPr>
              <w:t xml:space="preserve">(consentref, withdrawn_at)</w:t>
            </w:r>
          </w:p>
        </w:tc>
        <w:tc>
          <w:tcPr>
            <w:tcW w:w="1742" w:type="dxa"/>
          </w:tcPr>
          <w:p>
            <w:pPr>
              <w:pStyle w:val="Compact"/>
              <w:spacing w:after="40"/>
              <w:jc w:val="left"/>
            </w:pPr>
            <w:r>
              <w:rPr>
                <w:sz w:val="18"/>
              </w:rPr>
              <w:t xml:space="preserve">≤ 1 h [REC]</w:t>
            </w:r>
          </w:p>
        </w:tc>
      </w:tr>
      <w:tr>
        <w:tc>
          <w:tcPr>
            <w:tcW w:w="1100" w:type="dxa"/>
          </w:tcPr>
          <w:p>
            <w:pPr>
              <w:pStyle w:val="Compact"/>
              <w:spacing w:after="40"/>
              <w:jc w:val="left"/>
            </w:pPr>
            <w:r>
              <w:rPr>
                <w:rStyle w:val="VerbatimChar"/>
                <w:sz w:val="18"/>
              </w:rPr>
              <w:t xml:space="preserve">DataPrincipalRequest</w:t>
            </w:r>
            <w:r>
              <w:rPr>
                <w:sz w:val="18"/>
              </w:rPr>
              <w:t xml:space="preserve"> </w:t>
            </w:r>
            <w:r>
              <w:rPr>
                <w:sz w:val="18"/>
              </w:rPr>
              <w:t xml:space="preserve">(A)</w:t>
            </w:r>
          </w:p>
        </w:tc>
        <w:tc>
          <w:tcPr>
            <w:tcW w:w="1166" w:type="dxa"/>
          </w:tcPr>
          <w:p>
            <w:pPr>
              <w:pStyle w:val="Compact"/>
              <w:spacing w:after="40"/>
              <w:jc w:val="left"/>
            </w:pPr>
            <w:r>
              <w:rPr>
                <w:sz w:val="18"/>
              </w:rPr>
              <w:t xml:space="preserve">Any ↔ any</w:t>
            </w:r>
          </w:p>
        </w:tc>
        <w:tc>
          <w:tcPr>
            <w:tcW w:w="1768" w:type="dxa"/>
          </w:tcPr>
          <w:p>
            <w:pPr>
              <w:pStyle w:val="Compact"/>
              <w:spacing w:after="40"/>
              <w:jc w:val="left"/>
            </w:pPr>
            <w:r>
              <w:rPr>
                <w:sz w:val="18"/>
              </w:rPr>
              <w:t xml:space="preserve">Access, correction, erasure, grievance, nomination; status</w:t>
            </w:r>
          </w:p>
        </w:tc>
        <w:tc>
          <w:tcPr>
            <w:tcW w:w="1739" w:type="dxa"/>
          </w:tcPr>
          <w:p>
            <w:pPr>
              <w:pStyle w:val="Compact"/>
              <w:spacing w:after="40"/>
              <w:jc w:val="left"/>
            </w:pPr>
            <w:r>
              <w:rPr>
                <w:sz w:val="18"/>
              </w:rPr>
              <w:t xml:space="preserve">type, party_ref, scope, status, due</w:t>
            </w:r>
          </w:p>
        </w:tc>
        <w:tc>
          <w:tcPr>
            <w:tcW w:w="978" w:type="dxa"/>
          </w:tcPr>
          <w:p>
            <w:pPr>
              <w:pStyle w:val="Compact"/>
              <w:spacing w:after="40"/>
              <w:jc w:val="left"/>
            </w:pPr>
            <w:r>
              <w:rPr>
                <w:sz w:val="18"/>
              </w:rPr>
              <w:t xml:space="preserve">Receiving fiduciary</w:t>
            </w:r>
          </w:p>
        </w:tc>
        <w:tc>
          <w:tcPr>
            <w:tcW w:w="1145" w:type="dxa"/>
          </w:tcPr>
          <w:p>
            <w:pPr>
              <w:pStyle w:val="Compact"/>
              <w:spacing w:after="40"/>
              <w:jc w:val="left"/>
            </w:pPr>
            <w:r>
              <w:rPr>
                <w:sz w:val="18"/>
              </w:rPr>
              <w:t xml:space="preserve">(request_id, status)</w:t>
            </w:r>
          </w:p>
        </w:tc>
        <w:tc>
          <w:tcPr>
            <w:tcW w:w="1742" w:type="dxa"/>
          </w:tcPr>
          <w:p>
            <w:pPr>
              <w:pStyle w:val="Compact"/>
              <w:spacing w:after="40"/>
              <w:jc w:val="left"/>
            </w:pPr>
            <w:r>
              <w:rPr>
                <w:sz w:val="18"/>
              </w:rPr>
              <w:t xml:space="preserve">Forward ≤ 1 working day [REC]; DPDP Rules timelines [VERIFY]</w:t>
            </w:r>
          </w:p>
        </w:tc>
      </w:tr>
      <w:tr>
        <w:tc>
          <w:tcPr>
            <w:tcW w:w="1100" w:type="dxa"/>
          </w:tcPr>
          <w:p>
            <w:pPr>
              <w:pStyle w:val="Compact"/>
              <w:spacing w:after="40"/>
              <w:jc w:val="left"/>
            </w:pPr>
            <w:r>
              <w:rPr>
                <w:rStyle w:val="VerbatimChar"/>
                <w:sz w:val="18"/>
              </w:rPr>
              <w:t xml:space="preserve">LegalHoldChanged</w:t>
            </w:r>
            <w:r>
              <w:rPr>
                <w:sz w:val="18"/>
              </w:rPr>
              <w:t xml:space="preserve"> </w:t>
            </w:r>
            <w:r>
              <w:rPr>
                <w:sz w:val="18"/>
              </w:rPr>
              <w:t xml:space="preserve">(N+)</w:t>
            </w:r>
          </w:p>
        </w:tc>
        <w:tc>
          <w:tcPr>
            <w:tcW w:w="1166" w:type="dxa"/>
          </w:tcPr>
          <w:p>
            <w:pPr>
              <w:pStyle w:val="Compact"/>
              <w:spacing w:after="40"/>
              <w:jc w:val="left"/>
            </w:pPr>
            <w:r>
              <w:rPr>
                <w:sz w:val="18"/>
              </w:rPr>
              <w:t xml:space="preserve">RS, FX → every holder</w:t>
            </w:r>
          </w:p>
        </w:tc>
        <w:tc>
          <w:tcPr>
            <w:tcW w:w="1768" w:type="dxa"/>
          </w:tcPr>
          <w:p>
            <w:pPr>
              <w:pStyle w:val="Compact"/>
              <w:spacing w:after="40"/>
              <w:jc w:val="left"/>
            </w:pPr>
            <w:r>
              <w:rPr>
                <w:sz w:val="18"/>
              </w:rPr>
              <w:t xml:space="preserve">Hold applied or released</w:t>
            </w:r>
          </w:p>
        </w:tc>
        <w:tc>
          <w:tcPr>
            <w:tcW w:w="1739" w:type="dxa"/>
          </w:tcPr>
          <w:p>
            <w:pPr>
              <w:pStyle w:val="Compact"/>
              <w:spacing w:after="40"/>
              <w:jc w:val="left"/>
            </w:pPr>
            <w:r>
              <w:rPr>
                <w:sz w:val="18"/>
              </w:rPr>
              <w:t xml:space="preserve">scope (party, loan, case), reason, start, end</w:t>
            </w:r>
          </w:p>
        </w:tc>
        <w:tc>
          <w:tcPr>
            <w:tcW w:w="978" w:type="dxa"/>
          </w:tcPr>
          <w:p>
            <w:pPr>
              <w:pStyle w:val="Compact"/>
              <w:spacing w:after="40"/>
              <w:jc w:val="left"/>
            </w:pPr>
            <w:r>
              <w:rPr>
                <w:sz w:val="18"/>
              </w:rPr>
              <w:t xml:space="preserve">RS or FX</w:t>
            </w:r>
          </w:p>
        </w:tc>
        <w:tc>
          <w:tcPr>
            <w:tcW w:w="1145" w:type="dxa"/>
          </w:tcPr>
          <w:p>
            <w:pPr>
              <w:pStyle w:val="Compact"/>
              <w:spacing w:after="40"/>
              <w:jc w:val="left"/>
            </w:pPr>
            <w:r>
              <w:rPr>
                <w:sz w:val="18"/>
              </w:rPr>
              <w:t xml:space="preserve">(hold_id, version)</w:t>
            </w:r>
          </w:p>
        </w:tc>
        <w:tc>
          <w:tcPr>
            <w:tcW w:w="1742" w:type="dxa"/>
          </w:tcPr>
          <w:p>
            <w:pPr>
              <w:pStyle w:val="Compact"/>
              <w:spacing w:after="40"/>
              <w:jc w:val="left"/>
            </w:pPr>
            <w:r>
              <w:rPr>
                <w:sz w:val="18"/>
              </w:rPr>
              <w:t xml:space="preserve">≤ 1 h; deletion suspended</w:t>
            </w:r>
          </w:p>
        </w:tc>
      </w:tr>
    </w:tbl>
    <w:bookmarkEnd w:id="61"/>
    <w:bookmarkStart w:id="62" w:name="compliance-and-grc-grc"/>
    <w:p>
      <w:pPr>
        <w:pStyle w:val="Heading2"/>
      </w:pPr>
      <w:r>
        <w:t xml:space="preserve">6.15 Compliance and GRC (</w:t>
      </w:r>
      <w:r>
        <w:rPr>
          <w:rStyle w:val="VerbatimChar"/>
        </w:rPr>
        <w:t xml:space="preserve">grc</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55"/>
        <w:gridCol w:w="1848"/>
        <w:gridCol w:w="1349"/>
        <w:gridCol w:w="1349"/>
        <w:gridCol w:w="817"/>
        <w:gridCol w:w="1037"/>
        <w:gridCol w:w="2183"/>
      </w:tblGrid>
      <w:tr>
        <w:trPr>
          <w:tblHeader w:val="true"/>
          <w:tblHeader w:val="true"/>
        </w:trPr>
        <w:tc>
          <w:tcPr>
            <w:tcW w:w="1055" w:type="dxa"/>
            <w:shd w:val="clear" w:color="auto" w:fill="1F3A5F"/>
          </w:tcPr>
          <w:p>
            <w:pPr>
              <w:pStyle w:val="Compact"/>
              <w:spacing w:after="40"/>
              <w:jc w:val="left"/>
            </w:pPr>
            <w:r>
              <w:rPr>
                <w:b/>
                <w:color w:val="FFFFFF"/>
                <w:sz w:val="18"/>
              </w:rPr>
              <w:t xml:space="preserve">Event or API</w:t>
            </w:r>
          </w:p>
        </w:tc>
        <w:tc>
          <w:tcPr>
            <w:tcW w:w="1848" w:type="dxa"/>
            <w:shd w:val="clear" w:color="auto" w:fill="1F3A5F"/>
          </w:tcPr>
          <w:p>
            <w:pPr>
              <w:pStyle w:val="Compact"/>
              <w:spacing w:after="40"/>
              <w:jc w:val="left"/>
            </w:pPr>
            <w:r>
              <w:rPr>
                <w:b/>
                <w:color w:val="FFFFFF"/>
                <w:sz w:val="18"/>
              </w:rPr>
              <w:t xml:space="preserve">Producer → consumer(s)</w:t>
            </w:r>
          </w:p>
        </w:tc>
        <w:tc>
          <w:tcPr>
            <w:tcW w:w="1349" w:type="dxa"/>
            <w:shd w:val="clear" w:color="auto" w:fill="1F3A5F"/>
          </w:tcPr>
          <w:p>
            <w:pPr>
              <w:pStyle w:val="Compact"/>
              <w:spacing w:after="40"/>
              <w:jc w:val="left"/>
            </w:pPr>
            <w:r>
              <w:rPr>
                <w:b/>
                <w:color w:val="FFFFFF"/>
                <w:sz w:val="18"/>
              </w:rPr>
              <w:t xml:space="preserve">Trigger</w:t>
            </w:r>
          </w:p>
        </w:tc>
        <w:tc>
          <w:tcPr>
            <w:tcW w:w="1349" w:type="dxa"/>
            <w:shd w:val="clear" w:color="auto" w:fill="1F3A5F"/>
          </w:tcPr>
          <w:p>
            <w:pPr>
              <w:pStyle w:val="Compact"/>
              <w:spacing w:after="40"/>
              <w:jc w:val="left"/>
            </w:pPr>
            <w:r>
              <w:rPr>
                <w:b/>
                <w:color w:val="FFFFFF"/>
                <w:sz w:val="18"/>
              </w:rPr>
              <w:t xml:space="preserve">Key payload fields</w:t>
            </w:r>
          </w:p>
        </w:tc>
        <w:tc>
          <w:tcPr>
            <w:tcW w:w="817" w:type="dxa"/>
            <w:shd w:val="clear" w:color="auto" w:fill="1F3A5F"/>
          </w:tcPr>
          <w:p>
            <w:pPr>
              <w:pStyle w:val="Compact"/>
              <w:spacing w:after="40"/>
              <w:jc w:val="left"/>
            </w:pPr>
            <w:r>
              <w:rPr>
                <w:b/>
                <w:color w:val="FFFFFF"/>
                <w:sz w:val="18"/>
              </w:rPr>
              <w:t xml:space="preserve">Owner</w:t>
            </w:r>
          </w:p>
        </w:tc>
        <w:tc>
          <w:tcPr>
            <w:tcW w:w="1037" w:type="dxa"/>
            <w:shd w:val="clear" w:color="auto" w:fill="1F3A5F"/>
          </w:tcPr>
          <w:p>
            <w:pPr>
              <w:pStyle w:val="Compact"/>
              <w:spacing w:after="40"/>
              <w:jc w:val="left"/>
            </w:pPr>
            <w:r>
              <w:rPr>
                <w:b/>
                <w:color w:val="FFFFFF"/>
                <w:sz w:val="18"/>
              </w:rPr>
              <w:t xml:space="preserve">Idempotency key</w:t>
            </w:r>
          </w:p>
        </w:tc>
        <w:tc>
          <w:tcPr>
            <w:tcW w:w="2183" w:type="dxa"/>
            <w:shd w:val="clear" w:color="auto" w:fill="1F3A5F"/>
          </w:tcPr>
          <w:p>
            <w:pPr>
              <w:pStyle w:val="Compact"/>
              <w:spacing w:after="40"/>
              <w:jc w:val="left"/>
            </w:pPr>
            <w:r>
              <w:rPr>
                <w:b/>
                <w:color w:val="FFFFFF"/>
                <w:sz w:val="18"/>
              </w:rPr>
              <w:t xml:space="preserve">SLA</w:t>
            </w:r>
          </w:p>
        </w:tc>
      </w:tr>
      <w:tr>
        <w:tc>
          <w:tcPr>
            <w:tcW w:w="1055" w:type="dxa"/>
          </w:tcPr>
          <w:p>
            <w:pPr>
              <w:pStyle w:val="Compact"/>
              <w:spacing w:after="40"/>
              <w:jc w:val="left"/>
            </w:pPr>
            <w:r>
              <w:rPr>
                <w:rStyle w:val="VerbatimChar"/>
                <w:sz w:val="18"/>
              </w:rPr>
              <w:t xml:space="preserve">ObligationPublished</w:t>
            </w:r>
            <w:r>
              <w:rPr>
                <w:sz w:val="18"/>
              </w:rPr>
              <w:t xml:space="preserve"> </w:t>
            </w:r>
            <w:r>
              <w:rPr>
                <w:sz w:val="18"/>
              </w:rPr>
              <w:t xml:space="preserve">(N)</w:t>
            </w:r>
          </w:p>
        </w:tc>
        <w:tc>
          <w:tcPr>
            <w:tcW w:w="1848" w:type="dxa"/>
          </w:tcPr>
          <w:p>
            <w:pPr>
              <w:pStyle w:val="Compact"/>
              <w:spacing w:after="40"/>
              <w:jc w:val="left"/>
            </w:pPr>
            <w:r>
              <w:rPr>
                <w:sz w:val="18"/>
              </w:rPr>
              <w:t xml:space="preserve">LDC (or FX embedded) → products</w:t>
            </w:r>
          </w:p>
        </w:tc>
        <w:tc>
          <w:tcPr>
            <w:tcW w:w="1349" w:type="dxa"/>
          </w:tcPr>
          <w:p>
            <w:pPr>
              <w:pStyle w:val="Compact"/>
              <w:spacing w:after="40"/>
              <w:jc w:val="left"/>
            </w:pPr>
            <w:r>
              <w:rPr>
                <w:sz w:val="18"/>
              </w:rPr>
              <w:t xml:space="preserve">Obligation added, amended, repealed (change feed)</w:t>
            </w:r>
          </w:p>
        </w:tc>
        <w:tc>
          <w:tcPr>
            <w:tcW w:w="1349" w:type="dxa"/>
          </w:tcPr>
          <w:p>
            <w:pPr>
              <w:pStyle w:val="Compact"/>
              <w:spacing w:after="40"/>
              <w:jc w:val="left"/>
            </w:pPr>
            <w:r>
              <w:rPr>
                <w:sz w:val="18"/>
              </w:rPr>
              <w:t xml:space="preserve">obligation_ref, change type, dates, applicability</w:t>
            </w:r>
          </w:p>
        </w:tc>
        <w:tc>
          <w:tcPr>
            <w:tcW w:w="817" w:type="dxa"/>
          </w:tcPr>
          <w:p>
            <w:pPr>
              <w:pStyle w:val="Compact"/>
              <w:spacing w:after="40"/>
              <w:jc w:val="left"/>
            </w:pPr>
            <w:r>
              <w:rPr>
                <w:sz w:val="18"/>
              </w:rPr>
              <w:t xml:space="preserve">LDC</w:t>
            </w:r>
          </w:p>
        </w:tc>
        <w:tc>
          <w:tcPr>
            <w:tcW w:w="1037" w:type="dxa"/>
          </w:tcPr>
          <w:p>
            <w:pPr>
              <w:pStyle w:val="Compact"/>
              <w:spacing w:after="40"/>
              <w:jc w:val="left"/>
            </w:pPr>
            <w:r>
              <w:rPr>
                <w:sz w:val="18"/>
              </w:rPr>
              <w:t xml:space="preserve">(obligation_ref, version)</w:t>
            </w:r>
          </w:p>
        </w:tc>
        <w:tc>
          <w:tcPr>
            <w:tcW w:w="2183" w:type="dxa"/>
          </w:tcPr>
          <w:p>
            <w:pPr>
              <w:pStyle w:val="Compact"/>
              <w:spacing w:after="40"/>
              <w:jc w:val="left"/>
            </w:pPr>
            <w:r>
              <w:rPr>
                <w:sz w:val="18"/>
              </w:rPr>
              <w:t xml:space="preserve">≤ 1 working day</w:t>
            </w:r>
          </w:p>
        </w:tc>
      </w:tr>
      <w:tr>
        <w:tc>
          <w:tcPr>
            <w:tcW w:w="1055" w:type="dxa"/>
          </w:tcPr>
          <w:p>
            <w:pPr>
              <w:pStyle w:val="Compact"/>
              <w:spacing w:after="40"/>
              <w:jc w:val="left"/>
            </w:pPr>
            <w:r>
              <w:rPr>
                <w:rStyle w:val="VerbatimChar"/>
                <w:sz w:val="18"/>
              </w:rPr>
              <w:t xml:space="preserve">ControlTestResultPublished</w:t>
            </w:r>
            <w:r>
              <w:rPr>
                <w:sz w:val="18"/>
              </w:rPr>
              <w:t xml:space="preserve"> </w:t>
            </w:r>
            <w:r>
              <w:rPr>
                <w:sz w:val="18"/>
              </w:rPr>
              <w:t xml:space="preserve">(N)</w:t>
            </w:r>
          </w:p>
        </w:tc>
        <w:tc>
          <w:tcPr>
            <w:tcW w:w="1848" w:type="dxa"/>
          </w:tcPr>
          <w:p>
            <w:pPr>
              <w:pStyle w:val="Compact"/>
              <w:spacing w:after="40"/>
              <w:jc w:val="left"/>
            </w:pPr>
            <w:r>
              <w:rPr>
                <w:sz w:val="18"/>
              </w:rPr>
              <w:t xml:space="preserve">FX, UD, EQ, RS → LDC</w:t>
            </w:r>
          </w:p>
        </w:tc>
        <w:tc>
          <w:tcPr>
            <w:tcW w:w="1349" w:type="dxa"/>
          </w:tcPr>
          <w:p>
            <w:pPr>
              <w:pStyle w:val="Compact"/>
              <w:spacing w:after="40"/>
              <w:jc w:val="left"/>
            </w:pPr>
            <w:r>
              <w:rPr>
                <w:sz w:val="18"/>
              </w:rPr>
              <w:t xml:space="preserve">Control test run</w:t>
            </w:r>
          </w:p>
        </w:tc>
        <w:tc>
          <w:tcPr>
            <w:tcW w:w="1349" w:type="dxa"/>
          </w:tcPr>
          <w:p>
            <w:pPr>
              <w:pStyle w:val="Compact"/>
              <w:spacing w:after="40"/>
              <w:jc w:val="left"/>
            </w:pPr>
            <w:r>
              <w:rPr>
                <w:sz w:val="18"/>
              </w:rPr>
              <w:t xml:space="preserve">result, population, masked sample, evidence</w:t>
            </w:r>
          </w:p>
        </w:tc>
        <w:tc>
          <w:tcPr>
            <w:tcW w:w="817" w:type="dxa"/>
          </w:tcPr>
          <w:p>
            <w:pPr>
              <w:pStyle w:val="Compact"/>
              <w:spacing w:after="40"/>
              <w:jc w:val="left"/>
            </w:pPr>
            <w:r>
              <w:rPr>
                <w:sz w:val="18"/>
              </w:rPr>
              <w:t xml:space="preserve">Operating product</w:t>
            </w:r>
          </w:p>
        </w:tc>
        <w:tc>
          <w:tcPr>
            <w:tcW w:w="1037" w:type="dxa"/>
          </w:tcPr>
          <w:p>
            <w:pPr>
              <w:pStyle w:val="Compact"/>
              <w:spacing w:after="40"/>
              <w:jc w:val="left"/>
            </w:pPr>
            <w:r>
              <w:rPr>
                <w:sz w:val="18"/>
              </w:rPr>
              <w:t xml:space="preserve">(control_id, run_id)</w:t>
            </w:r>
          </w:p>
        </w:tc>
        <w:tc>
          <w:tcPr>
            <w:tcW w:w="2183" w:type="dxa"/>
          </w:tcPr>
          <w:p>
            <w:pPr>
              <w:pStyle w:val="Compact"/>
              <w:spacing w:after="40"/>
              <w:jc w:val="left"/>
            </w:pPr>
            <w:r>
              <w:rPr>
                <w:sz w:val="18"/>
              </w:rPr>
              <w:t xml:space="preserve">≤ 1 h</w:t>
            </w:r>
          </w:p>
        </w:tc>
      </w:tr>
      <w:tr>
        <w:tc>
          <w:tcPr>
            <w:tcW w:w="1055" w:type="dxa"/>
          </w:tcPr>
          <w:p>
            <w:pPr>
              <w:pStyle w:val="Compact"/>
              <w:spacing w:after="40"/>
              <w:jc w:val="left"/>
            </w:pPr>
            <w:r>
              <w:rPr>
                <w:rStyle w:val="VerbatimChar"/>
                <w:sz w:val="18"/>
              </w:rPr>
              <w:t xml:space="preserve">EvidenceSubmitted</w:t>
            </w:r>
            <w:r>
              <w:rPr>
                <w:sz w:val="18"/>
              </w:rPr>
              <w:t xml:space="preserve"> </w:t>
            </w:r>
            <w:r>
              <w:rPr>
                <w:sz w:val="18"/>
              </w:rPr>
              <w:t xml:space="preserve">(N)</w:t>
            </w:r>
          </w:p>
        </w:tc>
        <w:tc>
          <w:tcPr>
            <w:tcW w:w="1848" w:type="dxa"/>
          </w:tcPr>
          <w:p>
            <w:pPr>
              <w:pStyle w:val="Compact"/>
              <w:spacing w:after="40"/>
              <w:jc w:val="left"/>
            </w:pPr>
            <w:r>
              <w:rPr>
                <w:sz w:val="18"/>
              </w:rPr>
              <w:t xml:space="preserve">Any → LDC</w:t>
            </w:r>
          </w:p>
        </w:tc>
        <w:tc>
          <w:tcPr>
            <w:tcW w:w="1349" w:type="dxa"/>
          </w:tcPr>
          <w:p>
            <w:pPr>
              <w:pStyle w:val="Compact"/>
              <w:spacing w:after="40"/>
              <w:jc w:val="left"/>
            </w:pPr>
            <w:r>
              <w:rPr>
                <w:sz w:val="18"/>
              </w:rPr>
              <w:t xml:space="preserve">Evidence artefact</w:t>
            </w:r>
          </w:p>
        </w:tc>
        <w:tc>
          <w:tcPr>
            <w:tcW w:w="1349" w:type="dxa"/>
          </w:tcPr>
          <w:p>
            <w:pPr>
              <w:pStyle w:val="Compact"/>
              <w:spacing w:after="40"/>
              <w:jc w:val="left"/>
            </w:pPr>
            <w:r>
              <w:rPr>
                <w:sz w:val="18"/>
              </w:rPr>
              <w:t xml:space="preserve">control, URIs, sha256, signer</w:t>
            </w:r>
          </w:p>
        </w:tc>
        <w:tc>
          <w:tcPr>
            <w:tcW w:w="817" w:type="dxa"/>
          </w:tcPr>
          <w:p>
            <w:pPr>
              <w:pStyle w:val="Compact"/>
              <w:spacing w:after="40"/>
              <w:jc w:val="left"/>
            </w:pPr>
            <w:r>
              <w:rPr>
                <w:sz w:val="18"/>
              </w:rPr>
              <w:t xml:space="preserve">Producer</w:t>
            </w:r>
          </w:p>
        </w:tc>
        <w:tc>
          <w:tcPr>
            <w:tcW w:w="1037" w:type="dxa"/>
          </w:tcPr>
          <w:p>
            <w:pPr>
              <w:pStyle w:val="Compact"/>
              <w:spacing w:after="40"/>
              <w:jc w:val="left"/>
            </w:pPr>
            <w:r>
              <w:rPr>
                <w:sz w:val="18"/>
              </w:rPr>
              <w:t xml:space="preserve">evidence_id</w:t>
            </w:r>
          </w:p>
        </w:tc>
        <w:tc>
          <w:tcPr>
            <w:tcW w:w="2183" w:type="dxa"/>
          </w:tcPr>
          <w:p>
            <w:pPr>
              <w:pStyle w:val="Compact"/>
              <w:spacing w:after="40"/>
              <w:jc w:val="left"/>
            </w:pPr>
            <w:r>
              <w:rPr>
                <w:sz w:val="18"/>
              </w:rPr>
              <w:t xml:space="preserve">≤ 1 h</w:t>
            </w:r>
          </w:p>
        </w:tc>
      </w:tr>
      <w:tr>
        <w:tc>
          <w:tcPr>
            <w:tcW w:w="1055" w:type="dxa"/>
          </w:tcPr>
          <w:p>
            <w:pPr>
              <w:pStyle w:val="Compact"/>
              <w:spacing w:after="40"/>
              <w:jc w:val="left"/>
            </w:pPr>
            <w:r>
              <w:rPr>
                <w:rStyle w:val="VerbatimChar"/>
                <w:sz w:val="18"/>
              </w:rPr>
              <w:t xml:space="preserve">ComplianceIssueRaised</w:t>
            </w:r>
            <w:r>
              <w:rPr>
                <w:sz w:val="18"/>
              </w:rPr>
              <w:t xml:space="preserve"> </w:t>
            </w:r>
            <w:r>
              <w:rPr>
                <w:sz w:val="18"/>
              </w:rPr>
              <w:t xml:space="preserve">(N)</w:t>
            </w:r>
          </w:p>
        </w:tc>
        <w:tc>
          <w:tcPr>
            <w:tcW w:w="1848" w:type="dxa"/>
          </w:tcPr>
          <w:p>
            <w:pPr>
              <w:pStyle w:val="Compact"/>
              <w:spacing w:after="40"/>
              <w:jc w:val="left"/>
            </w:pPr>
            <w:r>
              <w:rPr>
                <w:sz w:val="18"/>
              </w:rPr>
              <w:t xml:space="preserve">Any → LDC, RE</w:t>
            </w:r>
          </w:p>
        </w:tc>
        <w:tc>
          <w:tcPr>
            <w:tcW w:w="1349" w:type="dxa"/>
          </w:tcPr>
          <w:p>
            <w:pPr>
              <w:pStyle w:val="Compact"/>
              <w:spacing w:after="40"/>
              <w:jc w:val="left"/>
            </w:pPr>
            <w:r>
              <w:rPr>
                <w:sz w:val="18"/>
              </w:rPr>
              <w:t xml:space="preserve">Test failure, audit or RBI observation, breach</w:t>
            </w:r>
          </w:p>
        </w:tc>
        <w:tc>
          <w:tcPr>
            <w:tcW w:w="1349" w:type="dxa"/>
          </w:tcPr>
          <w:p>
            <w:pPr>
              <w:pStyle w:val="Compact"/>
              <w:spacing w:after="40"/>
              <w:jc w:val="left"/>
            </w:pPr>
            <w:r>
              <w:rPr>
                <w:sz w:val="18"/>
              </w:rPr>
              <w:t xml:space="preserve">source, severity, owner, due</w:t>
            </w:r>
          </w:p>
        </w:tc>
        <w:tc>
          <w:tcPr>
            <w:tcW w:w="817" w:type="dxa"/>
          </w:tcPr>
          <w:p>
            <w:pPr>
              <w:pStyle w:val="Compact"/>
              <w:spacing w:after="40"/>
              <w:jc w:val="left"/>
            </w:pPr>
            <w:r>
              <w:rPr>
                <w:sz w:val="18"/>
              </w:rPr>
              <w:t xml:space="preserve">Raiser; LDC tracks</w:t>
            </w:r>
          </w:p>
        </w:tc>
        <w:tc>
          <w:tcPr>
            <w:tcW w:w="1037" w:type="dxa"/>
          </w:tcPr>
          <w:p>
            <w:pPr>
              <w:pStyle w:val="Compact"/>
              <w:spacing w:after="40"/>
              <w:jc w:val="left"/>
            </w:pPr>
            <w:r>
              <w:rPr>
                <w:sz w:val="18"/>
              </w:rPr>
              <w:t xml:space="preserve">issue_id</w:t>
            </w:r>
          </w:p>
        </w:tc>
        <w:tc>
          <w:tcPr>
            <w:tcW w:w="2183" w:type="dxa"/>
          </w:tcPr>
          <w:p>
            <w:pPr>
              <w:pStyle w:val="Compact"/>
              <w:spacing w:after="40"/>
              <w:jc w:val="left"/>
            </w:pPr>
            <w:r>
              <w:rPr>
                <w:sz w:val="18"/>
              </w:rPr>
              <w:t xml:space="preserve">≤ 15 min (severity 1)</w:t>
            </w:r>
          </w:p>
        </w:tc>
      </w:tr>
      <w:tr>
        <w:tc>
          <w:tcPr>
            <w:tcW w:w="1055" w:type="dxa"/>
          </w:tcPr>
          <w:p>
            <w:pPr>
              <w:pStyle w:val="Compact"/>
              <w:spacing w:after="40"/>
              <w:jc w:val="left"/>
            </w:pPr>
            <w:r>
              <w:rPr>
                <w:rStyle w:val="VerbatimChar"/>
                <w:sz w:val="18"/>
              </w:rPr>
              <w:t xml:space="preserve">ReturnStatusUpdated</w:t>
            </w:r>
            <w:r>
              <w:rPr>
                <w:sz w:val="18"/>
              </w:rPr>
              <w:t xml:space="preserve"> </w:t>
            </w:r>
            <w:r>
              <w:rPr>
                <w:sz w:val="18"/>
              </w:rPr>
              <w:t xml:space="preserve">(N)</w:t>
            </w:r>
          </w:p>
        </w:tc>
        <w:tc>
          <w:tcPr>
            <w:tcW w:w="1848" w:type="dxa"/>
          </w:tcPr>
          <w:p>
            <w:pPr>
              <w:pStyle w:val="Compact"/>
              <w:spacing w:after="40"/>
              <w:jc w:val="left"/>
            </w:pPr>
            <w:r>
              <w:rPr>
                <w:sz w:val="18"/>
              </w:rPr>
              <w:t xml:space="preserve">FX → LDC</w:t>
            </w:r>
          </w:p>
        </w:tc>
        <w:tc>
          <w:tcPr>
            <w:tcW w:w="1349" w:type="dxa"/>
          </w:tcPr>
          <w:p>
            <w:pPr>
              <w:pStyle w:val="Compact"/>
              <w:spacing w:after="40"/>
              <w:jc w:val="left"/>
            </w:pPr>
            <w:r>
              <w:rPr>
                <w:sz w:val="18"/>
              </w:rPr>
              <w:t xml:space="preserve">Return generated, validated, filed, acknowledged</w:t>
            </w:r>
          </w:p>
        </w:tc>
        <w:tc>
          <w:tcPr>
            <w:tcW w:w="1349" w:type="dxa"/>
          </w:tcPr>
          <w:p>
            <w:pPr>
              <w:pStyle w:val="Compact"/>
              <w:spacing w:after="40"/>
              <w:jc w:val="left"/>
            </w:pPr>
            <w:r>
              <w:rPr>
                <w:sz w:val="18"/>
              </w:rPr>
              <w:t xml:space="preserve">return_code, period, status, ack ref</w:t>
            </w:r>
          </w:p>
        </w:tc>
        <w:tc>
          <w:tcPr>
            <w:tcW w:w="817" w:type="dxa"/>
          </w:tcPr>
          <w:p>
            <w:pPr>
              <w:pStyle w:val="Compact"/>
              <w:spacing w:after="40"/>
              <w:jc w:val="left"/>
            </w:pPr>
            <w:r>
              <w:rPr>
                <w:sz w:val="18"/>
              </w:rPr>
              <w:t xml:space="preserve">FX</w:t>
            </w:r>
          </w:p>
        </w:tc>
        <w:tc>
          <w:tcPr>
            <w:tcW w:w="1037" w:type="dxa"/>
          </w:tcPr>
          <w:p>
            <w:pPr>
              <w:pStyle w:val="Compact"/>
              <w:spacing w:after="40"/>
              <w:jc w:val="left"/>
            </w:pPr>
            <w:r>
              <w:rPr>
                <w:sz w:val="18"/>
              </w:rPr>
              <w:t xml:space="preserve">(return_code, period, status)</w:t>
            </w:r>
          </w:p>
        </w:tc>
        <w:tc>
          <w:tcPr>
            <w:tcW w:w="2183" w:type="dxa"/>
          </w:tcPr>
          <w:p>
            <w:pPr>
              <w:pStyle w:val="Compact"/>
              <w:spacing w:after="40"/>
              <w:jc w:val="left"/>
            </w:pPr>
            <w:r>
              <w:rPr>
                <w:sz w:val="18"/>
              </w:rPr>
              <w:t xml:space="preserve">Same day</w:t>
            </w:r>
          </w:p>
        </w:tc>
      </w:tr>
      <w:tr>
        <w:tc>
          <w:tcPr>
            <w:tcW w:w="1055" w:type="dxa"/>
          </w:tcPr>
          <w:p>
            <w:pPr>
              <w:pStyle w:val="Compact"/>
              <w:spacing w:after="40"/>
              <w:jc w:val="left"/>
            </w:pPr>
            <w:r>
              <w:rPr>
                <w:rStyle w:val="VerbatimChar"/>
                <w:sz w:val="18"/>
              </w:rPr>
              <w:t xml:space="preserve">PolicyAttested</w:t>
            </w:r>
            <w:r>
              <w:rPr>
                <w:sz w:val="18"/>
              </w:rPr>
              <w:t xml:space="preserve"> </w:t>
            </w:r>
            <w:r>
              <w:rPr>
                <w:sz w:val="18"/>
              </w:rPr>
              <w:t xml:space="preserve">(N)</w:t>
            </w:r>
          </w:p>
        </w:tc>
        <w:tc>
          <w:tcPr>
            <w:tcW w:w="1848" w:type="dxa"/>
          </w:tcPr>
          <w:p>
            <w:pPr>
              <w:pStyle w:val="Compact"/>
              <w:spacing w:after="40"/>
              <w:jc w:val="left"/>
            </w:pPr>
            <w:r>
              <w:rPr>
                <w:sz w:val="18"/>
              </w:rPr>
              <w:t xml:space="preserve">Any → LDC</w:t>
            </w:r>
          </w:p>
        </w:tc>
        <w:tc>
          <w:tcPr>
            <w:tcW w:w="1349" w:type="dxa"/>
          </w:tcPr>
          <w:p>
            <w:pPr>
              <w:pStyle w:val="Compact"/>
              <w:spacing w:after="40"/>
              <w:jc w:val="left"/>
            </w:pPr>
            <w:r>
              <w:rPr>
                <w:sz w:val="18"/>
              </w:rPr>
              <w:t xml:space="preserve">User attests a policy version</w:t>
            </w:r>
          </w:p>
        </w:tc>
        <w:tc>
          <w:tcPr>
            <w:tcW w:w="1349" w:type="dxa"/>
          </w:tcPr>
          <w:p>
            <w:pPr>
              <w:pStyle w:val="Compact"/>
              <w:spacing w:after="40"/>
              <w:jc w:val="left"/>
            </w:pPr>
            <w:r>
              <w:rPr>
                <w:sz w:val="18"/>
              </w:rPr>
              <w:t xml:space="preserve">policy, version, user ref</w:t>
            </w:r>
          </w:p>
        </w:tc>
        <w:tc>
          <w:tcPr>
            <w:tcW w:w="817" w:type="dxa"/>
          </w:tcPr>
          <w:p>
            <w:pPr>
              <w:pStyle w:val="Compact"/>
              <w:spacing w:after="40"/>
              <w:jc w:val="left"/>
            </w:pPr>
            <w:r>
              <w:rPr>
                <w:sz w:val="18"/>
              </w:rPr>
              <w:t xml:space="preserve">Attesting product</w:t>
            </w:r>
          </w:p>
        </w:tc>
        <w:tc>
          <w:tcPr>
            <w:tcW w:w="1037" w:type="dxa"/>
          </w:tcPr>
          <w:p>
            <w:pPr>
              <w:pStyle w:val="Compact"/>
              <w:spacing w:after="40"/>
              <w:jc w:val="left"/>
            </w:pPr>
            <w:r>
              <w:rPr>
                <w:sz w:val="18"/>
              </w:rPr>
              <w:t xml:space="preserve">(policy_id, version, user)</w:t>
            </w:r>
          </w:p>
        </w:tc>
        <w:tc>
          <w:tcPr>
            <w:tcW w:w="2183" w:type="dxa"/>
          </w:tcPr>
          <w:p>
            <w:pPr>
              <w:pStyle w:val="Compact"/>
              <w:spacing w:after="40"/>
              <w:jc w:val="left"/>
            </w:pPr>
            <w:r>
              <w:rPr>
                <w:sz w:val="18"/>
              </w:rPr>
              <w:t xml:space="preserve">≤ 1 h</w:t>
            </w:r>
          </w:p>
        </w:tc>
      </w:tr>
      <w:tr>
        <w:tc>
          <w:tcPr>
            <w:tcW w:w="1055" w:type="dxa"/>
          </w:tcPr>
          <w:p>
            <w:pPr>
              <w:pStyle w:val="Compact"/>
              <w:spacing w:after="40"/>
              <w:jc w:val="left"/>
            </w:pPr>
            <w:r>
              <w:rPr>
                <w:rStyle w:val="VerbatimChar"/>
                <w:sz w:val="18"/>
              </w:rPr>
              <w:t xml:space="preserve">SecurityIncidentNotified</w:t>
            </w:r>
            <w:r>
              <w:rPr>
                <w:sz w:val="18"/>
              </w:rPr>
              <w:t xml:space="preserve"> </w:t>
            </w:r>
            <w:r>
              <w:rPr>
                <w:sz w:val="18"/>
              </w:rPr>
              <w:t xml:space="preserve">(A)</w:t>
            </w:r>
          </w:p>
        </w:tc>
        <w:tc>
          <w:tcPr>
            <w:tcW w:w="1848" w:type="dxa"/>
          </w:tcPr>
          <w:p>
            <w:pPr>
              <w:pStyle w:val="Compact"/>
              <w:spacing w:after="40"/>
              <w:jc w:val="left"/>
            </w:pPr>
            <w:r>
              <w:rPr>
                <w:sz w:val="18"/>
              </w:rPr>
              <w:t xml:space="preserve">Any service provider → RE system, LDC; OH13 (copy without personal data, for clock tracking)</w:t>
            </w:r>
          </w:p>
        </w:tc>
        <w:tc>
          <w:tcPr>
            <w:tcW w:w="1349" w:type="dxa"/>
          </w:tcPr>
          <w:p>
            <w:pPr>
              <w:pStyle w:val="Compact"/>
              <w:spacing w:after="40"/>
              <w:jc w:val="left"/>
            </w:pPr>
            <w:r>
              <w:rPr>
                <w:sz w:val="18"/>
              </w:rPr>
              <w:t xml:space="preserve">Cyber or data incident detected</w:t>
            </w:r>
          </w:p>
        </w:tc>
        <w:tc>
          <w:tcPr>
            <w:tcW w:w="1349" w:type="dxa"/>
          </w:tcPr>
          <w:p>
            <w:pPr>
              <w:pStyle w:val="Compact"/>
              <w:spacing w:after="40"/>
              <w:jc w:val="left"/>
            </w:pPr>
            <w:r>
              <w:rPr>
                <w:sz w:val="18"/>
              </w:rPr>
              <w:t xml:space="preserve">detected_at, class, affected data, status</w:t>
            </w:r>
          </w:p>
        </w:tc>
        <w:tc>
          <w:tcPr>
            <w:tcW w:w="817" w:type="dxa"/>
          </w:tcPr>
          <w:p>
            <w:pPr>
              <w:pStyle w:val="Compact"/>
              <w:spacing w:after="40"/>
              <w:jc w:val="left"/>
            </w:pPr>
            <w:r>
              <w:rPr>
                <w:sz w:val="18"/>
              </w:rPr>
              <w:t xml:space="preserve">Notifier</w:t>
            </w:r>
          </w:p>
        </w:tc>
        <w:tc>
          <w:tcPr>
            <w:tcW w:w="1037" w:type="dxa"/>
          </w:tcPr>
          <w:p>
            <w:pPr>
              <w:pStyle w:val="Compact"/>
              <w:spacing w:after="40"/>
              <w:jc w:val="left"/>
            </w:pPr>
            <w:r>
              <w:rPr>
                <w:sz w:val="18"/>
              </w:rPr>
              <w:t xml:space="preserve">(incident_id, update_seq)</w:t>
            </w:r>
          </w:p>
        </w:tc>
        <w:tc>
          <w:tcPr>
            <w:tcW w:w="2183" w:type="dxa"/>
          </w:tcPr>
          <w:p>
            <w:pPr>
              <w:pStyle w:val="Compact"/>
              <w:spacing w:after="40"/>
              <w:jc w:val="left"/>
            </w:pPr>
            <w:r>
              <w:rPr>
                <w:sz w:val="18"/>
              </w:rPr>
              <w:t xml:space="preserve">≤ 2 h target; RE to RBI within 6 h of provider detection (OUT para 61); data breach notified immediately by the RE (OUT para 28)</w:t>
            </w:r>
          </w:p>
        </w:tc>
      </w:tr>
    </w:tbl>
    <w:bookmarkEnd w:id="62"/>
    <w:bookmarkStart w:id="63" w:name="platform-and-module-lifecycle-platform"/>
    <w:p>
      <w:pPr>
        <w:pStyle w:val="Heading2"/>
      </w:pPr>
      <w:r>
        <w:t xml:space="preserve">6.16 Platform and module lifecycle (</w:t>
      </w:r>
      <w:r>
        <w:rPr>
          <w:rStyle w:val="VerbatimChar"/>
        </w:rPr>
        <w:t xml:space="preserve">platform</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63"/>
        <w:gridCol w:w="1582"/>
        <w:gridCol w:w="1418"/>
        <w:gridCol w:w="1543"/>
        <w:gridCol w:w="1802"/>
        <w:gridCol w:w="1084"/>
        <w:gridCol w:w="1246"/>
      </w:tblGrid>
      <w:tr>
        <w:trPr>
          <w:tblHeader w:val="true"/>
          <w:tblHeader w:val="true"/>
        </w:trPr>
        <w:tc>
          <w:tcPr>
            <w:tcW w:w="963" w:type="dxa"/>
            <w:shd w:val="clear" w:color="auto" w:fill="1F3A5F"/>
          </w:tcPr>
          <w:p>
            <w:pPr>
              <w:pStyle w:val="Compact"/>
              <w:spacing w:after="40"/>
              <w:jc w:val="left"/>
            </w:pPr>
            <w:r>
              <w:rPr>
                <w:b/>
                <w:color w:val="FFFFFF"/>
                <w:sz w:val="18"/>
              </w:rPr>
              <w:t xml:space="preserve">Event or API</w:t>
            </w:r>
          </w:p>
        </w:tc>
        <w:tc>
          <w:tcPr>
            <w:tcW w:w="1582" w:type="dxa"/>
            <w:shd w:val="clear" w:color="auto" w:fill="1F3A5F"/>
          </w:tcPr>
          <w:p>
            <w:pPr>
              <w:pStyle w:val="Compact"/>
              <w:spacing w:after="40"/>
              <w:jc w:val="left"/>
            </w:pPr>
            <w:r>
              <w:rPr>
                <w:b/>
                <w:color w:val="FFFFFF"/>
                <w:sz w:val="18"/>
              </w:rPr>
              <w:t xml:space="preserve">Producer → consumer(s)</w:t>
            </w:r>
          </w:p>
        </w:tc>
        <w:tc>
          <w:tcPr>
            <w:tcW w:w="1418" w:type="dxa"/>
            <w:shd w:val="clear" w:color="auto" w:fill="1F3A5F"/>
          </w:tcPr>
          <w:p>
            <w:pPr>
              <w:pStyle w:val="Compact"/>
              <w:spacing w:after="40"/>
              <w:jc w:val="left"/>
            </w:pPr>
            <w:r>
              <w:rPr>
                <w:b/>
                <w:color w:val="FFFFFF"/>
                <w:sz w:val="18"/>
              </w:rPr>
              <w:t xml:space="preserve">Trigger</w:t>
            </w:r>
          </w:p>
        </w:tc>
        <w:tc>
          <w:tcPr>
            <w:tcW w:w="1543" w:type="dxa"/>
            <w:shd w:val="clear" w:color="auto" w:fill="1F3A5F"/>
          </w:tcPr>
          <w:p>
            <w:pPr>
              <w:pStyle w:val="Compact"/>
              <w:spacing w:after="40"/>
              <w:jc w:val="left"/>
            </w:pPr>
            <w:r>
              <w:rPr>
                <w:b/>
                <w:color w:val="FFFFFF"/>
                <w:sz w:val="18"/>
              </w:rPr>
              <w:t xml:space="preserve">Key payload fields</w:t>
            </w:r>
          </w:p>
        </w:tc>
        <w:tc>
          <w:tcPr>
            <w:tcW w:w="1802" w:type="dxa"/>
            <w:shd w:val="clear" w:color="auto" w:fill="1F3A5F"/>
          </w:tcPr>
          <w:p>
            <w:pPr>
              <w:pStyle w:val="Compact"/>
              <w:spacing w:after="40"/>
              <w:jc w:val="left"/>
            </w:pPr>
            <w:r>
              <w:rPr>
                <w:b/>
                <w:color w:val="FFFFFF"/>
                <w:sz w:val="18"/>
              </w:rPr>
              <w:t xml:space="preserve">Owner</w:t>
            </w:r>
          </w:p>
        </w:tc>
        <w:tc>
          <w:tcPr>
            <w:tcW w:w="1084" w:type="dxa"/>
            <w:shd w:val="clear" w:color="auto" w:fill="1F3A5F"/>
          </w:tcPr>
          <w:p>
            <w:pPr>
              <w:pStyle w:val="Compact"/>
              <w:spacing w:after="40"/>
              <w:jc w:val="left"/>
            </w:pPr>
            <w:r>
              <w:rPr>
                <w:b/>
                <w:color w:val="FFFFFF"/>
                <w:sz w:val="18"/>
              </w:rPr>
              <w:t xml:space="preserve">Idempotency key</w:t>
            </w:r>
          </w:p>
        </w:tc>
        <w:tc>
          <w:tcPr>
            <w:tcW w:w="1246" w:type="dxa"/>
            <w:shd w:val="clear" w:color="auto" w:fill="1F3A5F"/>
          </w:tcPr>
          <w:p>
            <w:pPr>
              <w:pStyle w:val="Compact"/>
              <w:spacing w:after="40"/>
              <w:jc w:val="left"/>
            </w:pPr>
            <w:r>
              <w:rPr>
                <w:b/>
                <w:color w:val="FFFFFF"/>
                <w:sz w:val="18"/>
              </w:rPr>
              <w:t xml:space="preserve">SLA</w:t>
            </w:r>
          </w:p>
        </w:tc>
      </w:tr>
      <w:tr>
        <w:tc>
          <w:tcPr>
            <w:tcW w:w="963" w:type="dxa"/>
          </w:tcPr>
          <w:p>
            <w:pPr>
              <w:pStyle w:val="Compact"/>
              <w:spacing w:after="40"/>
              <w:jc w:val="left"/>
            </w:pPr>
            <w:r>
              <w:rPr>
                <w:rStyle w:val="VerbatimChar"/>
                <w:sz w:val="18"/>
              </w:rPr>
              <w:t xml:space="preserve">ModuleAttached</w:t>
            </w:r>
            <w:r>
              <w:rPr>
                <w:sz w:val="18"/>
              </w:rPr>
              <w:t xml:space="preserve"> </w:t>
            </w:r>
            <w:r>
              <w:rPr>
                <w:sz w:val="18"/>
              </w:rPr>
              <w:t xml:space="preserve">(N)</w:t>
            </w:r>
          </w:p>
        </w:tc>
        <w:tc>
          <w:tcPr>
            <w:tcW w:w="1582" w:type="dxa"/>
          </w:tcPr>
          <w:p>
            <w:pPr>
              <w:pStyle w:val="Compact"/>
              <w:spacing w:after="40"/>
              <w:jc w:val="left"/>
            </w:pPr>
            <w:r>
              <w:rPr>
                <w:sz w:val="18"/>
              </w:rPr>
              <w:t xml:space="preserve">Product entitlement service (FX, UD) → product services, LDC, OH8</w:t>
            </w:r>
          </w:p>
        </w:tc>
        <w:tc>
          <w:tcPr>
            <w:tcW w:w="1418" w:type="dxa"/>
          </w:tcPr>
          <w:p>
            <w:pPr>
              <w:pStyle w:val="Compact"/>
              <w:spacing w:after="40"/>
              <w:jc w:val="left"/>
            </w:pPr>
            <w:r>
              <w:rPr>
                <w:sz w:val="18"/>
              </w:rPr>
              <w:t xml:space="preserve">Module enabled for a tenant on a signed</w:t>
            </w:r>
            <w:r>
              <w:rPr>
                <w:sz w:val="18"/>
              </w:rPr>
              <w:t xml:space="preserve"> </w:t>
            </w:r>
            <w:r>
              <w:rPr>
                <w:rStyle w:val="VerbatimChar"/>
                <w:sz w:val="18"/>
              </w:rPr>
              <w:t xml:space="preserve">EntitlementChanged</w:t>
            </w:r>
            <w:r>
              <w:rPr>
                <w:sz w:val="18"/>
              </w:rPr>
              <w:t xml:space="preserve"> </w:t>
            </w:r>
            <w:r>
              <w:rPr>
                <w:sz w:val="18"/>
              </w:rPr>
              <w:t xml:space="preserve">(6.27)</w:t>
            </w:r>
          </w:p>
        </w:tc>
        <w:tc>
          <w:tcPr>
            <w:tcW w:w="1543" w:type="dxa"/>
          </w:tcPr>
          <w:p>
            <w:pPr>
              <w:pStyle w:val="Compact"/>
              <w:spacing w:after="40"/>
              <w:jc w:val="left"/>
            </w:pPr>
            <w:r>
              <w:rPr>
                <w:sz w:val="18"/>
              </w:rPr>
              <w:t xml:space="preserve">version, capabilities, SKU, entitlement_id and version, approvers</w:t>
            </w:r>
          </w:p>
        </w:tc>
        <w:tc>
          <w:tcPr>
            <w:tcW w:w="1802" w:type="dxa"/>
          </w:tcPr>
          <w:p>
            <w:pPr>
              <w:pStyle w:val="Compact"/>
              <w:spacing w:after="40"/>
              <w:jc w:val="left"/>
            </w:pPr>
            <w:r>
              <w:rPr>
                <w:sz w:val="18"/>
              </w:rPr>
              <w:t xml:space="preserve">Product entitlement service (module state as applied); OH8 is the source of truth for issued entitlements</w:t>
            </w:r>
          </w:p>
        </w:tc>
        <w:tc>
          <w:tcPr>
            <w:tcW w:w="1084" w:type="dxa"/>
          </w:tcPr>
          <w:p>
            <w:pPr>
              <w:pStyle w:val="Compact"/>
              <w:spacing w:after="40"/>
              <w:jc w:val="left"/>
            </w:pPr>
            <w:r>
              <w:rPr>
                <w:sz w:val="18"/>
              </w:rPr>
              <w:t xml:space="preserve">(tenantid, module_id, version)</w:t>
            </w:r>
          </w:p>
        </w:tc>
        <w:tc>
          <w:tcPr>
            <w:tcW w:w="1246" w:type="dxa"/>
          </w:tcPr>
          <w:p>
            <w:pPr>
              <w:pStyle w:val="Compact"/>
              <w:spacing w:after="40"/>
              <w:jc w:val="left"/>
            </w:pPr>
            <w:r>
              <w:rPr>
                <w:sz w:val="18"/>
              </w:rPr>
              <w:t xml:space="preserve">On publication</w:t>
            </w:r>
          </w:p>
        </w:tc>
      </w:tr>
      <w:tr>
        <w:tc>
          <w:tcPr>
            <w:tcW w:w="963" w:type="dxa"/>
          </w:tcPr>
          <w:p>
            <w:pPr>
              <w:pStyle w:val="Compact"/>
              <w:spacing w:after="40"/>
              <w:jc w:val="left"/>
            </w:pPr>
            <w:r>
              <w:rPr>
                <w:rStyle w:val="VerbatimChar"/>
                <w:sz w:val="18"/>
              </w:rPr>
              <w:t xml:space="preserve">ModuleDetached</w:t>
            </w:r>
            <w:r>
              <w:rPr>
                <w:sz w:val="18"/>
              </w:rPr>
              <w:t xml:space="preserve"> </w:t>
            </w:r>
            <w:r>
              <w:rPr>
                <w:sz w:val="18"/>
              </w:rPr>
              <w:t xml:space="preserve">(N)</w:t>
            </w:r>
          </w:p>
        </w:tc>
        <w:tc>
          <w:tcPr>
            <w:tcW w:w="1582" w:type="dxa"/>
          </w:tcPr>
          <w:p>
            <w:pPr>
              <w:pStyle w:val="Compact"/>
              <w:spacing w:after="40"/>
              <w:jc w:val="left"/>
            </w:pPr>
            <w:r>
              <w:rPr>
                <w:sz w:val="18"/>
              </w:rPr>
              <w:t xml:space="preserve">Product entitlement service (FX, UD) → product services, LDC, counterparties, OH8</w:t>
            </w:r>
          </w:p>
        </w:tc>
        <w:tc>
          <w:tcPr>
            <w:tcW w:w="1418" w:type="dxa"/>
          </w:tcPr>
          <w:p>
            <w:pPr>
              <w:pStyle w:val="Compact"/>
              <w:spacing w:after="40"/>
              <w:jc w:val="left"/>
            </w:pPr>
            <w:r>
              <w:rPr>
                <w:sz w:val="18"/>
              </w:rPr>
              <w:t xml:space="preserve">Module detached to read-only</w:t>
            </w:r>
          </w:p>
        </w:tc>
        <w:tc>
          <w:tcPr>
            <w:tcW w:w="1543" w:type="dxa"/>
          </w:tcPr>
          <w:p>
            <w:pPr>
              <w:pStyle w:val="Compact"/>
              <w:spacing w:after="40"/>
              <w:jc w:val="left"/>
            </w:pPr>
            <w:r>
              <w:rPr>
                <w:sz w:val="18"/>
              </w:rPr>
              <w:t xml:space="preserve">mode READ_ONLY, export-pack hash, records on hold, entitlement_id and version</w:t>
            </w:r>
          </w:p>
        </w:tc>
        <w:tc>
          <w:tcPr>
            <w:tcW w:w="1802" w:type="dxa"/>
          </w:tcPr>
          <w:p>
            <w:pPr>
              <w:pStyle w:val="Compact"/>
              <w:spacing w:after="40"/>
              <w:jc w:val="left"/>
            </w:pPr>
            <w:r>
              <w:rPr>
                <w:sz w:val="18"/>
              </w:rPr>
              <w:t xml:space="preserve">Product entitlement service; OH8 source of truth</w:t>
            </w:r>
          </w:p>
        </w:tc>
        <w:tc>
          <w:tcPr>
            <w:tcW w:w="1084" w:type="dxa"/>
          </w:tcPr>
          <w:p>
            <w:pPr>
              <w:pStyle w:val="Compact"/>
              <w:spacing w:after="40"/>
              <w:jc w:val="left"/>
            </w:pPr>
            <w:r>
              <w:rPr>
                <w:sz w:val="18"/>
              </w:rPr>
              <w:t xml:space="preserve">(tenantid, module_id, detached_at)</w:t>
            </w:r>
          </w:p>
        </w:tc>
        <w:tc>
          <w:tcPr>
            <w:tcW w:w="1246" w:type="dxa"/>
          </w:tcPr>
          <w:p>
            <w:pPr>
              <w:pStyle w:val="Compact"/>
              <w:spacing w:after="40"/>
              <w:jc w:val="left"/>
            </w:pPr>
            <w:r>
              <w:rPr>
                <w:sz w:val="18"/>
              </w:rPr>
              <w:t xml:space="preserve">Writes stop at once; export ≤ 5 working days [REC]</w:t>
            </w:r>
          </w:p>
        </w:tc>
      </w:tr>
      <w:tr>
        <w:tc>
          <w:tcPr>
            <w:tcW w:w="963" w:type="dxa"/>
          </w:tcPr>
          <w:p>
            <w:pPr>
              <w:pStyle w:val="Compact"/>
              <w:spacing w:after="40"/>
              <w:jc w:val="left"/>
            </w:pPr>
            <w:r>
              <w:rPr>
                <w:rStyle w:val="VerbatimChar"/>
                <w:sz w:val="18"/>
              </w:rPr>
              <w:t xml:space="preserve">ConnectorCertified</w:t>
            </w:r>
            <w:r>
              <w:rPr>
                <w:sz w:val="18"/>
              </w:rPr>
              <w:t xml:space="preserve"> </w:t>
            </w:r>
            <w:r>
              <w:rPr>
                <w:sz w:val="18"/>
              </w:rPr>
              <w:t xml:space="preserve">(N)</w:t>
            </w:r>
          </w:p>
        </w:tc>
        <w:tc>
          <w:tcPr>
            <w:tcW w:w="1582" w:type="dxa"/>
          </w:tcPr>
          <w:p>
            <w:pPr>
              <w:pStyle w:val="Compact"/>
              <w:spacing w:after="40"/>
              <w:jc w:val="left"/>
            </w:pPr>
            <w:r>
              <w:rPr>
                <w:sz w:val="18"/>
              </w:rPr>
              <w:t xml:space="preserve">Certification service → LDC, counterparties, OH13 (status)</w:t>
            </w:r>
          </w:p>
        </w:tc>
        <w:tc>
          <w:tcPr>
            <w:tcW w:w="1418" w:type="dxa"/>
          </w:tcPr>
          <w:p>
            <w:pPr>
              <w:pStyle w:val="Compact"/>
              <w:spacing w:after="40"/>
              <w:jc w:val="left"/>
            </w:pPr>
            <w:r>
              <w:rPr>
                <w:sz w:val="18"/>
              </w:rPr>
              <w:t xml:space="preserve">Suite passed or certification revoked</w:t>
            </w:r>
          </w:p>
        </w:tc>
        <w:tc>
          <w:tcPr>
            <w:tcW w:w="1543" w:type="dxa"/>
          </w:tcPr>
          <w:p>
            <w:pPr>
              <w:pStyle w:val="Compact"/>
              <w:spacing w:after="40"/>
              <w:jc w:val="left"/>
            </w:pPr>
            <w:r>
              <w:rPr>
                <w:sz w:val="18"/>
              </w:rPr>
              <w:t xml:space="preserve">suite version, result, report hash, valid_to</w:t>
            </w:r>
          </w:p>
        </w:tc>
        <w:tc>
          <w:tcPr>
            <w:tcW w:w="1802" w:type="dxa"/>
          </w:tcPr>
          <w:p>
            <w:pPr>
              <w:pStyle w:val="Compact"/>
              <w:spacing w:after="40"/>
              <w:jc w:val="left"/>
            </w:pPr>
            <w:r>
              <w:rPr>
                <w:sz w:val="18"/>
              </w:rPr>
              <w:t xml:space="preserve">Certification service</w:t>
            </w:r>
          </w:p>
        </w:tc>
        <w:tc>
          <w:tcPr>
            <w:tcW w:w="1084" w:type="dxa"/>
          </w:tcPr>
          <w:p>
            <w:pPr>
              <w:pStyle w:val="Compact"/>
              <w:spacing w:after="40"/>
              <w:jc w:val="left"/>
            </w:pPr>
            <w:r>
              <w:rPr>
                <w:sz w:val="18"/>
              </w:rPr>
              <w:t xml:space="preserve">(connector_id, version, suite_version)</w:t>
            </w:r>
          </w:p>
        </w:tc>
        <w:tc>
          <w:tcPr>
            <w:tcW w:w="1246" w:type="dxa"/>
          </w:tcPr>
          <w:p>
            <w:pPr>
              <w:pStyle w:val="Compact"/>
              <w:spacing w:after="40"/>
              <w:jc w:val="left"/>
            </w:pPr>
            <w:r>
              <w:rPr>
                <w:sz w:val="18"/>
              </w:rPr>
              <w:t xml:space="preserve">Before production</w:t>
            </w:r>
          </w:p>
        </w:tc>
      </w:tr>
      <w:tr>
        <w:tc>
          <w:tcPr>
            <w:tcW w:w="963" w:type="dxa"/>
          </w:tcPr>
          <w:p>
            <w:pPr>
              <w:pStyle w:val="Compact"/>
              <w:spacing w:after="40"/>
              <w:jc w:val="left"/>
            </w:pPr>
            <w:r>
              <w:rPr>
                <w:rStyle w:val="VerbatimChar"/>
                <w:sz w:val="18"/>
              </w:rPr>
              <w:t xml:space="preserve">ReconciliationBreakRaised</w:t>
            </w:r>
            <w:r>
              <w:rPr>
                <w:sz w:val="18"/>
              </w:rPr>
              <w:t xml:space="preserve"> </w:t>
            </w:r>
            <w:r>
              <w:rPr>
                <w:sz w:val="18"/>
              </w:rPr>
              <w:t xml:space="preserve">(N+)</w:t>
            </w:r>
          </w:p>
        </w:tc>
        <w:tc>
          <w:tcPr>
            <w:tcW w:w="1582" w:type="dxa"/>
          </w:tcPr>
          <w:p>
            <w:pPr>
              <w:pStyle w:val="Compact"/>
              <w:spacing w:after="40"/>
              <w:jc w:val="left"/>
            </w:pPr>
            <w:r>
              <w:rPr>
                <w:sz w:val="18"/>
              </w:rPr>
              <w:t xml:space="preserve">Any → owner, counterpart, LDC</w:t>
            </w:r>
          </w:p>
        </w:tc>
        <w:tc>
          <w:tcPr>
            <w:tcW w:w="1418" w:type="dxa"/>
          </w:tcPr>
          <w:p>
            <w:pPr>
              <w:pStyle w:val="Compact"/>
              <w:spacing w:after="40"/>
              <w:jc w:val="left"/>
            </w:pPr>
            <w:r>
              <w:rPr>
                <w:sz w:val="18"/>
              </w:rPr>
              <w:t xml:space="preserve">Reconciliation or ordering break</w:t>
            </w:r>
          </w:p>
        </w:tc>
        <w:tc>
          <w:tcPr>
            <w:tcW w:w="1543" w:type="dxa"/>
          </w:tcPr>
          <w:p>
            <w:pPr>
              <w:pStyle w:val="Compact"/>
              <w:spacing w:after="40"/>
              <w:jc w:val="left"/>
            </w:pPr>
            <w:r>
              <w:rPr>
                <w:sz w:val="18"/>
              </w:rPr>
              <w:t xml:space="preserve">run, break type, records, amount, owner</w:t>
            </w:r>
          </w:p>
        </w:tc>
        <w:tc>
          <w:tcPr>
            <w:tcW w:w="1802" w:type="dxa"/>
          </w:tcPr>
          <w:p>
            <w:pPr>
              <w:pStyle w:val="Compact"/>
              <w:spacing w:after="40"/>
              <w:jc w:val="left"/>
            </w:pPr>
            <w:r>
              <w:rPr>
                <w:sz w:val="18"/>
              </w:rPr>
              <w:t xml:space="preserve">Detector</w:t>
            </w:r>
          </w:p>
        </w:tc>
        <w:tc>
          <w:tcPr>
            <w:tcW w:w="1084" w:type="dxa"/>
          </w:tcPr>
          <w:p>
            <w:pPr>
              <w:pStyle w:val="Compact"/>
              <w:spacing w:after="40"/>
              <w:jc w:val="left"/>
            </w:pPr>
            <w:r>
              <w:rPr>
                <w:sz w:val="18"/>
              </w:rPr>
              <w:t xml:space="preserve">(recon_run_id, break_id)</w:t>
            </w:r>
          </w:p>
        </w:tc>
        <w:tc>
          <w:tcPr>
            <w:tcW w:w="1246" w:type="dxa"/>
          </w:tcPr>
          <w:p>
            <w:pPr>
              <w:pStyle w:val="Compact"/>
              <w:spacing w:after="40"/>
              <w:jc w:val="left"/>
            </w:pPr>
            <w:r>
              <w:rPr>
                <w:sz w:val="18"/>
              </w:rPr>
              <w:t xml:space="preserve">≤ 15 min</w:t>
            </w:r>
          </w:p>
        </w:tc>
      </w:tr>
    </w:tbl>
    <w:bookmarkEnd w:id="63"/>
    <w:bookmarkStart w:id="64" w:name="superseded-names"/>
    <w:p>
      <w:pPr>
        <w:pStyle w:val="Heading2"/>
      </w:pPr>
      <w:r>
        <w:t xml:space="preserve">6.17 Superseded names</w:t>
      </w:r>
    </w:p>
    <w:p>
      <w:pPr>
        <w:pStyle w:val="FirstParagraph"/>
      </w:pPr>
      <w:r>
        <w:t xml:space="preserve">Non-canonical names from pre-v1.0 working papers, the Equator draft and the owner’s LAS proposal (</w:t>
      </w:r>
      <w:r>
        <w:rPr>
          <w:rStyle w:val="VerbatimChar"/>
        </w:rPr>
        <w:t xml:space="preserve">las.txt</w:t>
      </w:r>
      <w:r>
        <w:t xml:space="preserve">) are never published; they map to the names above (for example CollateralPledgeConfirmed →</w:t>
      </w:r>
      <w:r>
        <w:t xml:space="preserve"> </w:t>
      </w:r>
      <w:r>
        <w:rPr>
          <w:rStyle w:val="VerbatimChar"/>
        </w:rPr>
        <w:t xml:space="preserve">CollateralPledgeCreated</w:t>
      </w:r>
      <w:r>
        <w:t xml:space="preserve">, MarginCallIssued →</w:t>
      </w:r>
      <w:r>
        <w:t xml:space="preserve"> </w:t>
      </w:r>
      <w:r>
        <w:rPr>
          <w:rStyle w:val="VerbatimChar"/>
        </w:rPr>
        <w:t xml:space="preserve">MarginCallRaised</w:t>
      </w:r>
      <w:r>
        <w:t xml:space="preserve">, MarginCallExpired →</w:t>
      </w:r>
      <w:r>
        <w:t xml:space="preserve"> </w:t>
      </w:r>
      <w:r>
        <w:rPr>
          <w:rStyle w:val="VerbatimChar"/>
        </w:rPr>
        <w:t xml:space="preserve">MarginCallLapsed</w:t>
      </w:r>
      <w:r>
        <w:t xml:space="preserve">, CoLendingClassificationChanged →</w:t>
      </w:r>
      <w:r>
        <w:t xml:space="preserve"> </w:t>
      </w:r>
      <w:r>
        <w:rPr>
          <w:rStyle w:val="VerbatimChar"/>
        </w:rPr>
        <w:t xml:space="preserve">ClassificationSynced</w:t>
      </w:r>
      <w:r>
        <w:t xml:space="preserve">, LegalStageChanged →</w:t>
      </w:r>
      <w:r>
        <w:t xml:space="preserve"> </w:t>
      </w:r>
      <w:r>
        <w:rPr>
          <w:rStyle w:val="VerbatimChar"/>
        </w:rPr>
        <w:t xml:space="preserve">legal_stage</w:t>
      </w:r>
      <w:r>
        <w:t xml:space="preserve"> </w:t>
      </w:r>
      <w:r>
        <w:t xml:space="preserve">in LSP projections, EquatorCaseOpened →</w:t>
      </w:r>
      <w:r>
        <w:t xml:space="preserve"> </w:t>
      </w:r>
      <w:r>
        <w:rPr>
          <w:rStyle w:val="VerbatimChar"/>
        </w:rPr>
        <w:t xml:space="preserve">ADRReferralCreated</w:t>
      </w:r>
      <w:r>
        <w:t xml:space="preserve">, EquatorOutcome →</w:t>
      </w:r>
      <w:r>
        <w:t xml:space="preserve"> </w:t>
      </w:r>
      <w:r>
        <w:rPr>
          <w:rStyle w:val="VerbatimChar"/>
        </w:rPr>
        <w:t xml:space="preserve">ADROutcomeRecorded</w:t>
      </w:r>
      <w:r>
        <w:t xml:space="preserve">; Equator native names per Part 8.9).</w:t>
      </w:r>
    </w:p>
    <w:p>
      <w:pPr>
        <w:pStyle w:val="BodyText"/>
      </w:pPr>
      <w:r>
        <w:rPr>
          <w:bCs/>
          <w:b/>
        </w:rPr>
        <w:t xml:space="preserve">v1.1 additions.</w:t>
      </w:r>
      <w:r>
        <w:t xml:space="preserve"> </w:t>
      </w:r>
      <w:r>
        <w:t xml:space="preserve">Billing</w:t>
      </w:r>
      <w:r>
        <w:t xml:space="preserve"> </w:t>
      </w:r>
      <w:r>
        <w:rPr>
          <w:rStyle w:val="VerbatimChar"/>
        </w:rPr>
        <w:t xml:space="preserve">PaymentReceived</w:t>
      </w:r>
      <w:r>
        <w:t xml:space="preserve"> </w:t>
      </w:r>
      <w:r>
        <w:t xml:space="preserve">and</w:t>
      </w:r>
      <w:r>
        <w:t xml:space="preserve"> </w:t>
      </w:r>
      <w:r>
        <w:rPr>
          <w:rStyle w:val="VerbatimChar"/>
        </w:rPr>
        <w:t xml:space="preserve">PaymentFailed</w:t>
      </w:r>
      <w:r>
        <w:t xml:space="preserve"> </w:t>
      </w:r>
      <w:r>
        <w:t xml:space="preserve">(and any</w:t>
      </w:r>
      <w:r>
        <w:t xml:space="preserve"> </w:t>
      </w:r>
      <w:r>
        <w:rPr>
          <w:rStyle w:val="VerbatimChar"/>
        </w:rPr>
        <w:t xml:space="preserve">in.infrabyx.billing.Payment*</w:t>
      </w:r>
      <w:r>
        <w:t xml:space="preserve"> </w:t>
      </w:r>
      <w:r>
        <w:t xml:space="preserve">type) →</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(6.27); dotted risk names</w:t>
      </w:r>
      <w:r>
        <w:t xml:space="preserve"> </w:t>
      </w:r>
      <w:r>
        <w:rPr>
          <w:rStyle w:val="VerbatimChar"/>
        </w:rPr>
        <w:t xml:space="preserve">risk.metric.computed</w:t>
      </w:r>
      <w:r>
        <w:t xml:space="preserve"> </w:t>
      </w:r>
      <w:r>
        <w:t xml:space="preserve">→</w:t>
      </w:r>
      <w:r>
        <w:t xml:space="preserve"> </w:t>
      </w:r>
      <w:r>
        <w:rPr>
          <w:rStyle w:val="VerbatimChar"/>
        </w:rPr>
        <w:t xml:space="preserve">RiskSnapshotPublished</w:t>
      </w:r>
      <w:r>
        <w:t xml:space="preserve"> </w:t>
      </w:r>
      <w:r>
        <w:t xml:space="preserve">(capital runs:</w:t>
      </w:r>
      <w:r>
        <w:t xml:space="preserve"> </w:t>
      </w:r>
      <w:r>
        <w:rPr>
          <w:rStyle w:val="VerbatimChar"/>
        </w:rPr>
        <w:t xml:space="preserve">CapitalRatioComputed</w:t>
      </w:r>
      <w:r>
        <w:t xml:space="preserve">),</w:t>
      </w:r>
      <w:r>
        <w:t xml:space="preserve"> </w:t>
      </w:r>
      <w:r>
        <w:rPr>
          <w:rStyle w:val="VerbatimChar"/>
        </w:rPr>
        <w:t xml:space="preserve">capital.crar.computed</w:t>
      </w:r>
      <w:r>
        <w:t xml:space="preserve"> </w:t>
      </w:r>
      <w:r>
        <w:t xml:space="preserve">→</w:t>
      </w:r>
      <w:r>
        <w:t xml:space="preserve"> </w:t>
      </w:r>
      <w:r>
        <w:rPr>
          <w:rStyle w:val="VerbatimChar"/>
        </w:rPr>
        <w:t xml:space="preserve">CapitalRatioComputed</w:t>
      </w:r>
      <w:r>
        <w:t xml:space="preserve">,</w:t>
      </w:r>
      <w:r>
        <w:t xml:space="preserve"> </w:t>
      </w:r>
      <w:r>
        <w:rPr>
          <w:rStyle w:val="VerbatimChar"/>
        </w:rPr>
        <w:t xml:space="preserve">risk.limit.breached</w:t>
      </w:r>
      <w:r>
        <w:t xml:space="preserve">,</w:t>
      </w:r>
      <w:r>
        <w:t xml:space="preserve"> </w:t>
      </w:r>
      <w:r>
        <w:rPr>
          <w:rStyle w:val="VerbatimChar"/>
        </w:rPr>
        <w:t xml:space="preserve">risk.limit.cleared</w:t>
      </w:r>
      <w:r>
        <w:t xml:space="preserve">,</w:t>
      </w:r>
      <w:r>
        <w:t xml:space="preserve"> </w:t>
      </w:r>
      <w:r>
        <w:rPr>
          <w:rStyle w:val="VerbatimChar"/>
        </w:rPr>
        <w:t xml:space="preserve">alm.tolerance.breached</w:t>
      </w:r>
      <w:r>
        <w:t xml:space="preserve">,</w:t>
      </w:r>
      <w:r>
        <w:t xml:space="preserve"> </w:t>
      </w:r>
      <w:r>
        <w:rPr>
          <w:rStyle w:val="VerbatimChar"/>
        </w:rPr>
        <w:t xml:space="preserve">alm.lcr.below_min</w:t>
      </w:r>
      <w:r>
        <w:t xml:space="preserve">,</w:t>
      </w:r>
      <w:r>
        <w:t xml:space="preserve"> </w:t>
      </w:r>
      <w:r>
        <w:rPr>
          <w:rStyle w:val="VerbatimChar"/>
        </w:rPr>
        <w:t xml:space="preserve">concentration.breached</w:t>
      </w:r>
      <w:r>
        <w:t xml:space="preserve"> </w:t>
      </w:r>
      <w:r>
        <w:t xml:space="preserve">and</w:t>
      </w:r>
      <w:r>
        <w:t xml:space="preserve"> </w:t>
      </w:r>
      <w:r>
        <w:rPr>
          <w:rStyle w:val="VerbatimChar"/>
        </w:rPr>
        <w:t xml:space="preserve">capital.pca.crossed</w:t>
      </w:r>
      <w:r>
        <w:t xml:space="preserve"> </w:t>
      </w:r>
      <w:r>
        <w:t xml:space="preserve">→</w:t>
      </w:r>
      <w:r>
        <w:t xml:space="preserve"> </w:t>
      </w:r>
      <w:r>
        <w:rPr>
          <w:rStyle w:val="VerbatimChar"/>
        </w:rPr>
        <w:t xml:space="preserve">LimitBreached</w:t>
      </w:r>
      <w:r>
        <w:t xml:space="preserve"> </w:t>
      </w:r>
      <w:r>
        <w:t xml:space="preserve">(</w:t>
      </w:r>
      <w:r>
        <w:rPr>
          <w:rStyle w:val="VerbatimChar"/>
        </w:rPr>
        <w:t xml:space="preserve">limit_type</w:t>
      </w:r>
      <w:r>
        <w:t xml:space="preserve">;</w:t>
      </w:r>
      <w:r>
        <w:t xml:space="preserve"> </w:t>
      </w:r>
      <w:r>
        <w:rPr>
          <w:rStyle w:val="VerbatimChar"/>
        </w:rPr>
        <w:t xml:space="preserve">status</w:t>
      </w:r>
      <w:r>
        <w:t xml:space="preserve"> </w:t>
      </w:r>
      <w:r>
        <w:t xml:space="preserve">OPEN or CURED),</w:t>
      </w:r>
      <w:r>
        <w:t xml:space="preserve"> </w:t>
      </w:r>
      <w:r>
        <w:rPr>
          <w:rStyle w:val="VerbatimChar"/>
        </w:rPr>
        <w:t xml:space="preserve">oprisk.loss_event.recorded</w:t>
      </w:r>
      <w:r>
        <w:t xml:space="preserve"> </w:t>
      </w:r>
      <w:r>
        <w:t xml:space="preserve">→</w:t>
      </w:r>
      <w:r>
        <w:t xml:space="preserve"> </w:t>
      </w:r>
      <w:r>
        <w:rPr>
          <w:rStyle w:val="VerbatimChar"/>
        </w:rPr>
        <w:t xml:space="preserve">LossEventRecorded</w:t>
      </w:r>
      <w:r>
        <w:t xml:space="preserve">,</w:t>
      </w:r>
      <w:r>
        <w:t xml:space="preserve"> </w:t>
      </w:r>
      <w:r>
        <w:rPr>
          <w:rStyle w:val="VerbatimChar"/>
        </w:rPr>
        <w:t xml:space="preserve">stress.run.completed</w:t>
      </w:r>
      <w:r>
        <w:t xml:space="preserve"> </w:t>
      </w:r>
      <w:r>
        <w:t xml:space="preserve">→</w:t>
      </w:r>
      <w:r>
        <w:t xml:space="preserve"> </w:t>
      </w:r>
      <w:r>
        <w:rPr>
          <w:rStyle w:val="VerbatimChar"/>
        </w:rPr>
        <w:t xml:space="preserve">StressTestCompleted</w:t>
      </w:r>
      <w:r>
        <w:t xml:space="preserve">,</w:t>
      </w:r>
      <w:r>
        <w:t xml:space="preserve"> </w:t>
      </w:r>
      <w:r>
        <w:rPr>
          <w:rStyle w:val="VerbatimChar"/>
        </w:rPr>
        <w:t xml:space="preserve">control.test.result</w:t>
      </w:r>
      <w:r>
        <w:t xml:space="preserve"> </w:t>
      </w:r>
      <w:r>
        <w:t xml:space="preserve">→</w:t>
      </w:r>
      <w:r>
        <w:t xml:space="preserve"> </w:t>
      </w:r>
      <w:r>
        <w:rPr>
          <w:rStyle w:val="VerbatimChar"/>
        </w:rPr>
        <w:t xml:space="preserve">ControlTestResultPublished</w:t>
      </w:r>
      <w:r>
        <w:t xml:space="preserve">,</w:t>
      </w:r>
      <w:r>
        <w:t xml:space="preserve"> </w:t>
      </w:r>
      <w:r>
        <w:rPr>
          <w:rStyle w:val="VerbatimChar"/>
        </w:rPr>
        <w:t xml:space="preserve">supervisor_access.granted</w:t>
      </w:r>
      <w:r>
        <w:t xml:space="preserve">,</w:t>
      </w:r>
      <w:r>
        <w:t xml:space="preserve"> </w:t>
      </w:r>
      <w:r>
        <w:rPr>
          <w:rStyle w:val="VerbatimChar"/>
        </w:rPr>
        <w:t xml:space="preserve">.viewed</w:t>
      </w:r>
      <w:r>
        <w:t xml:space="preserve">,</w:t>
      </w:r>
      <w:r>
        <w:t xml:space="preserve"> </w:t>
      </w:r>
      <w:r>
        <w:rPr>
          <w:rStyle w:val="VerbatimChar"/>
        </w:rPr>
        <w:t xml:space="preserve">.exported</w:t>
      </w:r>
      <w:r>
        <w:t xml:space="preserve"> </w:t>
      </w:r>
      <w:r>
        <w:t xml:space="preserve">and</w:t>
      </w:r>
      <w:r>
        <w:t xml:space="preserve"> </w:t>
      </w:r>
      <w:r>
        <w:rPr>
          <w:rStyle w:val="VerbatimChar"/>
        </w:rPr>
        <w:t xml:space="preserve">.revoked</w:t>
      </w:r>
      <w:r>
        <w:t xml:space="preserve"> </w:t>
      </w:r>
      <w:r>
        <w:t xml:space="preserve">→</w:t>
      </w:r>
      <w:r>
        <w:t xml:space="preserve"> </w:t>
      </w:r>
      <w:r>
        <w:rPr>
          <w:rStyle w:val="VerbatimChar"/>
        </w:rPr>
        <w:t xml:space="preserve">ExternalAccessGranted</w:t>
      </w:r>
      <w:r>
        <w:t xml:space="preserve">,</w:t>
      </w:r>
      <w:r>
        <w:t xml:space="preserve"> </w:t>
      </w:r>
      <w:r>
        <w:rPr>
          <w:rStyle w:val="VerbatimChar"/>
        </w:rPr>
        <w:t xml:space="preserve">ExternalAccessUsed</w:t>
      </w:r>
      <w:r>
        <w:t xml:space="preserve">,</w:t>
      </w:r>
      <w:r>
        <w:t xml:space="preserve"> </w:t>
      </w:r>
      <w:r>
        <w:rPr>
          <w:rStyle w:val="VerbatimChar"/>
        </w:rPr>
        <w:t xml:space="preserve">ExternalAccessRevoked</w:t>
      </w:r>
      <w:r>
        <w:t xml:space="preserve">,</w:t>
      </w:r>
      <w:r>
        <w:t xml:space="preserve"> </w:t>
      </w:r>
      <w:r>
        <w:rPr>
          <w:rStyle w:val="VerbatimChar"/>
        </w:rPr>
        <w:t xml:space="preserve">kri.definition.published</w:t>
      </w:r>
      <w:r>
        <w:t xml:space="preserve"> </w:t>
      </w:r>
      <w:r>
        <w:t xml:space="preserve">→ KRI resource pull (6.22);</w:t>
      </w:r>
      <w:r>
        <w:t xml:space="preserve"> </w:t>
      </w:r>
      <w:r>
        <w:rPr>
          <w:rStyle w:val="VerbatimChar"/>
        </w:rPr>
        <w:t xml:space="preserve">EmployeeProvisioned</w:t>
      </w:r>
      <w:r>
        <w:t xml:space="preserve"> </w:t>
      </w:r>
      <w:r>
        <w:t xml:space="preserve">→</w:t>
      </w:r>
      <w:r>
        <w:t xml:space="preserve"> </w:t>
      </w:r>
      <w:r>
        <w:rPr>
          <w:rStyle w:val="VerbatimChar"/>
        </w:rPr>
        <w:t xml:space="preserve">EmployeeOnboarded</w:t>
      </w:r>
      <w:r>
        <w:t xml:space="preserve"> </w:t>
      </w:r>
      <w:r>
        <w:t xml:space="preserve">plus</w:t>
      </w:r>
      <w:r>
        <w:t xml:space="preserve"> </w:t>
      </w:r>
      <w:r>
        <w:rPr>
          <w:rStyle w:val="VerbatimChar"/>
        </w:rPr>
        <w:t xml:space="preserve">MailboxProvisioned</w:t>
      </w:r>
      <w:r>
        <w:t xml:space="preserve">; entities</w:t>
      </w:r>
      <w:r>
        <w:t xml:space="preserve"> </w:t>
      </w:r>
      <w:r>
        <w:rPr>
          <w:rStyle w:val="VerbatimChar"/>
        </w:rPr>
        <w:t xml:space="preserve">return_catalogue_entry</w:t>
      </w:r>
      <w:r>
        <w:t xml:space="preserve"> </w:t>
      </w:r>
      <w:r>
        <w:t xml:space="preserve">→</w:t>
      </w:r>
      <w:r>
        <w:t xml:space="preserve"> </w:t>
      </w:r>
      <w:r>
        <w:rPr>
          <w:rStyle w:val="VerbatimChar"/>
        </w:rPr>
        <w:t xml:space="preserve">return_definition</w:t>
      </w:r>
      <w:r>
        <w:t xml:space="preserve"> </w:t>
      </w:r>
      <w:r>
        <w:t xml:space="preserve">and</w:t>
      </w:r>
      <w:r>
        <w:t xml:space="preserve"> </w:t>
      </w:r>
      <w:r>
        <w:rPr>
          <w:rStyle w:val="VerbatimChar"/>
        </w:rPr>
        <w:t xml:space="preserve">return_version</w:t>
      </w:r>
      <w:r>
        <w:t xml:space="preserve">,</w:t>
      </w:r>
      <w:r>
        <w:t xml:space="preserve"> </w:t>
      </w:r>
      <w:r>
        <w:rPr>
          <w:rStyle w:val="VerbatimChar"/>
        </w:rPr>
        <w:t xml:space="preserve">return_submission</w:t>
      </w:r>
      <w:r>
        <w:t xml:space="preserve"> </w:t>
      </w:r>
      <w:r>
        <w:t xml:space="preserve">→</w:t>
      </w:r>
      <w:r>
        <w:t xml:space="preserve"> </w:t>
      </w:r>
      <w:r>
        <w:rPr>
          <w:rStyle w:val="VerbatimChar"/>
        </w:rPr>
        <w:t xml:space="preserve">return_run</w:t>
      </w:r>
      <w:r>
        <w:t xml:space="preserve"> </w:t>
      </w:r>
      <w:r>
        <w:t xml:space="preserve">and</w:t>
      </w:r>
      <w:r>
        <w:t xml:space="preserve"> </w:t>
      </w:r>
      <w:r>
        <w:rPr>
          <w:rStyle w:val="VerbatimChar"/>
        </w:rPr>
        <w:t xml:space="preserve">return_acknowledgement</w:t>
      </w:r>
      <w:r>
        <w:t xml:space="preserve">,</w:t>
      </w:r>
      <w:r>
        <w:t xml:space="preserve"> </w:t>
      </w:r>
      <w:r>
        <w:rPr>
          <w:rStyle w:val="VerbatimChar"/>
        </w:rPr>
        <w:t xml:space="preserve">cic_submission</w:t>
      </w:r>
      <w:r>
        <w:t xml:space="preserve">,</w:t>
      </w:r>
      <w:r>
        <w:t xml:space="preserve"> </w:t>
      </w:r>
      <w:r>
        <w:rPr>
          <w:rStyle w:val="VerbatimChar"/>
        </w:rPr>
        <w:t xml:space="preserve">cic_rejection</w:t>
      </w:r>
      <w:r>
        <w:t xml:space="preserve">,</w:t>
      </w:r>
      <w:r>
        <w:t xml:space="preserve"> </w:t>
      </w:r>
      <w:r>
        <w:rPr>
          <w:rStyle w:val="VerbatimChar"/>
        </w:rPr>
        <w:t xml:space="preserve">cic_dqi_review</w:t>
      </w:r>
      <w:r>
        <w:t xml:space="preserve"> </w:t>
      </w:r>
      <w:r>
        <w:t xml:space="preserve">and other</w:t>
      </w:r>
      <w:r>
        <w:t xml:space="preserve"> </w:t>
      </w:r>
      <w:r>
        <w:rPr>
          <w:rStyle w:val="VerbatimChar"/>
        </w:rPr>
        <w:t xml:space="preserve">cic_*</w:t>
      </w:r>
      <w:r>
        <w:t xml:space="preserve"> </w:t>
      </w:r>
      <w:r>
        <w:t xml:space="preserve">→</w:t>
      </w:r>
      <w:r>
        <w:t xml:space="preserve"> </w:t>
      </w:r>
      <w:r>
        <w:rPr>
          <w:rStyle w:val="VerbatimChar"/>
        </w:rPr>
        <w:t xml:space="preserve">bureau_cycle</w:t>
      </w:r>
      <w:r>
        <w:t xml:space="preserve">,</w:t>
      </w:r>
      <w:r>
        <w:t xml:space="preserve"> </w:t>
      </w:r>
      <w:r>
        <w:rPr>
          <w:rStyle w:val="VerbatimChar"/>
        </w:rPr>
        <w:t xml:space="preserve">bureau_file</w:t>
      </w:r>
      <w:r>
        <w:t xml:space="preserve">,</w:t>
      </w:r>
      <w:r>
        <w:t xml:space="preserve"> </w:t>
      </w:r>
      <w:r>
        <w:rPr>
          <w:rStyle w:val="VerbatimChar"/>
        </w:rPr>
        <w:t xml:space="preserve">bureau_rejection</w:t>
      </w:r>
      <w:r>
        <w:t xml:space="preserve">,</w:t>
      </w:r>
      <w:r>
        <w:t xml:space="preserve"> </w:t>
      </w:r>
      <w:r>
        <w:rPr>
          <w:rStyle w:val="VerbatimChar"/>
        </w:rPr>
        <w:t xml:space="preserve">dqi_review_report</w:t>
      </w:r>
      <w:r>
        <w:t xml:space="preserve">; field</w:t>
      </w:r>
      <w:r>
        <w:t xml:space="preserve"> </w:t>
      </w:r>
      <w:r>
        <w:rPr>
          <w:rStyle w:val="VerbatimChar"/>
        </w:rPr>
        <w:t xml:space="preserve">lendertype</w:t>
      </w:r>
      <w:r>
        <w:t xml:space="preserve"> </w:t>
      </w:r>
      <w:r>
        <w:t xml:space="preserve">with</w:t>
      </w:r>
      <w:r>
        <w:t xml:space="preserve"> </w:t>
      </w:r>
      <w:r>
        <w:rPr>
          <w:rStyle w:val="VerbatimChar"/>
        </w:rPr>
        <w:t xml:space="preserve">NON_RE_COOP</w:t>
      </w:r>
      <w:r>
        <w:t xml:space="preserve"> </w:t>
      </w:r>
      <w:r>
        <w:t xml:space="preserve">→</w:t>
      </w:r>
      <w:r>
        <w:t xml:space="preserve"> </w:t>
      </w:r>
      <w:r>
        <w:rPr>
          <w:rStyle w:val="VerbatimChar"/>
        </w:rPr>
        <w:t xml:space="preserve">lender_type</w:t>
      </w:r>
      <w:r>
        <w:t xml:space="preserve"> </w:t>
      </w:r>
      <w:r>
        <w:t xml:space="preserve">with</w:t>
      </w:r>
      <w:r>
        <w:t xml:space="preserve"> </w:t>
      </w:r>
      <w:r>
        <w:rPr>
          <w:rStyle w:val="VerbatimChar"/>
        </w:rPr>
        <w:t xml:space="preserve">NON_RE_SOCIETY</w:t>
      </w:r>
      <w:r>
        <w:t xml:space="preserve">;</w:t>
      </w:r>
      <w:r>
        <w:t xml:space="preserve"> </w:t>
      </w:r>
      <w:r>
        <w:rPr>
          <w:rStyle w:val="VerbatimChar"/>
        </w:rPr>
        <w:t xml:space="preserve">mode</w:t>
      </w:r>
      <w:r>
        <w:t xml:space="preserve"> </w:t>
      </w:r>
      <w:r>
        <w:t xml:space="preserve">values</w:t>
      </w:r>
      <w:r>
        <w:t xml:space="preserve"> </w:t>
      </w:r>
      <w:r>
        <w:rPr>
          <w:rStyle w:val="VerbatimChar"/>
        </w:rPr>
        <w:t xml:space="preserve">pilot</w:t>
      </w:r>
      <w:r>
        <w:t xml:space="preserve">,</w:t>
      </w:r>
      <w:r>
        <w:t xml:space="preserve"> </w:t>
      </w:r>
      <w:r>
        <w:rPr>
          <w:rStyle w:val="VerbatimChar"/>
        </w:rPr>
        <w:t xml:space="preserve">general</w:t>
      </w:r>
      <w:r>
        <w:t xml:space="preserve"> </w:t>
      </w:r>
      <w:r>
        <w:t xml:space="preserve">→</w:t>
      </w:r>
      <w:r>
        <w:t xml:space="preserve"> </w:t>
      </w:r>
      <w:r>
        <w:rPr>
          <w:rStyle w:val="VerbatimChar"/>
        </w:rPr>
        <w:t xml:space="preserve">PILOT</w:t>
      </w:r>
      <w:r>
        <w:t xml:space="preserve">,</w:t>
      </w:r>
      <w:r>
        <w:t xml:space="preserve"> </w:t>
      </w:r>
      <w:r>
        <w:rPr>
          <w:rStyle w:val="VerbatimChar"/>
        </w:rPr>
        <w:t xml:space="preserve">GENERAL</w:t>
      </w:r>
      <w:r>
        <w:t xml:space="preserve">; risk-feed extensions</w:t>
      </w:r>
      <w:r>
        <w:t xml:space="preserve"> </w:t>
      </w:r>
      <w:r>
        <w:rPr>
          <w:rStyle w:val="VerbatimChar"/>
        </w:rPr>
        <w:t xml:space="preserve">as_of</w:t>
      </w:r>
      <w:r>
        <w:t xml:space="preserve">,</w:t>
      </w:r>
      <w:r>
        <w:t xml:space="preserve"> </w:t>
      </w:r>
      <w:r>
        <w:rPr>
          <w:rStyle w:val="VerbatimChar"/>
        </w:rPr>
        <w:t xml:space="preserve">metric_version</w:t>
      </w:r>
      <w:r>
        <w:t xml:space="preserve">,</w:t>
      </w:r>
      <w:r>
        <w:t xml:space="preserve"> </w:t>
      </w:r>
      <w:r>
        <w:rPr>
          <w:rStyle w:val="VerbatimChar"/>
        </w:rPr>
        <w:t xml:space="preserve">prev_hash</w:t>
      </w:r>
      <w:r>
        <w:t xml:space="preserve"> </w:t>
      </w:r>
      <w:r>
        <w:t xml:space="preserve">→</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prevhash</w:t>
      </w:r>
      <w:r>
        <w:t xml:space="preserve">;</w:t>
      </w:r>
      <w:r>
        <w:t xml:space="preserve"> </w:t>
      </w:r>
      <w:r>
        <w:rPr>
          <w:rStyle w:val="VerbatimChar"/>
        </w:rPr>
        <w:t xml:space="preserve">meter_class</w:t>
      </w:r>
      <w:r>
        <w:t xml:space="preserve"> </w:t>
      </w:r>
      <w:r>
        <w:t xml:space="preserve">→</w:t>
      </w:r>
      <w:r>
        <w:t xml:space="preserve"> </w:t>
      </w:r>
      <w:r>
        <w:rPr>
          <w:rStyle w:val="VerbatimChar"/>
        </w:rPr>
        <w:t xml:space="preserve">meter_kind</w:t>
      </w:r>
      <w:r>
        <w:t xml:space="preserve">; Udofin’s internal tenant class</w:t>
      </w:r>
      <w:r>
        <w:t xml:space="preserve"> </w:t>
      </w:r>
      <w:r>
        <w:rPr>
          <w:rStyle w:val="VerbatimChar"/>
        </w:rPr>
        <w:t xml:space="preserve">lender_class = NON_RE_COOP</w:t>
      </w:r>
      <w:r>
        <w:t xml:space="preserve"> </w:t>
      </w:r>
      <w:r>
        <w:t xml:space="preserve">never appears in an event (events carry</w:t>
      </w:r>
      <w:r>
        <w:t xml:space="preserve"> </w:t>
      </w:r>
      <w:r>
        <w:rPr>
          <w:rStyle w:val="VerbatimChar"/>
        </w:rPr>
        <w:t xml:space="preserve">lender_type = NON_RE_SOCIETY</w:t>
      </w:r>
      <w:r>
        <w:t xml:space="preserve">); allocation basis</w:t>
      </w:r>
      <w:r>
        <w:t xml:space="preserve"> </w:t>
      </w:r>
      <w:r>
        <w:rPr>
          <w:rStyle w:val="VerbatimChar"/>
        </w:rPr>
        <w:t xml:space="preserve">RECORDED_EXCEPTION</w:t>
      </w:r>
      <w:r>
        <w:t xml:space="preserve"> </w:t>
      </w:r>
      <w:r>
        <w:t xml:space="preserve">→</w:t>
      </w:r>
      <w:r>
        <w:t xml:space="preserve"> </w:t>
      </w:r>
      <w:r>
        <w:rPr>
          <w:rStyle w:val="VerbatimChar"/>
        </w:rPr>
        <w:t xml:space="preserve">REASONED_EXCEPTION</w:t>
      </w:r>
      <w:r>
        <w:t xml:space="preserve">; OH</w:t>
      </w:r>
      <w:r>
        <w:t xml:space="preserve"> </w:t>
      </w:r>
      <w:r>
        <w:rPr>
          <w:rStyle w:val="VerbatimChar"/>
        </w:rPr>
        <w:t xml:space="preserve">source</w:t>
      </w:r>
      <w:r>
        <w:t xml:space="preserve"> </w:t>
      </w:r>
      <w:r>
        <w:t xml:space="preserve">spellings</w:t>
      </w:r>
      <w:r>
        <w:t xml:space="preserve"> </w:t>
      </w:r>
      <w:r>
        <w:rPr>
          <w:rStyle w:val="VerbatimChar"/>
        </w:rPr>
        <w:t xml:space="preserve">[legal-entity-id]</w:t>
      </w:r>
      <w:r>
        <w:t xml:space="preserve"> </w:t>
      </w:r>
      <w:r>
        <w:t xml:space="preserve">and</w:t>
      </w:r>
      <w:r>
        <w:t xml:space="preserve"> </w:t>
      </w:r>
      <w:r>
        <w:rPr>
          <w:rStyle w:val="VerbatimChar"/>
        </w:rPr>
        <w:t xml:space="preserve">[legal_entity_id]</w:t>
      </w:r>
      <w:r>
        <w:t xml:space="preserve"> </w:t>
      </w:r>
      <w:r>
        <w:t xml:space="preserve">→</w:t>
      </w:r>
      <w:r>
        <w:t xml:space="preserve"> </w:t>
      </w:r>
      <w:r>
        <w:rPr>
          <w:rStyle w:val="VerbatimChar"/>
        </w:rPr>
        <w:t xml:space="preserve">urn:infrabyx:oh:[legalentityid]</w:t>
      </w:r>
      <w:r>
        <w:t xml:space="preserve">. APIs:</w:t>
      </w:r>
      <w:r>
        <w:t xml:space="preserve"> </w:t>
      </w:r>
      <w:r>
        <w:rPr>
          <w:rStyle w:val="VerbatimChar"/>
        </w:rPr>
        <w:t xml:space="preserve">GET /v1/catalogue/{version}</w:t>
      </w:r>
      <w:r>
        <w:t xml:space="preserve"> </w:t>
      </w:r>
      <w:r>
        <w:t xml:space="preserve">→</w:t>
      </w:r>
      <w:r>
        <w:t xml:space="preserve"> </w:t>
      </w:r>
      <w:r>
        <w:rPr>
          <w:rStyle w:val="VerbatimChar"/>
        </w:rPr>
        <w:t xml:space="preserve">GET /v1/catalogue/versions/{v}</w:t>
      </w:r>
      <w:r>
        <w:t xml:space="preserve">;</w:t>
      </w:r>
      <w:r>
        <w:t xml:space="preserve"> </w:t>
      </w:r>
      <w:r>
        <w:rPr>
          <w:rStyle w:val="VerbatimChar"/>
        </w:rPr>
        <w:t xml:space="preserve">POST /v1/billing/checkout-sessions</w:t>
      </w:r>
      <w:r>
        <w:t xml:space="preserve"> </w:t>
      </w:r>
      <w:r>
        <w:t xml:space="preserve">→</w:t>
      </w:r>
      <w:r>
        <w:t xml:space="preserve"> </w:t>
      </w:r>
      <w:r>
        <w:rPr>
          <w:rStyle w:val="VerbatimChar"/>
        </w:rPr>
        <w:t xml:space="preserve">POST /v1/billing/orders</w:t>
      </w:r>
      <w:r>
        <w:t xml:space="preserve">;</w:t>
      </w:r>
      <w:r>
        <w:t xml:space="preserve"> </w:t>
      </w:r>
      <w:r>
        <w:rPr>
          <w:rStyle w:val="VerbatimChar"/>
        </w:rPr>
        <w:t xml:space="preserve">GET /v1/billing/invoices?org_id=</w:t>
      </w:r>
      <w:r>
        <w:t xml:space="preserve"> </w:t>
      </w:r>
      <w:r>
        <w:t xml:space="preserve">→</w:t>
      </w:r>
      <w:r>
        <w:t xml:space="preserve"> </w:t>
      </w:r>
      <w:r>
        <w:rPr>
          <w:rStyle w:val="VerbatimChar"/>
        </w:rPr>
        <w:t xml:space="preserve">?tenantid=</w:t>
      </w:r>
      <w:r>
        <w:t xml:space="preserve">;</w:t>
      </w:r>
      <w:r>
        <w:t xml:space="preserve"> </w:t>
      </w:r>
      <w:r>
        <w:rPr>
          <w:rStyle w:val="VerbatimChar"/>
        </w:rPr>
        <w:t xml:space="preserve">GET /v1/professionals</w:t>
      </w:r>
      <w:r>
        <w:t xml:space="preserve"> </w:t>
      </w:r>
      <w:r>
        <w:t xml:space="preserve">→</w:t>
      </w:r>
      <w:r>
        <w:t xml:space="preserve"> </w:t>
      </w:r>
      <w:r>
        <w:rPr>
          <w:rStyle w:val="VerbatimChar"/>
        </w:rPr>
        <w:t xml:space="preserve">GET /v1/directory/professionals</w:t>
      </w:r>
      <w:r>
        <w:t xml:space="preserve">;</w:t>
      </w:r>
      <w:r>
        <w:t xml:space="preserve"> </w:t>
      </w:r>
      <w:r>
        <w:rPr>
          <w:rStyle w:val="VerbatimChar"/>
        </w:rPr>
        <w:t xml:space="preserve">GET /v1/professionals/{id}/conflicts</w:t>
      </w:r>
      <w:r>
        <w:t xml:space="preserve"> </w:t>
      </w:r>
      <w:r>
        <w:t xml:space="preserve">→</w:t>
      </w:r>
      <w:r>
        <w:t xml:space="preserve"> </w:t>
      </w:r>
      <w:r>
        <w:rPr>
          <w:rStyle w:val="VerbatimChar"/>
        </w:rPr>
        <w:t xml:space="preserve">POST /v1/conflicts/check</w:t>
      </w:r>
      <w:r>
        <w:t xml:space="preserve">.</w:t>
      </w:r>
    </w:p>
    <w:bookmarkEnd w:id="64"/>
    <w:bookmarkStart w:id="65" w:name="regulatory-returns-reporting"/>
    <w:p>
      <w:pPr>
        <w:pStyle w:val="Heading2"/>
      </w:pPr>
      <w:r>
        <w:t xml:space="preserve">6.18 Regulatory returns (</w:t>
      </w:r>
      <w:r>
        <w:rPr>
          <w:rStyle w:val="VerbatimChar"/>
        </w:rPr>
        <w:t xml:space="preserve">reporting</w:t>
      </w:r>
      <w:r>
        <w:t xml:space="preserve">)</w:t>
      </w:r>
    </w:p>
    <w:p>
      <w:pPr>
        <w:pStyle w:val="FirstParagraph"/>
      </w:pPr>
      <w:r>
        <w:t xml:space="preserve">Finbyx Part 7B (RR1–RR5, RR8).</w:t>
      </w:r>
      <w:r>
        <w:t xml:space="preserve"> </w:t>
      </w:r>
      <w:r>
        <w:rPr>
          <w:bCs/>
          <w:b/>
        </w:rPr>
        <w:t xml:space="preserve">Prepare, validate, reconcile, package and evidence; an authorised RE user files</w:t>
      </w:r>
      <w:r>
        <w:t xml:space="preserve"> </w:t>
      </w:r>
      <w:r>
        <w:t xml:space="preserve">(Part 2 principle 11).</w:t>
      </w:r>
      <w:r>
        <w:t xml:space="preserve"> </w:t>
      </w:r>
      <w:r>
        <w:rPr>
          <w:rStyle w:val="VerbatimChar"/>
        </w:rPr>
        <w:t xml:space="preserve">ReturnStatusUpdated</w:t>
      </w:r>
      <w:r>
        <w:t xml:space="preserve"> </w:t>
      </w:r>
      <w:r>
        <w:t xml:space="preserve">(6.15) continues on every transition for GRC tools; the lifecycle events below carry the richer payloads. Return packages are</w:t>
      </w:r>
      <w:r>
        <w:t xml:space="preserve"> </w:t>
      </w:r>
      <w:r>
        <w:rPr>
          <w:rStyle w:val="VerbatimChar"/>
        </w:rPr>
        <w:t xml:space="preserve">CONFIDENTIAL</w:t>
      </w:r>
      <w:r>
        <w:t xml:space="preserve"> </w:t>
      </w:r>
      <w:r>
        <w:t xml:space="preserve">and travel by document reference (6.13), never inside events. All events:</w:t>
      </w:r>
      <w:r>
        <w:t xml:space="preserve"> </w:t>
      </w:r>
      <w:r>
        <w:rPr>
          <w:rStyle w:val="VerbatimChar"/>
        </w:rPr>
        <w:t xml:space="preserve">productfamily = na</w:t>
      </w:r>
      <w:r>
        <w:t xml:space="preserve">,</w:t>
      </w:r>
      <w:r>
        <w:t xml:space="preserve"> </w:t>
      </w:r>
      <w:r>
        <w:rPr>
          <w:rStyle w:val="VerbatimChar"/>
        </w:rPr>
        <w:t xml:space="preserve">legalbasis = STATUTORY_REPORTING</w:t>
      </w:r>
      <w:r>
        <w:t xml:space="preserve"> </w:t>
      </w:r>
      <w:r>
        <w:t xml:space="preserve">where any field could identify a person (DNBS08, DNBS09, FMR, LEF lines).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08"/>
        <w:gridCol w:w="1288"/>
        <w:gridCol w:w="2577"/>
        <w:gridCol w:w="1999"/>
        <w:gridCol w:w="859"/>
        <w:gridCol w:w="894"/>
        <w:gridCol w:w="913"/>
      </w:tblGrid>
      <w:tr>
        <w:trPr>
          <w:tblHeader w:val="true"/>
          <w:tblHeader w:val="true"/>
        </w:trPr>
        <w:tc>
          <w:tcPr>
            <w:tcW w:w="1108" w:type="dxa"/>
            <w:shd w:val="clear" w:color="auto" w:fill="1F3A5F"/>
          </w:tcPr>
          <w:p>
            <w:pPr>
              <w:pStyle w:val="Compact"/>
              <w:spacing w:after="40"/>
              <w:jc w:val="left"/>
            </w:pPr>
            <w:r>
              <w:rPr>
                <w:b/>
                <w:color w:val="FFFFFF"/>
                <w:sz w:val="18"/>
              </w:rPr>
              <w:t xml:space="preserve">Event or API</w:t>
            </w:r>
          </w:p>
        </w:tc>
        <w:tc>
          <w:tcPr>
            <w:tcW w:w="1288" w:type="dxa"/>
            <w:shd w:val="clear" w:color="auto" w:fill="1F3A5F"/>
          </w:tcPr>
          <w:p>
            <w:pPr>
              <w:pStyle w:val="Compact"/>
              <w:spacing w:after="40"/>
              <w:jc w:val="left"/>
            </w:pPr>
            <w:r>
              <w:rPr>
                <w:b/>
                <w:color w:val="FFFFFF"/>
                <w:sz w:val="18"/>
              </w:rPr>
              <w:t xml:space="preserve">Producer → consumer(s)</w:t>
            </w:r>
          </w:p>
        </w:tc>
        <w:tc>
          <w:tcPr>
            <w:tcW w:w="2577" w:type="dxa"/>
            <w:shd w:val="clear" w:color="auto" w:fill="1F3A5F"/>
          </w:tcPr>
          <w:p>
            <w:pPr>
              <w:pStyle w:val="Compact"/>
              <w:spacing w:after="40"/>
              <w:jc w:val="left"/>
            </w:pPr>
            <w:r>
              <w:rPr>
                <w:b/>
                <w:color w:val="FFFFFF"/>
                <w:sz w:val="18"/>
              </w:rPr>
              <w:t xml:space="preserve">Trigger</w:t>
            </w:r>
          </w:p>
        </w:tc>
        <w:tc>
          <w:tcPr>
            <w:tcW w:w="1999" w:type="dxa"/>
            <w:shd w:val="clear" w:color="auto" w:fill="1F3A5F"/>
          </w:tcPr>
          <w:p>
            <w:pPr>
              <w:pStyle w:val="Compact"/>
              <w:spacing w:after="40"/>
              <w:jc w:val="left"/>
            </w:pPr>
            <w:r>
              <w:rPr>
                <w:b/>
                <w:color w:val="FFFFFF"/>
                <w:sz w:val="18"/>
              </w:rPr>
              <w:t xml:space="preserve">Key payload fields</w:t>
            </w:r>
          </w:p>
        </w:tc>
        <w:tc>
          <w:tcPr>
            <w:tcW w:w="859" w:type="dxa"/>
            <w:shd w:val="clear" w:color="auto" w:fill="1F3A5F"/>
          </w:tcPr>
          <w:p>
            <w:pPr>
              <w:pStyle w:val="Compact"/>
              <w:spacing w:after="40"/>
              <w:jc w:val="left"/>
            </w:pPr>
            <w:r>
              <w:rPr>
                <w:b/>
                <w:color w:val="FFFFFF"/>
                <w:sz w:val="18"/>
              </w:rPr>
              <w:t xml:space="preserve">Owner</w:t>
            </w:r>
          </w:p>
        </w:tc>
        <w:tc>
          <w:tcPr>
            <w:tcW w:w="894" w:type="dxa"/>
            <w:shd w:val="clear" w:color="auto" w:fill="1F3A5F"/>
          </w:tcPr>
          <w:p>
            <w:pPr>
              <w:pStyle w:val="Compact"/>
              <w:spacing w:after="40"/>
              <w:jc w:val="left"/>
            </w:pPr>
            <w:r>
              <w:rPr>
                <w:b/>
                <w:color w:val="FFFFFF"/>
                <w:sz w:val="18"/>
              </w:rPr>
              <w:t xml:space="preserve">Idempotency key</w:t>
            </w:r>
          </w:p>
        </w:tc>
        <w:tc>
          <w:tcPr>
            <w:tcW w:w="913" w:type="dxa"/>
            <w:shd w:val="clear" w:color="auto" w:fill="1F3A5F"/>
          </w:tcPr>
          <w:p>
            <w:pPr>
              <w:pStyle w:val="Compact"/>
              <w:spacing w:after="40"/>
              <w:jc w:val="left"/>
            </w:pPr>
            <w:r>
              <w:rPr>
                <w:b/>
                <w:color w:val="FFFFFF"/>
                <w:sz w:val="18"/>
              </w:rPr>
              <w:t xml:space="preserve">SLA</w:t>
            </w:r>
          </w:p>
        </w:tc>
      </w:tr>
      <w:tr>
        <w:tc>
          <w:tcPr>
            <w:tcW w:w="1108" w:type="dxa"/>
          </w:tcPr>
          <w:p>
            <w:pPr>
              <w:pStyle w:val="Compact"/>
              <w:spacing w:after="40"/>
              <w:jc w:val="left"/>
            </w:pPr>
            <w:r>
              <w:rPr>
                <w:rStyle w:val="VerbatimChar"/>
                <w:sz w:val="18"/>
              </w:rPr>
              <w:t xml:space="preserve">ReturnDue</w:t>
            </w:r>
            <w:r>
              <w:rPr>
                <w:sz w:val="18"/>
              </w:rPr>
              <w:t xml:space="preserve"> </w:t>
            </w:r>
            <w:r>
              <w:rPr>
                <w:sz w:val="18"/>
              </w:rPr>
              <w:t xml:space="preserve">(N11)</w:t>
            </w:r>
          </w:p>
        </w:tc>
        <w:tc>
          <w:tcPr>
            <w:tcW w:w="1288" w:type="dxa"/>
          </w:tcPr>
          <w:p>
            <w:pPr>
              <w:pStyle w:val="Compact"/>
              <w:spacing w:after="40"/>
              <w:jc w:val="left"/>
            </w:pPr>
            <w:r>
              <w:rPr>
                <w:sz w:val="18"/>
              </w:rPr>
              <w:t xml:space="preserve">FX → LDC or embedded M14; OH (metadata, tenant opt-in)</w:t>
            </w:r>
          </w:p>
        </w:tc>
        <w:tc>
          <w:tcPr>
            <w:tcW w:w="2577" w:type="dxa"/>
          </w:tcPr>
          <w:p>
            <w:pPr>
              <w:pStyle w:val="Compact"/>
              <w:spacing w:after="40"/>
              <w:jc w:val="left"/>
            </w:pPr>
            <w:r>
              <w:rPr>
                <w:sz w:val="18"/>
              </w:rPr>
              <w:t xml:space="preserve">Due instance reaches T−7, T−3, T−1 or breach; event-driven instances (FMR + 14 days, FUA immediate, cyber + 6 hours, CKYCR + 10 days, CERSAI + 30 days, DNBS10 and audited returns + 5 working days of the audit report)</w:t>
            </w:r>
          </w:p>
        </w:tc>
        <w:tc>
          <w:tcPr>
            <w:tcW w:w="1999" w:type="dxa"/>
          </w:tcPr>
          <w:p>
            <w:pPr>
              <w:pStyle w:val="Compact"/>
              <w:spacing w:after="40"/>
              <w:jc w:val="left"/>
            </w:pPr>
            <w:r>
              <w:rPr>
                <w:sz w:val="18"/>
              </w:rPr>
              <w:t xml:space="preserve">instance_id, regulator, portal, return_code, legal_entity, period, due_at, alert_stage, basis citation (e.g. SR para 21 item n)</w:t>
            </w:r>
          </w:p>
        </w:tc>
        <w:tc>
          <w:tcPr>
            <w:tcW w:w="859" w:type="dxa"/>
          </w:tcPr>
          <w:p>
            <w:pPr>
              <w:pStyle w:val="Compact"/>
              <w:spacing w:after="40"/>
              <w:jc w:val="left"/>
            </w:pPr>
            <w:r>
              <w:rPr>
                <w:sz w:val="18"/>
              </w:rPr>
              <w:t xml:space="preserve">FX</w:t>
            </w:r>
          </w:p>
        </w:tc>
        <w:tc>
          <w:tcPr>
            <w:tcW w:w="894" w:type="dxa"/>
          </w:tcPr>
          <w:p>
            <w:pPr>
              <w:pStyle w:val="Compact"/>
              <w:spacing w:after="40"/>
              <w:jc w:val="left"/>
            </w:pPr>
            <w:r>
              <w:rPr>
                <w:sz w:val="18"/>
              </w:rPr>
              <w:t xml:space="preserve">(instance_id, alert_stage)</w:t>
            </w:r>
          </w:p>
        </w:tc>
        <w:tc>
          <w:tcPr>
            <w:tcW w:w="913" w:type="dxa"/>
          </w:tcPr>
          <w:p>
            <w:pPr>
              <w:pStyle w:val="Compact"/>
              <w:spacing w:after="40"/>
              <w:jc w:val="left"/>
            </w:pPr>
            <w:r>
              <w:rPr>
                <w:sz w:val="18"/>
              </w:rPr>
              <w:t xml:space="preserve">At each alert stage</w:t>
            </w:r>
          </w:p>
        </w:tc>
      </w:tr>
      <w:tr>
        <w:tc>
          <w:tcPr>
            <w:tcW w:w="1108" w:type="dxa"/>
          </w:tcPr>
          <w:p>
            <w:pPr>
              <w:pStyle w:val="Compact"/>
              <w:spacing w:after="40"/>
              <w:jc w:val="left"/>
            </w:pPr>
            <w:r>
              <w:rPr>
                <w:rStyle w:val="VerbatimChar"/>
                <w:sz w:val="18"/>
              </w:rPr>
              <w:t xml:space="preserve">ReturnGenerated</w:t>
            </w:r>
            <w:r>
              <w:rPr>
                <w:sz w:val="18"/>
              </w:rPr>
              <w:t xml:space="preserve"> </w:t>
            </w:r>
            <w:r>
              <w:rPr>
                <w:sz w:val="18"/>
              </w:rPr>
              <w:t xml:space="preserve">(N11)</w:t>
            </w:r>
          </w:p>
        </w:tc>
        <w:tc>
          <w:tcPr>
            <w:tcW w:w="1288" w:type="dxa"/>
          </w:tcPr>
          <w:p>
            <w:pPr>
              <w:pStyle w:val="Compact"/>
              <w:spacing w:after="40"/>
              <w:jc w:val="left"/>
            </w:pPr>
            <w:r>
              <w:rPr>
                <w:sz w:val="18"/>
              </w:rPr>
              <w:t xml:space="preserve">FX → LDC</w:t>
            </w:r>
          </w:p>
        </w:tc>
        <w:tc>
          <w:tcPr>
            <w:tcW w:w="2577" w:type="dxa"/>
          </w:tcPr>
          <w:p>
            <w:pPr>
              <w:pStyle w:val="Compact"/>
              <w:spacing w:after="40"/>
              <w:jc w:val="left"/>
            </w:pPr>
            <w:r>
              <w:rPr>
                <w:sz w:val="18"/>
              </w:rPr>
              <w:t xml:space="preserve">Template filled from a frozen snapshot</w:t>
            </w:r>
          </w:p>
        </w:tc>
        <w:tc>
          <w:tcPr>
            <w:tcW w:w="1999" w:type="dxa"/>
          </w:tcPr>
          <w:p>
            <w:pPr>
              <w:pStyle w:val="Compact"/>
              <w:spacing w:after="40"/>
              <w:jc w:val="left"/>
            </w:pPr>
            <w:r>
              <w:rPr>
                <w:sz w:val="18"/>
              </w:rPr>
              <w:t xml:space="preserve">instance_id, run_no, template hash and version, cell-map version, snapshot hash, file hash</w:t>
            </w:r>
          </w:p>
        </w:tc>
        <w:tc>
          <w:tcPr>
            <w:tcW w:w="859" w:type="dxa"/>
          </w:tcPr>
          <w:p>
            <w:pPr>
              <w:pStyle w:val="Compact"/>
              <w:spacing w:after="40"/>
              <w:jc w:val="left"/>
            </w:pPr>
            <w:r>
              <w:rPr>
                <w:sz w:val="18"/>
              </w:rPr>
              <w:t xml:space="preserve">FX</w:t>
            </w:r>
          </w:p>
        </w:tc>
        <w:tc>
          <w:tcPr>
            <w:tcW w:w="894" w:type="dxa"/>
          </w:tcPr>
          <w:p>
            <w:pPr>
              <w:pStyle w:val="Compact"/>
              <w:spacing w:after="40"/>
              <w:jc w:val="left"/>
            </w:pPr>
            <w:r>
              <w:rPr>
                <w:sz w:val="18"/>
              </w:rPr>
              <w:t xml:space="preserve">(instance_id, run_no)</w:t>
            </w:r>
          </w:p>
        </w:tc>
        <w:tc>
          <w:tcPr>
            <w:tcW w:w="913" w:type="dxa"/>
          </w:tcPr>
          <w:p>
            <w:pPr>
              <w:pStyle w:val="Compact"/>
              <w:spacing w:after="40"/>
              <w:jc w:val="left"/>
            </w:pPr>
            <w:r>
              <w:rPr>
                <w:sz w:val="18"/>
              </w:rPr>
              <w:t xml:space="preserve">std</w:t>
            </w:r>
          </w:p>
        </w:tc>
      </w:tr>
      <w:tr>
        <w:tc>
          <w:tcPr>
            <w:tcW w:w="1108" w:type="dxa"/>
          </w:tcPr>
          <w:p>
            <w:pPr>
              <w:pStyle w:val="Compact"/>
              <w:spacing w:after="40"/>
              <w:jc w:val="left"/>
            </w:pPr>
            <w:r>
              <w:rPr>
                <w:rStyle w:val="VerbatimChar"/>
                <w:sz w:val="18"/>
              </w:rPr>
              <w:t xml:space="preserve">ReturnValidated</w:t>
            </w:r>
            <w:r>
              <w:rPr>
                <w:sz w:val="18"/>
              </w:rPr>
              <w:t xml:space="preserve"> </w:t>
            </w:r>
            <w:r>
              <w:rPr>
                <w:sz w:val="18"/>
              </w:rPr>
              <w:t xml:space="preserve">(N11)</w:t>
            </w:r>
          </w:p>
        </w:tc>
        <w:tc>
          <w:tcPr>
            <w:tcW w:w="1288" w:type="dxa"/>
          </w:tcPr>
          <w:p>
            <w:pPr>
              <w:pStyle w:val="Compact"/>
              <w:spacing w:after="40"/>
              <w:jc w:val="left"/>
            </w:pPr>
            <w:r>
              <w:rPr>
                <w:sz w:val="18"/>
              </w:rPr>
              <w:t xml:space="preserve">FX → LDC</w:t>
            </w:r>
          </w:p>
        </w:tc>
        <w:tc>
          <w:tcPr>
            <w:tcW w:w="2577" w:type="dxa"/>
          </w:tcPr>
          <w:p>
            <w:pPr>
              <w:pStyle w:val="Compact"/>
              <w:spacing w:after="40"/>
              <w:jc w:val="left"/>
            </w:pPr>
            <w:r>
              <w:rPr>
                <w:sz w:val="18"/>
              </w:rPr>
              <w:t xml:space="preserve">Validation and trial-balance reconciliation passed (RR3.3, RR3.4)</w:t>
            </w:r>
          </w:p>
        </w:tc>
        <w:tc>
          <w:tcPr>
            <w:tcW w:w="1999" w:type="dxa"/>
          </w:tcPr>
          <w:p>
            <w:pPr>
              <w:pStyle w:val="Compact"/>
              <w:spacing w:after="40"/>
              <w:jc w:val="left"/>
            </w:pPr>
            <w:r>
              <w:rPr>
                <w:sz w:val="18"/>
              </w:rPr>
              <w:t xml:space="preserve">rule-pack version, warnings accepted count, reconciliation hash, explained-variance count</w:t>
            </w:r>
          </w:p>
        </w:tc>
        <w:tc>
          <w:tcPr>
            <w:tcW w:w="859" w:type="dxa"/>
          </w:tcPr>
          <w:p>
            <w:pPr>
              <w:pStyle w:val="Compact"/>
              <w:spacing w:after="40"/>
              <w:jc w:val="left"/>
            </w:pPr>
            <w:r>
              <w:rPr>
                <w:sz w:val="18"/>
              </w:rPr>
              <w:t xml:space="preserve">FX</w:t>
            </w:r>
          </w:p>
        </w:tc>
        <w:tc>
          <w:tcPr>
            <w:tcW w:w="894" w:type="dxa"/>
          </w:tcPr>
          <w:p>
            <w:pPr>
              <w:pStyle w:val="Compact"/>
              <w:spacing w:after="40"/>
              <w:jc w:val="left"/>
            </w:pPr>
            <w:r>
              <w:rPr>
                <w:sz w:val="18"/>
              </w:rPr>
              <w:t xml:space="preserve">(instance_id, run_no)</w:t>
            </w:r>
          </w:p>
        </w:tc>
        <w:tc>
          <w:tcPr>
            <w:tcW w:w="913" w:type="dxa"/>
          </w:tcPr>
          <w:p>
            <w:pPr>
              <w:pStyle w:val="Compact"/>
              <w:spacing w:after="40"/>
              <w:jc w:val="left"/>
            </w:pPr>
            <w:r>
              <w:rPr>
                <w:sz w:val="18"/>
              </w:rPr>
              <w:t xml:space="preserve">std</w:t>
            </w:r>
          </w:p>
        </w:tc>
      </w:tr>
      <w:tr>
        <w:tc>
          <w:tcPr>
            <w:tcW w:w="1108" w:type="dxa"/>
          </w:tcPr>
          <w:p>
            <w:pPr>
              <w:pStyle w:val="Compact"/>
              <w:spacing w:after="40"/>
              <w:jc w:val="left"/>
            </w:pPr>
            <w:r>
              <w:rPr>
                <w:rStyle w:val="VerbatimChar"/>
                <w:sz w:val="18"/>
              </w:rPr>
              <w:t xml:space="preserve">ReturnApproved</w:t>
            </w:r>
            <w:r>
              <w:rPr>
                <w:sz w:val="18"/>
              </w:rPr>
              <w:t xml:space="preserve"> </w:t>
            </w:r>
            <w:r>
              <w:rPr>
                <w:sz w:val="18"/>
              </w:rPr>
              <w:t xml:space="preserve">(N11) signed</w:t>
            </w:r>
          </w:p>
        </w:tc>
        <w:tc>
          <w:tcPr>
            <w:tcW w:w="1288" w:type="dxa"/>
          </w:tcPr>
          <w:p>
            <w:pPr>
              <w:pStyle w:val="Compact"/>
              <w:spacing w:after="40"/>
              <w:jc w:val="left"/>
            </w:pPr>
            <w:r>
              <w:rPr>
                <w:sz w:val="18"/>
              </w:rPr>
              <w:t xml:space="preserve">FX → LDC</w:t>
            </w:r>
          </w:p>
        </w:tc>
        <w:tc>
          <w:tcPr>
            <w:tcW w:w="2577" w:type="dxa"/>
          </w:tcPr>
          <w:p>
            <w:pPr>
              <w:pStyle w:val="Compact"/>
              <w:spacing w:after="40"/>
              <w:jc w:val="left"/>
            </w:pPr>
            <w:r>
              <w:rPr>
                <w:sz w:val="18"/>
              </w:rPr>
              <w:t xml:space="preserve">Signatory signs off (SIGNED_OFF); SoD check passed (GOV para 21(3)–(4); CMP para 27)</w:t>
            </w:r>
          </w:p>
        </w:tc>
        <w:tc>
          <w:tcPr>
            <w:tcW w:w="1999" w:type="dxa"/>
          </w:tcPr>
          <w:p>
            <w:pPr>
              <w:pStyle w:val="Compact"/>
              <w:spacing w:after="40"/>
              <w:jc w:val="left"/>
            </w:pPr>
            <w:r>
              <w:rPr>
                <w:sz w:val="18"/>
              </w:rPr>
              <w:t xml:space="preserve">maker, checker and signatory roles, SoD check ref, package manifest hash (</w:t>
            </w:r>
            <w:r>
              <w:rPr>
                <w:rStyle w:val="VerbatimChar"/>
                <w:sz w:val="18"/>
              </w:rPr>
              <w:t xml:space="preserve">return_package_v1</w:t>
            </w:r>
            <w:r>
              <w:rPr>
                <w:sz w:val="18"/>
              </w:rPr>
              <w:t xml:space="preserve">), JWS</w:t>
            </w:r>
          </w:p>
        </w:tc>
        <w:tc>
          <w:tcPr>
            <w:tcW w:w="859" w:type="dxa"/>
          </w:tcPr>
          <w:p>
            <w:pPr>
              <w:pStyle w:val="Compact"/>
              <w:spacing w:after="40"/>
              <w:jc w:val="left"/>
            </w:pPr>
            <w:r>
              <w:rPr>
                <w:sz w:val="18"/>
              </w:rPr>
              <w:t xml:space="preserve">FX</w:t>
            </w:r>
          </w:p>
        </w:tc>
        <w:tc>
          <w:tcPr>
            <w:tcW w:w="894" w:type="dxa"/>
          </w:tcPr>
          <w:p>
            <w:pPr>
              <w:pStyle w:val="Compact"/>
              <w:spacing w:after="40"/>
              <w:jc w:val="left"/>
            </w:pPr>
            <w:r>
              <w:rPr>
                <w:sz w:val="18"/>
              </w:rPr>
              <w:t xml:space="preserve">(instance_id, run_no)</w:t>
            </w:r>
          </w:p>
        </w:tc>
        <w:tc>
          <w:tcPr>
            <w:tcW w:w="913" w:type="dxa"/>
          </w:tcPr>
          <w:p>
            <w:pPr>
              <w:pStyle w:val="Compact"/>
              <w:spacing w:after="40"/>
              <w:jc w:val="left"/>
            </w:pPr>
            <w:r>
              <w:rPr>
                <w:sz w:val="18"/>
              </w:rPr>
              <w:t xml:space="preserve">std</w:t>
            </w:r>
          </w:p>
        </w:tc>
      </w:tr>
      <w:tr>
        <w:tc>
          <w:tcPr>
            <w:tcW w:w="1108" w:type="dxa"/>
          </w:tcPr>
          <w:p>
            <w:pPr>
              <w:pStyle w:val="Compact"/>
              <w:spacing w:after="40"/>
              <w:jc w:val="left"/>
            </w:pPr>
            <w:r>
              <w:rPr>
                <w:rStyle w:val="VerbatimChar"/>
                <w:sz w:val="18"/>
              </w:rPr>
              <w:t xml:space="preserve">ReturnFiled</w:t>
            </w:r>
            <w:r>
              <w:rPr>
                <w:sz w:val="18"/>
              </w:rPr>
              <w:t xml:space="preserve"> </w:t>
            </w:r>
            <w:r>
              <w:rPr>
                <w:sz w:val="18"/>
              </w:rPr>
              <w:t xml:space="preserve">(N11) signed</w:t>
            </w:r>
          </w:p>
        </w:tc>
        <w:tc>
          <w:tcPr>
            <w:tcW w:w="1288" w:type="dxa"/>
          </w:tcPr>
          <w:p>
            <w:pPr>
              <w:pStyle w:val="Compact"/>
              <w:spacing w:after="40"/>
              <w:jc w:val="left"/>
            </w:pPr>
            <w:r>
              <w:rPr>
                <w:sz w:val="18"/>
              </w:rPr>
              <w:t xml:space="preserve">FX → LDC; OH (metadata, tenant opt-in)</w:t>
            </w:r>
          </w:p>
        </w:tc>
        <w:tc>
          <w:tcPr>
            <w:tcW w:w="2577" w:type="dxa"/>
          </w:tcPr>
          <w:p>
            <w:pPr>
              <w:pStyle w:val="Compact"/>
              <w:spacing w:after="40"/>
              <w:jc w:val="left"/>
            </w:pPr>
            <w:r>
              <w:rPr>
                <w:sz w:val="18"/>
              </w:rPr>
              <w:t xml:space="preserve">Authorised RE user uploaded on the portal and the acknowledgement is recorded (ACKNOWLEDGED)</w:t>
            </w:r>
          </w:p>
        </w:tc>
        <w:tc>
          <w:tcPr>
            <w:tcW w:w="1999" w:type="dxa"/>
          </w:tcPr>
          <w:p>
            <w:pPr>
              <w:pStyle w:val="Compact"/>
              <w:spacing w:after="40"/>
              <w:jc w:val="left"/>
            </w:pPr>
            <w:r>
              <w:rPr>
                <w:sz w:val="18"/>
              </w:rPr>
              <w:t xml:space="preserve">portal, ack reference, filed_at, filer alias (never a credential), ack document ref and hash, contingency flag (SR para 18)</w:t>
            </w:r>
          </w:p>
        </w:tc>
        <w:tc>
          <w:tcPr>
            <w:tcW w:w="859" w:type="dxa"/>
          </w:tcPr>
          <w:p>
            <w:pPr>
              <w:pStyle w:val="Compact"/>
              <w:spacing w:after="40"/>
              <w:jc w:val="left"/>
            </w:pPr>
            <w:r>
              <w:rPr>
                <w:sz w:val="18"/>
              </w:rPr>
              <w:t xml:space="preserve">FX record; RE user files</w:t>
            </w:r>
          </w:p>
        </w:tc>
        <w:tc>
          <w:tcPr>
            <w:tcW w:w="894" w:type="dxa"/>
          </w:tcPr>
          <w:p>
            <w:pPr>
              <w:pStyle w:val="Compact"/>
              <w:spacing w:after="40"/>
              <w:jc w:val="left"/>
            </w:pPr>
            <w:r>
              <w:rPr>
                <w:sz w:val="18"/>
              </w:rPr>
              <w:t xml:space="preserve">(instance_id, run_no)</w:t>
            </w:r>
          </w:p>
        </w:tc>
        <w:tc>
          <w:tcPr>
            <w:tcW w:w="913" w:type="dxa"/>
          </w:tcPr>
          <w:p>
            <w:pPr>
              <w:pStyle w:val="Compact"/>
              <w:spacing w:after="40"/>
              <w:jc w:val="left"/>
            </w:pPr>
            <w:r>
              <w:rPr>
                <w:sz w:val="18"/>
              </w:rPr>
              <w:t xml:space="preserve">Same day as acknowledgement</w:t>
            </w:r>
          </w:p>
        </w:tc>
      </w:tr>
      <w:tr>
        <w:tc>
          <w:tcPr>
            <w:tcW w:w="1108" w:type="dxa"/>
          </w:tcPr>
          <w:p>
            <w:pPr>
              <w:pStyle w:val="Compact"/>
              <w:spacing w:after="40"/>
              <w:jc w:val="left"/>
            </w:pPr>
            <w:r>
              <w:rPr>
                <w:rStyle w:val="VerbatimChar"/>
                <w:sz w:val="18"/>
              </w:rPr>
              <w:t xml:space="preserve">ReturnRevised</w:t>
            </w:r>
            <w:r>
              <w:rPr>
                <w:sz w:val="18"/>
              </w:rPr>
              <w:t xml:space="preserve"> </w:t>
            </w:r>
            <w:r>
              <w:rPr>
                <w:sz w:val="18"/>
              </w:rPr>
              <w:t xml:space="preserve">(N11)</w:t>
            </w:r>
          </w:p>
        </w:tc>
        <w:tc>
          <w:tcPr>
            <w:tcW w:w="1288" w:type="dxa"/>
          </w:tcPr>
          <w:p>
            <w:pPr>
              <w:pStyle w:val="Compact"/>
              <w:spacing w:after="40"/>
              <w:jc w:val="left"/>
            </w:pPr>
            <w:r>
              <w:rPr>
                <w:sz w:val="18"/>
              </w:rPr>
              <w:t xml:space="preserve">FX → LDC</w:t>
            </w:r>
          </w:p>
        </w:tc>
        <w:tc>
          <w:tcPr>
            <w:tcW w:w="2577" w:type="dxa"/>
          </w:tcPr>
          <w:p>
            <w:pPr>
              <w:pStyle w:val="Compact"/>
              <w:spacing w:after="40"/>
              <w:jc w:val="left"/>
            </w:pPr>
            <w:r>
              <w:rPr>
                <w:sz w:val="18"/>
              </w:rPr>
              <w:t xml:space="preserve">Revised run n+1 acknowledged</w:t>
            </w:r>
          </w:p>
        </w:tc>
        <w:tc>
          <w:tcPr>
            <w:tcW w:w="1999" w:type="dxa"/>
          </w:tcPr>
          <w:p>
            <w:pPr>
              <w:pStyle w:val="Compact"/>
              <w:spacing w:after="40"/>
              <w:jc w:val="left"/>
            </w:pPr>
            <w:r>
              <w:rPr>
                <w:sz w:val="18"/>
              </w:rPr>
              <w:t xml:space="preserve">prior run_no, reason (RBI_QUERY, INTERNAL_ERROR, AUDIT_ADJUSTMENT, LATE_POSTING, FORMAT_CHANGE), trigger ref, cell-level diff hash</w:t>
            </w:r>
          </w:p>
        </w:tc>
        <w:tc>
          <w:tcPr>
            <w:tcW w:w="859" w:type="dxa"/>
          </w:tcPr>
          <w:p>
            <w:pPr>
              <w:pStyle w:val="Compact"/>
              <w:spacing w:after="40"/>
              <w:jc w:val="left"/>
            </w:pPr>
            <w:r>
              <w:rPr>
                <w:sz w:val="18"/>
              </w:rPr>
              <w:t xml:space="preserve">FX</w:t>
            </w:r>
          </w:p>
        </w:tc>
        <w:tc>
          <w:tcPr>
            <w:tcW w:w="894" w:type="dxa"/>
          </w:tcPr>
          <w:p>
            <w:pPr>
              <w:pStyle w:val="Compact"/>
              <w:spacing w:after="40"/>
              <w:jc w:val="left"/>
            </w:pPr>
            <w:r>
              <w:rPr>
                <w:sz w:val="18"/>
              </w:rPr>
              <w:t xml:space="preserve">(instance_id, run_no)</w:t>
            </w:r>
          </w:p>
        </w:tc>
        <w:tc>
          <w:tcPr>
            <w:tcW w:w="913" w:type="dxa"/>
          </w:tcPr>
          <w:p>
            <w:pPr>
              <w:pStyle w:val="Compact"/>
              <w:spacing w:after="40"/>
              <w:jc w:val="left"/>
            </w:pPr>
            <w:r>
              <w:rPr>
                <w:sz w:val="18"/>
              </w:rPr>
              <w:t xml:space="preserve">Same day</w:t>
            </w:r>
          </w:p>
        </w:tc>
      </w:tr>
      <w:tr>
        <w:tc>
          <w:tcPr>
            <w:tcW w:w="1108" w:type="dxa"/>
          </w:tcPr>
          <w:p>
            <w:pPr>
              <w:pStyle w:val="Compact"/>
              <w:spacing w:after="40"/>
              <w:jc w:val="left"/>
            </w:pPr>
            <w:r>
              <w:rPr>
                <w:sz w:val="18"/>
              </w:rPr>
              <w:t xml:space="preserve">API</w:t>
            </w:r>
            <w:r>
              <w:rPr>
                <w:sz w:val="18"/>
              </w:rPr>
              <w:t xml:space="preserve"> </w:t>
            </w:r>
            <w:r>
              <w:rPr>
                <w:rStyle w:val="VerbatimChar"/>
                <w:sz w:val="18"/>
              </w:rPr>
              <w:t xml:space="preserve">GET /v1/return-instances/{id}</w:t>
            </w:r>
            <w:r>
              <w:rPr>
                <w:sz w:val="18"/>
              </w:rPr>
              <w:t xml:space="preserve"> </w:t>
            </w:r>
            <w:r>
              <w:rPr>
                <w:sz w:val="18"/>
              </w:rPr>
              <w:t xml:space="preserve">(N11+)</w:t>
            </w:r>
          </w:p>
        </w:tc>
        <w:tc>
          <w:tcPr>
            <w:tcW w:w="1288" w:type="dxa"/>
          </w:tcPr>
          <w:p>
            <w:pPr>
              <w:pStyle w:val="Compact"/>
              <w:spacing w:after="40"/>
              <w:jc w:val="left"/>
            </w:pPr>
            <w:r>
              <w:rPr>
                <w:sz w:val="18"/>
              </w:rPr>
              <w:t xml:space="preserve">LDC, external workspace (4.7) → FX</w:t>
            </w:r>
          </w:p>
        </w:tc>
        <w:tc>
          <w:tcPr>
            <w:tcW w:w="2577" w:type="dxa"/>
          </w:tcPr>
          <w:p>
            <w:pPr>
              <w:pStyle w:val="Compact"/>
              <w:spacing w:after="40"/>
              <w:jc w:val="left"/>
            </w:pPr>
            <w:r>
              <w:rPr>
                <w:sz w:val="18"/>
              </w:rPr>
              <w:t xml:space="preserve">Display and evidence</w:t>
            </w:r>
          </w:p>
        </w:tc>
        <w:tc>
          <w:tcPr>
            <w:tcW w:w="1999" w:type="dxa"/>
          </w:tcPr>
          <w:p>
            <w:pPr>
              <w:pStyle w:val="Compact"/>
              <w:spacing w:after="40"/>
              <w:jc w:val="left"/>
            </w:pPr>
            <w:r>
              <w:rPr>
                <w:sz w:val="18"/>
              </w:rPr>
              <w:t xml:space="preserve">state (RR3.1), versions, hashes, approvals, acknowledgement; package by document reference</w:t>
            </w:r>
          </w:p>
        </w:tc>
        <w:tc>
          <w:tcPr>
            <w:tcW w:w="859" w:type="dxa"/>
          </w:tcPr>
          <w:p>
            <w:pPr>
              <w:pStyle w:val="Compact"/>
              <w:spacing w:after="40"/>
              <w:jc w:val="left"/>
            </w:pPr>
            <w:r>
              <w:rPr>
                <w:sz w:val="18"/>
              </w:rPr>
              <w:t xml:space="preserve">FX</w:t>
            </w:r>
          </w:p>
        </w:tc>
        <w:tc>
          <w:tcPr>
            <w:tcW w:w="894" w:type="dxa"/>
          </w:tcPr>
          <w:p>
            <w:pPr>
              <w:pStyle w:val="Compact"/>
              <w:spacing w:after="40"/>
              <w:jc w:val="left"/>
            </w:pPr>
            <w:r>
              <w:rPr>
                <w:sz w:val="18"/>
              </w:rPr>
              <w:t xml:space="preserve">n/a</w:t>
            </w:r>
          </w:p>
        </w:tc>
        <w:tc>
          <w:tcPr>
            <w:tcW w:w="913" w:type="dxa"/>
          </w:tcPr>
          <w:p>
            <w:pPr>
              <w:pStyle w:val="Compact"/>
              <w:spacing w:after="40"/>
              <w:jc w:val="left"/>
            </w:pPr>
            <w:r>
              <w:rPr>
                <w:sz w:val="18"/>
              </w:rPr>
              <w:t xml:space="preserve">p95 ≤ 800 ms</w:t>
            </w:r>
          </w:p>
        </w:tc>
      </w:tr>
    </w:tbl>
    <w:p>
      <w:pPr>
        <w:numPr>
          <w:ilvl w:val="0"/>
          <w:numId w:val="1013"/>
        </w:numPr>
        <w:pStyle w:val="Compact"/>
      </w:pPr>
      <w:r>
        <w:rPr>
          <w:bCs/>
          <w:b/>
        </w:rPr>
        <w:t xml:space="preserve">No credentials, no scripting:</w:t>
      </w:r>
      <w:r>
        <w:t xml:space="preserve"> </w:t>
      </w:r>
      <w:r>
        <w:t xml:space="preserve">no regulator-portal user id, password, OTP, DSC PIN, cookie or token is stored, proxied or carried in any payload, vault or connector; no RPA or scraping. A connector configured for a regulator domain fails certification (</w:t>
      </w:r>
      <w:r>
        <w:rPr>
          <w:rStyle w:val="VerbatimChar"/>
        </w:rPr>
        <w:t xml:space="preserve">regulatory-guard</w:t>
      </w:r>
      <w:r>
        <w:t xml:space="preserve">, 14.3).</w:t>
      </w:r>
    </w:p>
    <w:p>
      <w:pPr>
        <w:numPr>
          <w:ilvl w:val="0"/>
          <w:numId w:val="1013"/>
        </w:numPr>
        <w:pStyle w:val="Compact"/>
      </w:pPr>
      <w:r>
        <w:rPr>
          <w:bCs/>
          <w:b/>
        </w:rPr>
        <w:t xml:space="preserve">Machine channels only where documented for the entity class:</w:t>
      </w:r>
      <w:r>
        <w:t xml:space="preserve"> </w:t>
      </w:r>
      <w:r>
        <w:t xml:space="preserve">CIMS ADF or system-to-system collection is documented for banks and is not assumed for NBFCs or UCBs; the adapter returns</w:t>
      </w:r>
      <w:r>
        <w:t xml:space="preserve"> </w:t>
      </w:r>
      <w:r>
        <w:rPr>
          <w:rStyle w:val="VerbatimChar"/>
        </w:rPr>
        <w:t xml:space="preserve">channel-not-confirmed</w:t>
      </w:r>
      <w:r>
        <w:t xml:space="preserve"> </w:t>
      </w:r>
      <w:r>
        <w:t xml:space="preserve">until RBI’s written confirmation is attached and a second approver enables it [VERIFY: Sankalan documentation]. E-mail filing only as an RBI-advised contingency followed by online resubmission (SR para 18).</w:t>
      </w:r>
    </w:p>
    <w:p>
      <w:pPr>
        <w:numPr>
          <w:ilvl w:val="0"/>
          <w:numId w:val="1013"/>
        </w:numPr>
        <w:pStyle w:val="Compact"/>
      </w:pPr>
      <w:r>
        <w:rPr>
          <w:bCs/>
          <w:b/>
        </w:rPr>
        <w:t xml:space="preserve">Instruments:</w:t>
      </w:r>
      <w:r>
        <w:t xml:space="preserve"> </w:t>
      </w:r>
      <w:r>
        <w:t xml:space="preserve">NBFC – Supervisory Returns Directions, 2026 (RBI/DoS/2026-27/466, 31 July 2026; it replaces the 28 November 2025 text cited in earlier prompt versions); HFC returns go to NHB [VERIFY]; Registrar returns of credit co-operative societies use the same events with</w:t>
      </w:r>
      <w:r>
        <w:t xml:space="preserve"> </w:t>
      </w:r>
      <w:r>
        <w:rPr>
          <w:rStyle w:val="VerbatimChar"/>
        </w:rPr>
        <w:t xml:space="preserve">regulator = REGISTRAR</w:t>
      </w:r>
      <w:r>
        <w:t xml:space="preserve">.</w:t>
      </w:r>
    </w:p>
    <w:p>
      <w:pPr>
        <w:numPr>
          <w:ilvl w:val="0"/>
          <w:numId w:val="1013"/>
        </w:numPr>
        <w:pStyle w:val="Compact"/>
      </w:pPr>
      <w:r>
        <w:rPr>
          <w:bCs/>
          <w:b/>
        </w:rPr>
        <w:t xml:space="preserve">Never a filer:</w:t>
      </w:r>
      <w:r>
        <w:t xml:space="preserve"> </w:t>
      </w:r>
      <w:r>
        <w:t xml:space="preserve">Udofin or any LSP. The RE reports DLAs on CIMS and DLA loans to CICs (CF paras 17, 18); Udofin supplies DLA facts through the</w:t>
      </w:r>
      <w:r>
        <w:t xml:space="preserve"> </w:t>
      </w:r>
      <w:r>
        <w:rPr>
          <w:rStyle w:val="VerbatimChar"/>
        </w:rPr>
        <w:t xml:space="preserve">re_audit_pack_v1</w:t>
      </w:r>
      <w:r>
        <w:t xml:space="preserve"> </w:t>
      </w:r>
      <w:r>
        <w:t xml:space="preserve">P1 pack (6.28).</w:t>
      </w:r>
    </w:p>
    <w:bookmarkEnd w:id="65"/>
    <w:bookmarkStart w:id="66" w:name="credit-bureau-bureau"/>
    <w:p>
      <w:pPr>
        <w:pStyle w:val="Heading2"/>
      </w:pPr>
      <w:r>
        <w:t xml:space="preserve">6.19 Credit bureau (</w:t>
      </w:r>
      <w:r>
        <w:rPr>
          <w:rStyle w:val="VerbatimChar"/>
        </w:rPr>
        <w:t xml:space="preserve">bureau</w:t>
      </w:r>
      <w:r>
        <w:t xml:space="preserve">)</w:t>
      </w:r>
    </w:p>
    <w:p>
      <w:pPr>
        <w:pStyle w:val="FirstParagraph"/>
      </w:pPr>
      <w:r>
        <w:t xml:space="preserve">Finbyx Part 7B RR6–RR7. Reporting to all four CICs needs no borrower consent (CIR para 11); cross-product events carry counts and pseudonymous references only, and bureau files go only to the CIC under</w:t>
      </w:r>
      <w:r>
        <w:t xml:space="preserve"> </w:t>
      </w:r>
      <w:r>
        <w:rPr>
          <w:rStyle w:val="VerbatimChar"/>
        </w:rPr>
        <w:t xml:space="preserve">legalbasis = STATUTORY_REPORTING</w:t>
      </w:r>
      <w:r>
        <w:t xml:space="preserve">. Cadence from 1 July 2026: incremental files for the 9th, 16th and 23rd within 4 calendar days; month-end full file by the 5th; rejected data rectified before or with the next reference-date file (CIR paras 10(2) and 15 as substituted by the RBI (NBFC – Credit Information Reporting) Amendment Directions 2025, RBI/DOR/2025-26/117, DoR.FIN.REC.No.324/20.16.056/2025-26, 4 December 2025). CIC side: uniform validation rules and rejection reasons, file-level DQI and rejection reports within 3 calendar days of receipt (RBI (Credit Information Companies) Amendment Directions 2025, RBI/DOR/2025-26/119, DoR.FIN.REC.No.326/20.16.056/2025-26, paras 19, 20 and 39).</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883"/>
        <w:gridCol w:w="2123"/>
        <w:gridCol w:w="1352"/>
        <w:gridCol w:w="2388"/>
        <w:gridCol w:w="715"/>
        <w:gridCol w:w="1059"/>
        <w:gridCol w:w="1118"/>
      </w:tblGrid>
      <w:tr>
        <w:trPr>
          <w:tblHeader w:val="true"/>
          <w:tblHeader w:val="true"/>
        </w:trPr>
        <w:tc>
          <w:tcPr>
            <w:tcW w:w="883" w:type="dxa"/>
            <w:shd w:val="clear" w:color="auto" w:fill="1F3A5F"/>
          </w:tcPr>
          <w:p>
            <w:pPr>
              <w:pStyle w:val="Compact"/>
              <w:spacing w:after="40"/>
              <w:jc w:val="left"/>
            </w:pPr>
            <w:r>
              <w:rPr>
                <w:b/>
                <w:color w:val="FFFFFF"/>
                <w:sz w:val="18"/>
              </w:rPr>
              <w:t xml:space="preserve">Event or API</w:t>
            </w:r>
          </w:p>
        </w:tc>
        <w:tc>
          <w:tcPr>
            <w:tcW w:w="2123" w:type="dxa"/>
            <w:shd w:val="clear" w:color="auto" w:fill="1F3A5F"/>
          </w:tcPr>
          <w:p>
            <w:pPr>
              <w:pStyle w:val="Compact"/>
              <w:spacing w:after="40"/>
              <w:jc w:val="left"/>
            </w:pPr>
            <w:r>
              <w:rPr>
                <w:b/>
                <w:color w:val="FFFFFF"/>
                <w:sz w:val="18"/>
              </w:rPr>
              <w:t xml:space="preserve">Producer → consumer(s)</w:t>
            </w:r>
          </w:p>
        </w:tc>
        <w:tc>
          <w:tcPr>
            <w:tcW w:w="1352" w:type="dxa"/>
            <w:shd w:val="clear" w:color="auto" w:fill="1F3A5F"/>
          </w:tcPr>
          <w:p>
            <w:pPr>
              <w:pStyle w:val="Compact"/>
              <w:spacing w:after="40"/>
              <w:jc w:val="left"/>
            </w:pPr>
            <w:r>
              <w:rPr>
                <w:b/>
                <w:color w:val="FFFFFF"/>
                <w:sz w:val="18"/>
              </w:rPr>
              <w:t xml:space="preserve">Trigger</w:t>
            </w:r>
          </w:p>
        </w:tc>
        <w:tc>
          <w:tcPr>
            <w:tcW w:w="2388" w:type="dxa"/>
            <w:shd w:val="clear" w:color="auto" w:fill="1F3A5F"/>
          </w:tcPr>
          <w:p>
            <w:pPr>
              <w:pStyle w:val="Compact"/>
              <w:spacing w:after="40"/>
              <w:jc w:val="left"/>
            </w:pPr>
            <w:r>
              <w:rPr>
                <w:b/>
                <w:color w:val="FFFFFF"/>
                <w:sz w:val="18"/>
              </w:rPr>
              <w:t xml:space="preserve">Key payload fields</w:t>
            </w:r>
          </w:p>
        </w:tc>
        <w:tc>
          <w:tcPr>
            <w:tcW w:w="715" w:type="dxa"/>
            <w:shd w:val="clear" w:color="auto" w:fill="1F3A5F"/>
          </w:tcPr>
          <w:p>
            <w:pPr>
              <w:pStyle w:val="Compact"/>
              <w:spacing w:after="40"/>
              <w:jc w:val="left"/>
            </w:pPr>
            <w:r>
              <w:rPr>
                <w:b/>
                <w:color w:val="FFFFFF"/>
                <w:sz w:val="18"/>
              </w:rPr>
              <w:t xml:space="preserve">Owner</w:t>
            </w:r>
          </w:p>
        </w:tc>
        <w:tc>
          <w:tcPr>
            <w:tcW w:w="1059" w:type="dxa"/>
            <w:shd w:val="clear" w:color="auto" w:fill="1F3A5F"/>
          </w:tcPr>
          <w:p>
            <w:pPr>
              <w:pStyle w:val="Compact"/>
              <w:spacing w:after="40"/>
              <w:jc w:val="left"/>
            </w:pPr>
            <w:r>
              <w:rPr>
                <w:b/>
                <w:color w:val="FFFFFF"/>
                <w:sz w:val="18"/>
              </w:rPr>
              <w:t xml:space="preserve">Idempotency key</w:t>
            </w:r>
          </w:p>
        </w:tc>
        <w:tc>
          <w:tcPr>
            <w:tcW w:w="1118" w:type="dxa"/>
            <w:shd w:val="clear" w:color="auto" w:fill="1F3A5F"/>
          </w:tcPr>
          <w:p>
            <w:pPr>
              <w:pStyle w:val="Compact"/>
              <w:spacing w:after="40"/>
              <w:jc w:val="left"/>
            </w:pPr>
            <w:r>
              <w:rPr>
                <w:b/>
                <w:color w:val="FFFFFF"/>
                <w:sz w:val="18"/>
              </w:rPr>
              <w:t xml:space="preserve">SLA</w:t>
            </w:r>
          </w:p>
        </w:tc>
      </w:tr>
      <w:tr>
        <w:tc>
          <w:tcPr>
            <w:tcW w:w="883" w:type="dxa"/>
          </w:tcPr>
          <w:p>
            <w:pPr>
              <w:pStyle w:val="Compact"/>
              <w:spacing w:after="40"/>
              <w:jc w:val="left"/>
            </w:pPr>
            <w:r>
              <w:rPr>
                <w:rStyle w:val="VerbatimChar"/>
                <w:sz w:val="18"/>
              </w:rPr>
              <w:t xml:space="preserve">BureauFileGenerated</w:t>
            </w:r>
            <w:r>
              <w:rPr>
                <w:sz w:val="18"/>
              </w:rPr>
              <w:t xml:space="preserve"> </w:t>
            </w:r>
            <w:r>
              <w:rPr>
                <w:sz w:val="18"/>
              </w:rPr>
              <w:t xml:space="preserve">(N11)</w:t>
            </w:r>
          </w:p>
        </w:tc>
        <w:tc>
          <w:tcPr>
            <w:tcW w:w="2123" w:type="dxa"/>
          </w:tcPr>
          <w:p>
            <w:pPr>
              <w:pStyle w:val="Compact"/>
              <w:spacing w:after="40"/>
              <w:jc w:val="left"/>
            </w:pPr>
            <w:r>
              <w:rPr>
                <w:sz w:val="18"/>
              </w:rPr>
              <w:t xml:space="preserve">FX → LDC</w:t>
            </w:r>
          </w:p>
        </w:tc>
        <w:tc>
          <w:tcPr>
            <w:tcW w:w="1352" w:type="dxa"/>
          </w:tcPr>
          <w:p>
            <w:pPr>
              <w:pStyle w:val="Compact"/>
              <w:spacing w:after="40"/>
              <w:jc w:val="left"/>
            </w:pPr>
            <w:r>
              <w:rPr>
                <w:sz w:val="18"/>
              </w:rPr>
              <w:t xml:space="preserve">File built, validated and approved by the CIC nodal officer</w:t>
            </w:r>
          </w:p>
        </w:tc>
        <w:tc>
          <w:tcPr>
            <w:tcW w:w="2388" w:type="dxa"/>
          </w:tcPr>
          <w:p>
            <w:pPr>
              <w:pStyle w:val="Compact"/>
              <w:spacing w:after="40"/>
              <w:jc w:val="left"/>
            </w:pPr>
            <w:r>
              <w:rPr>
                <w:sz w:val="18"/>
              </w:rPr>
              <w:t xml:space="preserve">cic (CIBIL, CRIF, EXPERIAN, EQUIFAX), layout (</w:t>
            </w:r>
            <w:r>
              <w:rPr>
                <w:rStyle w:val="VerbatimChar"/>
                <w:sz w:val="18"/>
              </w:rPr>
              <w:t xml:space="preserve">bureau_consumer_v374</w:t>
            </w:r>
            <w:r>
              <w:rPr>
                <w:sz w:val="18"/>
              </w:rPr>
              <w:t xml:space="preserve">,</w:t>
            </w:r>
            <w:r>
              <w:rPr>
                <w:sz w:val="18"/>
              </w:rPr>
              <w:t xml:space="preserve"> </w:t>
            </w:r>
            <w:r>
              <w:rPr>
                <w:rStyle w:val="VerbatimChar"/>
                <w:sz w:val="18"/>
              </w:rPr>
              <w:t xml:space="preserve">bureau_commercial_v310</w:t>
            </w:r>
            <w:r>
              <w:rPr>
                <w:sz w:val="18"/>
              </w:rPr>
              <w:t xml:space="preserve">,</w:t>
            </w:r>
            <w:r>
              <w:rPr>
                <w:sz w:val="18"/>
              </w:rPr>
              <w:t xml:space="preserve"> </w:t>
            </w:r>
            <w:r>
              <w:rPr>
                <w:rStyle w:val="VerbatimChar"/>
                <w:sz w:val="18"/>
              </w:rPr>
              <w:t xml:space="preserve">bureau_mfi_v331</w:t>
            </w:r>
            <w:r>
              <w:rPr>
                <w:sz w:val="18"/>
              </w:rPr>
              <w:t xml:space="preserve">), cycle (DL, W1, W2, W3, ME, DC, AH, RR), reference date, counts by segment, status and DPD bucket, held-back count, file hash</w:t>
            </w:r>
          </w:p>
        </w:tc>
        <w:tc>
          <w:tcPr>
            <w:tcW w:w="715" w:type="dxa"/>
          </w:tcPr>
          <w:p>
            <w:pPr>
              <w:pStyle w:val="Compact"/>
              <w:spacing w:after="40"/>
              <w:jc w:val="left"/>
            </w:pPr>
            <w:r>
              <w:rPr>
                <w:sz w:val="18"/>
              </w:rPr>
              <w:t xml:space="preserve">FX</w:t>
            </w:r>
          </w:p>
        </w:tc>
        <w:tc>
          <w:tcPr>
            <w:tcW w:w="1059" w:type="dxa"/>
          </w:tcPr>
          <w:p>
            <w:pPr>
              <w:pStyle w:val="Compact"/>
              <w:spacing w:after="40"/>
              <w:jc w:val="left"/>
            </w:pPr>
            <w:r>
              <w:rPr>
                <w:sz w:val="18"/>
              </w:rPr>
              <w:t xml:space="preserve">(cic, layout, cycle, reference_date, file_seq)</w:t>
            </w:r>
          </w:p>
        </w:tc>
        <w:tc>
          <w:tcPr>
            <w:tcW w:w="1118" w:type="dxa"/>
          </w:tcPr>
          <w:p>
            <w:pPr>
              <w:pStyle w:val="Compact"/>
              <w:spacing w:after="40"/>
              <w:jc w:val="left"/>
            </w:pPr>
            <w:r>
              <w:rPr>
                <w:sz w:val="18"/>
              </w:rPr>
              <w:t xml:space="preserve">Before the due date</w:t>
            </w:r>
          </w:p>
        </w:tc>
      </w:tr>
      <w:tr>
        <w:tc>
          <w:tcPr>
            <w:tcW w:w="883" w:type="dxa"/>
          </w:tcPr>
          <w:p>
            <w:pPr>
              <w:pStyle w:val="Compact"/>
              <w:spacing w:after="40"/>
              <w:jc w:val="left"/>
            </w:pPr>
            <w:r>
              <w:rPr>
                <w:rStyle w:val="VerbatimChar"/>
                <w:sz w:val="18"/>
              </w:rPr>
              <w:t xml:space="preserve">BureauFileSubmitted</w:t>
            </w:r>
            <w:r>
              <w:rPr>
                <w:sz w:val="18"/>
              </w:rPr>
              <w:t xml:space="preserve"> </w:t>
            </w:r>
            <w:r>
              <w:rPr>
                <w:sz w:val="18"/>
              </w:rPr>
              <w:t xml:space="preserve">(N11) signed</w:t>
            </w:r>
          </w:p>
        </w:tc>
        <w:tc>
          <w:tcPr>
            <w:tcW w:w="2123" w:type="dxa"/>
          </w:tcPr>
          <w:p>
            <w:pPr>
              <w:pStyle w:val="Compact"/>
              <w:spacing w:after="40"/>
              <w:jc w:val="left"/>
            </w:pPr>
            <w:r>
              <w:rPr>
                <w:sz w:val="18"/>
              </w:rPr>
              <w:t xml:space="preserve">FX → LDC</w:t>
            </w:r>
          </w:p>
        </w:tc>
        <w:tc>
          <w:tcPr>
            <w:tcW w:w="1352" w:type="dxa"/>
          </w:tcPr>
          <w:p>
            <w:pPr>
              <w:pStyle w:val="Compact"/>
              <w:spacing w:after="40"/>
              <w:jc w:val="left"/>
            </w:pPr>
            <w:r>
              <w:rPr>
                <w:sz w:val="18"/>
              </w:rPr>
              <w:t xml:space="preserve">SFTP transmission acknowledged by the CIC server</w:t>
            </w:r>
          </w:p>
        </w:tc>
        <w:tc>
          <w:tcPr>
            <w:tcW w:w="2388" w:type="dxa"/>
          </w:tcPr>
          <w:p>
            <w:pPr>
              <w:pStyle w:val="Compact"/>
              <w:spacing w:after="40"/>
              <w:jc w:val="left"/>
            </w:pPr>
            <w:r>
              <w:rPr>
                <w:sz w:val="18"/>
              </w:rPr>
              <w:t xml:space="preserve">transmitted_at, transmitting host attestation (tenant-controlled host or agent), server acknowledgement, file hash, encryption mode</w:t>
            </w:r>
          </w:p>
        </w:tc>
        <w:tc>
          <w:tcPr>
            <w:tcW w:w="715" w:type="dxa"/>
          </w:tcPr>
          <w:p>
            <w:pPr>
              <w:pStyle w:val="Compact"/>
              <w:spacing w:after="40"/>
              <w:jc w:val="left"/>
            </w:pPr>
            <w:r>
              <w:rPr>
                <w:sz w:val="18"/>
              </w:rPr>
              <w:t xml:space="preserve">FX</w:t>
            </w:r>
          </w:p>
        </w:tc>
        <w:tc>
          <w:tcPr>
            <w:tcW w:w="1059" w:type="dxa"/>
          </w:tcPr>
          <w:p>
            <w:pPr>
              <w:pStyle w:val="Compact"/>
              <w:spacing w:after="40"/>
              <w:jc w:val="left"/>
            </w:pPr>
            <w:r>
              <w:rPr>
                <w:sz w:val="18"/>
              </w:rPr>
              <w:t xml:space="preserve">(cic, file_hash)</w:t>
            </w:r>
          </w:p>
        </w:tc>
        <w:tc>
          <w:tcPr>
            <w:tcW w:w="1118" w:type="dxa"/>
          </w:tcPr>
          <w:p>
            <w:pPr>
              <w:pStyle w:val="Compact"/>
              <w:spacing w:after="40"/>
              <w:jc w:val="left"/>
            </w:pPr>
            <w:r>
              <w:rPr>
                <w:sz w:val="18"/>
              </w:rPr>
              <w:t xml:space="preserve">std; late transmission raises</w:t>
            </w:r>
            <w:r>
              <w:rPr>
                <w:sz w:val="18"/>
              </w:rPr>
              <w:t xml:space="preserve"> </w:t>
            </w:r>
            <w:r>
              <w:rPr>
                <w:rStyle w:val="VerbatimChar"/>
                <w:sz w:val="18"/>
              </w:rPr>
              <w:t xml:space="preserve">ComplianceIssueRaised</w:t>
            </w:r>
          </w:p>
        </w:tc>
      </w:tr>
      <w:tr>
        <w:tc>
          <w:tcPr>
            <w:tcW w:w="883" w:type="dxa"/>
          </w:tcPr>
          <w:p>
            <w:pPr>
              <w:pStyle w:val="Compact"/>
              <w:spacing w:after="40"/>
              <w:jc w:val="left"/>
            </w:pPr>
            <w:r>
              <w:rPr>
                <w:rStyle w:val="VerbatimChar"/>
                <w:sz w:val="18"/>
              </w:rPr>
              <w:t xml:space="preserve">BureauRejectionReceived</w:t>
            </w:r>
            <w:r>
              <w:rPr>
                <w:sz w:val="18"/>
              </w:rPr>
              <w:t xml:space="preserve"> </w:t>
            </w:r>
            <w:r>
              <w:rPr>
                <w:sz w:val="18"/>
              </w:rPr>
              <w:t xml:space="preserve">(N11)</w:t>
            </w:r>
          </w:p>
        </w:tc>
        <w:tc>
          <w:tcPr>
            <w:tcW w:w="2123" w:type="dxa"/>
          </w:tcPr>
          <w:p>
            <w:pPr>
              <w:pStyle w:val="Compact"/>
              <w:spacing w:after="40"/>
              <w:jc w:val="left"/>
            </w:pPr>
            <w:r>
              <w:rPr>
                <w:sz w:val="18"/>
              </w:rPr>
              <w:t xml:space="preserve">FX (CIC adapter) → LDC</w:t>
            </w:r>
          </w:p>
        </w:tc>
        <w:tc>
          <w:tcPr>
            <w:tcW w:w="1352" w:type="dxa"/>
          </w:tcPr>
          <w:p>
            <w:pPr>
              <w:pStyle w:val="Compact"/>
              <w:spacing w:after="40"/>
              <w:jc w:val="left"/>
            </w:pPr>
            <w:r>
              <w:rPr>
                <w:sz w:val="18"/>
              </w:rPr>
              <w:t xml:space="preserve">Rejection report or DQI ingested (CICs return both within 3 days)</w:t>
            </w:r>
          </w:p>
        </w:tc>
        <w:tc>
          <w:tcPr>
            <w:tcW w:w="2388" w:type="dxa"/>
          </w:tcPr>
          <w:p>
            <w:pPr>
              <w:pStyle w:val="Compact"/>
              <w:spacing w:after="40"/>
              <w:jc w:val="left"/>
            </w:pPr>
            <w:r>
              <w:rPr>
                <w:sz w:val="18"/>
              </w:rPr>
              <w:t xml:space="preserve">rejected count by uniform reason code, DQI score, resubmission due date (with or before the next reference-date file)</w:t>
            </w:r>
          </w:p>
        </w:tc>
        <w:tc>
          <w:tcPr>
            <w:tcW w:w="715" w:type="dxa"/>
          </w:tcPr>
          <w:p>
            <w:pPr>
              <w:pStyle w:val="Compact"/>
              <w:spacing w:after="40"/>
              <w:jc w:val="left"/>
            </w:pPr>
            <w:r>
              <w:rPr>
                <w:sz w:val="18"/>
              </w:rPr>
              <w:t xml:space="preserve">CIC data; FX register</w:t>
            </w:r>
          </w:p>
        </w:tc>
        <w:tc>
          <w:tcPr>
            <w:tcW w:w="1059" w:type="dxa"/>
          </w:tcPr>
          <w:p>
            <w:pPr>
              <w:pStyle w:val="Compact"/>
              <w:spacing w:after="40"/>
              <w:jc w:val="left"/>
            </w:pPr>
            <w:r>
              <w:rPr>
                <w:sz w:val="18"/>
              </w:rPr>
              <w:t xml:space="preserve">(cic, cycle, reference_date, report_seq)</w:t>
            </w:r>
          </w:p>
        </w:tc>
        <w:tc>
          <w:tcPr>
            <w:tcW w:w="1118" w:type="dxa"/>
          </w:tcPr>
          <w:p>
            <w:pPr>
              <w:pStyle w:val="Compact"/>
              <w:spacing w:after="40"/>
              <w:jc w:val="left"/>
            </w:pPr>
            <w:r>
              <w:rPr>
                <w:sz w:val="18"/>
              </w:rPr>
              <w:t xml:space="preserve">≤ 1 h of ingestion</w:t>
            </w:r>
          </w:p>
        </w:tc>
      </w:tr>
      <w:tr>
        <w:tc>
          <w:tcPr>
            <w:tcW w:w="883" w:type="dxa"/>
          </w:tcPr>
          <w:p>
            <w:pPr>
              <w:pStyle w:val="Compact"/>
              <w:spacing w:after="40"/>
              <w:jc w:val="left"/>
            </w:pPr>
            <w:r>
              <w:rPr>
                <w:rStyle w:val="VerbatimChar"/>
                <w:sz w:val="18"/>
              </w:rPr>
              <w:t xml:space="preserve">BureauCorrectionRequested</w:t>
            </w:r>
            <w:r>
              <w:rPr>
                <w:sz w:val="18"/>
              </w:rPr>
              <w:t xml:space="preserve"> </w:t>
            </w:r>
            <w:r>
              <w:rPr>
                <w:sz w:val="18"/>
              </w:rPr>
              <w:t xml:space="preserve">(N11)</w:t>
            </w:r>
          </w:p>
        </w:tc>
        <w:tc>
          <w:tcPr>
            <w:tcW w:w="2123" w:type="dxa"/>
          </w:tcPr>
          <w:p>
            <w:pPr>
              <w:pStyle w:val="Compact"/>
              <w:spacing w:after="40"/>
              <w:jc w:val="left"/>
            </w:pPr>
            <w:r>
              <w:rPr>
                <w:sz w:val="18"/>
              </w:rPr>
              <w:t xml:space="preserve">FX (RR7.4 dispute, CIC request or data-quality finding) → FX bureau operations, LDC; a borrower dispute received by Udofin arrives first as</w:t>
            </w:r>
            <w:r>
              <w:rPr>
                <w:sz w:val="18"/>
              </w:rPr>
              <w:t xml:space="preserve"> </w:t>
            </w:r>
            <w:r>
              <w:rPr>
                <w:rStyle w:val="VerbatimChar"/>
                <w:sz w:val="18"/>
              </w:rPr>
              <w:t xml:space="preserve">GrievanceRaised</w:t>
            </w:r>
            <w:r>
              <w:rPr>
                <w:sz w:val="18"/>
              </w:rPr>
              <w:t xml:space="preserve"> </w:t>
            </w:r>
            <w:r>
              <w:rPr>
                <w:sz w:val="18"/>
              </w:rPr>
              <w:t xml:space="preserve">(category CREDIT_INFORMATION)</w:t>
            </w:r>
          </w:p>
        </w:tc>
        <w:tc>
          <w:tcPr>
            <w:tcW w:w="1352" w:type="dxa"/>
          </w:tcPr>
          <w:p>
            <w:pPr>
              <w:pStyle w:val="Compact"/>
              <w:spacing w:after="40"/>
              <w:jc w:val="left"/>
            </w:pPr>
            <w:r>
              <w:rPr>
                <w:sz w:val="18"/>
              </w:rPr>
              <w:t xml:space="preserve">Correction needed for an account</w:t>
            </w:r>
          </w:p>
        </w:tc>
        <w:tc>
          <w:tcPr>
            <w:tcW w:w="2388" w:type="dxa"/>
          </w:tcPr>
          <w:p>
            <w:pPr>
              <w:pStyle w:val="Compact"/>
              <w:spacing w:after="40"/>
              <w:jc w:val="left"/>
            </w:pPr>
            <w:r>
              <w:rPr>
                <w:sz w:val="18"/>
              </w:rPr>
              <w:t xml:space="preserve">correction_id, cic list, account party_ref, source (BORROWER_DISPUTE, CIC_REQUEST, INTERNAL_DQ), received_at, clocks (CIR paras 34–35: 21 and 30 days)</w:t>
            </w:r>
          </w:p>
        </w:tc>
        <w:tc>
          <w:tcPr>
            <w:tcW w:w="715" w:type="dxa"/>
          </w:tcPr>
          <w:p>
            <w:pPr>
              <w:pStyle w:val="Compact"/>
              <w:spacing w:after="40"/>
              <w:jc w:val="left"/>
            </w:pPr>
            <w:r>
              <w:rPr>
                <w:sz w:val="18"/>
              </w:rPr>
              <w:t xml:space="preserve">FX</w:t>
            </w:r>
          </w:p>
        </w:tc>
        <w:tc>
          <w:tcPr>
            <w:tcW w:w="1059" w:type="dxa"/>
          </w:tcPr>
          <w:p>
            <w:pPr>
              <w:pStyle w:val="Compact"/>
              <w:spacing w:after="40"/>
              <w:jc w:val="left"/>
            </w:pPr>
            <w:r>
              <w:rPr>
                <w:sz w:val="18"/>
              </w:rPr>
              <w:t xml:space="preserve">correction_id</w:t>
            </w:r>
          </w:p>
        </w:tc>
        <w:tc>
          <w:tcPr>
            <w:tcW w:w="1118" w:type="dxa"/>
          </w:tcPr>
          <w:p>
            <w:pPr>
              <w:pStyle w:val="Compact"/>
              <w:spacing w:after="40"/>
              <w:jc w:val="left"/>
            </w:pPr>
            <w:r>
              <w:rPr>
                <w:sz w:val="18"/>
              </w:rPr>
              <w:t xml:space="preserve">std</w:t>
            </w:r>
          </w:p>
        </w:tc>
      </w:tr>
      <w:tr>
        <w:tc>
          <w:tcPr>
            <w:tcW w:w="883" w:type="dxa"/>
          </w:tcPr>
          <w:p>
            <w:pPr>
              <w:pStyle w:val="Compact"/>
              <w:spacing w:after="40"/>
              <w:jc w:val="left"/>
            </w:pPr>
            <w:r>
              <w:rPr>
                <w:rStyle w:val="VerbatimChar"/>
                <w:sz w:val="18"/>
              </w:rPr>
              <w:t xml:space="preserve">BureauCorrectionCompleted</w:t>
            </w:r>
            <w:r>
              <w:rPr>
                <w:sz w:val="18"/>
              </w:rPr>
              <w:t xml:space="preserve"> </w:t>
            </w:r>
            <w:r>
              <w:rPr>
                <w:sz w:val="18"/>
              </w:rPr>
              <w:t xml:space="preserve">(N11)</w:t>
            </w:r>
          </w:p>
        </w:tc>
        <w:tc>
          <w:tcPr>
            <w:tcW w:w="2123" w:type="dxa"/>
          </w:tcPr>
          <w:p>
            <w:pPr>
              <w:pStyle w:val="Compact"/>
              <w:spacing w:after="40"/>
              <w:jc w:val="left"/>
            </w:pPr>
            <w:r>
              <w:rPr>
                <w:sz w:val="18"/>
              </w:rPr>
              <w:t xml:space="preserve">FX → LDC; UD (status only, when the dispute came through Udofin)</w:t>
            </w:r>
          </w:p>
        </w:tc>
        <w:tc>
          <w:tcPr>
            <w:tcW w:w="1352" w:type="dxa"/>
          </w:tcPr>
          <w:p>
            <w:pPr>
              <w:pStyle w:val="Compact"/>
              <w:spacing w:after="40"/>
              <w:jc w:val="left"/>
            </w:pPr>
            <w:r>
              <w:rPr>
                <w:sz w:val="18"/>
              </w:rPr>
              <w:t xml:space="preserve">Every affected CIC confirms the correction (DC cycle or online maintenance)</w:t>
            </w:r>
          </w:p>
        </w:tc>
        <w:tc>
          <w:tcPr>
            <w:tcW w:w="2388" w:type="dxa"/>
          </w:tcPr>
          <w:p>
            <w:pPr>
              <w:pStyle w:val="Compact"/>
              <w:spacing w:after="40"/>
              <w:jc w:val="left"/>
            </w:pPr>
            <w:r>
              <w:rPr>
                <w:sz w:val="18"/>
              </w:rPr>
              <w:t xml:space="preserve">cics updated, completed_at, compensation due flag and amount (CIR para 35), evidence hash</w:t>
            </w:r>
          </w:p>
        </w:tc>
        <w:tc>
          <w:tcPr>
            <w:tcW w:w="715" w:type="dxa"/>
          </w:tcPr>
          <w:p>
            <w:pPr>
              <w:pStyle w:val="Compact"/>
              <w:spacing w:after="40"/>
              <w:jc w:val="left"/>
            </w:pPr>
            <w:r>
              <w:rPr>
                <w:sz w:val="18"/>
              </w:rPr>
              <w:t xml:space="preserve">FX</w:t>
            </w:r>
          </w:p>
        </w:tc>
        <w:tc>
          <w:tcPr>
            <w:tcW w:w="1059" w:type="dxa"/>
          </w:tcPr>
          <w:p>
            <w:pPr>
              <w:pStyle w:val="Compact"/>
              <w:spacing w:after="40"/>
              <w:jc w:val="left"/>
            </w:pPr>
            <w:r>
              <w:rPr>
                <w:sz w:val="18"/>
              </w:rPr>
              <w:t xml:space="preserve">correction_id</w:t>
            </w:r>
          </w:p>
        </w:tc>
        <w:tc>
          <w:tcPr>
            <w:tcW w:w="1118" w:type="dxa"/>
          </w:tcPr>
          <w:p>
            <w:pPr>
              <w:pStyle w:val="Compact"/>
              <w:spacing w:after="40"/>
              <w:jc w:val="left"/>
            </w:pPr>
            <w:r>
              <w:rPr>
                <w:sz w:val="18"/>
              </w:rPr>
              <w:t xml:space="preserve">≤ 1 working day of the last confirmation</w:t>
            </w:r>
          </w:p>
        </w:tc>
      </w:tr>
    </w:tbl>
    <w:p>
      <w:pPr>
        <w:numPr>
          <w:ilvl w:val="0"/>
          <w:numId w:val="1014"/>
        </w:numPr>
        <w:pStyle w:val="Compact"/>
      </w:pPr>
      <w:r>
        <w:t xml:space="preserve">Microfinance loans go only in the MFI file, never also in the consumer file; non-individual borrowers and guarantors go in the commercial file; co-lenders report their own shares (TDCR para 122); LSPs never report (CF para 17).</w:t>
      </w:r>
    </w:p>
    <w:p>
      <w:pPr>
        <w:numPr>
          <w:ilvl w:val="0"/>
          <w:numId w:val="1014"/>
        </w:numPr>
        <w:pStyle w:val="Compact"/>
      </w:pPr>
      <w:r>
        <w:t xml:space="preserve">A credit co-operative society reports only if a CIC admits it as a member [VERIFY]; no tenant ever uses another lender’s membership or bureau access.</w:t>
      </w:r>
    </w:p>
    <w:p>
      <w:pPr>
        <w:numPr>
          <w:ilvl w:val="0"/>
          <w:numId w:val="1014"/>
        </w:numPr>
        <w:pStyle w:val="Compact"/>
      </w:pPr>
      <w:r>
        <w:t xml:space="preserve">SFTP and PGP keys live in the tenant vault (BYOK; unreadable by Infrabyx staff); transmission from a tenant-controlled host or the on-premises agent (12.2). Correction uploads follow each CIC’s encryption rule [VERIFY: per CIC].</w:t>
      </w:r>
    </w:p>
    <w:p>
      <w:pPr>
        <w:numPr>
          <w:ilvl w:val="0"/>
          <w:numId w:val="1014"/>
        </w:numPr>
        <w:pStyle w:val="Compact"/>
      </w:pPr>
      <w:r>
        <w:t xml:space="preserve">Format packs are data, never code; specification inconsistencies are resolved in writing with the bureau, never coded around.</w:t>
      </w:r>
    </w:p>
    <w:bookmarkEnd w:id="66"/>
    <w:bookmarkStart w:id="67" w:name="finance-and-tax-finance"/>
    <w:p>
      <w:pPr>
        <w:pStyle w:val="Heading2"/>
      </w:pPr>
      <w:r>
        <w:t xml:space="preserve">6.20 Finance and tax (</w:t>
      </w:r>
      <w:r>
        <w:rPr>
          <w:rStyle w:val="VerbatimChar"/>
        </w:rPr>
        <w:t xml:space="preserve">finance</w:t>
      </w:r>
      <w:r>
        <w:t xml:space="preserve">)</w:t>
      </w:r>
    </w:p>
    <w:p>
      <w:pPr>
        <w:pStyle w:val="FirstParagraph"/>
      </w:pPr>
      <w:r>
        <w:t xml:space="preserve">Finbyx Part 7C. Amounts and statements travel by document reference (6.13); events carry hashes and status. The Operations Hub never receives</w:t>
      </w:r>
      <w:r>
        <w:t xml:space="preserve"> </w:t>
      </w:r>
      <w:r>
        <w:rPr>
          <w:rStyle w:val="VerbatimChar"/>
        </w:rPr>
        <w:t xml:space="preserve">InterestCertificateIssued</w:t>
      </w:r>
      <w:r>
        <w:t xml:space="preserve">, any amount or any trial-balance hash; with tenant opt-in it receives a</w:t>
      </w:r>
      <w:r>
        <w:t xml:space="preserve"> </w:t>
      </w:r>
      <w:r>
        <w:rPr>
          <w:rStyle w:val="VerbatimChar"/>
        </w:rPr>
        <w:t xml:space="preserve">PeriodClosed</w:t>
      </w:r>
      <w:r>
        <w:t xml:space="preserve"> </w:t>
      </w:r>
      <w:r>
        <w:t xml:space="preserve">status projection only (</w:t>
      </w:r>
      <w:r>
        <w:rPr>
          <w:rStyle w:val="VerbatimChar"/>
        </w:rPr>
        <w:t xml:space="preserve">PeriodClosed.oh</w:t>
      </w:r>
      <w:r>
        <w:t xml:space="preserve">: legal_entity, period, book, lock_version, status).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92"/>
        <w:gridCol w:w="1445"/>
        <w:gridCol w:w="1892"/>
        <w:gridCol w:w="2304"/>
        <w:gridCol w:w="587"/>
        <w:gridCol w:w="1119"/>
        <w:gridCol w:w="1199"/>
      </w:tblGrid>
      <w:tr>
        <w:trPr>
          <w:tblHeader w:val="true"/>
          <w:tblHeader w:val="true"/>
        </w:trPr>
        <w:tc>
          <w:tcPr>
            <w:tcW w:w="1092" w:type="dxa"/>
            <w:shd w:val="clear" w:color="auto" w:fill="1F3A5F"/>
          </w:tcPr>
          <w:p>
            <w:pPr>
              <w:pStyle w:val="Compact"/>
              <w:spacing w:after="40"/>
              <w:jc w:val="left"/>
            </w:pPr>
            <w:r>
              <w:rPr>
                <w:b/>
                <w:color w:val="FFFFFF"/>
                <w:sz w:val="18"/>
              </w:rPr>
              <w:t xml:space="preserve">Event or API</w:t>
            </w:r>
          </w:p>
        </w:tc>
        <w:tc>
          <w:tcPr>
            <w:tcW w:w="1445" w:type="dxa"/>
            <w:shd w:val="clear" w:color="auto" w:fill="1F3A5F"/>
          </w:tcPr>
          <w:p>
            <w:pPr>
              <w:pStyle w:val="Compact"/>
              <w:spacing w:after="40"/>
              <w:jc w:val="left"/>
            </w:pPr>
            <w:r>
              <w:rPr>
                <w:b/>
                <w:color w:val="FFFFFF"/>
                <w:sz w:val="18"/>
              </w:rPr>
              <w:t xml:space="preserve">Producer → consumer(s)</w:t>
            </w:r>
          </w:p>
        </w:tc>
        <w:tc>
          <w:tcPr>
            <w:tcW w:w="1892" w:type="dxa"/>
            <w:shd w:val="clear" w:color="auto" w:fill="1F3A5F"/>
          </w:tcPr>
          <w:p>
            <w:pPr>
              <w:pStyle w:val="Compact"/>
              <w:spacing w:after="40"/>
              <w:jc w:val="left"/>
            </w:pPr>
            <w:r>
              <w:rPr>
                <w:b/>
                <w:color w:val="FFFFFF"/>
                <w:sz w:val="18"/>
              </w:rPr>
              <w:t xml:space="preserve">Trigger</w:t>
            </w:r>
          </w:p>
        </w:tc>
        <w:tc>
          <w:tcPr>
            <w:tcW w:w="2304" w:type="dxa"/>
            <w:shd w:val="clear" w:color="auto" w:fill="1F3A5F"/>
          </w:tcPr>
          <w:p>
            <w:pPr>
              <w:pStyle w:val="Compact"/>
              <w:spacing w:after="40"/>
              <w:jc w:val="left"/>
            </w:pPr>
            <w:r>
              <w:rPr>
                <w:b/>
                <w:color w:val="FFFFFF"/>
                <w:sz w:val="18"/>
              </w:rPr>
              <w:t xml:space="preserve">Key payload fields</w:t>
            </w:r>
          </w:p>
        </w:tc>
        <w:tc>
          <w:tcPr>
            <w:tcW w:w="587" w:type="dxa"/>
            <w:shd w:val="clear" w:color="auto" w:fill="1F3A5F"/>
          </w:tcPr>
          <w:p>
            <w:pPr>
              <w:pStyle w:val="Compact"/>
              <w:spacing w:after="40"/>
              <w:jc w:val="left"/>
            </w:pPr>
            <w:r>
              <w:rPr>
                <w:b/>
                <w:color w:val="FFFFFF"/>
                <w:sz w:val="18"/>
              </w:rPr>
              <w:t xml:space="preserve">Owner</w:t>
            </w:r>
          </w:p>
        </w:tc>
        <w:tc>
          <w:tcPr>
            <w:tcW w:w="1119" w:type="dxa"/>
            <w:shd w:val="clear" w:color="auto" w:fill="1F3A5F"/>
          </w:tcPr>
          <w:p>
            <w:pPr>
              <w:pStyle w:val="Compact"/>
              <w:spacing w:after="40"/>
              <w:jc w:val="left"/>
            </w:pPr>
            <w:r>
              <w:rPr>
                <w:b/>
                <w:color w:val="FFFFFF"/>
                <w:sz w:val="18"/>
              </w:rPr>
              <w:t xml:space="preserve">Idempotency key</w:t>
            </w:r>
          </w:p>
        </w:tc>
        <w:tc>
          <w:tcPr>
            <w:tcW w:w="1199" w:type="dxa"/>
            <w:shd w:val="clear" w:color="auto" w:fill="1F3A5F"/>
          </w:tcPr>
          <w:p>
            <w:pPr>
              <w:pStyle w:val="Compact"/>
              <w:spacing w:after="40"/>
              <w:jc w:val="left"/>
            </w:pPr>
            <w:r>
              <w:rPr>
                <w:b/>
                <w:color w:val="FFFFFF"/>
                <w:sz w:val="18"/>
              </w:rPr>
              <w:t xml:space="preserve">SLA</w:t>
            </w:r>
          </w:p>
        </w:tc>
      </w:tr>
      <w:tr>
        <w:tc>
          <w:tcPr>
            <w:tcW w:w="1092" w:type="dxa"/>
          </w:tcPr>
          <w:p>
            <w:pPr>
              <w:pStyle w:val="Compact"/>
              <w:spacing w:after="40"/>
              <w:jc w:val="left"/>
            </w:pPr>
            <w:r>
              <w:rPr>
                <w:rStyle w:val="VerbatimChar"/>
                <w:sz w:val="18"/>
              </w:rPr>
              <w:t xml:space="preserve">PeriodClosed</w:t>
            </w:r>
            <w:r>
              <w:rPr>
                <w:sz w:val="18"/>
              </w:rPr>
              <w:t xml:space="preserve"> </w:t>
            </w:r>
            <w:r>
              <w:rPr>
                <w:sz w:val="18"/>
              </w:rPr>
              <w:t xml:space="preserve">(N11)</w:t>
            </w:r>
          </w:p>
        </w:tc>
        <w:tc>
          <w:tcPr>
            <w:tcW w:w="1445" w:type="dxa"/>
          </w:tcPr>
          <w:p>
            <w:pPr>
              <w:pStyle w:val="Compact"/>
              <w:spacing w:after="40"/>
              <w:jc w:val="left"/>
            </w:pPr>
            <w:r>
              <w:rPr>
                <w:sz w:val="18"/>
              </w:rPr>
              <w:t xml:space="preserve">FX → FX Part 7B (internal), LDC; OH (status projection, tenant opt-in)</w:t>
            </w:r>
          </w:p>
        </w:tc>
        <w:tc>
          <w:tcPr>
            <w:tcW w:w="1892" w:type="dxa"/>
          </w:tcPr>
          <w:p>
            <w:pPr>
              <w:pStyle w:val="Compact"/>
              <w:spacing w:after="40"/>
              <w:jc w:val="left"/>
            </w:pPr>
            <w:r>
              <w:rPr>
                <w:sz w:val="18"/>
              </w:rPr>
              <w:t xml:space="preserve">Period locked per book, or re-locked after an approved reopen</w:t>
            </w:r>
          </w:p>
        </w:tc>
        <w:tc>
          <w:tcPr>
            <w:tcW w:w="2304" w:type="dxa"/>
          </w:tcPr>
          <w:p>
            <w:pPr>
              <w:pStyle w:val="Compact"/>
              <w:spacing w:after="40"/>
              <w:jc w:val="left"/>
            </w:pPr>
            <w:r>
              <w:rPr>
                <w:sz w:val="18"/>
              </w:rPr>
              <w:t xml:space="preserve">legal_entity, period, book (STAT, PRUD, TAX),</w:t>
            </w:r>
            <w:r>
              <w:rPr>
                <w:sz w:val="18"/>
              </w:rPr>
              <w:t xml:space="preserve"> </w:t>
            </w:r>
            <w:r>
              <w:rPr>
                <w:rStyle w:val="VerbatimChar"/>
                <w:sz w:val="18"/>
              </w:rPr>
              <w:t xml:space="preserve">lock_version</w:t>
            </w:r>
            <w:r>
              <w:rPr>
                <w:sz w:val="18"/>
              </w:rPr>
              <w:t xml:space="preserve"> </w:t>
            </w:r>
            <w:r>
              <w:rPr>
                <w:sz w:val="18"/>
              </w:rPr>
              <w:t xml:space="preserve">(a higher version supersedes the earlier lock), trial-balance hashes (never in the OH projection)</w:t>
            </w:r>
          </w:p>
        </w:tc>
        <w:tc>
          <w:tcPr>
            <w:tcW w:w="587" w:type="dxa"/>
          </w:tcPr>
          <w:p>
            <w:pPr>
              <w:pStyle w:val="Compact"/>
              <w:spacing w:after="40"/>
              <w:jc w:val="left"/>
            </w:pPr>
            <w:r>
              <w:rPr>
                <w:sz w:val="18"/>
              </w:rPr>
              <w:t xml:space="preserve">FX</w:t>
            </w:r>
          </w:p>
        </w:tc>
        <w:tc>
          <w:tcPr>
            <w:tcW w:w="1119" w:type="dxa"/>
          </w:tcPr>
          <w:p>
            <w:pPr>
              <w:pStyle w:val="Compact"/>
              <w:spacing w:after="40"/>
              <w:jc w:val="left"/>
            </w:pPr>
            <w:r>
              <w:rPr>
                <w:sz w:val="18"/>
              </w:rPr>
              <w:t xml:space="preserve">(legal_entity, period, book, lock_version)</w:t>
            </w:r>
          </w:p>
        </w:tc>
        <w:tc>
          <w:tcPr>
            <w:tcW w:w="1199" w:type="dxa"/>
          </w:tcPr>
          <w:p>
            <w:pPr>
              <w:pStyle w:val="Compact"/>
              <w:spacing w:after="40"/>
              <w:jc w:val="left"/>
            </w:pPr>
            <w:r>
              <w:rPr>
                <w:sz w:val="18"/>
              </w:rPr>
              <w:t xml:space="preserve">std</w:t>
            </w:r>
          </w:p>
        </w:tc>
      </w:tr>
      <w:tr>
        <w:tc>
          <w:tcPr>
            <w:tcW w:w="1092" w:type="dxa"/>
          </w:tcPr>
          <w:p>
            <w:pPr>
              <w:pStyle w:val="Compact"/>
              <w:spacing w:after="40"/>
              <w:jc w:val="left"/>
            </w:pPr>
            <w:r>
              <w:rPr>
                <w:rStyle w:val="VerbatimChar"/>
                <w:sz w:val="18"/>
              </w:rPr>
              <w:t xml:space="preserve">FinancialStatementsApproved</w:t>
            </w:r>
            <w:r>
              <w:rPr>
                <w:sz w:val="18"/>
              </w:rPr>
              <w:t xml:space="preserve"> </w:t>
            </w:r>
            <w:r>
              <w:rPr>
                <w:sz w:val="18"/>
              </w:rPr>
              <w:t xml:space="preserve">(N11) signed</w:t>
            </w:r>
          </w:p>
        </w:tc>
        <w:tc>
          <w:tcPr>
            <w:tcW w:w="1445" w:type="dxa"/>
          </w:tcPr>
          <w:p>
            <w:pPr>
              <w:pStyle w:val="Compact"/>
              <w:spacing w:after="40"/>
              <w:jc w:val="left"/>
            </w:pPr>
            <w:r>
              <w:rPr>
                <w:sz w:val="18"/>
              </w:rPr>
              <w:t xml:space="preserve">FX → FX Part 7B, LDC</w:t>
            </w:r>
          </w:p>
        </w:tc>
        <w:tc>
          <w:tcPr>
            <w:tcW w:w="1892" w:type="dxa"/>
          </w:tcPr>
          <w:p>
            <w:pPr>
              <w:pStyle w:val="Compact"/>
              <w:spacing w:after="40"/>
              <w:jc w:val="left"/>
            </w:pPr>
            <w:r>
              <w:rPr>
                <w:sz w:val="18"/>
              </w:rPr>
              <w:t xml:space="preserve">Board approval with the auditor’s report date recorded</w:t>
            </w:r>
          </w:p>
        </w:tc>
        <w:tc>
          <w:tcPr>
            <w:tcW w:w="2304" w:type="dxa"/>
          </w:tcPr>
          <w:p>
            <w:pPr>
              <w:pStyle w:val="Compact"/>
              <w:spacing w:after="40"/>
              <w:jc w:val="left"/>
            </w:pPr>
            <w:r>
              <w:rPr>
                <w:sz w:val="18"/>
              </w:rPr>
              <w:t xml:space="preserve">legal_entity, financial year, framework (IND_AS, AS, COOP, IFRS_IFSC), Board date, audit report date, statement hashes (PDF/A, XLSX, MCA payload)</w:t>
            </w:r>
          </w:p>
        </w:tc>
        <w:tc>
          <w:tcPr>
            <w:tcW w:w="587" w:type="dxa"/>
          </w:tcPr>
          <w:p>
            <w:pPr>
              <w:pStyle w:val="Compact"/>
              <w:spacing w:after="40"/>
              <w:jc w:val="left"/>
            </w:pPr>
            <w:r>
              <w:rPr>
                <w:sz w:val="18"/>
              </w:rPr>
              <w:t xml:space="preserve">FX</w:t>
            </w:r>
          </w:p>
        </w:tc>
        <w:tc>
          <w:tcPr>
            <w:tcW w:w="1119" w:type="dxa"/>
          </w:tcPr>
          <w:p>
            <w:pPr>
              <w:pStyle w:val="Compact"/>
              <w:spacing w:after="40"/>
              <w:jc w:val="left"/>
            </w:pPr>
            <w:r>
              <w:rPr>
                <w:sz w:val="18"/>
              </w:rPr>
              <w:t xml:space="preserve">(legal_entity, financial_year, version)</w:t>
            </w:r>
          </w:p>
        </w:tc>
        <w:tc>
          <w:tcPr>
            <w:tcW w:w="1199" w:type="dxa"/>
          </w:tcPr>
          <w:p>
            <w:pPr>
              <w:pStyle w:val="Compact"/>
              <w:spacing w:after="40"/>
              <w:jc w:val="left"/>
            </w:pPr>
            <w:r>
              <w:rPr>
                <w:sz w:val="18"/>
              </w:rPr>
              <w:t xml:space="preserve">std; starts the DNBS10 and audited-return clocks</w:t>
            </w:r>
          </w:p>
        </w:tc>
      </w:tr>
      <w:tr>
        <w:tc>
          <w:tcPr>
            <w:tcW w:w="1092" w:type="dxa"/>
          </w:tcPr>
          <w:p>
            <w:pPr>
              <w:pStyle w:val="Compact"/>
              <w:spacing w:after="40"/>
              <w:jc w:val="left"/>
            </w:pPr>
            <w:r>
              <w:rPr>
                <w:rStyle w:val="VerbatimChar"/>
                <w:sz w:val="18"/>
              </w:rPr>
              <w:t xml:space="preserve">GstReturnPrepared</w:t>
            </w:r>
            <w:r>
              <w:rPr>
                <w:sz w:val="18"/>
              </w:rPr>
              <w:t xml:space="preserve"> </w:t>
            </w:r>
            <w:r>
              <w:rPr>
                <w:sz w:val="18"/>
              </w:rPr>
              <w:t xml:space="preserve">(N11)</w:t>
            </w:r>
          </w:p>
        </w:tc>
        <w:tc>
          <w:tcPr>
            <w:tcW w:w="1445" w:type="dxa"/>
          </w:tcPr>
          <w:p>
            <w:pPr>
              <w:pStyle w:val="Compact"/>
              <w:spacing w:after="40"/>
              <w:jc w:val="left"/>
            </w:pPr>
            <w:r>
              <w:rPr>
                <w:sz w:val="18"/>
              </w:rPr>
              <w:t xml:space="preserve">FX → LDC</w:t>
            </w:r>
          </w:p>
        </w:tc>
        <w:tc>
          <w:tcPr>
            <w:tcW w:w="1892" w:type="dxa"/>
          </w:tcPr>
          <w:p>
            <w:pPr>
              <w:pStyle w:val="Compact"/>
              <w:spacing w:after="40"/>
              <w:jc w:val="left"/>
            </w:pPr>
            <w:r>
              <w:rPr>
                <w:sz w:val="18"/>
              </w:rPr>
              <w:t xml:space="preserve">GST package approved</w:t>
            </w:r>
          </w:p>
        </w:tc>
        <w:tc>
          <w:tcPr>
            <w:tcW w:w="2304" w:type="dxa"/>
          </w:tcPr>
          <w:p>
            <w:pPr>
              <w:pStyle w:val="Compact"/>
              <w:spacing w:after="40"/>
              <w:jc w:val="left"/>
            </w:pPr>
            <w:r>
              <w:rPr>
                <w:sz w:val="18"/>
              </w:rPr>
              <w:t xml:space="preserve">gstin, period, return type (GSTR-1, GSTR-1A, GSTR-3B, GSTR-9, GSTR-9C), package hash (</w:t>
            </w:r>
            <w:r>
              <w:rPr>
                <w:rStyle w:val="VerbatimChar"/>
                <w:sz w:val="18"/>
              </w:rPr>
              <w:t xml:space="preserve">gst_export_v1</w:t>
            </w:r>
            <w:r>
              <w:rPr>
                <w:sz w:val="18"/>
              </w:rPr>
              <w:t xml:space="preserve">), reconciliation status</w:t>
            </w:r>
          </w:p>
        </w:tc>
        <w:tc>
          <w:tcPr>
            <w:tcW w:w="587" w:type="dxa"/>
          </w:tcPr>
          <w:p>
            <w:pPr>
              <w:pStyle w:val="Compact"/>
              <w:spacing w:after="40"/>
              <w:jc w:val="left"/>
            </w:pPr>
            <w:r>
              <w:rPr>
                <w:sz w:val="18"/>
              </w:rPr>
              <w:t xml:space="preserve">FX</w:t>
            </w:r>
          </w:p>
        </w:tc>
        <w:tc>
          <w:tcPr>
            <w:tcW w:w="1119" w:type="dxa"/>
          </w:tcPr>
          <w:p>
            <w:pPr>
              <w:pStyle w:val="Compact"/>
              <w:spacing w:after="40"/>
              <w:jc w:val="left"/>
            </w:pPr>
            <w:r>
              <w:rPr>
                <w:sz w:val="18"/>
              </w:rPr>
              <w:t xml:space="preserve">(gstin, period, return_type, version)</w:t>
            </w:r>
          </w:p>
        </w:tc>
        <w:tc>
          <w:tcPr>
            <w:tcW w:w="1199" w:type="dxa"/>
          </w:tcPr>
          <w:p>
            <w:pPr>
              <w:pStyle w:val="Compact"/>
              <w:spacing w:after="40"/>
              <w:jc w:val="left"/>
            </w:pPr>
            <w:r>
              <w:rPr>
                <w:sz w:val="18"/>
              </w:rPr>
              <w:t xml:space="preserve">Before the return due date</w:t>
            </w:r>
          </w:p>
        </w:tc>
      </w:tr>
      <w:tr>
        <w:tc>
          <w:tcPr>
            <w:tcW w:w="1092" w:type="dxa"/>
          </w:tcPr>
          <w:p>
            <w:pPr>
              <w:pStyle w:val="Compact"/>
              <w:spacing w:after="40"/>
              <w:jc w:val="left"/>
            </w:pPr>
            <w:r>
              <w:rPr>
                <w:rStyle w:val="VerbatimChar"/>
                <w:sz w:val="18"/>
              </w:rPr>
              <w:t xml:space="preserve">TdsStatementPrepared</w:t>
            </w:r>
            <w:r>
              <w:rPr>
                <w:sz w:val="18"/>
              </w:rPr>
              <w:t xml:space="preserve"> </w:t>
            </w:r>
            <w:r>
              <w:rPr>
                <w:sz w:val="18"/>
              </w:rPr>
              <w:t xml:space="preserve">(N11)</w:t>
            </w:r>
          </w:p>
        </w:tc>
        <w:tc>
          <w:tcPr>
            <w:tcW w:w="1445" w:type="dxa"/>
          </w:tcPr>
          <w:p>
            <w:pPr>
              <w:pStyle w:val="Compact"/>
              <w:spacing w:after="40"/>
              <w:jc w:val="left"/>
            </w:pPr>
            <w:r>
              <w:rPr>
                <w:sz w:val="18"/>
              </w:rPr>
              <w:t xml:space="preserve">FX → LDC</w:t>
            </w:r>
          </w:p>
        </w:tc>
        <w:tc>
          <w:tcPr>
            <w:tcW w:w="1892" w:type="dxa"/>
          </w:tcPr>
          <w:p>
            <w:pPr>
              <w:pStyle w:val="Compact"/>
              <w:spacing w:after="40"/>
              <w:jc w:val="left"/>
            </w:pPr>
            <w:r>
              <w:rPr>
                <w:sz w:val="18"/>
              </w:rPr>
              <w:t xml:space="preserve">Form 140 (or 144, 143; Form 138 for salary from Finbyx GV6 payroll) data file approved (Income-tax Act 2025 s.397(3)(b))</w:t>
            </w:r>
          </w:p>
        </w:tc>
        <w:tc>
          <w:tcPr>
            <w:tcW w:w="2304" w:type="dxa"/>
          </w:tcPr>
          <w:p>
            <w:pPr>
              <w:pStyle w:val="Compact"/>
              <w:spacing w:after="40"/>
              <w:jc w:val="left"/>
            </w:pPr>
            <w:r>
              <w:rPr>
                <w:sz w:val="18"/>
              </w:rPr>
              <w:t xml:space="preserve">tan, quarter, form, file hash (</w:t>
            </w:r>
            <w:r>
              <w:rPr>
                <w:rStyle w:val="VerbatimChar"/>
                <w:sz w:val="18"/>
              </w:rPr>
              <w:t xml:space="preserve">tds_export_v1</w:t>
            </w:r>
            <w:r>
              <w:rPr>
                <w:sz w:val="18"/>
              </w:rPr>
              <w:t xml:space="preserve">), deductee count, validation utility version [VERIFY: utility name]</w:t>
            </w:r>
          </w:p>
        </w:tc>
        <w:tc>
          <w:tcPr>
            <w:tcW w:w="587" w:type="dxa"/>
          </w:tcPr>
          <w:p>
            <w:pPr>
              <w:pStyle w:val="Compact"/>
              <w:spacing w:after="40"/>
              <w:jc w:val="left"/>
            </w:pPr>
            <w:r>
              <w:rPr>
                <w:sz w:val="18"/>
              </w:rPr>
              <w:t xml:space="preserve">FX</w:t>
            </w:r>
          </w:p>
        </w:tc>
        <w:tc>
          <w:tcPr>
            <w:tcW w:w="1119" w:type="dxa"/>
          </w:tcPr>
          <w:p>
            <w:pPr>
              <w:pStyle w:val="Compact"/>
              <w:spacing w:after="40"/>
              <w:jc w:val="left"/>
            </w:pPr>
            <w:r>
              <w:rPr>
                <w:sz w:val="18"/>
              </w:rPr>
              <w:t xml:space="preserve">(tan, quarter, form, version)</w:t>
            </w:r>
          </w:p>
        </w:tc>
        <w:tc>
          <w:tcPr>
            <w:tcW w:w="1199" w:type="dxa"/>
          </w:tcPr>
          <w:p>
            <w:pPr>
              <w:pStyle w:val="Compact"/>
              <w:spacing w:after="40"/>
              <w:jc w:val="left"/>
            </w:pPr>
            <w:r>
              <w:rPr>
                <w:sz w:val="18"/>
              </w:rPr>
              <w:t xml:space="preserve">Before 31 Jul, 31 Oct, 31 Jan or 31 May</w:t>
            </w:r>
          </w:p>
        </w:tc>
      </w:tr>
      <w:tr>
        <w:tc>
          <w:tcPr>
            <w:tcW w:w="1092" w:type="dxa"/>
          </w:tcPr>
          <w:p>
            <w:pPr>
              <w:pStyle w:val="Compact"/>
              <w:spacing w:after="40"/>
              <w:jc w:val="left"/>
            </w:pPr>
            <w:r>
              <w:rPr>
                <w:rStyle w:val="VerbatimChar"/>
                <w:sz w:val="18"/>
              </w:rPr>
              <w:t xml:space="preserve">InterestCertificateIssued</w:t>
            </w:r>
            <w:r>
              <w:rPr>
                <w:sz w:val="18"/>
              </w:rPr>
              <w:t xml:space="preserve"> </w:t>
            </w:r>
            <w:r>
              <w:rPr>
                <w:sz w:val="18"/>
              </w:rPr>
              <w:t xml:space="preserve">(N11) signed</w:t>
            </w:r>
          </w:p>
        </w:tc>
        <w:tc>
          <w:tcPr>
            <w:tcW w:w="1445" w:type="dxa"/>
          </w:tcPr>
          <w:p>
            <w:pPr>
              <w:pStyle w:val="Compact"/>
              <w:spacing w:after="40"/>
              <w:jc w:val="left"/>
            </w:pPr>
            <w:r>
              <w:rPr>
                <w:sz w:val="18"/>
              </w:rPr>
              <w:t xml:space="preserve">FX → UD</w:t>
            </w:r>
          </w:p>
        </w:tc>
        <w:tc>
          <w:tcPr>
            <w:tcW w:w="1892" w:type="dxa"/>
          </w:tcPr>
          <w:p>
            <w:pPr>
              <w:pStyle w:val="Compact"/>
              <w:spacing w:after="40"/>
              <w:jc w:val="left"/>
            </w:pPr>
            <w:r>
              <w:rPr>
                <w:sz w:val="18"/>
              </w:rPr>
              <w:t xml:space="preserve">RE-signed borrower certificate generated</w:t>
            </w:r>
          </w:p>
        </w:tc>
        <w:tc>
          <w:tcPr>
            <w:tcW w:w="2304" w:type="dxa"/>
          </w:tcPr>
          <w:p>
            <w:pPr>
              <w:pStyle w:val="Compact"/>
              <w:spacing w:after="40"/>
              <w:jc w:val="left"/>
            </w:pPr>
            <w:r>
              <w:rPr>
                <w:sz w:val="18"/>
              </w:rPr>
              <w:t xml:space="preserve">loan ref, tax year, certificate type (interest and principal for the borrower’s s.22, s.123 or s.129 claims [VERIFY]), document ref and hash;</w:t>
            </w:r>
            <w:r>
              <w:rPr>
                <w:sz w:val="18"/>
              </w:rPr>
              <w:t xml:space="preserve"> </w:t>
            </w:r>
            <w:r>
              <w:rPr>
                <w:rStyle w:val="VerbatimChar"/>
                <w:sz w:val="18"/>
              </w:rPr>
              <w:t xml:space="preserve">legalbasis = CONTRACT_PERFORMANCE_RE</w:t>
            </w:r>
          </w:p>
        </w:tc>
        <w:tc>
          <w:tcPr>
            <w:tcW w:w="587" w:type="dxa"/>
          </w:tcPr>
          <w:p>
            <w:pPr>
              <w:pStyle w:val="Compact"/>
              <w:spacing w:after="40"/>
              <w:jc w:val="left"/>
            </w:pPr>
            <w:r>
              <w:rPr>
                <w:sz w:val="18"/>
              </w:rPr>
              <w:t xml:space="preserve">FX</w:t>
            </w:r>
          </w:p>
        </w:tc>
        <w:tc>
          <w:tcPr>
            <w:tcW w:w="1119" w:type="dxa"/>
          </w:tcPr>
          <w:p>
            <w:pPr>
              <w:pStyle w:val="Compact"/>
              <w:spacing w:after="40"/>
              <w:jc w:val="left"/>
            </w:pPr>
            <w:r>
              <w:rPr>
                <w:sz w:val="18"/>
              </w:rPr>
              <w:t xml:space="preserve">(loan_id, tax_year, version)</w:t>
            </w:r>
          </w:p>
        </w:tc>
        <w:tc>
          <w:tcPr>
            <w:tcW w:w="1199" w:type="dxa"/>
          </w:tcPr>
          <w:p>
            <w:pPr>
              <w:pStyle w:val="Compact"/>
              <w:spacing w:after="40"/>
              <w:jc w:val="left"/>
            </w:pPr>
            <w:r>
              <w:rPr>
                <w:sz w:val="18"/>
              </w:rPr>
              <w:t xml:space="preserve">std</w:t>
            </w:r>
          </w:p>
        </w:tc>
      </w:tr>
    </w:tbl>
    <w:p>
      <w:pPr>
        <w:numPr>
          <w:ilvl w:val="0"/>
          <w:numId w:val="1015"/>
        </w:numPr>
        <w:pStyle w:val="Compact"/>
      </w:pPr>
      <w:r>
        <w:t xml:space="preserve">Filing is always by an authorised user on the GST, TRACES or income-tax portal (principle 11). Obligations for FY 2025-26 and earlier use the Income-tax Act 1961 forms; tax year 2026-27 onwards uses the Income-tax Act 2025 (in force 1 April 2026), selected by payment or credit date [VERIFY: CBDT transition guidance].</w:t>
      </w:r>
    </w:p>
    <w:p>
      <w:pPr>
        <w:numPr>
          <w:ilvl w:val="0"/>
          <w:numId w:val="1015"/>
        </w:numPr>
        <w:pStyle w:val="Compact"/>
      </w:pPr>
      <w:r>
        <w:rPr>
          <w:bCs/>
          <w:b/>
        </w:rPr>
        <w:t xml:space="preserve">Udofin displays RE-signed certificates and never issues tax certificates in its own name</w:t>
      </w:r>
      <w:r>
        <w:t xml:space="preserve"> </w:t>
      </w:r>
      <w:r>
        <w:t xml:space="preserve">(Udofin UB2).</w:t>
      </w:r>
    </w:p>
    <w:p>
      <w:pPr>
        <w:numPr>
          <w:ilvl w:val="0"/>
          <w:numId w:val="1015"/>
        </w:numPr>
        <w:pStyle w:val="Compact"/>
      </w:pPr>
      <w:r>
        <w:t xml:space="preserve">Tally Prime and ERP sinks remain</w:t>
      </w:r>
      <w:r>
        <w:t xml:space="preserve"> </w:t>
      </w:r>
      <w:r>
        <w:rPr>
          <w:rStyle w:val="VerbatimChar"/>
        </w:rPr>
        <w:t xml:space="preserve">AccountingSink</w:t>
      </w:r>
      <w:r>
        <w:t xml:space="preserve"> </w:t>
      </w:r>
      <w:r>
        <w:t xml:space="preserve">(10.2); Finbyx stays the book of record.</w:t>
      </w:r>
    </w:p>
    <w:bookmarkEnd w:id="67"/>
    <w:bookmarkStart w:id="68" w:name="audit-and-external-access-audit"/>
    <w:p>
      <w:pPr>
        <w:pStyle w:val="Heading2"/>
      </w:pPr>
      <w:r>
        <w:t xml:space="preserve">6.21 Audit and external access (</w:t>
      </w:r>
      <w:r>
        <w:rPr>
          <w:rStyle w:val="VerbatimChar"/>
        </w:rPr>
        <w:t xml:space="preserve">audit</w:t>
      </w:r>
      <w:r>
        <w:t xml:space="preserve">)</w:t>
      </w:r>
    </w:p>
    <w:p>
      <w:pPr>
        <w:pStyle w:val="FirstParagraph"/>
      </w:pPr>
      <w:r>
        <w:t xml:space="preserve">Finbyx Part 7D; Udofin Part 7H RA2 and RA4; Part 4.7 for grant rules. Audit findings carry masked sample references only; workpapers stay in the producing product.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111"/>
        <w:gridCol w:w="2021"/>
        <w:gridCol w:w="1199"/>
        <w:gridCol w:w="2136"/>
        <w:gridCol w:w="1077"/>
        <w:gridCol w:w="840"/>
        <w:gridCol w:w="1254"/>
      </w:tblGrid>
      <w:tr>
        <w:trPr>
          <w:tblHeader w:val="true"/>
          <w:tblHeader w:val="true"/>
        </w:trPr>
        <w:tc>
          <w:tcPr>
            <w:tcW w:w="1111" w:type="dxa"/>
            <w:shd w:val="clear" w:color="auto" w:fill="1F3A5F"/>
          </w:tcPr>
          <w:p>
            <w:pPr>
              <w:pStyle w:val="Compact"/>
              <w:spacing w:after="40"/>
              <w:jc w:val="left"/>
            </w:pPr>
            <w:r>
              <w:rPr>
                <w:b/>
                <w:color w:val="FFFFFF"/>
                <w:sz w:val="18"/>
              </w:rPr>
              <w:t xml:space="preserve">Event or API</w:t>
            </w:r>
          </w:p>
        </w:tc>
        <w:tc>
          <w:tcPr>
            <w:tcW w:w="2021" w:type="dxa"/>
            <w:shd w:val="clear" w:color="auto" w:fill="1F3A5F"/>
          </w:tcPr>
          <w:p>
            <w:pPr>
              <w:pStyle w:val="Compact"/>
              <w:spacing w:after="40"/>
              <w:jc w:val="left"/>
            </w:pPr>
            <w:r>
              <w:rPr>
                <w:b/>
                <w:color w:val="FFFFFF"/>
                <w:sz w:val="18"/>
              </w:rPr>
              <w:t xml:space="preserve">Producer → consumer(s)</w:t>
            </w:r>
          </w:p>
        </w:tc>
        <w:tc>
          <w:tcPr>
            <w:tcW w:w="1199" w:type="dxa"/>
            <w:shd w:val="clear" w:color="auto" w:fill="1F3A5F"/>
          </w:tcPr>
          <w:p>
            <w:pPr>
              <w:pStyle w:val="Compact"/>
              <w:spacing w:after="40"/>
              <w:jc w:val="left"/>
            </w:pPr>
            <w:r>
              <w:rPr>
                <w:b/>
                <w:color w:val="FFFFFF"/>
                <w:sz w:val="18"/>
              </w:rPr>
              <w:t xml:space="preserve">Trigger</w:t>
            </w:r>
          </w:p>
        </w:tc>
        <w:tc>
          <w:tcPr>
            <w:tcW w:w="2136" w:type="dxa"/>
            <w:shd w:val="clear" w:color="auto" w:fill="1F3A5F"/>
          </w:tcPr>
          <w:p>
            <w:pPr>
              <w:pStyle w:val="Compact"/>
              <w:spacing w:after="40"/>
              <w:jc w:val="left"/>
            </w:pPr>
            <w:r>
              <w:rPr>
                <w:b/>
                <w:color w:val="FFFFFF"/>
                <w:sz w:val="18"/>
              </w:rPr>
              <w:t xml:space="preserve">Key payload fields</w:t>
            </w:r>
          </w:p>
        </w:tc>
        <w:tc>
          <w:tcPr>
            <w:tcW w:w="1077" w:type="dxa"/>
            <w:shd w:val="clear" w:color="auto" w:fill="1F3A5F"/>
          </w:tcPr>
          <w:p>
            <w:pPr>
              <w:pStyle w:val="Compact"/>
              <w:spacing w:after="40"/>
              <w:jc w:val="left"/>
            </w:pPr>
            <w:r>
              <w:rPr>
                <w:b/>
                <w:color w:val="FFFFFF"/>
                <w:sz w:val="18"/>
              </w:rPr>
              <w:t xml:space="preserve">Owner</w:t>
            </w:r>
          </w:p>
        </w:tc>
        <w:tc>
          <w:tcPr>
            <w:tcW w:w="840" w:type="dxa"/>
            <w:shd w:val="clear" w:color="auto" w:fill="1F3A5F"/>
          </w:tcPr>
          <w:p>
            <w:pPr>
              <w:pStyle w:val="Compact"/>
              <w:spacing w:after="40"/>
              <w:jc w:val="left"/>
            </w:pPr>
            <w:r>
              <w:rPr>
                <w:b/>
                <w:color w:val="FFFFFF"/>
                <w:sz w:val="18"/>
              </w:rPr>
              <w:t xml:space="preserve">Idempotency key</w:t>
            </w:r>
          </w:p>
        </w:tc>
        <w:tc>
          <w:tcPr>
            <w:tcW w:w="1254" w:type="dxa"/>
            <w:shd w:val="clear" w:color="auto" w:fill="1F3A5F"/>
          </w:tcPr>
          <w:p>
            <w:pPr>
              <w:pStyle w:val="Compact"/>
              <w:spacing w:after="40"/>
              <w:jc w:val="left"/>
            </w:pPr>
            <w:r>
              <w:rPr>
                <w:b/>
                <w:color w:val="FFFFFF"/>
                <w:sz w:val="18"/>
              </w:rPr>
              <w:t xml:space="preserve">SLA</w:t>
            </w:r>
          </w:p>
        </w:tc>
      </w:tr>
      <w:tr>
        <w:tc>
          <w:tcPr>
            <w:tcW w:w="1111" w:type="dxa"/>
          </w:tcPr>
          <w:p>
            <w:pPr>
              <w:pStyle w:val="Compact"/>
              <w:spacing w:after="40"/>
              <w:jc w:val="left"/>
            </w:pPr>
            <w:r>
              <w:rPr>
                <w:rStyle w:val="VerbatimChar"/>
                <w:sz w:val="18"/>
              </w:rPr>
              <w:t xml:space="preserve">AuditEngagementOpened</w:t>
            </w:r>
            <w:r>
              <w:rPr>
                <w:sz w:val="18"/>
              </w:rPr>
              <w:t xml:space="preserve"> </w:t>
            </w:r>
            <w:r>
              <w:rPr>
                <w:sz w:val="18"/>
              </w:rPr>
              <w:t xml:space="preserve">(N11)</w:t>
            </w:r>
          </w:p>
        </w:tc>
        <w:tc>
          <w:tcPr>
            <w:tcW w:w="2021" w:type="dxa"/>
          </w:tcPr>
          <w:p>
            <w:pPr>
              <w:pStyle w:val="Compact"/>
              <w:spacing w:after="40"/>
              <w:jc w:val="left"/>
            </w:pPr>
            <w:r>
              <w:rPr>
                <w:sz w:val="18"/>
              </w:rPr>
              <w:t xml:space="preserve">FX, UD → LDC, tenant GRC</w:t>
            </w:r>
          </w:p>
        </w:tc>
        <w:tc>
          <w:tcPr>
            <w:tcW w:w="1199" w:type="dxa"/>
          </w:tcPr>
          <w:p>
            <w:pPr>
              <w:pStyle w:val="Compact"/>
              <w:spacing w:after="40"/>
              <w:jc w:val="left"/>
            </w:pPr>
            <w:r>
              <w:rPr>
                <w:sz w:val="18"/>
              </w:rPr>
              <w:t xml:space="preserve">Engagement approved</w:t>
            </w:r>
          </w:p>
        </w:tc>
        <w:tc>
          <w:tcPr>
            <w:tcW w:w="2136" w:type="dxa"/>
          </w:tcPr>
          <w:p>
            <w:pPr>
              <w:pStyle w:val="Compact"/>
              <w:spacing w:after="40"/>
              <w:jc w:val="left"/>
            </w:pPr>
            <w:r>
              <w:rPr>
                <w:sz w:val="18"/>
              </w:rPr>
              <w:t xml:space="preserve">engagement_id, type (INTERNAL, RBIA, CONCURRENT, IS, IT, STATUTORY, SECRETARIAL, TAX, VAPT), period, scope summary, lead auditor role, workpaper index ref (</w:t>
            </w:r>
            <w:r>
              <w:rPr>
                <w:rStyle w:val="VerbatimChar"/>
                <w:sz w:val="18"/>
              </w:rPr>
              <w:t xml:space="preserve">audit_workpaper_index_v1</w:t>
            </w:r>
            <w:r>
              <w:rPr>
                <w:sz w:val="18"/>
              </w:rPr>
              <w:t xml:space="preserve">)</w:t>
            </w:r>
          </w:p>
        </w:tc>
        <w:tc>
          <w:tcPr>
            <w:tcW w:w="1077" w:type="dxa"/>
          </w:tcPr>
          <w:p>
            <w:pPr>
              <w:pStyle w:val="Compact"/>
              <w:spacing w:after="40"/>
              <w:jc w:val="left"/>
            </w:pPr>
            <w:r>
              <w:rPr>
                <w:sz w:val="18"/>
              </w:rPr>
              <w:t xml:space="preserve">FX or UD</w:t>
            </w:r>
          </w:p>
        </w:tc>
        <w:tc>
          <w:tcPr>
            <w:tcW w:w="840" w:type="dxa"/>
          </w:tcPr>
          <w:p>
            <w:pPr>
              <w:pStyle w:val="Compact"/>
              <w:spacing w:after="40"/>
              <w:jc w:val="left"/>
            </w:pPr>
            <w:r>
              <w:rPr>
                <w:sz w:val="18"/>
              </w:rPr>
              <w:t xml:space="preserve">engagement_id</w:t>
            </w:r>
          </w:p>
        </w:tc>
        <w:tc>
          <w:tcPr>
            <w:tcW w:w="1254" w:type="dxa"/>
          </w:tcPr>
          <w:p>
            <w:pPr>
              <w:pStyle w:val="Compact"/>
              <w:spacing w:after="40"/>
              <w:jc w:val="left"/>
            </w:pPr>
            <w:r>
              <w:rPr>
                <w:sz w:val="18"/>
              </w:rPr>
              <w:t xml:space="preserve">std</w:t>
            </w:r>
          </w:p>
        </w:tc>
      </w:tr>
      <w:tr>
        <w:tc>
          <w:tcPr>
            <w:tcW w:w="1111" w:type="dxa"/>
          </w:tcPr>
          <w:p>
            <w:pPr>
              <w:pStyle w:val="Compact"/>
              <w:spacing w:after="40"/>
              <w:jc w:val="left"/>
            </w:pPr>
            <w:r>
              <w:rPr>
                <w:rStyle w:val="VerbatimChar"/>
                <w:sz w:val="18"/>
              </w:rPr>
              <w:t xml:space="preserve">AuditFindingRaised</w:t>
            </w:r>
            <w:r>
              <w:rPr>
                <w:sz w:val="18"/>
              </w:rPr>
              <w:t xml:space="preserve"> </w:t>
            </w:r>
            <w:r>
              <w:rPr>
                <w:sz w:val="18"/>
              </w:rPr>
              <w:t xml:space="preserve">(N11)</w:t>
            </w:r>
          </w:p>
        </w:tc>
        <w:tc>
          <w:tcPr>
            <w:tcW w:w="2021" w:type="dxa"/>
          </w:tcPr>
          <w:p>
            <w:pPr>
              <w:pStyle w:val="Compact"/>
              <w:spacing w:after="40"/>
              <w:jc w:val="left"/>
            </w:pPr>
            <w:r>
              <w:rPr>
                <w:sz w:val="18"/>
              </w:rPr>
              <w:t xml:space="preserve">FX, UD → LDC, tenant GRC</w:t>
            </w:r>
          </w:p>
        </w:tc>
        <w:tc>
          <w:tcPr>
            <w:tcW w:w="1199" w:type="dxa"/>
          </w:tcPr>
          <w:p>
            <w:pPr>
              <w:pStyle w:val="Compact"/>
              <w:spacing w:after="40"/>
              <w:jc w:val="left"/>
            </w:pPr>
            <w:r>
              <w:rPr>
                <w:sz w:val="18"/>
              </w:rPr>
              <w:t xml:space="preserve">Finding issued after the auditor’s sign-off</w:t>
            </w:r>
          </w:p>
        </w:tc>
        <w:tc>
          <w:tcPr>
            <w:tcW w:w="2136" w:type="dxa"/>
          </w:tcPr>
          <w:p>
            <w:pPr>
              <w:pStyle w:val="Compact"/>
              <w:spacing w:after="40"/>
              <w:jc w:val="left"/>
            </w:pPr>
            <w:r>
              <w:rPr>
                <w:sz w:val="18"/>
              </w:rPr>
              <w:t xml:space="preserve">finding_id, engagement_id, rating, criteria citation, owner role, due date, masked sample refs</w:t>
            </w:r>
          </w:p>
        </w:tc>
        <w:tc>
          <w:tcPr>
            <w:tcW w:w="1077" w:type="dxa"/>
          </w:tcPr>
          <w:p>
            <w:pPr>
              <w:pStyle w:val="Compact"/>
              <w:spacing w:after="40"/>
              <w:jc w:val="left"/>
            </w:pPr>
            <w:r>
              <w:rPr>
                <w:sz w:val="18"/>
              </w:rPr>
              <w:t xml:space="preserve">Auditor; data in FX or UD</w:t>
            </w:r>
          </w:p>
        </w:tc>
        <w:tc>
          <w:tcPr>
            <w:tcW w:w="840" w:type="dxa"/>
          </w:tcPr>
          <w:p>
            <w:pPr>
              <w:pStyle w:val="Compact"/>
              <w:spacing w:after="40"/>
              <w:jc w:val="left"/>
            </w:pPr>
            <w:r>
              <w:rPr>
                <w:sz w:val="18"/>
              </w:rPr>
              <w:t xml:space="preserve">(finding_id, version)</w:t>
            </w:r>
          </w:p>
        </w:tc>
        <w:tc>
          <w:tcPr>
            <w:tcW w:w="1254" w:type="dxa"/>
          </w:tcPr>
          <w:p>
            <w:pPr>
              <w:pStyle w:val="Compact"/>
              <w:spacing w:after="40"/>
              <w:jc w:val="left"/>
            </w:pPr>
            <w:r>
              <w:rPr>
                <w:sz w:val="18"/>
              </w:rPr>
              <w:t xml:space="preserve">≤ 1 working day</w:t>
            </w:r>
          </w:p>
        </w:tc>
      </w:tr>
      <w:tr>
        <w:tc>
          <w:tcPr>
            <w:tcW w:w="1111" w:type="dxa"/>
          </w:tcPr>
          <w:p>
            <w:pPr>
              <w:pStyle w:val="Compact"/>
              <w:spacing w:after="40"/>
              <w:jc w:val="left"/>
            </w:pPr>
            <w:r>
              <w:rPr>
                <w:rStyle w:val="VerbatimChar"/>
                <w:sz w:val="18"/>
              </w:rPr>
              <w:t xml:space="preserve">AuditFindingClosed</w:t>
            </w:r>
            <w:r>
              <w:rPr>
                <w:sz w:val="18"/>
              </w:rPr>
              <w:t xml:space="preserve"> </w:t>
            </w:r>
            <w:r>
              <w:rPr>
                <w:sz w:val="18"/>
              </w:rPr>
              <w:t xml:space="preserve">(N11)</w:t>
            </w:r>
          </w:p>
        </w:tc>
        <w:tc>
          <w:tcPr>
            <w:tcW w:w="2021" w:type="dxa"/>
          </w:tcPr>
          <w:p>
            <w:pPr>
              <w:pStyle w:val="Compact"/>
              <w:spacing w:after="40"/>
              <w:jc w:val="left"/>
            </w:pPr>
            <w:r>
              <w:rPr>
                <w:sz w:val="18"/>
              </w:rPr>
              <w:t xml:space="preserve">FX, UD → LDC, tenant GRC</w:t>
            </w:r>
          </w:p>
        </w:tc>
        <w:tc>
          <w:tcPr>
            <w:tcW w:w="1199" w:type="dxa"/>
          </w:tcPr>
          <w:p>
            <w:pPr>
              <w:pStyle w:val="Compact"/>
              <w:spacing w:after="40"/>
              <w:jc w:val="left"/>
            </w:pPr>
            <w:r>
              <w:rPr>
                <w:sz w:val="18"/>
              </w:rPr>
              <w:t xml:space="preserve">Closure validated by the auditor (ATR)</w:t>
            </w:r>
          </w:p>
        </w:tc>
        <w:tc>
          <w:tcPr>
            <w:tcW w:w="2136" w:type="dxa"/>
          </w:tcPr>
          <w:p>
            <w:pPr>
              <w:pStyle w:val="Compact"/>
              <w:spacing w:after="40"/>
              <w:jc w:val="left"/>
            </w:pPr>
            <w:r>
              <w:rPr>
                <w:sz w:val="18"/>
              </w:rPr>
              <w:t xml:space="preserve">closure evidence hashes, validator role, closed_at</w:t>
            </w:r>
          </w:p>
        </w:tc>
        <w:tc>
          <w:tcPr>
            <w:tcW w:w="1077" w:type="dxa"/>
          </w:tcPr>
          <w:p>
            <w:pPr>
              <w:pStyle w:val="Compact"/>
              <w:spacing w:after="40"/>
              <w:jc w:val="left"/>
            </w:pPr>
            <w:r>
              <w:rPr>
                <w:sz w:val="18"/>
              </w:rPr>
              <w:t xml:space="preserve">Auditor</w:t>
            </w:r>
          </w:p>
        </w:tc>
        <w:tc>
          <w:tcPr>
            <w:tcW w:w="840" w:type="dxa"/>
          </w:tcPr>
          <w:p>
            <w:pPr>
              <w:pStyle w:val="Compact"/>
              <w:spacing w:after="40"/>
              <w:jc w:val="left"/>
            </w:pPr>
            <w:r>
              <w:rPr>
                <w:sz w:val="18"/>
              </w:rPr>
              <w:t xml:space="preserve">finding_id</w:t>
            </w:r>
          </w:p>
        </w:tc>
        <w:tc>
          <w:tcPr>
            <w:tcW w:w="1254" w:type="dxa"/>
          </w:tcPr>
          <w:p>
            <w:pPr>
              <w:pStyle w:val="Compact"/>
              <w:spacing w:after="40"/>
              <w:jc w:val="left"/>
            </w:pPr>
            <w:r>
              <w:rPr>
                <w:sz w:val="18"/>
              </w:rPr>
              <w:t xml:space="preserve">≤ 1 working day</w:t>
            </w:r>
          </w:p>
        </w:tc>
      </w:tr>
      <w:tr>
        <w:tc>
          <w:tcPr>
            <w:tcW w:w="1111" w:type="dxa"/>
          </w:tcPr>
          <w:p>
            <w:pPr>
              <w:pStyle w:val="Compact"/>
              <w:spacing w:after="40"/>
              <w:jc w:val="left"/>
            </w:pPr>
            <w:r>
              <w:rPr>
                <w:rStyle w:val="VerbatimChar"/>
                <w:sz w:val="18"/>
              </w:rPr>
              <w:t xml:space="preserve">ExternalAccessGranted</w:t>
            </w:r>
            <w:r>
              <w:rPr>
                <w:sz w:val="18"/>
              </w:rPr>
              <w:t xml:space="preserve"> </w:t>
            </w:r>
            <w:r>
              <w:rPr>
                <w:sz w:val="18"/>
              </w:rPr>
              <w:t xml:space="preserve">(N11) signed</w:t>
            </w:r>
          </w:p>
        </w:tc>
        <w:tc>
          <w:tcPr>
            <w:tcW w:w="2021" w:type="dxa"/>
          </w:tcPr>
          <w:p>
            <w:pPr>
              <w:pStyle w:val="Compact"/>
              <w:spacing w:after="40"/>
              <w:jc w:val="left"/>
            </w:pPr>
            <w:r>
              <w:rPr>
                <w:sz w:val="18"/>
              </w:rPr>
              <w:t xml:space="preserve">FX, UD, LDC → RE register (FX AU7 or RE GRC), LDC, RE SIEM; OH (counts). OH14 (</w:t>
            </w:r>
            <w:r>
              <w:rPr>
                <w:rStyle w:val="VerbatimChar"/>
                <w:sz w:val="18"/>
              </w:rPr>
              <w:t xml:space="preserve">oh</w:t>
            </w:r>
            <w:r>
              <w:rPr>
                <w:sz w:val="18"/>
              </w:rPr>
              <w:t xml:space="preserve"> </w:t>
            </w:r>
            <w:r>
              <w:rPr>
                <w:sz w:val="18"/>
              </w:rPr>
              <w:t xml:space="preserve">scope,</w:t>
            </w:r>
            <w:r>
              <w:rPr>
                <w:sz w:val="18"/>
              </w:rPr>
              <w:t xml:space="preserve"> </w:t>
            </w:r>
            <w:r>
              <w:rPr>
                <w:rStyle w:val="VerbatimChar"/>
                <w:sz w:val="18"/>
              </w:rPr>
              <w:t xml:space="preserve">PROVIDER_ASSURANCE</w:t>
            </w:r>
            <w:r>
              <w:rPr>
                <w:sz w:val="18"/>
              </w:rPr>
              <w:t xml:space="preserve"> </w:t>
            </w:r>
            <w:r>
              <w:rPr>
                <w:sz w:val="18"/>
              </w:rPr>
              <w:t xml:space="preserve">grants only) → requesting RE’s register, OH14 evidence</w:t>
            </w:r>
          </w:p>
        </w:tc>
        <w:tc>
          <w:tcPr>
            <w:tcW w:w="1199" w:type="dxa"/>
          </w:tcPr>
          <w:p>
            <w:pPr>
              <w:pStyle w:val="Compact"/>
              <w:spacing w:after="40"/>
              <w:jc w:val="left"/>
            </w:pPr>
            <w:r>
              <w:rPr>
                <w:sz w:val="18"/>
              </w:rPr>
              <w:t xml:space="preserve">Grant PROVISIONED (4.7)</w:t>
            </w:r>
          </w:p>
        </w:tc>
        <w:tc>
          <w:tcPr>
            <w:tcW w:w="2136" w:type="dxa"/>
          </w:tcPr>
          <w:p>
            <w:pPr>
              <w:pStyle w:val="Compact"/>
              <w:spacing w:after="40"/>
              <w:jc w:val="left"/>
            </w:pPr>
            <w:r>
              <w:rPr>
                <w:sz w:val="18"/>
              </w:rPr>
              <w:t xml:space="preserve">grant_id, grantee type, basis code, scope summary, PII, export and query levels, valid_to, pseudonymous user refs</w:t>
            </w:r>
          </w:p>
        </w:tc>
        <w:tc>
          <w:tcPr>
            <w:tcW w:w="1077" w:type="dxa"/>
          </w:tcPr>
          <w:p>
            <w:pPr>
              <w:pStyle w:val="Compact"/>
              <w:spacing w:after="40"/>
              <w:jc w:val="left"/>
            </w:pPr>
            <w:r>
              <w:rPr>
                <w:sz w:val="18"/>
              </w:rPr>
              <w:t xml:space="preserve">Granting RE</w:t>
            </w:r>
          </w:p>
        </w:tc>
        <w:tc>
          <w:tcPr>
            <w:tcW w:w="840" w:type="dxa"/>
          </w:tcPr>
          <w:p>
            <w:pPr>
              <w:pStyle w:val="Compact"/>
              <w:spacing w:after="40"/>
              <w:jc w:val="left"/>
            </w:pPr>
            <w:r>
              <w:rPr>
                <w:sz w:val="18"/>
              </w:rPr>
              <w:t xml:space="preserve">grant_id</w:t>
            </w:r>
          </w:p>
        </w:tc>
        <w:tc>
          <w:tcPr>
            <w:tcW w:w="1254" w:type="dxa"/>
          </w:tcPr>
          <w:p>
            <w:pPr>
              <w:pStyle w:val="Compact"/>
              <w:spacing w:after="40"/>
              <w:jc w:val="left"/>
            </w:pPr>
            <w:r>
              <w:rPr>
                <w:sz w:val="18"/>
              </w:rPr>
              <w:t xml:space="preserve">≤ 15 min</w:t>
            </w:r>
          </w:p>
        </w:tc>
      </w:tr>
      <w:tr>
        <w:tc>
          <w:tcPr>
            <w:tcW w:w="1111" w:type="dxa"/>
          </w:tcPr>
          <w:p>
            <w:pPr>
              <w:pStyle w:val="Compact"/>
              <w:spacing w:after="40"/>
              <w:jc w:val="left"/>
            </w:pPr>
            <w:r>
              <w:rPr>
                <w:rStyle w:val="VerbatimChar"/>
                <w:sz w:val="18"/>
              </w:rPr>
              <w:t xml:space="preserve">ExternalAccessUsed</w:t>
            </w:r>
            <w:r>
              <w:rPr>
                <w:sz w:val="18"/>
              </w:rPr>
              <w:t xml:space="preserve"> </w:t>
            </w:r>
            <w:r>
              <w:rPr>
                <w:sz w:val="18"/>
              </w:rPr>
              <w:t xml:space="preserve">(N11)</w:t>
            </w:r>
          </w:p>
        </w:tc>
        <w:tc>
          <w:tcPr>
            <w:tcW w:w="2021" w:type="dxa"/>
          </w:tcPr>
          <w:p>
            <w:pPr>
              <w:pStyle w:val="Compact"/>
              <w:spacing w:after="40"/>
              <w:jc w:val="left"/>
            </w:pPr>
            <w:r>
              <w:rPr>
                <w:sz w:val="18"/>
              </w:rPr>
              <w:t xml:space="preserve">FX, UD, LDC, OH14 → same</w:t>
            </w:r>
          </w:p>
        </w:tc>
        <w:tc>
          <w:tcPr>
            <w:tcW w:w="1199" w:type="dxa"/>
          </w:tcPr>
          <w:p>
            <w:pPr>
              <w:pStyle w:val="Compact"/>
              <w:spacing w:after="40"/>
              <w:jc w:val="left"/>
            </w:pPr>
            <w:r>
              <w:rPr>
                <w:sz w:val="18"/>
              </w:rPr>
              <w:t xml:space="preserve">Daily aggregate per grant (per session as well in Udofin)</w:t>
            </w:r>
          </w:p>
        </w:tc>
        <w:tc>
          <w:tcPr>
            <w:tcW w:w="2136" w:type="dxa"/>
          </w:tcPr>
          <w:p>
            <w:pPr>
              <w:pStyle w:val="Compact"/>
              <w:spacing w:after="40"/>
              <w:jc w:val="left"/>
            </w:pPr>
            <w:r>
              <w:rPr>
                <w:sz w:val="18"/>
              </w:rPr>
              <w:t xml:space="preserve">views, queries, rows viewed, exports (count, bytes, hashes), unmask events, alerts</w:t>
            </w:r>
          </w:p>
        </w:tc>
        <w:tc>
          <w:tcPr>
            <w:tcW w:w="1077" w:type="dxa"/>
          </w:tcPr>
          <w:p>
            <w:pPr>
              <w:pStyle w:val="Compact"/>
              <w:spacing w:after="40"/>
              <w:jc w:val="left"/>
            </w:pPr>
            <w:r>
              <w:rPr>
                <w:sz w:val="18"/>
              </w:rPr>
              <w:t xml:space="preserve">Product</w:t>
            </w:r>
          </w:p>
        </w:tc>
        <w:tc>
          <w:tcPr>
            <w:tcW w:w="840" w:type="dxa"/>
          </w:tcPr>
          <w:p>
            <w:pPr>
              <w:pStyle w:val="Compact"/>
              <w:spacing w:after="40"/>
              <w:jc w:val="left"/>
            </w:pPr>
            <w:r>
              <w:rPr>
                <w:sz w:val="18"/>
              </w:rPr>
              <w:t xml:space="preserve">(grant_id, date, session_id)</w:t>
            </w:r>
          </w:p>
        </w:tc>
        <w:tc>
          <w:tcPr>
            <w:tcW w:w="1254" w:type="dxa"/>
          </w:tcPr>
          <w:p>
            <w:pPr>
              <w:pStyle w:val="Compact"/>
              <w:spacing w:after="40"/>
              <w:jc w:val="left"/>
            </w:pPr>
            <w:r>
              <w:rPr>
                <w:sz w:val="18"/>
              </w:rPr>
              <w:t xml:space="preserve">By 09:00 IST next day</w:t>
            </w:r>
          </w:p>
        </w:tc>
      </w:tr>
      <w:tr>
        <w:tc>
          <w:tcPr>
            <w:tcW w:w="1111" w:type="dxa"/>
          </w:tcPr>
          <w:p>
            <w:pPr>
              <w:pStyle w:val="Compact"/>
              <w:spacing w:after="40"/>
              <w:jc w:val="left"/>
            </w:pPr>
            <w:r>
              <w:rPr>
                <w:rStyle w:val="VerbatimChar"/>
                <w:sz w:val="18"/>
              </w:rPr>
              <w:t xml:space="preserve">ExternalAccessRevoked</w:t>
            </w:r>
            <w:r>
              <w:rPr>
                <w:sz w:val="18"/>
              </w:rPr>
              <w:t xml:space="preserve"> </w:t>
            </w:r>
            <w:r>
              <w:rPr>
                <w:sz w:val="18"/>
              </w:rPr>
              <w:t xml:space="preserve">(N11) signed</w:t>
            </w:r>
          </w:p>
        </w:tc>
        <w:tc>
          <w:tcPr>
            <w:tcW w:w="2021" w:type="dxa"/>
          </w:tcPr>
          <w:p>
            <w:pPr>
              <w:pStyle w:val="Compact"/>
              <w:spacing w:after="40"/>
              <w:jc w:val="left"/>
            </w:pPr>
            <w:r>
              <w:rPr>
                <w:sz w:val="18"/>
              </w:rPr>
              <w:t xml:space="preserve">FX, UD, LDC, OH14 → same</w:t>
            </w:r>
          </w:p>
        </w:tc>
        <w:tc>
          <w:tcPr>
            <w:tcW w:w="1199" w:type="dxa"/>
          </w:tcPr>
          <w:p>
            <w:pPr>
              <w:pStyle w:val="Compact"/>
              <w:spacing w:after="40"/>
              <w:jc w:val="left"/>
            </w:pPr>
            <w:r>
              <w:rPr>
                <w:sz w:val="18"/>
              </w:rPr>
              <w:t xml:space="preserve">Expiry, RE revocation or security event</w:t>
            </w:r>
          </w:p>
        </w:tc>
        <w:tc>
          <w:tcPr>
            <w:tcW w:w="2136" w:type="dxa"/>
          </w:tcPr>
          <w:p>
            <w:pPr>
              <w:pStyle w:val="Compact"/>
              <w:spacing w:after="40"/>
              <w:jc w:val="left"/>
            </w:pPr>
            <w:r>
              <w:rPr>
                <w:sz w:val="18"/>
              </w:rPr>
              <w:t xml:space="preserve">reason (EXPIRY, RE_REVOCATION, SECURITY_EVENT), sessions_terminated_at</w:t>
            </w:r>
          </w:p>
        </w:tc>
        <w:tc>
          <w:tcPr>
            <w:tcW w:w="1077" w:type="dxa"/>
          </w:tcPr>
          <w:p>
            <w:pPr>
              <w:pStyle w:val="Compact"/>
              <w:spacing w:after="40"/>
              <w:jc w:val="left"/>
            </w:pPr>
            <w:r>
              <w:rPr>
                <w:sz w:val="18"/>
              </w:rPr>
              <w:t xml:space="preserve">Granting RE (OH entity for provider assurance)</w:t>
            </w:r>
          </w:p>
        </w:tc>
        <w:tc>
          <w:tcPr>
            <w:tcW w:w="840" w:type="dxa"/>
          </w:tcPr>
          <w:p>
            <w:pPr>
              <w:pStyle w:val="Compact"/>
              <w:spacing w:after="40"/>
              <w:jc w:val="left"/>
            </w:pPr>
            <w:r>
              <w:rPr>
                <w:sz w:val="18"/>
              </w:rPr>
              <w:t xml:space="preserve">grant_id</w:t>
            </w:r>
          </w:p>
        </w:tc>
        <w:tc>
          <w:tcPr>
            <w:tcW w:w="1254" w:type="dxa"/>
          </w:tcPr>
          <w:p>
            <w:pPr>
              <w:pStyle w:val="Compact"/>
              <w:spacing w:after="40"/>
              <w:jc w:val="left"/>
            </w:pPr>
            <w:r>
              <w:rPr>
                <w:sz w:val="18"/>
              </w:rPr>
              <w:t xml:space="preserve">Sessions end ≤ 60 s; event ≤ 15 min</w:t>
            </w:r>
          </w:p>
        </w:tc>
      </w:tr>
      <w:tr>
        <w:tc>
          <w:tcPr>
            <w:tcW w:w="1111" w:type="dxa"/>
          </w:tcPr>
          <w:p>
            <w:pPr>
              <w:pStyle w:val="Compact"/>
              <w:spacing w:after="40"/>
              <w:jc w:val="left"/>
            </w:pPr>
            <w:r>
              <w:rPr>
                <w:sz w:val="18"/>
              </w:rPr>
              <w:t xml:space="preserve">API</w:t>
            </w:r>
            <w:r>
              <w:rPr>
                <w:sz w:val="18"/>
              </w:rPr>
              <w:t xml:space="preserve"> </w:t>
            </w:r>
            <w:r>
              <w:rPr>
                <w:rStyle w:val="VerbatimChar"/>
                <w:sz w:val="18"/>
              </w:rPr>
              <w:t xml:space="preserve">POST /v1/external-access/grants</w:t>
            </w:r>
            <w:r>
              <w:rPr>
                <w:sz w:val="18"/>
              </w:rPr>
              <w:t xml:space="preserve"> </w:t>
            </w:r>
            <w:r>
              <w:rPr>
                <w:sz w:val="18"/>
              </w:rPr>
              <w:t xml:space="preserve">(N11+)</w:t>
            </w:r>
          </w:p>
        </w:tc>
        <w:tc>
          <w:tcPr>
            <w:tcW w:w="2021" w:type="dxa"/>
          </w:tcPr>
          <w:p>
            <w:pPr>
              <w:pStyle w:val="Compact"/>
              <w:spacing w:after="40"/>
              <w:jc w:val="left"/>
            </w:pPr>
            <w:r>
              <w:rPr>
                <w:sz w:val="18"/>
              </w:rPr>
              <w:t xml:space="preserve">RE system (FX AU7) or UD lender portal on RE approval → UD, LDC, other FX tenant of the same RE</w:t>
            </w:r>
          </w:p>
        </w:tc>
        <w:tc>
          <w:tcPr>
            <w:tcW w:w="1199" w:type="dxa"/>
          </w:tcPr>
          <w:p>
            <w:pPr>
              <w:pStyle w:val="Compact"/>
              <w:spacing w:after="40"/>
              <w:jc w:val="left"/>
            </w:pPr>
            <w:r>
              <w:rPr>
                <w:sz w:val="18"/>
              </w:rPr>
              <w:t xml:space="preserve">Federated grant</w:t>
            </w:r>
          </w:p>
        </w:tc>
        <w:tc>
          <w:tcPr>
            <w:tcW w:w="2136" w:type="dxa"/>
          </w:tcPr>
          <w:p>
            <w:pPr>
              <w:pStyle w:val="Compact"/>
              <w:spacing w:after="40"/>
              <w:jc w:val="left"/>
            </w:pPr>
            <w:r>
              <w:rPr>
                <w:sz w:val="18"/>
              </w:rPr>
              <w:t xml:space="preserve">grant record (4.7) with RE approval refs</w:t>
            </w:r>
          </w:p>
        </w:tc>
        <w:tc>
          <w:tcPr>
            <w:tcW w:w="1077" w:type="dxa"/>
          </w:tcPr>
          <w:p>
            <w:pPr>
              <w:pStyle w:val="Compact"/>
              <w:spacing w:after="40"/>
              <w:jc w:val="left"/>
            </w:pPr>
            <w:r>
              <w:rPr>
                <w:sz w:val="18"/>
              </w:rPr>
              <w:t xml:space="preserve">RE</w:t>
            </w:r>
          </w:p>
        </w:tc>
        <w:tc>
          <w:tcPr>
            <w:tcW w:w="840" w:type="dxa"/>
          </w:tcPr>
          <w:p>
            <w:pPr>
              <w:pStyle w:val="Compact"/>
              <w:spacing w:after="40"/>
              <w:jc w:val="left"/>
            </w:pPr>
            <w:r>
              <w:rPr>
                <w:sz w:val="18"/>
              </w:rPr>
              <w:t xml:space="preserve">Idempotency-Key</w:t>
            </w:r>
          </w:p>
        </w:tc>
        <w:tc>
          <w:tcPr>
            <w:tcW w:w="1254" w:type="dxa"/>
          </w:tcPr>
          <w:p>
            <w:pPr>
              <w:pStyle w:val="Compact"/>
              <w:spacing w:after="40"/>
              <w:jc w:val="left"/>
            </w:pPr>
            <w:r>
              <w:rPr>
                <w:sz w:val="18"/>
              </w:rPr>
              <w:t xml:space="preserve">Provisioned ≤ 1 working day [REC]; RBI requests same day [REC]</w:t>
            </w:r>
          </w:p>
        </w:tc>
      </w:tr>
      <w:tr>
        <w:tc>
          <w:tcPr>
            <w:tcW w:w="1111" w:type="dxa"/>
          </w:tcPr>
          <w:p>
            <w:pPr>
              <w:pStyle w:val="Compact"/>
              <w:spacing w:after="40"/>
              <w:jc w:val="left"/>
            </w:pPr>
            <w:r>
              <w:rPr>
                <w:sz w:val="18"/>
              </w:rPr>
              <w:t xml:space="preserve">API</w:t>
            </w:r>
            <w:r>
              <w:rPr>
                <w:sz w:val="18"/>
              </w:rPr>
              <w:t xml:space="preserve"> </w:t>
            </w:r>
            <w:r>
              <w:rPr>
                <w:rStyle w:val="VerbatimChar"/>
                <w:sz w:val="18"/>
              </w:rPr>
              <w:t xml:space="preserve">DELETE /v1/external-access/grants/{id}</w:t>
            </w:r>
            <w:r>
              <w:rPr>
                <w:sz w:val="18"/>
              </w:rPr>
              <w:t xml:space="preserve"> </w:t>
            </w:r>
            <w:r>
              <w:rPr>
                <w:sz w:val="18"/>
              </w:rPr>
              <w:t xml:space="preserve">(N11+)</w:t>
            </w:r>
          </w:p>
        </w:tc>
        <w:tc>
          <w:tcPr>
            <w:tcW w:w="2021" w:type="dxa"/>
          </w:tcPr>
          <w:p>
            <w:pPr>
              <w:pStyle w:val="Compact"/>
              <w:spacing w:after="40"/>
              <w:jc w:val="left"/>
            </w:pPr>
            <w:r>
              <w:rPr>
                <w:sz w:val="18"/>
              </w:rPr>
              <w:t xml:space="preserve">Granting RE → each provisioned product</w:t>
            </w:r>
          </w:p>
        </w:tc>
        <w:tc>
          <w:tcPr>
            <w:tcW w:w="1199" w:type="dxa"/>
          </w:tcPr>
          <w:p>
            <w:pPr>
              <w:pStyle w:val="Compact"/>
              <w:spacing w:after="40"/>
              <w:jc w:val="left"/>
            </w:pPr>
            <w:r>
              <w:rPr>
                <w:sz w:val="18"/>
              </w:rPr>
              <w:t xml:space="preserve">Revocation</w:t>
            </w:r>
          </w:p>
        </w:tc>
        <w:tc>
          <w:tcPr>
            <w:tcW w:w="2136" w:type="dxa"/>
          </w:tcPr>
          <w:p>
            <w:pPr>
              <w:pStyle w:val="Compact"/>
              <w:spacing w:after="40"/>
              <w:jc w:val="left"/>
            </w:pPr>
            <w:r>
              <w:rPr>
                <w:sz w:val="18"/>
              </w:rPr>
              <w:t xml:space="preserve">reason</w:t>
            </w:r>
          </w:p>
        </w:tc>
        <w:tc>
          <w:tcPr>
            <w:tcW w:w="1077" w:type="dxa"/>
          </w:tcPr>
          <w:p>
            <w:pPr>
              <w:pStyle w:val="Compact"/>
              <w:spacing w:after="40"/>
              <w:jc w:val="left"/>
            </w:pPr>
            <w:r>
              <w:rPr>
                <w:sz w:val="18"/>
              </w:rPr>
              <w:t xml:space="preserve">RE</w:t>
            </w:r>
          </w:p>
        </w:tc>
        <w:tc>
          <w:tcPr>
            <w:tcW w:w="840" w:type="dxa"/>
          </w:tcPr>
          <w:p>
            <w:pPr>
              <w:pStyle w:val="Compact"/>
              <w:spacing w:after="40"/>
              <w:jc w:val="left"/>
            </w:pPr>
            <w:r>
              <w:rPr>
                <w:sz w:val="18"/>
              </w:rPr>
              <w:t xml:space="preserve">Idempotency-Key</w:t>
            </w:r>
          </w:p>
        </w:tc>
        <w:tc>
          <w:tcPr>
            <w:tcW w:w="1254" w:type="dxa"/>
          </w:tcPr>
          <w:p>
            <w:pPr>
              <w:pStyle w:val="Compact"/>
              <w:spacing w:after="40"/>
              <w:jc w:val="left"/>
            </w:pPr>
            <w:r>
              <w:rPr>
                <w:sz w:val="18"/>
              </w:rPr>
              <w:t xml:space="preserve">Sessions end ≤ 60 s</w:t>
            </w:r>
          </w:p>
        </w:tc>
      </w:tr>
    </w:tbl>
    <w:bookmarkEnd w:id="68"/>
    <w:bookmarkStart w:id="69" w:name="risk-and-capital-risk"/>
    <w:p>
      <w:pPr>
        <w:pStyle w:val="Heading2"/>
      </w:pPr>
      <w:r>
        <w:t xml:space="preserve">6.22 Risk and capital (</w:t>
      </w:r>
      <w:r>
        <w:rPr>
          <w:rStyle w:val="VerbatimChar"/>
        </w:rPr>
        <w:t xml:space="preserve">risk</w:t>
      </w:r>
      <w:r>
        <w:t xml:space="preserve">)</w:t>
      </w:r>
    </w:p>
    <w:p>
      <w:pPr>
        <w:pStyle w:val="FirstParagraph"/>
      </w:pPr>
      <w:r>
        <w:t xml:space="preserve">Finbyx Part 7E (RK2.4 LawDocsComply risk feed, RK3, RK4, RK5, RK7); Udofin Part 7H RA1 (LSP metrics only; Udofin never computes or shows RE prudential ratios).</w:t>
      </w:r>
      <w:r>
        <w:t xml:space="preserve"> </w:t>
      </w:r>
      <w:r>
        <w:rPr>
          <w:bCs/>
          <w:b/>
        </w:rPr>
        <w:t xml:space="preserve">Finbyx computes facts and metrics; LawDocsComply runs register, RCSA and appetite logic</w:t>
      </w:r>
      <w:r>
        <w:t xml:space="preserve"> </w:t>
      </w:r>
      <w:r>
        <w:t xml:space="preserve">when the tenant’s compliance mode is LDC_EXTERNAL or LDC_GROUP (9.1; Finbyx RK2.1). Only aggregates and pseudonymised references leave the producing product.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06"/>
        <w:gridCol w:w="1441"/>
        <w:gridCol w:w="1364"/>
        <w:gridCol w:w="2654"/>
        <w:gridCol w:w="757"/>
        <w:gridCol w:w="878"/>
        <w:gridCol w:w="1138"/>
      </w:tblGrid>
      <w:tr>
        <w:trPr>
          <w:tblHeader w:val="true"/>
          <w:tblHeader w:val="true"/>
        </w:trPr>
        <w:tc>
          <w:tcPr>
            <w:tcW w:w="1406" w:type="dxa"/>
            <w:shd w:val="clear" w:color="auto" w:fill="1F3A5F"/>
          </w:tcPr>
          <w:p>
            <w:pPr>
              <w:pStyle w:val="Compact"/>
              <w:spacing w:after="40"/>
              <w:jc w:val="left"/>
            </w:pPr>
            <w:r>
              <w:rPr>
                <w:b/>
                <w:color w:val="FFFFFF"/>
                <w:sz w:val="18"/>
              </w:rPr>
              <w:t xml:space="preserve">Event or API</w:t>
            </w:r>
          </w:p>
        </w:tc>
        <w:tc>
          <w:tcPr>
            <w:tcW w:w="1441" w:type="dxa"/>
            <w:shd w:val="clear" w:color="auto" w:fill="1F3A5F"/>
          </w:tcPr>
          <w:p>
            <w:pPr>
              <w:pStyle w:val="Compact"/>
              <w:spacing w:after="40"/>
              <w:jc w:val="left"/>
            </w:pPr>
            <w:r>
              <w:rPr>
                <w:b/>
                <w:color w:val="FFFFFF"/>
                <w:sz w:val="18"/>
              </w:rPr>
              <w:t xml:space="preserve">Producer → consumer(s)</w:t>
            </w:r>
          </w:p>
        </w:tc>
        <w:tc>
          <w:tcPr>
            <w:tcW w:w="1364" w:type="dxa"/>
            <w:shd w:val="clear" w:color="auto" w:fill="1F3A5F"/>
          </w:tcPr>
          <w:p>
            <w:pPr>
              <w:pStyle w:val="Compact"/>
              <w:spacing w:after="40"/>
              <w:jc w:val="left"/>
            </w:pPr>
            <w:r>
              <w:rPr>
                <w:b/>
                <w:color w:val="FFFFFF"/>
                <w:sz w:val="18"/>
              </w:rPr>
              <w:t xml:space="preserve">Trigger</w:t>
            </w:r>
          </w:p>
        </w:tc>
        <w:tc>
          <w:tcPr>
            <w:tcW w:w="2654" w:type="dxa"/>
            <w:shd w:val="clear" w:color="auto" w:fill="1F3A5F"/>
          </w:tcPr>
          <w:p>
            <w:pPr>
              <w:pStyle w:val="Compact"/>
              <w:spacing w:after="40"/>
              <w:jc w:val="left"/>
            </w:pPr>
            <w:r>
              <w:rPr>
                <w:b/>
                <w:color w:val="FFFFFF"/>
                <w:sz w:val="18"/>
              </w:rPr>
              <w:t xml:space="preserve">Key payload fields</w:t>
            </w:r>
          </w:p>
        </w:tc>
        <w:tc>
          <w:tcPr>
            <w:tcW w:w="757" w:type="dxa"/>
            <w:shd w:val="clear" w:color="auto" w:fill="1F3A5F"/>
          </w:tcPr>
          <w:p>
            <w:pPr>
              <w:pStyle w:val="Compact"/>
              <w:spacing w:after="40"/>
              <w:jc w:val="left"/>
            </w:pPr>
            <w:r>
              <w:rPr>
                <w:b/>
                <w:color w:val="FFFFFF"/>
                <w:sz w:val="18"/>
              </w:rPr>
              <w:t xml:space="preserve">Owner</w:t>
            </w:r>
          </w:p>
        </w:tc>
        <w:tc>
          <w:tcPr>
            <w:tcW w:w="878" w:type="dxa"/>
            <w:shd w:val="clear" w:color="auto" w:fill="1F3A5F"/>
          </w:tcPr>
          <w:p>
            <w:pPr>
              <w:pStyle w:val="Compact"/>
              <w:spacing w:after="40"/>
              <w:jc w:val="left"/>
            </w:pPr>
            <w:r>
              <w:rPr>
                <w:b/>
                <w:color w:val="FFFFFF"/>
                <w:sz w:val="18"/>
              </w:rPr>
              <w:t xml:space="preserve">Idempotency key</w:t>
            </w:r>
          </w:p>
        </w:tc>
        <w:tc>
          <w:tcPr>
            <w:tcW w:w="1138" w:type="dxa"/>
            <w:shd w:val="clear" w:color="auto" w:fill="1F3A5F"/>
          </w:tcPr>
          <w:p>
            <w:pPr>
              <w:pStyle w:val="Compact"/>
              <w:spacing w:after="40"/>
              <w:jc w:val="left"/>
            </w:pPr>
            <w:r>
              <w:rPr>
                <w:b/>
                <w:color w:val="FFFFFF"/>
                <w:sz w:val="18"/>
              </w:rPr>
              <w:t xml:space="preserve">SLA</w:t>
            </w:r>
          </w:p>
        </w:tc>
      </w:tr>
      <w:tr>
        <w:tc>
          <w:tcPr>
            <w:tcW w:w="1406" w:type="dxa"/>
          </w:tcPr>
          <w:p>
            <w:pPr>
              <w:pStyle w:val="Compact"/>
              <w:spacing w:after="40"/>
              <w:jc w:val="left"/>
            </w:pPr>
            <w:r>
              <w:rPr>
                <w:rStyle w:val="VerbatimChar"/>
                <w:sz w:val="18"/>
              </w:rPr>
              <w:t xml:space="preserve">KriBreached</w:t>
            </w:r>
            <w:r>
              <w:rPr>
                <w:sz w:val="18"/>
              </w:rPr>
              <w:t xml:space="preserve"> </w:t>
            </w:r>
            <w:r>
              <w:rPr>
                <w:sz w:val="18"/>
              </w:rPr>
              <w:t xml:space="preserve">(N11)</w:t>
            </w:r>
          </w:p>
        </w:tc>
        <w:tc>
          <w:tcPr>
            <w:tcW w:w="1441" w:type="dxa"/>
          </w:tcPr>
          <w:p>
            <w:pPr>
              <w:pStyle w:val="Compact"/>
              <w:spacing w:after="40"/>
              <w:jc w:val="left"/>
            </w:pPr>
            <w:r>
              <w:rPr>
                <w:sz w:val="18"/>
              </w:rPr>
              <w:t xml:space="preserve">FX, UD → LDC, RE GRC (Udofin: RE-scoped KRIs only)</w:t>
            </w:r>
          </w:p>
        </w:tc>
        <w:tc>
          <w:tcPr>
            <w:tcW w:w="1364" w:type="dxa"/>
          </w:tcPr>
          <w:p>
            <w:pPr>
              <w:pStyle w:val="Compact"/>
              <w:spacing w:after="40"/>
              <w:jc w:val="left"/>
            </w:pPr>
            <w:r>
              <w:rPr>
                <w:sz w:val="18"/>
              </w:rPr>
              <w:t xml:space="preserve">KRI observation turns red; cure updates the episode</w:t>
            </w:r>
          </w:p>
        </w:tc>
        <w:tc>
          <w:tcPr>
            <w:tcW w:w="2654" w:type="dxa"/>
          </w:tcPr>
          <w:p>
            <w:pPr>
              <w:pStyle w:val="Compact"/>
              <w:spacing w:after="40"/>
              <w:jc w:val="left"/>
            </w:pPr>
            <w:r>
              <w:rPr>
                <w:sz w:val="18"/>
              </w:rPr>
              <w:t xml:space="preserve">kri_id, metric id and version, value, threshold version, RAG, episode_id, status (OPEN or CURED)</w:t>
            </w:r>
          </w:p>
        </w:tc>
        <w:tc>
          <w:tcPr>
            <w:tcW w:w="757" w:type="dxa"/>
          </w:tcPr>
          <w:p>
            <w:pPr>
              <w:pStyle w:val="Compact"/>
              <w:spacing w:after="40"/>
              <w:jc w:val="left"/>
            </w:pPr>
            <w:r>
              <w:rPr>
                <w:sz w:val="18"/>
              </w:rPr>
              <w:t xml:space="preserve">Producer</w:t>
            </w:r>
          </w:p>
        </w:tc>
        <w:tc>
          <w:tcPr>
            <w:tcW w:w="878" w:type="dxa"/>
          </w:tcPr>
          <w:p>
            <w:pPr>
              <w:pStyle w:val="Compact"/>
              <w:spacing w:after="40"/>
              <w:jc w:val="left"/>
            </w:pPr>
            <w:r>
              <w:rPr>
                <w:sz w:val="18"/>
              </w:rPr>
              <w:t xml:space="preserve">(kri_id, episode_id, update_seq)</w:t>
            </w:r>
          </w:p>
        </w:tc>
        <w:tc>
          <w:tcPr>
            <w:tcW w:w="1138" w:type="dxa"/>
          </w:tcPr>
          <w:p>
            <w:pPr>
              <w:pStyle w:val="Compact"/>
              <w:spacing w:after="40"/>
              <w:jc w:val="left"/>
            </w:pPr>
            <w:r>
              <w:rPr>
                <w:sz w:val="18"/>
              </w:rPr>
              <w:t xml:space="preserve">≤ 15 min (Udofin KFS-acknowledgement KRI ≤ 5 min)</w:t>
            </w:r>
          </w:p>
        </w:tc>
      </w:tr>
      <w:tr>
        <w:tc>
          <w:tcPr>
            <w:tcW w:w="1406" w:type="dxa"/>
          </w:tcPr>
          <w:p>
            <w:pPr>
              <w:pStyle w:val="Compact"/>
              <w:spacing w:after="40"/>
              <w:jc w:val="left"/>
            </w:pPr>
            <w:r>
              <w:rPr>
                <w:rStyle w:val="VerbatimChar"/>
                <w:sz w:val="18"/>
              </w:rPr>
              <w:t xml:space="preserve">LossEventRecorded</w:t>
            </w:r>
            <w:r>
              <w:rPr>
                <w:sz w:val="18"/>
              </w:rPr>
              <w:t xml:space="preserve"> </w:t>
            </w:r>
            <w:r>
              <w:rPr>
                <w:sz w:val="18"/>
              </w:rPr>
              <w:t xml:space="preserve">(N11)</w:t>
            </w:r>
          </w:p>
        </w:tc>
        <w:tc>
          <w:tcPr>
            <w:tcW w:w="1441" w:type="dxa"/>
          </w:tcPr>
          <w:p>
            <w:pPr>
              <w:pStyle w:val="Compact"/>
              <w:spacing w:after="40"/>
              <w:jc w:val="left"/>
            </w:pPr>
            <w:r>
              <w:rPr>
                <w:sz w:val="18"/>
              </w:rPr>
              <w:t xml:space="preserve">FX, UD → LDC</w:t>
            </w:r>
          </w:p>
        </w:tc>
        <w:tc>
          <w:tcPr>
            <w:tcW w:w="1364" w:type="dxa"/>
          </w:tcPr>
          <w:p>
            <w:pPr>
              <w:pStyle w:val="Compact"/>
              <w:spacing w:after="40"/>
              <w:jc w:val="left"/>
            </w:pPr>
            <w:r>
              <w:rPr>
                <w:sz w:val="18"/>
              </w:rPr>
              <w:t xml:space="preserve">Loss, near-miss or gain event approved</w:t>
            </w:r>
          </w:p>
        </w:tc>
        <w:tc>
          <w:tcPr>
            <w:tcW w:w="2654" w:type="dxa"/>
          </w:tcPr>
          <w:p>
            <w:pPr>
              <w:pStyle w:val="Compact"/>
              <w:spacing w:after="40"/>
              <w:jc w:val="left"/>
            </w:pPr>
            <w:r>
              <w:rPr>
                <w:sz w:val="18"/>
              </w:rPr>
              <w:t xml:space="preserve">taxonomy (Basel event type and levels 2–3), occurrence, discovery and accounting dates (ORM para 42), gross, recoveries, net (banded for individual borrowers), root cause, controls failed</w:t>
            </w:r>
          </w:p>
        </w:tc>
        <w:tc>
          <w:tcPr>
            <w:tcW w:w="757" w:type="dxa"/>
          </w:tcPr>
          <w:p>
            <w:pPr>
              <w:pStyle w:val="Compact"/>
              <w:spacing w:after="40"/>
              <w:jc w:val="left"/>
            </w:pPr>
            <w:r>
              <w:rPr>
                <w:sz w:val="18"/>
              </w:rPr>
              <w:t xml:space="preserve">Producer</w:t>
            </w:r>
          </w:p>
        </w:tc>
        <w:tc>
          <w:tcPr>
            <w:tcW w:w="878" w:type="dxa"/>
          </w:tcPr>
          <w:p>
            <w:pPr>
              <w:pStyle w:val="Compact"/>
              <w:spacing w:after="40"/>
              <w:jc w:val="left"/>
            </w:pPr>
            <w:r>
              <w:rPr>
                <w:sz w:val="18"/>
              </w:rPr>
              <w:t xml:space="preserve">(loss_event_id, version)</w:t>
            </w:r>
          </w:p>
        </w:tc>
        <w:tc>
          <w:tcPr>
            <w:tcW w:w="1138" w:type="dxa"/>
          </w:tcPr>
          <w:p>
            <w:pPr>
              <w:pStyle w:val="Compact"/>
              <w:spacing w:after="40"/>
              <w:jc w:val="left"/>
            </w:pPr>
            <w:r>
              <w:rPr>
                <w:sz w:val="18"/>
              </w:rPr>
              <w:t xml:space="preserve">≤ 1 working day of approval</w:t>
            </w:r>
          </w:p>
        </w:tc>
      </w:tr>
      <w:tr>
        <w:tc>
          <w:tcPr>
            <w:tcW w:w="1406" w:type="dxa"/>
          </w:tcPr>
          <w:p>
            <w:pPr>
              <w:pStyle w:val="Compact"/>
              <w:spacing w:after="40"/>
              <w:jc w:val="left"/>
            </w:pPr>
            <w:r>
              <w:rPr>
                <w:rStyle w:val="VerbatimChar"/>
                <w:sz w:val="18"/>
              </w:rPr>
              <w:t xml:space="preserve">CapitalRatioComputed</w:t>
            </w:r>
            <w:r>
              <w:rPr>
                <w:sz w:val="18"/>
              </w:rPr>
              <w:t xml:space="preserve"> </w:t>
            </w:r>
            <w:r>
              <w:rPr>
                <w:sz w:val="18"/>
              </w:rPr>
              <w:t xml:space="preserve">(N11) signed</w:t>
            </w:r>
          </w:p>
        </w:tc>
        <w:tc>
          <w:tcPr>
            <w:tcW w:w="1441" w:type="dxa"/>
          </w:tcPr>
          <w:p>
            <w:pPr>
              <w:pStyle w:val="Compact"/>
              <w:spacing w:after="40"/>
              <w:jc w:val="left"/>
            </w:pPr>
            <w:r>
              <w:rPr>
                <w:sz w:val="18"/>
              </w:rPr>
              <w:t xml:space="preserve">FX → LDC</w:t>
            </w:r>
          </w:p>
        </w:tc>
        <w:tc>
          <w:tcPr>
            <w:tcW w:w="1364" w:type="dxa"/>
          </w:tcPr>
          <w:p>
            <w:pPr>
              <w:pStyle w:val="Compact"/>
              <w:spacing w:after="40"/>
              <w:jc w:val="left"/>
            </w:pPr>
            <w:r>
              <w:rPr>
                <w:sz w:val="18"/>
              </w:rPr>
              <w:t xml:space="preserve">Shadow, monthly or quarterly capital run</w:t>
            </w:r>
          </w:p>
        </w:tc>
        <w:tc>
          <w:tcPr>
            <w:tcW w:w="2654" w:type="dxa"/>
          </w:tcPr>
          <w:p>
            <w:pPr>
              <w:pStyle w:val="Compact"/>
              <w:spacing w:after="40"/>
              <w:jc w:val="left"/>
            </w:pPr>
            <w:r>
              <w:rPr>
                <w:sz w:val="18"/>
              </w:rPr>
              <w:t xml:space="preserve">legal_entity, run type, as_of, owned fund, CET1, Tier 1, Tier 2, RWA by class, CRAR, leverage (BL only), headroom, PCA proximity (bps), rule-pack version</w:t>
            </w:r>
          </w:p>
        </w:tc>
        <w:tc>
          <w:tcPr>
            <w:tcW w:w="757" w:type="dxa"/>
          </w:tcPr>
          <w:p>
            <w:pPr>
              <w:pStyle w:val="Compact"/>
              <w:spacing w:after="40"/>
              <w:jc w:val="left"/>
            </w:pPr>
            <w:r>
              <w:rPr>
                <w:sz w:val="18"/>
              </w:rPr>
              <w:t xml:space="preserve">FX</w:t>
            </w:r>
          </w:p>
        </w:tc>
        <w:tc>
          <w:tcPr>
            <w:tcW w:w="878" w:type="dxa"/>
          </w:tcPr>
          <w:p>
            <w:pPr>
              <w:pStyle w:val="Compact"/>
              <w:spacing w:after="40"/>
              <w:jc w:val="left"/>
            </w:pPr>
            <w:r>
              <w:rPr>
                <w:sz w:val="18"/>
              </w:rPr>
              <w:t xml:space="preserve">(legal_entity, as_of, run_type, run_no)</w:t>
            </w:r>
          </w:p>
        </w:tc>
        <w:tc>
          <w:tcPr>
            <w:tcW w:w="1138" w:type="dxa"/>
          </w:tcPr>
          <w:p>
            <w:pPr>
              <w:pStyle w:val="Compact"/>
              <w:spacing w:after="40"/>
              <w:jc w:val="left"/>
            </w:pPr>
            <w:r>
              <w:rPr>
                <w:sz w:val="18"/>
              </w:rPr>
              <w:t xml:space="preserve">std</w:t>
            </w:r>
          </w:p>
        </w:tc>
      </w:tr>
      <w:tr>
        <w:tc>
          <w:tcPr>
            <w:tcW w:w="1406" w:type="dxa"/>
          </w:tcPr>
          <w:p>
            <w:pPr>
              <w:pStyle w:val="Compact"/>
              <w:spacing w:after="40"/>
              <w:jc w:val="left"/>
            </w:pPr>
            <w:r>
              <w:rPr>
                <w:rStyle w:val="VerbatimChar"/>
                <w:sz w:val="18"/>
              </w:rPr>
              <w:t xml:space="preserve">LimitBreached</w:t>
            </w:r>
            <w:r>
              <w:rPr>
                <w:sz w:val="18"/>
              </w:rPr>
              <w:t xml:space="preserve"> </w:t>
            </w:r>
            <w:r>
              <w:rPr>
                <w:sz w:val="18"/>
              </w:rPr>
              <w:t xml:space="preserve">(N11) signed</w:t>
            </w:r>
          </w:p>
        </w:tc>
        <w:tc>
          <w:tcPr>
            <w:tcW w:w="1441" w:type="dxa"/>
          </w:tcPr>
          <w:p>
            <w:pPr>
              <w:pStyle w:val="Compact"/>
              <w:spacing w:after="40"/>
              <w:jc w:val="left"/>
            </w:pPr>
            <w:r>
              <w:rPr>
                <w:sz w:val="18"/>
              </w:rPr>
              <w:t xml:space="preserve">FX, UD → LDC, RE GRC; FX also blocks new exposure internally (CON paras 45–46)</w:t>
            </w:r>
          </w:p>
        </w:tc>
        <w:tc>
          <w:tcPr>
            <w:tcW w:w="1364" w:type="dxa"/>
          </w:tcPr>
          <w:p>
            <w:pPr>
              <w:pStyle w:val="Compact"/>
              <w:spacing w:after="40"/>
              <w:jc w:val="left"/>
            </w:pPr>
            <w:r>
              <w:rPr>
                <w:sz w:val="18"/>
              </w:rPr>
              <w:t xml:space="preserve">Regulatory, Board or internal limit breached or projected; cure</w:t>
            </w:r>
          </w:p>
        </w:tc>
        <w:tc>
          <w:tcPr>
            <w:tcW w:w="2654" w:type="dxa"/>
          </w:tcPr>
          <w:p>
            <w:pPr>
              <w:pStyle w:val="Compact"/>
              <w:spacing w:after="40"/>
              <w:jc w:val="left"/>
            </w:pPr>
            <w:r>
              <w:rPr>
                <w:sz w:val="18"/>
              </w:rPr>
              <w:t xml:space="preserve">limit_id,</w:t>
            </w:r>
            <w:r>
              <w:rPr>
                <w:sz w:val="18"/>
              </w:rPr>
              <w:t xml:space="preserve"> </w:t>
            </w:r>
            <w:r>
              <w:rPr>
                <w:rStyle w:val="VerbatimChar"/>
                <w:sz w:val="18"/>
              </w:rPr>
              <w:t xml:space="preserve">limit_type</w:t>
            </w:r>
            <w:r>
              <w:rPr>
                <w:sz w:val="18"/>
              </w:rPr>
              <w:t xml:space="preserve"> </w:t>
            </w:r>
            <w:r>
              <w:rPr>
                <w:sz w:val="18"/>
              </w:rPr>
              <w:t xml:space="preserve">(REGULATORY, BOARD, INTERNAL, LE, SSE, CME, SLS_TOLERANCE, LCR, HQLA_STRESS, DLG_CAP, SR_SELF_INVESTMENT, INVESTMENT, PCA_RT1, PCA_RT2, PCA_RT3),</w:t>
            </w:r>
            <w:r>
              <w:rPr>
                <w:sz w:val="18"/>
              </w:rPr>
              <w:t xml:space="preserve"> </w:t>
            </w:r>
            <w:r>
              <w:rPr>
                <w:rStyle w:val="VerbatimChar"/>
                <w:sz w:val="18"/>
              </w:rPr>
              <w:t xml:space="preserve">status</w:t>
            </w:r>
            <w:r>
              <w:rPr>
                <w:sz w:val="18"/>
              </w:rPr>
              <w:t xml:space="preserve"> </w:t>
            </w:r>
            <w:r>
              <w:rPr>
                <w:sz w:val="18"/>
              </w:rPr>
              <w:t xml:space="preserve">(OPEN or CURED), value, limit, first_breach_at,</w:t>
            </w:r>
            <w:r>
              <w:rPr>
                <w:sz w:val="18"/>
              </w:rPr>
              <w:t xml:space="preserve"> </w:t>
            </w:r>
            <w:r>
              <w:rPr>
                <w:rStyle w:val="VerbatimChar"/>
                <w:sz w:val="18"/>
              </w:rPr>
              <w:t xml:space="preserve">projected</w:t>
            </w:r>
            <w:r>
              <w:rPr>
                <w:sz w:val="18"/>
              </w:rPr>
              <w:t xml:space="preserve"> </w:t>
            </w:r>
            <w:r>
              <w:rPr>
                <w:sz w:val="18"/>
              </w:rPr>
              <w:t xml:space="preserve">(boolean: true for a forecast crossing such as a PCA year-end projection), citation, pseudonymised counterparty or group ref</w:t>
            </w:r>
          </w:p>
        </w:tc>
        <w:tc>
          <w:tcPr>
            <w:tcW w:w="757" w:type="dxa"/>
          </w:tcPr>
          <w:p>
            <w:pPr>
              <w:pStyle w:val="Compact"/>
              <w:spacing w:after="40"/>
              <w:jc w:val="left"/>
            </w:pPr>
            <w:r>
              <w:rPr>
                <w:sz w:val="18"/>
              </w:rPr>
              <w:t xml:space="preserve">Producer</w:t>
            </w:r>
          </w:p>
        </w:tc>
        <w:tc>
          <w:tcPr>
            <w:tcW w:w="878" w:type="dxa"/>
          </w:tcPr>
          <w:p>
            <w:pPr>
              <w:pStyle w:val="Compact"/>
              <w:spacing w:after="40"/>
              <w:jc w:val="left"/>
            </w:pPr>
            <w:r>
              <w:rPr>
                <w:sz w:val="18"/>
              </w:rPr>
              <w:t xml:space="preserve">(limit_id, episode_id, update_seq)</w:t>
            </w:r>
          </w:p>
        </w:tc>
        <w:tc>
          <w:tcPr>
            <w:tcW w:w="1138" w:type="dxa"/>
          </w:tcPr>
          <w:p>
            <w:pPr>
              <w:pStyle w:val="Compact"/>
              <w:spacing w:after="40"/>
              <w:jc w:val="left"/>
            </w:pPr>
            <w:r>
              <w:rPr>
                <w:sz w:val="18"/>
              </w:rPr>
              <w:t xml:space="preserve">≤ 15 min; a cure is an update with a higher</w:t>
            </w:r>
            <w:r>
              <w:rPr>
                <w:sz w:val="18"/>
              </w:rPr>
              <w:t xml:space="preserve"> </w:t>
            </w:r>
            <w:r>
              <w:rPr>
                <w:rStyle w:val="VerbatimChar"/>
                <w:sz w:val="18"/>
              </w:rPr>
              <w:t xml:space="preserve">update_seq</w:t>
            </w:r>
          </w:p>
        </w:tc>
      </w:tr>
      <w:tr>
        <w:tc>
          <w:tcPr>
            <w:tcW w:w="1406" w:type="dxa"/>
          </w:tcPr>
          <w:p>
            <w:pPr>
              <w:pStyle w:val="Compact"/>
              <w:spacing w:after="40"/>
              <w:jc w:val="left"/>
            </w:pPr>
            <w:r>
              <w:rPr>
                <w:rStyle w:val="VerbatimChar"/>
                <w:sz w:val="18"/>
              </w:rPr>
              <w:t xml:space="preserve">StressTestCompleted</w:t>
            </w:r>
            <w:r>
              <w:rPr>
                <w:sz w:val="18"/>
              </w:rPr>
              <w:t xml:space="preserve"> </w:t>
            </w:r>
            <w:r>
              <w:rPr>
                <w:sz w:val="18"/>
              </w:rPr>
              <w:t xml:space="preserve">(N11)</w:t>
            </w:r>
          </w:p>
        </w:tc>
        <w:tc>
          <w:tcPr>
            <w:tcW w:w="1441" w:type="dxa"/>
          </w:tcPr>
          <w:p>
            <w:pPr>
              <w:pStyle w:val="Compact"/>
              <w:spacing w:after="40"/>
              <w:jc w:val="left"/>
            </w:pPr>
            <w:r>
              <w:rPr>
                <w:sz w:val="18"/>
              </w:rPr>
              <w:t xml:space="preserve">FX → LDC</w:t>
            </w:r>
          </w:p>
        </w:tc>
        <w:tc>
          <w:tcPr>
            <w:tcW w:w="1364" w:type="dxa"/>
          </w:tcPr>
          <w:p>
            <w:pPr>
              <w:pStyle w:val="Compact"/>
              <w:spacing w:after="40"/>
              <w:jc w:val="left"/>
            </w:pPr>
            <w:r>
              <w:rPr>
                <w:sz w:val="18"/>
              </w:rPr>
              <w:t xml:space="preserve">Stress or reverse-stress run approved</w:t>
            </w:r>
          </w:p>
        </w:tc>
        <w:tc>
          <w:tcPr>
            <w:tcW w:w="2654" w:type="dxa"/>
          </w:tcPr>
          <w:p>
            <w:pPr>
              <w:pStyle w:val="Compact"/>
              <w:spacing w:after="40"/>
              <w:jc w:val="left"/>
            </w:pPr>
            <w:r>
              <w:rPr>
                <w:sz w:val="18"/>
              </w:rPr>
              <w:t xml:space="preserve">scenario id and version, horizon, snapshot hash, model versions, summary per period (CRAR, Tier 1, CET1, LCR, SLS, PCA proximity)</w:t>
            </w:r>
          </w:p>
        </w:tc>
        <w:tc>
          <w:tcPr>
            <w:tcW w:w="757" w:type="dxa"/>
          </w:tcPr>
          <w:p>
            <w:pPr>
              <w:pStyle w:val="Compact"/>
              <w:spacing w:after="40"/>
              <w:jc w:val="left"/>
            </w:pPr>
            <w:r>
              <w:rPr>
                <w:sz w:val="18"/>
              </w:rPr>
              <w:t xml:space="preserve">FX</w:t>
            </w:r>
          </w:p>
        </w:tc>
        <w:tc>
          <w:tcPr>
            <w:tcW w:w="878" w:type="dxa"/>
          </w:tcPr>
          <w:p>
            <w:pPr>
              <w:pStyle w:val="Compact"/>
              <w:spacing w:after="40"/>
              <w:jc w:val="left"/>
            </w:pPr>
            <w:r>
              <w:rPr>
                <w:sz w:val="18"/>
              </w:rPr>
              <w:t xml:space="preserve">(scenario_id, run_id)</w:t>
            </w:r>
          </w:p>
        </w:tc>
        <w:tc>
          <w:tcPr>
            <w:tcW w:w="1138" w:type="dxa"/>
          </w:tcPr>
          <w:p>
            <w:pPr>
              <w:pStyle w:val="Compact"/>
              <w:spacing w:after="40"/>
              <w:jc w:val="left"/>
            </w:pPr>
            <w:r>
              <w:rPr>
                <w:sz w:val="18"/>
              </w:rPr>
              <w:t xml:space="preserve">std</w:t>
            </w:r>
          </w:p>
        </w:tc>
      </w:tr>
      <w:tr>
        <w:tc>
          <w:tcPr>
            <w:tcW w:w="1406" w:type="dxa"/>
          </w:tcPr>
          <w:p>
            <w:pPr>
              <w:pStyle w:val="Compact"/>
              <w:spacing w:after="40"/>
              <w:jc w:val="left"/>
            </w:pPr>
            <w:r>
              <w:rPr>
                <w:rStyle w:val="VerbatimChar"/>
                <w:sz w:val="18"/>
              </w:rPr>
              <w:t xml:space="preserve">RiskSnapshotPublished</w:t>
            </w:r>
            <w:r>
              <w:rPr>
                <w:sz w:val="18"/>
              </w:rPr>
              <w:t xml:space="preserve"> </w:t>
            </w:r>
            <w:r>
              <w:rPr>
                <w:sz w:val="18"/>
              </w:rPr>
              <w:t xml:space="preserve">(N11)</w:t>
            </w:r>
          </w:p>
        </w:tc>
        <w:tc>
          <w:tcPr>
            <w:tcW w:w="1441" w:type="dxa"/>
          </w:tcPr>
          <w:p>
            <w:pPr>
              <w:pStyle w:val="Compact"/>
              <w:spacing w:after="40"/>
              <w:jc w:val="left"/>
            </w:pPr>
            <w:r>
              <w:rPr>
                <w:sz w:val="18"/>
              </w:rPr>
              <w:t xml:space="preserve">FX → LDC (daily and month-end); UD → RE GRC and Udofin’s own LDC tenant (quarterly RE pack, Udofin RA1.6)</w:t>
            </w:r>
          </w:p>
        </w:tc>
        <w:tc>
          <w:tcPr>
            <w:tcW w:w="1364" w:type="dxa"/>
          </w:tcPr>
          <w:p>
            <w:pPr>
              <w:pStyle w:val="Compact"/>
              <w:spacing w:after="40"/>
              <w:jc w:val="left"/>
            </w:pPr>
            <w:r>
              <w:rPr>
                <w:sz w:val="18"/>
              </w:rPr>
              <w:t xml:space="preserve">Metric run computed or certified</w:t>
            </w:r>
          </w:p>
        </w:tc>
        <w:tc>
          <w:tcPr>
            <w:tcW w:w="2654" w:type="dxa"/>
          </w:tcPr>
          <w:p>
            <w:pPr>
              <w:pStyle w:val="Compact"/>
              <w:spacing w:after="40"/>
              <w:jc w:val="left"/>
            </w:pPr>
            <w:r>
              <w:rPr>
                <w:sz w:val="18"/>
              </w:rPr>
              <w:t xml:space="preserve">metric ids, versions, values, thresholds, RAG, grain, lineage ref, certification state (</w:t>
            </w:r>
            <w:r>
              <w:rPr>
                <w:rStyle w:val="VerbatimChar"/>
                <w:sz w:val="18"/>
              </w:rPr>
              <w:t xml:space="preserve">risk_snapshot_v1</w:t>
            </w:r>
            <w:r>
              <w:rPr>
                <w:sz w:val="18"/>
              </w:rPr>
              <w:t xml:space="preserve">)</w:t>
            </w:r>
          </w:p>
        </w:tc>
        <w:tc>
          <w:tcPr>
            <w:tcW w:w="757" w:type="dxa"/>
          </w:tcPr>
          <w:p>
            <w:pPr>
              <w:pStyle w:val="Compact"/>
              <w:spacing w:after="40"/>
              <w:jc w:val="left"/>
            </w:pPr>
            <w:r>
              <w:rPr>
                <w:sz w:val="18"/>
              </w:rPr>
              <w:t xml:space="preserve">Producer</w:t>
            </w:r>
          </w:p>
        </w:tc>
        <w:tc>
          <w:tcPr>
            <w:tcW w:w="878" w:type="dxa"/>
          </w:tcPr>
          <w:p>
            <w:pPr>
              <w:pStyle w:val="Compact"/>
              <w:spacing w:after="40"/>
              <w:jc w:val="left"/>
            </w:pPr>
            <w:r>
              <w:rPr>
                <w:sz w:val="18"/>
              </w:rPr>
              <w:t xml:space="preserve">(producer, scope, as_of, run_no)</w:t>
            </w:r>
          </w:p>
        </w:tc>
        <w:tc>
          <w:tcPr>
            <w:tcW w:w="1138" w:type="dxa"/>
          </w:tcPr>
          <w:p>
            <w:pPr>
              <w:pStyle w:val="Compact"/>
              <w:spacing w:after="40"/>
              <w:jc w:val="left"/>
            </w:pPr>
            <w:r>
              <w:rPr>
                <w:sz w:val="18"/>
              </w:rPr>
              <w:t xml:space="preserve">FX daily by 09:00 IST [REC]; UD ≤ 15 days after quarter-end [REC]</w:t>
            </w:r>
          </w:p>
        </w:tc>
      </w:tr>
      <w:tr>
        <w:tc>
          <w:tcPr>
            <w:tcW w:w="1406" w:type="dxa"/>
          </w:tcPr>
          <w:p>
            <w:pPr>
              <w:pStyle w:val="Compact"/>
              <w:spacing w:after="40"/>
              <w:jc w:val="left"/>
            </w:pPr>
            <w:r>
              <w:rPr>
                <w:rStyle w:val="VerbatimChar"/>
                <w:sz w:val="18"/>
              </w:rPr>
              <w:t xml:space="preserve">RiskSignalRaised</w:t>
            </w:r>
            <w:r>
              <w:rPr>
                <w:sz w:val="18"/>
              </w:rPr>
              <w:t xml:space="preserve"> </w:t>
            </w:r>
            <w:r>
              <w:rPr>
                <w:sz w:val="18"/>
              </w:rPr>
              <w:t xml:space="preserve">(A, unchanged)</w:t>
            </w:r>
          </w:p>
        </w:tc>
        <w:tc>
          <w:tcPr>
            <w:tcW w:w="1441" w:type="dxa"/>
          </w:tcPr>
          <w:p>
            <w:pPr>
              <w:pStyle w:val="Compact"/>
              <w:spacing w:after="40"/>
              <w:jc w:val="left"/>
            </w:pPr>
            <w:r>
              <w:rPr>
                <w:sz w:val="18"/>
              </w:rPr>
              <w:t xml:space="preserve">UD, FIA → FX (6.2); FX → LDC as part of the feed</w:t>
            </w:r>
          </w:p>
        </w:tc>
        <w:tc>
          <w:tcPr>
            <w:tcW w:w="1364" w:type="dxa"/>
          </w:tcPr>
          <w:p>
            <w:pPr>
              <w:pStyle w:val="Compact"/>
              <w:spacing w:after="40"/>
              <w:jc w:val="left"/>
            </w:pPr>
            <w:r>
              <w:rPr>
                <w:sz w:val="18"/>
              </w:rPr>
              <w:t xml:space="preserve">EWS or fraud signal</w:t>
            </w:r>
          </w:p>
        </w:tc>
        <w:tc>
          <w:tcPr>
            <w:tcW w:w="2654" w:type="dxa"/>
          </w:tcPr>
          <w:p>
            <w:pPr>
              <w:pStyle w:val="Compact"/>
              <w:spacing w:after="40"/>
              <w:jc w:val="left"/>
            </w:pPr>
            <w:r>
              <w:rPr>
                <w:sz w:val="18"/>
              </w:rPr>
              <w:t xml:space="preserve">as 6.2</w:t>
            </w:r>
          </w:p>
        </w:tc>
        <w:tc>
          <w:tcPr>
            <w:tcW w:w="757" w:type="dxa"/>
          </w:tcPr>
          <w:p>
            <w:pPr>
              <w:pStyle w:val="Compact"/>
              <w:spacing w:after="40"/>
              <w:jc w:val="left"/>
            </w:pPr>
            <w:r>
              <w:rPr>
                <w:sz w:val="18"/>
              </w:rPr>
              <w:t xml:space="preserve">Signal UD or FIA; decision FX</w:t>
            </w:r>
          </w:p>
        </w:tc>
        <w:tc>
          <w:tcPr>
            <w:tcW w:w="878" w:type="dxa"/>
          </w:tcPr>
          <w:p>
            <w:pPr>
              <w:pStyle w:val="Compact"/>
              <w:spacing w:after="40"/>
              <w:jc w:val="left"/>
            </w:pPr>
            <w:r>
              <w:rPr>
                <w:sz w:val="18"/>
              </w:rPr>
              <w:t xml:space="preserve">signal_id</w:t>
            </w:r>
          </w:p>
        </w:tc>
        <w:tc>
          <w:tcPr>
            <w:tcW w:w="1138" w:type="dxa"/>
          </w:tcPr>
          <w:p>
            <w:pPr>
              <w:pStyle w:val="Compact"/>
              <w:spacing w:after="40"/>
              <w:jc w:val="left"/>
            </w:pPr>
            <w:r>
              <w:rPr>
                <w:sz w:val="18"/>
              </w:rPr>
              <w:t xml:space="preserve">As 6.2</w:t>
            </w:r>
          </w:p>
        </w:tc>
      </w:tr>
      <w:tr>
        <w:tc>
          <w:tcPr>
            <w:tcW w:w="1406" w:type="dxa"/>
          </w:tcPr>
          <w:p>
            <w:pPr>
              <w:pStyle w:val="Compact"/>
              <w:spacing w:after="40"/>
              <w:jc w:val="left"/>
            </w:pPr>
            <w:r>
              <w:rPr>
                <w:sz w:val="18"/>
              </w:rPr>
              <w:t xml:space="preserve">API</w:t>
            </w:r>
            <w:r>
              <w:rPr>
                <w:sz w:val="18"/>
              </w:rPr>
              <w:t xml:space="preserve"> </w:t>
            </w:r>
            <w:r>
              <w:rPr>
                <w:rStyle w:val="VerbatimChar"/>
                <w:sz w:val="18"/>
              </w:rPr>
              <w:t xml:space="preserve">GET /v1/grc/kris?updated_since=[ts]</w:t>
            </w:r>
            <w:r>
              <w:rPr>
                <w:sz w:val="18"/>
              </w:rPr>
              <w:t xml:space="preserve"> </w:t>
            </w:r>
            <w:r>
              <w:rPr>
                <w:sz w:val="18"/>
              </w:rPr>
              <w:t xml:space="preserve">and</w:t>
            </w:r>
            <w:r>
              <w:rPr>
                <w:sz w:val="18"/>
              </w:rPr>
              <w:t xml:space="preserve"> </w:t>
            </w:r>
            <w:r>
              <w:rPr>
                <w:rStyle w:val="VerbatimChar"/>
                <w:sz w:val="18"/>
              </w:rPr>
              <w:t xml:space="preserve">GET /v1/grc/obligations?updated_since=[ts]</w:t>
            </w:r>
            <w:r>
              <w:rPr>
                <w:sz w:val="18"/>
              </w:rPr>
              <w:t xml:space="preserve"> </w:t>
            </w:r>
            <w:r>
              <w:rPr>
                <w:sz w:val="18"/>
              </w:rPr>
              <w:t xml:space="preserve">at LDC (N11+)</w:t>
            </w:r>
          </w:p>
        </w:tc>
        <w:tc>
          <w:tcPr>
            <w:tcW w:w="1441" w:type="dxa"/>
          </w:tcPr>
          <w:p>
            <w:pPr>
              <w:pStyle w:val="Compact"/>
              <w:spacing w:after="40"/>
              <w:jc w:val="left"/>
            </w:pPr>
            <w:r>
              <w:rPr>
                <w:sz w:val="18"/>
              </w:rPr>
              <w:t xml:space="preserve">FX, UD → LDC</w:t>
            </w:r>
          </w:p>
        </w:tc>
        <w:tc>
          <w:tcPr>
            <w:tcW w:w="1364" w:type="dxa"/>
          </w:tcPr>
          <w:p>
            <w:pPr>
              <w:pStyle w:val="Compact"/>
              <w:spacing w:after="40"/>
              <w:jc w:val="left"/>
            </w:pPr>
            <w:r>
              <w:rPr>
                <w:sz w:val="18"/>
              </w:rPr>
              <w:t xml:space="preserve">Inbound pull of approved KRI definitions, thresholds and obligations, plus</w:t>
            </w:r>
            <w:r>
              <w:rPr>
                <w:sz w:val="18"/>
              </w:rPr>
              <w:t xml:space="preserve"> </w:t>
            </w:r>
            <w:r>
              <w:rPr>
                <w:rStyle w:val="VerbatimChar"/>
                <w:sz w:val="18"/>
              </w:rPr>
              <w:t xml:space="preserve">ObligationPublished</w:t>
            </w:r>
          </w:p>
        </w:tc>
        <w:tc>
          <w:tcPr>
            <w:tcW w:w="2654" w:type="dxa"/>
          </w:tcPr>
          <w:p>
            <w:pPr>
              <w:pStyle w:val="Compact"/>
              <w:spacing w:after="40"/>
              <w:jc w:val="left"/>
            </w:pPr>
            <w:r>
              <w:rPr>
                <w:sz w:val="18"/>
              </w:rPr>
              <w:t xml:space="preserve">KRI mapped to a metric id; threshold version with LDC approval ref; obligation_ref</w:t>
            </w:r>
          </w:p>
        </w:tc>
        <w:tc>
          <w:tcPr>
            <w:tcW w:w="757" w:type="dxa"/>
          </w:tcPr>
          <w:p>
            <w:pPr>
              <w:pStyle w:val="Compact"/>
              <w:spacing w:after="40"/>
              <w:jc w:val="left"/>
            </w:pPr>
            <w:r>
              <w:rPr>
                <w:sz w:val="18"/>
              </w:rPr>
              <w:t xml:space="preserve">LDC</w:t>
            </w:r>
          </w:p>
        </w:tc>
        <w:tc>
          <w:tcPr>
            <w:tcW w:w="878" w:type="dxa"/>
          </w:tcPr>
          <w:p>
            <w:pPr>
              <w:pStyle w:val="Compact"/>
              <w:spacing w:after="40"/>
              <w:jc w:val="left"/>
            </w:pPr>
            <w:r>
              <w:rPr>
                <w:sz w:val="18"/>
              </w:rPr>
              <w:t xml:space="preserve">n/a</w:t>
            </w:r>
          </w:p>
        </w:tc>
        <w:tc>
          <w:tcPr>
            <w:tcW w:w="1138" w:type="dxa"/>
          </w:tcPr>
          <w:p>
            <w:pPr>
              <w:pStyle w:val="Compact"/>
              <w:spacing w:after="40"/>
              <w:jc w:val="left"/>
            </w:pPr>
            <w:r>
              <w:rPr>
                <w:sz w:val="18"/>
              </w:rPr>
              <w:t xml:space="preserve">Daily and on</w:t>
            </w:r>
            <w:r>
              <w:rPr>
                <w:sz w:val="18"/>
              </w:rPr>
              <w:t xml:space="preserve"> </w:t>
            </w:r>
            <w:r>
              <w:rPr>
                <w:rStyle w:val="VerbatimChar"/>
                <w:sz w:val="18"/>
              </w:rPr>
              <w:t xml:space="preserve">ObligationPublished</w:t>
            </w:r>
          </w:p>
        </w:tc>
      </w:tr>
    </w:tbl>
    <w:p>
      <w:pPr>
        <w:pStyle w:val="BodyText"/>
      </w:pPr>
      <w:r>
        <w:rPr>
          <w:bCs/>
          <w:b/>
        </w:rPr>
        <w:t xml:space="preserve">LawDocsComply risk-feed rules.</w:t>
      </w:r>
    </w:p>
    <w:p>
      <w:pPr>
        <w:numPr>
          <w:ilvl w:val="0"/>
          <w:numId w:val="1016"/>
        </w:numPr>
        <w:pStyle w:val="Compact"/>
      </w:pPr>
      <w:r>
        <w:rPr>
          <w:bCs/>
          <w:b/>
        </w:rPr>
        <w:t xml:space="preserve">Envelope:</w:t>
      </w:r>
      <w:r>
        <w:t xml:space="preserve"> </w:t>
      </w:r>
      <w:r>
        <w:rPr>
          <w:rStyle w:val="VerbatimChar"/>
        </w:rPr>
        <w:t xml:space="preserve">type</w:t>
      </w:r>
      <w:r>
        <w:t xml:space="preserve"> </w:t>
      </w:r>
      <w:r>
        <w:t xml:space="preserve">=</w:t>
      </w:r>
      <w:r>
        <w:t xml:space="preserve"> </w:t>
      </w:r>
      <w:r>
        <w:rPr>
          <w:rStyle w:val="VerbatimChar"/>
        </w:rPr>
        <w:t xml:space="preserve">in.infrabyx.risk.[EventName].v[major]</w:t>
      </w:r>
      <w:r>
        <w:t xml:space="preserve"> </w:t>
      </w:r>
      <w:r>
        <w:t xml:space="preserve">(Finbyx RK2.4; Udofin RA1);</w:t>
      </w:r>
      <w:r>
        <w:t xml:space="preserve"> </w:t>
      </w:r>
      <w:r>
        <w:rPr>
          <w:rStyle w:val="VerbatimChar"/>
        </w:rPr>
        <w:t xml:space="preserve">subject</w:t>
      </w:r>
      <w:r>
        <w:t xml:space="preserve"> </w:t>
      </w:r>
      <w:r>
        <w:t xml:space="preserve">= the metric, limit, KRI, run or loss-event id.</w:t>
      </w:r>
    </w:p>
    <w:p>
      <w:pPr>
        <w:numPr>
          <w:ilvl w:val="0"/>
          <w:numId w:val="1016"/>
        </w:numPr>
        <w:pStyle w:val="Compact"/>
      </w:pPr>
      <w:r>
        <w:rPr>
          <w:bCs/>
          <w:b/>
        </w:rPr>
        <w:t xml:space="preserve">Extension attributes</w:t>
      </w:r>
      <w:r>
        <w:t xml:space="preserve"> </w:t>
      </w:r>
      <w:r>
        <w:t xml:space="preserve">(CloudEvents 1.0.2 names are lower-case alphanumeric):</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 </w:t>
      </w:r>
      <w:r>
        <w:t xml:space="preserve">(SHA-256 of</w:t>
      </w:r>
      <w:r>
        <w:t xml:space="preserve"> </w:t>
      </w:r>
      <w:r>
        <w:rPr>
          <w:rStyle w:val="VerbatimChar"/>
        </w:rPr>
        <w:t xml:space="preserve">data</w:t>
      </w:r>
      <w:r>
        <w:t xml:space="preserve">) and</w:t>
      </w:r>
      <w:r>
        <w:t xml:space="preserve"> </w:t>
      </w:r>
      <w:r>
        <w:rPr>
          <w:rStyle w:val="VerbatimChar"/>
        </w:rPr>
        <w:t xml:space="preserve">prevhash</w:t>
      </w:r>
      <w:r>
        <w:t xml:space="preserve"> </w:t>
      </w:r>
      <w:r>
        <w:t xml:space="preserve">(per producer and tenant hash chain).</w:t>
      </w:r>
      <w:r>
        <w:t xml:space="preserve"> </w:t>
      </w:r>
      <w:r>
        <w:rPr>
          <w:rStyle w:val="VerbatimChar"/>
        </w:rPr>
        <w:t xml:space="preserve">source</w:t>
      </w:r>
      <w:r>
        <w:t xml:space="preserve"> </w:t>
      </w:r>
      <w:r>
        <w:t xml:space="preserve">stays</w:t>
      </w:r>
      <w:r>
        <w:t xml:space="preserve"> </w:t>
      </w:r>
      <w:r>
        <w:rPr>
          <w:rStyle w:val="VerbatimChar"/>
        </w:rPr>
        <w:t xml:space="preserve">urn:infrabyx:[product]:[tenantid]</w:t>
      </w:r>
      <w:r>
        <w:t xml:space="preserve">; the legal entity travels as</w:t>
      </w:r>
      <w:r>
        <w:t xml:space="preserve"> </w:t>
      </w:r>
      <w:r>
        <w:rPr>
          <w:rStyle w:val="VerbatimChar"/>
        </w:rPr>
        <w:t xml:space="preserve">data.legal_entity_id</w:t>
      </w:r>
      <w:r>
        <w:t xml:space="preserve">. Replaying a period reproduces identical hashes and an unbroken chain.</w:t>
      </w:r>
    </w:p>
    <w:p>
      <w:pPr>
        <w:numPr>
          <w:ilvl w:val="0"/>
          <w:numId w:val="1016"/>
        </w:numPr>
        <w:pStyle w:val="Compact"/>
      </w:pPr>
      <w:r>
        <w:rPr>
          <w:bCs/>
          <w:b/>
        </w:rPr>
        <w:t xml:space="preserve">HMAC pseudonyms:</w:t>
      </w:r>
      <w:r>
        <w:t xml:space="preserve"> </w:t>
      </w:r>
      <w:r>
        <w:t xml:space="preserve">every counterparty and group reference is</w:t>
      </w:r>
      <w:r>
        <w:t xml:space="preserve"> </w:t>
      </w:r>
      <w:r>
        <w:rPr>
          <w:rStyle w:val="VerbatimChar"/>
        </w:rPr>
        <w:t xml:space="preserve">ps_[epoch]_[base64url(HMAC-SHA256(tenant_feed_key, internal_id))]</w:t>
      </w:r>
      <w:r>
        <w:t xml:space="preserve">; the key lives in the tenant’s KMS (BYOK where chosen) and rotates annually with a new epoch; LawDocsComply cannot reverse it; only authorised users resolve it inside the producing product. Individual-borrower amounts are banded; corporate exposure amounts appear only in LE and concentration events.</w:t>
      </w:r>
    </w:p>
    <w:p>
      <w:pPr>
        <w:numPr>
          <w:ilvl w:val="0"/>
          <w:numId w:val="1016"/>
        </w:numPr>
        <w:pStyle w:val="Compact"/>
      </w:pPr>
      <w:r>
        <w:rPr>
          <w:bCs/>
          <w:b/>
        </w:rPr>
        <w:t xml:space="preserve">No raw PII:</w:t>
      </w:r>
      <w:r>
        <w:t xml:space="preserve"> </w:t>
      </w:r>
      <w:r>
        <w:t xml:space="preserve">no name, PAN, phone, e-mail, account number or Aadhaar reference in any</w:t>
      </w:r>
      <w:r>
        <w:t xml:space="preserve"> </w:t>
      </w:r>
      <w:r>
        <w:rPr>
          <w:rStyle w:val="VerbatimChar"/>
        </w:rPr>
        <w:t xml:space="preserve">risk</w:t>
      </w:r>
      <w:r>
        <w:t xml:space="preserve"> </w:t>
      </w:r>
      <w:r>
        <w:t xml:space="preserve">payload (schema test, 14.3).</w:t>
      </w:r>
    </w:p>
    <w:p>
      <w:pPr>
        <w:numPr>
          <w:ilvl w:val="0"/>
          <w:numId w:val="1016"/>
        </w:numPr>
        <w:pStyle w:val="Compact"/>
      </w:pPr>
      <w:r>
        <w:rPr>
          <w:bCs/>
          <w:b/>
        </w:rPr>
        <w:t xml:space="preserve">Inbound:</w:t>
      </w:r>
      <w:r>
        <w:t xml:space="preserve"> </w:t>
      </w:r>
      <w:r>
        <w:t xml:space="preserve">formula logic is never accepted from LawDocsComply; a KRI whose metric does not exist in the producer’s metric library (Finbyx RK6) is rejected with a</w:t>
      </w:r>
      <w:r>
        <w:t xml:space="preserve"> </w:t>
      </w:r>
      <w:r>
        <w:t xml:space="preserve">“</w:t>
      </w:r>
      <w:r>
        <w:t xml:space="preserve">metric required</w:t>
      </w:r>
      <w:r>
        <w:t xml:space="preserve">”</w:t>
      </w:r>
      <w:r>
        <w:t xml:space="preserve"> </w:t>
      </w:r>
      <w:r>
        <w:t xml:space="preserve">task. RAS thresholds approved in LawDocsComply become a new threshold version with the LDC approval reference.</w:t>
      </w:r>
    </w:p>
    <w:p>
      <w:pPr>
        <w:numPr>
          <w:ilvl w:val="0"/>
          <w:numId w:val="1016"/>
        </w:numPr>
        <w:pStyle w:val="Compact"/>
      </w:pPr>
      <w:r>
        <w:rPr>
          <w:bCs/>
          <w:b/>
        </w:rPr>
        <w:t xml:space="preserve">PCA (MSD paras 16–17):</w:t>
      </w:r>
      <w:r>
        <w:t xml:space="preserve"> </w:t>
      </w:r>
      <w:r>
        <w:t xml:space="preserve">crossing a risk threshold on CRAR, Tier 1, NNPA, CIC ANW to RWA or CIC leverage emits</w:t>
      </w:r>
      <w:r>
        <w:t xml:space="preserve"> </w:t>
      </w:r>
      <w:r>
        <w:rPr>
          <w:rStyle w:val="VerbatimChar"/>
        </w:rPr>
        <w:t xml:space="preserve">LimitBreached</w:t>
      </w:r>
      <w:r>
        <w:t xml:space="preserve"> </w:t>
      </w:r>
      <w:r>
        <w:t xml:space="preserve">with</w:t>
      </w:r>
      <w:r>
        <w:t xml:space="preserve"> </w:t>
      </w:r>
      <w:r>
        <w:rPr>
          <w:rStyle w:val="VerbatimChar"/>
        </w:rPr>
        <w:t xml:space="preserve">limit_type = PCA_RTn</w:t>
      </w:r>
      <w:r>
        <w:t xml:space="preserve">; proximity within 150 bps of RT1 [REC default; Finbyx Appendix B] is a</w:t>
      </w:r>
      <w:r>
        <w:t xml:space="preserve"> </w:t>
      </w:r>
      <w:r>
        <w:rPr>
          <w:rStyle w:val="VerbatimChar"/>
        </w:rPr>
        <w:t xml:space="preserve">KriBreached</w:t>
      </w:r>
      <w:r>
        <w:t xml:space="preserve"> </w:t>
      </w:r>
      <w:r>
        <w:t xml:space="preserve">on the PCA-proximity metric, not a breach. RBI placement and restrictions are recorded internally (restriction register), not published.</w:t>
      </w:r>
    </w:p>
    <w:p>
      <w:pPr>
        <w:numPr>
          <w:ilvl w:val="0"/>
          <w:numId w:val="1016"/>
        </w:numPr>
        <w:pStyle w:val="Compact"/>
      </w:pPr>
      <w:r>
        <w:rPr>
          <w:bCs/>
          <w:b/>
        </w:rPr>
        <w:t xml:space="preserve">Reconciliation:</w:t>
      </w:r>
      <w:r>
        <w:t xml:space="preserve"> </w:t>
      </w:r>
      <w:r>
        <w:t xml:space="preserve">daily count and hash of events sent versus acknowledged; monthly sample of metric values in LawDocsComply versus the producer; breaks raise</w:t>
      </w:r>
      <w:r>
        <w:t xml:space="preserve"> </w:t>
      </w:r>
      <w:r>
        <w:rPr>
          <w:rStyle w:val="VerbatimChar"/>
        </w:rPr>
        <w:t xml:space="preserve">ReconciliationBreakRaised</w:t>
      </w:r>
      <w:r>
        <w:t xml:space="preserve">.</w:t>
      </w:r>
    </w:p>
    <w:p>
      <w:pPr>
        <w:numPr>
          <w:ilvl w:val="0"/>
          <w:numId w:val="1016"/>
        </w:numPr>
        <w:pStyle w:val="Compact"/>
      </w:pPr>
      <w:r>
        <w:rPr>
          <w:rStyle w:val="VerbatimChar"/>
        </w:rPr>
        <w:t xml:space="preserve">InvestmentLimitBreached</w:t>
      </w:r>
      <w:r>
        <w:t xml:space="preserve"> </w:t>
      </w:r>
      <w:r>
        <w:t xml:space="preserve">(6.25) is always accompanied by</w:t>
      </w:r>
      <w:r>
        <w:t xml:space="preserve"> </w:t>
      </w:r>
      <w:r>
        <w:rPr>
          <w:rStyle w:val="VerbatimChar"/>
        </w:rPr>
        <w:t xml:space="preserve">LimitBreached</w:t>
      </w:r>
      <w:r>
        <w:t xml:space="preserve"> </w:t>
      </w:r>
      <w:r>
        <w:t xml:space="preserve">with</w:t>
      </w:r>
      <w:r>
        <w:t xml:space="preserve"> </w:t>
      </w:r>
      <w:r>
        <w:rPr>
          <w:rStyle w:val="VerbatimChar"/>
        </w:rPr>
        <w:t xml:space="preserve">limit_type = INVESTMENT</w:t>
      </w:r>
      <w:r>
        <w:t xml:space="preserve">, so LawDocsComply needs only the</w:t>
      </w:r>
      <w:r>
        <w:t xml:space="preserve"> </w:t>
      </w:r>
      <w:r>
        <w:rPr>
          <w:rStyle w:val="VerbatimChar"/>
        </w:rPr>
        <w:t xml:space="preserve">risk</w:t>
      </w:r>
      <w:r>
        <w:t xml:space="preserve"> </w:t>
      </w:r>
      <w:r>
        <w:t xml:space="preserve">domain.</w:t>
      </w:r>
    </w:p>
    <w:bookmarkEnd w:id="69"/>
    <w:bookmarkStart w:id="70" w:name="X65eb65cabf82b981adc10cf02078c1e68489516"/>
    <w:p>
      <w:pPr>
        <w:pStyle w:val="Heading2"/>
      </w:pPr>
      <w:r>
        <w:t xml:space="preserve">6.23 Governance and workforce (</w:t>
      </w:r>
      <w:r>
        <w:rPr>
          <w:rStyle w:val="VerbatimChar"/>
        </w:rPr>
        <w:t xml:space="preserve">governance</w:t>
      </w:r>
      <w:r>
        <w:t xml:space="preserve">,</w:t>
      </w:r>
      <w:r>
        <w:t xml:space="preserve"> </w:t>
      </w:r>
      <w:r>
        <w:rPr>
          <w:rStyle w:val="VerbatimChar"/>
        </w:rPr>
        <w:t xml:space="preserve">workforce</w:t>
      </w:r>
      <w:r>
        <w:t xml:space="preserve">)</w:t>
      </w:r>
    </w:p>
    <w:p>
      <w:pPr>
        <w:pStyle w:val="FirstParagraph"/>
      </w:pPr>
      <w:r>
        <w:t xml:space="preserve">Finbyx Part 7F (GV1–GV3, GV5–GV7) and the Operations Hub (OH10, OH12). These domains are</w:t>
      </w:r>
      <w:r>
        <w:t xml:space="preserve"> </w:t>
      </w:r>
      <w:r>
        <w:rPr>
          <w:bCs/>
          <w:b/>
        </w:rPr>
        <w:t xml:space="preserve">tenant-internal</w:t>
      </w:r>
      <w:r>
        <w:t xml:space="preserve">: the routing rules below are enforced at every gateway.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995"/>
        <w:gridCol w:w="2402"/>
        <w:gridCol w:w="1431"/>
        <w:gridCol w:w="2186"/>
        <w:gridCol w:w="739"/>
        <w:gridCol w:w="1077"/>
        <w:gridCol w:w="808"/>
      </w:tblGrid>
      <w:tr>
        <w:trPr>
          <w:tblHeader w:val="true"/>
          <w:tblHeader w:val="true"/>
        </w:trPr>
        <w:tc>
          <w:tcPr>
            <w:tcW w:w="995" w:type="dxa"/>
            <w:shd w:val="clear" w:color="auto" w:fill="1F3A5F"/>
          </w:tcPr>
          <w:p>
            <w:pPr>
              <w:pStyle w:val="Compact"/>
              <w:spacing w:after="40"/>
              <w:jc w:val="left"/>
            </w:pPr>
            <w:r>
              <w:rPr>
                <w:b/>
                <w:color w:val="FFFFFF"/>
                <w:sz w:val="18"/>
              </w:rPr>
              <w:t xml:space="preserve">Event or API</w:t>
            </w:r>
          </w:p>
        </w:tc>
        <w:tc>
          <w:tcPr>
            <w:tcW w:w="2402" w:type="dxa"/>
            <w:shd w:val="clear" w:color="auto" w:fill="1F3A5F"/>
          </w:tcPr>
          <w:p>
            <w:pPr>
              <w:pStyle w:val="Compact"/>
              <w:spacing w:after="40"/>
              <w:jc w:val="left"/>
            </w:pPr>
            <w:r>
              <w:rPr>
                <w:b/>
                <w:color w:val="FFFFFF"/>
                <w:sz w:val="18"/>
              </w:rPr>
              <w:t xml:space="preserve">Producer → consumer(s)</w:t>
            </w:r>
          </w:p>
        </w:tc>
        <w:tc>
          <w:tcPr>
            <w:tcW w:w="1431" w:type="dxa"/>
            <w:shd w:val="clear" w:color="auto" w:fill="1F3A5F"/>
          </w:tcPr>
          <w:p>
            <w:pPr>
              <w:pStyle w:val="Compact"/>
              <w:spacing w:after="40"/>
              <w:jc w:val="left"/>
            </w:pPr>
            <w:r>
              <w:rPr>
                <w:b/>
                <w:color w:val="FFFFFF"/>
                <w:sz w:val="18"/>
              </w:rPr>
              <w:t xml:space="preserve">Trigger</w:t>
            </w:r>
          </w:p>
        </w:tc>
        <w:tc>
          <w:tcPr>
            <w:tcW w:w="2186" w:type="dxa"/>
            <w:shd w:val="clear" w:color="auto" w:fill="1F3A5F"/>
          </w:tcPr>
          <w:p>
            <w:pPr>
              <w:pStyle w:val="Compact"/>
              <w:spacing w:after="40"/>
              <w:jc w:val="left"/>
            </w:pPr>
            <w:r>
              <w:rPr>
                <w:b/>
                <w:color w:val="FFFFFF"/>
                <w:sz w:val="18"/>
              </w:rPr>
              <w:t xml:space="preserve">Key payload fields</w:t>
            </w:r>
          </w:p>
        </w:tc>
        <w:tc>
          <w:tcPr>
            <w:tcW w:w="739" w:type="dxa"/>
            <w:shd w:val="clear" w:color="auto" w:fill="1F3A5F"/>
          </w:tcPr>
          <w:p>
            <w:pPr>
              <w:pStyle w:val="Compact"/>
              <w:spacing w:after="40"/>
              <w:jc w:val="left"/>
            </w:pPr>
            <w:r>
              <w:rPr>
                <w:b/>
                <w:color w:val="FFFFFF"/>
                <w:sz w:val="18"/>
              </w:rPr>
              <w:t xml:space="preserve">Owner</w:t>
            </w:r>
          </w:p>
        </w:tc>
        <w:tc>
          <w:tcPr>
            <w:tcW w:w="1077" w:type="dxa"/>
            <w:shd w:val="clear" w:color="auto" w:fill="1F3A5F"/>
          </w:tcPr>
          <w:p>
            <w:pPr>
              <w:pStyle w:val="Compact"/>
              <w:spacing w:after="40"/>
              <w:jc w:val="left"/>
            </w:pPr>
            <w:r>
              <w:rPr>
                <w:b/>
                <w:color w:val="FFFFFF"/>
                <w:sz w:val="18"/>
              </w:rPr>
              <w:t xml:space="preserve">Idempotency key</w:t>
            </w:r>
          </w:p>
        </w:tc>
        <w:tc>
          <w:tcPr>
            <w:tcW w:w="808" w:type="dxa"/>
            <w:shd w:val="clear" w:color="auto" w:fill="1F3A5F"/>
          </w:tcPr>
          <w:p>
            <w:pPr>
              <w:pStyle w:val="Compact"/>
              <w:spacing w:after="40"/>
              <w:jc w:val="left"/>
            </w:pPr>
            <w:r>
              <w:rPr>
                <w:b/>
                <w:color w:val="FFFFFF"/>
                <w:sz w:val="18"/>
              </w:rPr>
              <w:t xml:space="preserve">SLA</w:t>
            </w:r>
          </w:p>
        </w:tc>
      </w:tr>
      <w:tr>
        <w:tc>
          <w:tcPr>
            <w:tcW w:w="995" w:type="dxa"/>
          </w:tcPr>
          <w:p>
            <w:pPr>
              <w:pStyle w:val="Compact"/>
              <w:spacing w:after="40"/>
              <w:jc w:val="left"/>
            </w:pPr>
            <w:r>
              <w:rPr>
                <w:rStyle w:val="VerbatimChar"/>
                <w:sz w:val="18"/>
              </w:rPr>
              <w:t xml:space="preserve">BoardMeetingScheduled</w:t>
            </w:r>
            <w:r>
              <w:rPr>
                <w:sz w:val="18"/>
              </w:rPr>
              <w:t xml:space="preserve"> </w:t>
            </w:r>
            <w:r>
              <w:rPr>
                <w:sz w:val="18"/>
              </w:rPr>
              <w:t xml:space="preserve">(N11)</w:t>
            </w:r>
          </w:p>
        </w:tc>
        <w:tc>
          <w:tcPr>
            <w:tcW w:w="2402" w:type="dxa"/>
          </w:tcPr>
          <w:p>
            <w:pPr>
              <w:pStyle w:val="Compact"/>
              <w:spacing w:after="40"/>
              <w:jc w:val="left"/>
            </w:pPr>
            <w:r>
              <w:rPr>
                <w:sz w:val="18"/>
              </w:rPr>
              <w:t xml:space="preserve">FX → tenant compliance destination only (embedded M14 or LDC)</w:t>
            </w:r>
          </w:p>
        </w:tc>
        <w:tc>
          <w:tcPr>
            <w:tcW w:w="1431" w:type="dxa"/>
          </w:tcPr>
          <w:p>
            <w:pPr>
              <w:pStyle w:val="Compact"/>
              <w:spacing w:after="40"/>
              <w:jc w:val="left"/>
            </w:pPr>
            <w:r>
              <w:rPr>
                <w:sz w:val="18"/>
              </w:rPr>
              <w:t xml:space="preserve">Meeting SCHEDULED</w:t>
            </w:r>
          </w:p>
        </w:tc>
        <w:tc>
          <w:tcPr>
            <w:tcW w:w="2186" w:type="dxa"/>
          </w:tcPr>
          <w:p>
            <w:pPr>
              <w:pStyle w:val="Compact"/>
              <w:spacing w:after="40"/>
              <w:jc w:val="left"/>
            </w:pPr>
            <w:r>
              <w:rPr>
                <w:sz w:val="18"/>
              </w:rPr>
              <w:t xml:space="preserve">meeting type (BOARD, COMMITTEE, AGM, EGM, GENERAL_BODY), date, mode, mandatory items covered, notice dispatched_at</w:t>
            </w:r>
          </w:p>
        </w:tc>
        <w:tc>
          <w:tcPr>
            <w:tcW w:w="739" w:type="dxa"/>
          </w:tcPr>
          <w:p>
            <w:pPr>
              <w:pStyle w:val="Compact"/>
              <w:spacing w:after="40"/>
              <w:jc w:val="left"/>
            </w:pPr>
            <w:r>
              <w:rPr>
                <w:sz w:val="18"/>
              </w:rPr>
              <w:t xml:space="preserve">FX</w:t>
            </w:r>
          </w:p>
        </w:tc>
        <w:tc>
          <w:tcPr>
            <w:tcW w:w="1077" w:type="dxa"/>
          </w:tcPr>
          <w:p>
            <w:pPr>
              <w:pStyle w:val="Compact"/>
              <w:spacing w:after="40"/>
              <w:jc w:val="left"/>
            </w:pPr>
            <w:r>
              <w:rPr>
                <w:sz w:val="18"/>
              </w:rPr>
              <w:t xml:space="preserve">(meeting_id, version)</w:t>
            </w:r>
          </w:p>
        </w:tc>
        <w:tc>
          <w:tcPr>
            <w:tcW w:w="808" w:type="dxa"/>
          </w:tcPr>
          <w:p>
            <w:pPr>
              <w:pStyle w:val="Compact"/>
              <w:spacing w:after="40"/>
              <w:jc w:val="left"/>
            </w:pPr>
            <w:r>
              <w:rPr>
                <w:sz w:val="18"/>
              </w:rPr>
              <w:t xml:space="preserve">std</w:t>
            </w:r>
          </w:p>
        </w:tc>
      </w:tr>
      <w:tr>
        <w:tc>
          <w:tcPr>
            <w:tcW w:w="995" w:type="dxa"/>
          </w:tcPr>
          <w:p>
            <w:pPr>
              <w:pStyle w:val="Compact"/>
              <w:spacing w:after="40"/>
              <w:jc w:val="left"/>
            </w:pPr>
            <w:r>
              <w:rPr>
                <w:rStyle w:val="VerbatimChar"/>
                <w:sz w:val="18"/>
              </w:rPr>
              <w:t xml:space="preserve">ResolutionPassed</w:t>
            </w:r>
            <w:r>
              <w:rPr>
                <w:sz w:val="18"/>
              </w:rPr>
              <w:t xml:space="preserve"> </w:t>
            </w:r>
            <w:r>
              <w:rPr>
                <w:sz w:val="18"/>
              </w:rPr>
              <w:t xml:space="preserve">(N11) signed</w:t>
            </w:r>
          </w:p>
        </w:tc>
        <w:tc>
          <w:tcPr>
            <w:tcW w:w="2402" w:type="dxa"/>
          </w:tcPr>
          <w:p>
            <w:pPr>
              <w:pStyle w:val="Compact"/>
              <w:spacing w:after="40"/>
              <w:jc w:val="left"/>
            </w:pPr>
            <w:r>
              <w:rPr>
                <w:sz w:val="18"/>
              </w:rPr>
              <w:t xml:space="preserve">FX → tenant compliance destination only</w:t>
            </w:r>
          </w:p>
        </w:tc>
        <w:tc>
          <w:tcPr>
            <w:tcW w:w="1431" w:type="dxa"/>
          </w:tcPr>
          <w:p>
            <w:pPr>
              <w:pStyle w:val="Compact"/>
              <w:spacing w:after="40"/>
              <w:jc w:val="left"/>
            </w:pPr>
            <w:r>
              <w:rPr>
                <w:sz w:val="18"/>
              </w:rPr>
              <w:t xml:space="preserve">Each resolution passed</w:t>
            </w:r>
          </w:p>
        </w:tc>
        <w:tc>
          <w:tcPr>
            <w:tcW w:w="2186" w:type="dxa"/>
          </w:tcPr>
          <w:p>
            <w:pPr>
              <w:pStyle w:val="Compact"/>
              <w:spacing w:after="40"/>
              <w:jc w:val="left"/>
            </w:pPr>
            <w:r>
              <w:rPr>
                <w:sz w:val="18"/>
              </w:rPr>
              <w:t xml:space="preserve">meeting and resolution type (BOARD, CIRCULAR, ORDINARY, SPECIAL), subject code, effective date, filings started (e.g. MGT-14), evidence hash</w:t>
            </w:r>
          </w:p>
        </w:tc>
        <w:tc>
          <w:tcPr>
            <w:tcW w:w="739" w:type="dxa"/>
          </w:tcPr>
          <w:p>
            <w:pPr>
              <w:pStyle w:val="Compact"/>
              <w:spacing w:after="40"/>
              <w:jc w:val="left"/>
            </w:pPr>
            <w:r>
              <w:rPr>
                <w:sz w:val="18"/>
              </w:rPr>
              <w:t xml:space="preserve">FX</w:t>
            </w:r>
          </w:p>
        </w:tc>
        <w:tc>
          <w:tcPr>
            <w:tcW w:w="1077" w:type="dxa"/>
          </w:tcPr>
          <w:p>
            <w:pPr>
              <w:pStyle w:val="Compact"/>
              <w:spacing w:after="40"/>
              <w:jc w:val="left"/>
            </w:pPr>
            <w:r>
              <w:rPr>
                <w:sz w:val="18"/>
              </w:rPr>
              <w:t xml:space="preserve">resolution_id</w:t>
            </w:r>
          </w:p>
        </w:tc>
        <w:tc>
          <w:tcPr>
            <w:tcW w:w="808" w:type="dxa"/>
          </w:tcPr>
          <w:p>
            <w:pPr>
              <w:pStyle w:val="Compact"/>
              <w:spacing w:after="40"/>
              <w:jc w:val="left"/>
            </w:pPr>
            <w:r>
              <w:rPr>
                <w:sz w:val="18"/>
              </w:rPr>
              <w:t xml:space="preserve">std</w:t>
            </w:r>
          </w:p>
        </w:tc>
      </w:tr>
      <w:tr>
        <w:tc>
          <w:tcPr>
            <w:tcW w:w="995" w:type="dxa"/>
          </w:tcPr>
          <w:p>
            <w:pPr>
              <w:pStyle w:val="Compact"/>
              <w:spacing w:after="40"/>
              <w:jc w:val="left"/>
            </w:pPr>
            <w:r>
              <w:rPr>
                <w:rStyle w:val="VerbatimChar"/>
                <w:sz w:val="18"/>
              </w:rPr>
              <w:t xml:space="preserve">KmpChanged</w:t>
            </w:r>
            <w:r>
              <w:rPr>
                <w:sz w:val="18"/>
              </w:rPr>
              <w:t xml:space="preserve"> </w:t>
            </w:r>
            <w:r>
              <w:rPr>
                <w:sz w:val="18"/>
              </w:rPr>
              <w:t xml:space="preserve">(N11)</w:t>
            </w:r>
          </w:p>
        </w:tc>
        <w:tc>
          <w:tcPr>
            <w:tcW w:w="2402" w:type="dxa"/>
          </w:tcPr>
          <w:p>
            <w:pPr>
              <w:pStyle w:val="Compact"/>
              <w:spacing w:after="40"/>
              <w:jc w:val="left"/>
            </w:pPr>
            <w:r>
              <w:rPr>
                <w:sz w:val="18"/>
              </w:rPr>
              <w:t xml:space="preserve">FX → tenant compliance destination only</w:t>
            </w:r>
          </w:p>
        </w:tc>
        <w:tc>
          <w:tcPr>
            <w:tcW w:w="1431" w:type="dxa"/>
          </w:tcPr>
          <w:p>
            <w:pPr>
              <w:pStyle w:val="Compact"/>
              <w:spacing w:after="40"/>
              <w:jc w:val="left"/>
            </w:pPr>
            <w:r>
              <w:rPr>
                <w:sz w:val="18"/>
              </w:rPr>
              <w:t xml:space="preserve">Director or KMP appointment, cessation or redesignation</w:t>
            </w:r>
          </w:p>
        </w:tc>
        <w:tc>
          <w:tcPr>
            <w:tcW w:w="2186" w:type="dxa"/>
          </w:tcPr>
          <w:p>
            <w:pPr>
              <w:pStyle w:val="Compact"/>
              <w:spacing w:after="40"/>
              <w:jc w:val="left"/>
            </w:pPr>
            <w:r>
              <w:rPr>
                <w:sz w:val="18"/>
              </w:rPr>
              <w:t xml:space="preserve">role, DIN (directors only), effective date, evidence hash, obligations started; never PAN or date of birth</w:t>
            </w:r>
          </w:p>
        </w:tc>
        <w:tc>
          <w:tcPr>
            <w:tcW w:w="739" w:type="dxa"/>
          </w:tcPr>
          <w:p>
            <w:pPr>
              <w:pStyle w:val="Compact"/>
              <w:spacing w:after="40"/>
              <w:jc w:val="left"/>
            </w:pPr>
            <w:r>
              <w:rPr>
                <w:sz w:val="18"/>
              </w:rPr>
              <w:t xml:space="preserve">FX</w:t>
            </w:r>
          </w:p>
        </w:tc>
        <w:tc>
          <w:tcPr>
            <w:tcW w:w="1077" w:type="dxa"/>
          </w:tcPr>
          <w:p>
            <w:pPr>
              <w:pStyle w:val="Compact"/>
              <w:spacing w:after="40"/>
              <w:jc w:val="left"/>
            </w:pPr>
            <w:r>
              <w:rPr>
                <w:sz w:val="18"/>
              </w:rPr>
              <w:t xml:space="preserve">(person_ref, role, effective_date)</w:t>
            </w:r>
          </w:p>
        </w:tc>
        <w:tc>
          <w:tcPr>
            <w:tcW w:w="808" w:type="dxa"/>
          </w:tcPr>
          <w:p>
            <w:pPr>
              <w:pStyle w:val="Compact"/>
              <w:spacing w:after="40"/>
              <w:jc w:val="left"/>
            </w:pPr>
            <w:r>
              <w:rPr>
                <w:sz w:val="18"/>
              </w:rPr>
              <w:t xml:space="preserve">std</w:t>
            </w:r>
          </w:p>
        </w:tc>
      </w:tr>
      <w:tr>
        <w:tc>
          <w:tcPr>
            <w:tcW w:w="995" w:type="dxa"/>
          </w:tcPr>
          <w:p>
            <w:pPr>
              <w:pStyle w:val="Compact"/>
              <w:spacing w:after="40"/>
              <w:jc w:val="left"/>
            </w:pPr>
            <w:r>
              <w:rPr>
                <w:rStyle w:val="VerbatimChar"/>
                <w:sz w:val="18"/>
              </w:rPr>
              <w:t xml:space="preserve">TaskAssigned</w:t>
            </w:r>
            <w:r>
              <w:rPr>
                <w:sz w:val="18"/>
              </w:rPr>
              <w:t xml:space="preserve"> </w:t>
            </w:r>
            <w:r>
              <w:rPr>
                <w:sz w:val="18"/>
              </w:rPr>
              <w:t xml:space="preserve">(N11)</w:t>
            </w:r>
          </w:p>
        </w:tc>
        <w:tc>
          <w:tcPr>
            <w:tcW w:w="2402" w:type="dxa"/>
          </w:tcPr>
          <w:p>
            <w:pPr>
              <w:pStyle w:val="Compact"/>
              <w:spacing w:after="40"/>
              <w:jc w:val="left"/>
            </w:pPr>
            <w:r>
              <w:rPr>
                <w:sz w:val="18"/>
              </w:rPr>
              <w:t xml:space="preserve">FX → tenant compliance destination only</w:t>
            </w:r>
          </w:p>
        </w:tc>
        <w:tc>
          <w:tcPr>
            <w:tcW w:w="1431" w:type="dxa"/>
          </w:tcPr>
          <w:p>
            <w:pPr>
              <w:pStyle w:val="Compact"/>
              <w:spacing w:after="40"/>
              <w:jc w:val="left"/>
            </w:pPr>
            <w:r>
              <w:rPr>
                <w:sz w:val="18"/>
              </w:rPr>
              <w:t xml:space="preserve">Task sourced from an obligation, audit finding or resolution</w:t>
            </w:r>
          </w:p>
        </w:tc>
        <w:tc>
          <w:tcPr>
            <w:tcW w:w="2186" w:type="dxa"/>
          </w:tcPr>
          <w:p>
            <w:pPr>
              <w:pStyle w:val="Compact"/>
              <w:spacing w:after="40"/>
              <w:jc w:val="left"/>
            </w:pPr>
            <w:r>
              <w:rPr>
                <w:sz w:val="18"/>
              </w:rPr>
              <w:t xml:space="preserve">source ref, due date, owner position, evidence requirement</w:t>
            </w:r>
          </w:p>
        </w:tc>
        <w:tc>
          <w:tcPr>
            <w:tcW w:w="739" w:type="dxa"/>
          </w:tcPr>
          <w:p>
            <w:pPr>
              <w:pStyle w:val="Compact"/>
              <w:spacing w:after="40"/>
              <w:jc w:val="left"/>
            </w:pPr>
            <w:r>
              <w:rPr>
                <w:sz w:val="18"/>
              </w:rPr>
              <w:t xml:space="preserve">FX</w:t>
            </w:r>
          </w:p>
        </w:tc>
        <w:tc>
          <w:tcPr>
            <w:tcW w:w="1077" w:type="dxa"/>
          </w:tcPr>
          <w:p>
            <w:pPr>
              <w:pStyle w:val="Compact"/>
              <w:spacing w:after="40"/>
              <w:jc w:val="left"/>
            </w:pPr>
            <w:r>
              <w:rPr>
                <w:sz w:val="18"/>
              </w:rPr>
              <w:t xml:space="preserve">task_id</w:t>
            </w:r>
          </w:p>
        </w:tc>
        <w:tc>
          <w:tcPr>
            <w:tcW w:w="808" w:type="dxa"/>
          </w:tcPr>
          <w:p>
            <w:pPr>
              <w:pStyle w:val="Compact"/>
              <w:spacing w:after="40"/>
              <w:jc w:val="left"/>
            </w:pPr>
            <w:r>
              <w:rPr>
                <w:sz w:val="18"/>
              </w:rPr>
              <w:t xml:space="preserve">std</w:t>
            </w:r>
          </w:p>
        </w:tc>
      </w:tr>
      <w:tr>
        <w:tc>
          <w:tcPr>
            <w:tcW w:w="995" w:type="dxa"/>
          </w:tcPr>
          <w:p>
            <w:pPr>
              <w:pStyle w:val="Compact"/>
              <w:spacing w:after="40"/>
              <w:jc w:val="left"/>
            </w:pPr>
            <w:r>
              <w:rPr>
                <w:rStyle w:val="VerbatimChar"/>
                <w:sz w:val="18"/>
              </w:rPr>
              <w:t xml:space="preserve">EmployeeOnboarded</w:t>
            </w:r>
            <w:r>
              <w:rPr>
                <w:sz w:val="18"/>
              </w:rPr>
              <w:t xml:space="preserve"> </w:t>
            </w:r>
            <w:r>
              <w:rPr>
                <w:sz w:val="18"/>
              </w:rPr>
              <w:t xml:space="preserve">(N11)</w:t>
            </w:r>
          </w:p>
        </w:tc>
        <w:tc>
          <w:tcPr>
            <w:tcW w:w="2402" w:type="dxa"/>
          </w:tcPr>
          <w:p>
            <w:pPr>
              <w:pStyle w:val="Compact"/>
              <w:spacing w:after="40"/>
              <w:jc w:val="left"/>
            </w:pPr>
            <w:r>
              <w:rPr>
                <w:sz w:val="18"/>
              </w:rPr>
              <w:t xml:space="preserve">FX GV6 → tenant-internal consumers; OH10 → OH modules and the Infrabyx LDC_GROUP tenant</w:t>
            </w:r>
          </w:p>
        </w:tc>
        <w:tc>
          <w:tcPr>
            <w:tcW w:w="1431" w:type="dxa"/>
          </w:tcPr>
          <w:p>
            <w:pPr>
              <w:pStyle w:val="Compact"/>
              <w:spacing w:after="40"/>
              <w:jc w:val="left"/>
            </w:pPr>
            <w:r>
              <w:rPr>
                <w:sz w:val="18"/>
              </w:rPr>
              <w:t xml:space="preserve">Employee reaches JOINED</w:t>
            </w:r>
          </w:p>
        </w:tc>
        <w:tc>
          <w:tcPr>
            <w:tcW w:w="2186" w:type="dxa"/>
          </w:tcPr>
          <w:p>
            <w:pPr>
              <w:pStyle w:val="Compact"/>
              <w:spacing w:after="40"/>
              <w:jc w:val="left"/>
            </w:pPr>
            <w:r>
              <w:rPr>
                <w:sz w:val="18"/>
              </w:rPr>
              <w:t xml:space="preserve">employee_ref (pseudonymous), legal entity, department, position, worker type, start date</w:t>
            </w:r>
          </w:p>
        </w:tc>
        <w:tc>
          <w:tcPr>
            <w:tcW w:w="739" w:type="dxa"/>
          </w:tcPr>
          <w:p>
            <w:pPr>
              <w:pStyle w:val="Compact"/>
              <w:spacing w:after="40"/>
              <w:jc w:val="left"/>
            </w:pPr>
            <w:r>
              <w:rPr>
                <w:sz w:val="18"/>
              </w:rPr>
              <w:t xml:space="preserve">Employer system</w:t>
            </w:r>
          </w:p>
        </w:tc>
        <w:tc>
          <w:tcPr>
            <w:tcW w:w="1077" w:type="dxa"/>
          </w:tcPr>
          <w:p>
            <w:pPr>
              <w:pStyle w:val="Compact"/>
              <w:spacing w:after="40"/>
              <w:jc w:val="left"/>
            </w:pPr>
            <w:r>
              <w:rPr>
                <w:sz w:val="18"/>
              </w:rPr>
              <w:t xml:space="preserve">(employee_ref, lifecycle_seq)</w:t>
            </w:r>
          </w:p>
        </w:tc>
        <w:tc>
          <w:tcPr>
            <w:tcW w:w="808" w:type="dxa"/>
          </w:tcPr>
          <w:p>
            <w:pPr>
              <w:pStyle w:val="Compact"/>
              <w:spacing w:after="40"/>
              <w:jc w:val="left"/>
            </w:pPr>
            <w:r>
              <w:rPr>
                <w:sz w:val="18"/>
              </w:rPr>
              <w:t xml:space="preserve">std</w:t>
            </w:r>
          </w:p>
        </w:tc>
      </w:tr>
      <w:tr>
        <w:tc>
          <w:tcPr>
            <w:tcW w:w="995" w:type="dxa"/>
          </w:tcPr>
          <w:p>
            <w:pPr>
              <w:pStyle w:val="Compact"/>
              <w:spacing w:after="40"/>
              <w:jc w:val="left"/>
            </w:pPr>
            <w:r>
              <w:rPr>
                <w:rStyle w:val="VerbatimChar"/>
                <w:sz w:val="18"/>
              </w:rPr>
              <w:t xml:space="preserve">EmployeeOffboarded</w:t>
            </w:r>
            <w:r>
              <w:rPr>
                <w:sz w:val="18"/>
              </w:rPr>
              <w:t xml:space="preserve"> </w:t>
            </w:r>
            <w:r>
              <w:rPr>
                <w:sz w:val="18"/>
              </w:rPr>
              <w:t xml:space="preserve">(N11)</w:t>
            </w:r>
          </w:p>
        </w:tc>
        <w:tc>
          <w:tcPr>
            <w:tcW w:w="2402" w:type="dxa"/>
          </w:tcPr>
          <w:p>
            <w:pPr>
              <w:pStyle w:val="Compact"/>
              <w:spacing w:after="40"/>
              <w:jc w:val="left"/>
            </w:pPr>
            <w:r>
              <w:rPr>
                <w:sz w:val="18"/>
              </w:rPr>
              <w:t xml:space="preserve">Same boundary as above</w:t>
            </w:r>
          </w:p>
        </w:tc>
        <w:tc>
          <w:tcPr>
            <w:tcW w:w="1431" w:type="dxa"/>
          </w:tcPr>
          <w:p>
            <w:pPr>
              <w:pStyle w:val="Compact"/>
              <w:spacing w:after="40"/>
              <w:jc w:val="left"/>
            </w:pPr>
            <w:r>
              <w:rPr>
                <w:sz w:val="18"/>
              </w:rPr>
              <w:t xml:space="preserve">LAST_WORKING_DAY reached or dismissal</w:t>
            </w:r>
          </w:p>
        </w:tc>
        <w:tc>
          <w:tcPr>
            <w:tcW w:w="2186" w:type="dxa"/>
          </w:tcPr>
          <w:p>
            <w:pPr>
              <w:pStyle w:val="Compact"/>
              <w:spacing w:after="40"/>
              <w:jc w:val="left"/>
            </w:pPr>
            <w:r>
              <w:rPr>
                <w:sz w:val="18"/>
              </w:rPr>
              <w:t xml:space="preserve">employee_ref, last working day, access_off_at, final-wage timer start (Code on Wages s.17(2): 2 working days)</w:t>
            </w:r>
          </w:p>
        </w:tc>
        <w:tc>
          <w:tcPr>
            <w:tcW w:w="739" w:type="dxa"/>
          </w:tcPr>
          <w:p>
            <w:pPr>
              <w:pStyle w:val="Compact"/>
              <w:spacing w:after="40"/>
              <w:jc w:val="left"/>
            </w:pPr>
            <w:r>
              <w:rPr>
                <w:sz w:val="18"/>
              </w:rPr>
              <w:t xml:space="preserve">Employer system</w:t>
            </w:r>
          </w:p>
        </w:tc>
        <w:tc>
          <w:tcPr>
            <w:tcW w:w="1077" w:type="dxa"/>
          </w:tcPr>
          <w:p>
            <w:pPr>
              <w:pStyle w:val="Compact"/>
              <w:spacing w:after="40"/>
              <w:jc w:val="left"/>
            </w:pPr>
            <w:r>
              <w:rPr>
                <w:sz w:val="18"/>
              </w:rPr>
              <w:t xml:space="preserve">(employee_ref, lifecycle_seq)</w:t>
            </w:r>
          </w:p>
        </w:tc>
        <w:tc>
          <w:tcPr>
            <w:tcW w:w="808" w:type="dxa"/>
          </w:tcPr>
          <w:p>
            <w:pPr>
              <w:pStyle w:val="Compact"/>
              <w:spacing w:after="40"/>
              <w:jc w:val="left"/>
            </w:pPr>
            <w:r>
              <w:rPr>
                <w:sz w:val="18"/>
              </w:rPr>
              <w:t xml:space="preserve">Access off same day</w:t>
            </w:r>
          </w:p>
        </w:tc>
      </w:tr>
      <w:tr>
        <w:tc>
          <w:tcPr>
            <w:tcW w:w="995" w:type="dxa"/>
          </w:tcPr>
          <w:p>
            <w:pPr>
              <w:pStyle w:val="Compact"/>
              <w:spacing w:after="40"/>
              <w:jc w:val="left"/>
            </w:pPr>
            <w:r>
              <w:rPr>
                <w:rStyle w:val="VerbatimChar"/>
                <w:sz w:val="18"/>
              </w:rPr>
              <w:t xml:space="preserve">MailboxProvisioned</w:t>
            </w:r>
            <w:r>
              <w:rPr>
                <w:sz w:val="18"/>
              </w:rPr>
              <w:t xml:space="preserve"> </w:t>
            </w:r>
            <w:r>
              <w:rPr>
                <w:sz w:val="18"/>
              </w:rPr>
              <w:t xml:space="preserve">(N11)</w:t>
            </w:r>
          </w:p>
        </w:tc>
        <w:tc>
          <w:tcPr>
            <w:tcW w:w="2402" w:type="dxa"/>
          </w:tcPr>
          <w:p>
            <w:pPr>
              <w:pStyle w:val="Compact"/>
              <w:spacing w:after="40"/>
              <w:jc w:val="left"/>
            </w:pPr>
            <w:r>
              <w:rPr>
                <w:sz w:val="18"/>
              </w:rPr>
              <w:t xml:space="preserve">FX GV7 → tenant-internal; OH12 → OH modules</w:t>
            </w:r>
          </w:p>
        </w:tc>
        <w:tc>
          <w:tcPr>
            <w:tcW w:w="1431" w:type="dxa"/>
          </w:tcPr>
          <w:p>
            <w:pPr>
              <w:pStyle w:val="Compact"/>
              <w:spacing w:after="40"/>
              <w:jc w:val="left"/>
            </w:pPr>
            <w:r>
              <w:rPr>
                <w:sz w:val="18"/>
              </w:rPr>
              <w:t xml:space="preserve">Mailbox and licence assigned through</w:t>
            </w:r>
            <w:r>
              <w:rPr>
                <w:sz w:val="18"/>
              </w:rPr>
              <w:t xml:space="preserve"> </w:t>
            </w:r>
            <w:r>
              <w:rPr>
                <w:rStyle w:val="VerbatimChar"/>
                <w:sz w:val="18"/>
              </w:rPr>
              <w:t xml:space="preserve">WorkplaceProvider</w:t>
            </w:r>
          </w:p>
        </w:tc>
        <w:tc>
          <w:tcPr>
            <w:tcW w:w="2186" w:type="dxa"/>
          </w:tcPr>
          <w:p>
            <w:pPr>
              <w:pStyle w:val="Compact"/>
              <w:spacing w:after="40"/>
              <w:jc w:val="left"/>
            </w:pPr>
            <w:r>
              <w:rPr>
                <w:sz w:val="18"/>
              </w:rPr>
              <w:t xml:space="preserve">provider (M365, GOOGLE, ONPREM), mailbox alias ref, licence SKU, residency attestation ref, action (CREATE, SUSPEND, RETAIN, DELETE)</w:t>
            </w:r>
          </w:p>
        </w:tc>
        <w:tc>
          <w:tcPr>
            <w:tcW w:w="739" w:type="dxa"/>
          </w:tcPr>
          <w:p>
            <w:pPr>
              <w:pStyle w:val="Compact"/>
              <w:spacing w:after="40"/>
              <w:jc w:val="left"/>
            </w:pPr>
            <w:r>
              <w:rPr>
                <w:sz w:val="18"/>
              </w:rPr>
              <w:t xml:space="preserve">Employer system</w:t>
            </w:r>
          </w:p>
        </w:tc>
        <w:tc>
          <w:tcPr>
            <w:tcW w:w="1077" w:type="dxa"/>
          </w:tcPr>
          <w:p>
            <w:pPr>
              <w:pStyle w:val="Compact"/>
              <w:spacing w:after="40"/>
              <w:jc w:val="left"/>
            </w:pPr>
            <w:r>
              <w:rPr>
                <w:sz w:val="18"/>
              </w:rPr>
              <w:t xml:space="preserve">(employee_ref, provider, action)</w:t>
            </w:r>
          </w:p>
        </w:tc>
        <w:tc>
          <w:tcPr>
            <w:tcW w:w="808" w:type="dxa"/>
          </w:tcPr>
          <w:p>
            <w:pPr>
              <w:pStyle w:val="Compact"/>
              <w:spacing w:after="40"/>
              <w:jc w:val="left"/>
            </w:pPr>
            <w:r>
              <w:rPr>
                <w:sz w:val="18"/>
              </w:rPr>
              <w:t xml:space="preserve">std</w:t>
            </w:r>
          </w:p>
        </w:tc>
      </w:tr>
      <w:tr>
        <w:tc>
          <w:tcPr>
            <w:tcW w:w="995" w:type="dxa"/>
          </w:tcPr>
          <w:p>
            <w:pPr>
              <w:pStyle w:val="Compact"/>
              <w:spacing w:after="40"/>
              <w:jc w:val="left"/>
            </w:pPr>
            <w:r>
              <w:rPr>
                <w:rStyle w:val="VerbatimChar"/>
                <w:sz w:val="18"/>
              </w:rPr>
              <w:t xml:space="preserve">AccessReviewCompleted</w:t>
            </w:r>
            <w:r>
              <w:rPr>
                <w:sz w:val="18"/>
              </w:rPr>
              <w:t xml:space="preserve"> </w:t>
            </w:r>
            <w:r>
              <w:rPr>
                <w:sz w:val="18"/>
              </w:rPr>
              <w:t xml:space="preserve">(N11)</w:t>
            </w:r>
          </w:p>
        </w:tc>
        <w:tc>
          <w:tcPr>
            <w:tcW w:w="2402" w:type="dxa"/>
          </w:tcPr>
          <w:p>
            <w:pPr>
              <w:pStyle w:val="Compact"/>
              <w:spacing w:after="40"/>
              <w:jc w:val="left"/>
            </w:pPr>
            <w:r>
              <w:rPr>
                <w:sz w:val="18"/>
              </w:rPr>
              <w:t xml:space="preserve">FX, UD, OH → routed by</w:t>
            </w:r>
            <w:r>
              <w:rPr>
                <w:sz w:val="18"/>
              </w:rPr>
              <w:t xml:space="preserve"> </w:t>
            </w:r>
            <w:r>
              <w:rPr>
                <w:rStyle w:val="VerbatimChar"/>
                <w:sz w:val="18"/>
              </w:rPr>
              <w:t xml:space="preserve">review_scope</w:t>
            </w:r>
            <w:r>
              <w:rPr>
                <w:sz w:val="18"/>
              </w:rPr>
              <w:t xml:space="preserve">: TENANT → tenant compliance destination only; PLATFORM (Infrabyx staff access to Finbyx or Udofin production) → OH13, OH14; OH → OH14</w:t>
            </w:r>
          </w:p>
        </w:tc>
        <w:tc>
          <w:tcPr>
            <w:tcW w:w="1431" w:type="dxa"/>
          </w:tcPr>
          <w:p>
            <w:pPr>
              <w:pStyle w:val="Compact"/>
              <w:spacing w:after="40"/>
              <w:jc w:val="left"/>
            </w:pPr>
            <w:r>
              <w:rPr>
                <w:sz w:val="18"/>
              </w:rPr>
              <w:t xml:space="preserve">Access attestation completed</w:t>
            </w:r>
          </w:p>
        </w:tc>
        <w:tc>
          <w:tcPr>
            <w:tcW w:w="2186" w:type="dxa"/>
          </w:tcPr>
          <w:p>
            <w:pPr>
              <w:pStyle w:val="Compact"/>
              <w:spacing w:after="40"/>
              <w:jc w:val="left"/>
            </w:pPr>
            <w:r>
              <w:rPr>
                <w:sz w:val="18"/>
              </w:rPr>
              <w:t xml:space="preserve">review_scope, system, period, population count, exceptions, revocations, reviewer roles, evidence hash</w:t>
            </w:r>
          </w:p>
        </w:tc>
        <w:tc>
          <w:tcPr>
            <w:tcW w:w="739" w:type="dxa"/>
          </w:tcPr>
          <w:p>
            <w:pPr>
              <w:pStyle w:val="Compact"/>
              <w:spacing w:after="40"/>
              <w:jc w:val="left"/>
            </w:pPr>
            <w:r>
              <w:rPr>
                <w:sz w:val="18"/>
              </w:rPr>
              <w:t xml:space="preserve">Reviewing system</w:t>
            </w:r>
          </w:p>
        </w:tc>
        <w:tc>
          <w:tcPr>
            <w:tcW w:w="1077" w:type="dxa"/>
          </w:tcPr>
          <w:p>
            <w:pPr>
              <w:pStyle w:val="Compact"/>
              <w:spacing w:after="40"/>
              <w:jc w:val="left"/>
            </w:pPr>
            <w:r>
              <w:rPr>
                <w:sz w:val="18"/>
              </w:rPr>
              <w:t xml:space="preserve">review_id</w:t>
            </w:r>
          </w:p>
        </w:tc>
        <w:tc>
          <w:tcPr>
            <w:tcW w:w="808" w:type="dxa"/>
          </w:tcPr>
          <w:p>
            <w:pPr>
              <w:pStyle w:val="Compact"/>
              <w:spacing w:after="40"/>
              <w:jc w:val="left"/>
            </w:pPr>
            <w:r>
              <w:rPr>
                <w:sz w:val="18"/>
              </w:rPr>
              <w:t xml:space="preserve">≤ 1 working day</w:t>
            </w:r>
          </w:p>
        </w:tc>
      </w:tr>
    </w:tbl>
    <w:p>
      <w:pPr>
        <w:pStyle w:val="BodyText"/>
      </w:pPr>
      <w:r>
        <w:rPr>
          <w:bCs/>
          <w:b/>
        </w:rPr>
        <w:t xml:space="preserve">Tenant-internal routing rules.</w:t>
      </w:r>
    </w:p>
    <w:p>
      <w:pPr>
        <w:numPr>
          <w:ilvl w:val="0"/>
          <w:numId w:val="1017"/>
        </w:numPr>
        <w:pStyle w:val="Compact"/>
      </w:pPr>
      <w:r>
        <w:t xml:space="preserve">Governance events and tenant workforce events (</w:t>
      </w:r>
      <w:r>
        <w:rPr>
          <w:rStyle w:val="VerbatimChar"/>
        </w:rPr>
        <w:t xml:space="preserve">review_scope = TENANT</w:t>
      </w:r>
      <w:r>
        <w:t xml:space="preserve">) never leave the tenant boundary except to the tenant’s own compliance destination (9.1); never to the Operations Hub, Equator, another group company or another tenant. An OH subscription to these subjects from a product source is refused at registration and at the gateway.</w:t>
      </w:r>
    </w:p>
    <w:p>
      <w:pPr>
        <w:numPr>
          <w:ilvl w:val="0"/>
          <w:numId w:val="1017"/>
        </w:numPr>
        <w:pStyle w:val="Compact"/>
      </w:pPr>
      <w:r>
        <w:t xml:space="preserve">The Hub’s own HRMS emits the same names with</w:t>
      </w:r>
      <w:r>
        <w:t xml:space="preserve"> </w:t>
      </w:r>
      <w:r>
        <w:rPr>
          <w:rStyle w:val="VerbatimChar"/>
        </w:rPr>
        <w:t xml:space="preserve">source = urn:infrabyx:oh:[legalentityid]</w:t>
      </w:r>
      <w:r>
        <w:t xml:space="preserve">; identities reach group products through SCIM (4.6), not through events.</w:t>
      </w:r>
    </w:p>
    <w:p>
      <w:pPr>
        <w:numPr>
          <w:ilvl w:val="0"/>
          <w:numId w:val="1017"/>
        </w:numPr>
        <w:pStyle w:val="Compact"/>
      </w:pPr>
      <w:r>
        <w:t xml:space="preserve">Payloads never carry PAN, Aadhaar, date of birth, bank account, salary, leave reason or health data; those stay in the employer system under the</w:t>
      </w:r>
      <w:r>
        <w:t xml:space="preserve"> </w:t>
      </w:r>
      <w:r>
        <w:rPr>
          <w:rStyle w:val="VerbatimChar"/>
        </w:rPr>
        <w:t xml:space="preserve">HR</w:t>
      </w:r>
      <w:r>
        <w:t xml:space="preserve"> </w:t>
      </w:r>
      <w:r>
        <w:t xml:space="preserve">class (13.2).</w:t>
      </w:r>
    </w:p>
    <w:p>
      <w:pPr>
        <w:numPr>
          <w:ilvl w:val="0"/>
          <w:numId w:val="1017"/>
        </w:numPr>
        <w:pStyle w:val="Compact"/>
      </w:pPr>
      <w:r>
        <w:t xml:space="preserve">Prohibited monitoring data (keystroke or mouse scores, screenshots, webcam capture, off-duty location, covert monitoring, AI productivity scores used for discipline or pay) is never captured, so no schema may contain it (DPDP; Finbyx GV6.3).</w:t>
      </w:r>
    </w:p>
    <w:p>
      <w:pPr>
        <w:numPr>
          <w:ilvl w:val="0"/>
          <w:numId w:val="1017"/>
        </w:numPr>
        <w:pStyle w:val="Compact"/>
      </w:pPr>
      <w:r>
        <w:t xml:space="preserve">Wage, leave, overtime, gratuity and State tables come from the shared Labour Code rule pack (12.3).</w:t>
      </w:r>
    </w:p>
    <w:bookmarkEnd w:id="70"/>
    <w:bookmarkStart w:id="71" w:name="member-and-group-lending-members"/>
    <w:p>
      <w:pPr>
        <w:pStyle w:val="Heading2"/>
      </w:pPr>
      <w:r>
        <w:t xml:space="preserve">6.24 Member and group lending (</w:t>
      </w:r>
      <w:r>
        <w:rPr>
          <w:rStyle w:val="VerbatimChar"/>
        </w:rPr>
        <w:t xml:space="preserve">members</w:t>
      </w:r>
      <w:r>
        <w:t xml:space="preserve">)</w:t>
      </w:r>
    </w:p>
    <w:p>
      <w:pPr>
        <w:pStyle w:val="FirstParagraph"/>
      </w:pPr>
      <w:r>
        <w:t xml:space="preserve">Finbyx Part 7G (IP2 credit co-operative societies, IP4 microfinance JLG and SHG); Udofin Part 7E (MG1–MG4) and Part 7B UP4.</w:t>
      </w:r>
      <w:r>
        <w:t xml:space="preserve"> </w:t>
      </w:r>
      <w:r>
        <w:rPr>
          <w:bCs/>
          <w:b/>
        </w:rPr>
        <w:t xml:space="preserve">Producer rule:</w:t>
      </w:r>
      <w:r>
        <w:t xml:space="preserve"> </w:t>
      </w:r>
      <w:r>
        <w:t xml:space="preserve">the lender’s system of record (Finbyx or another certified LOS/LMS) produces</w:t>
      </w:r>
      <w:r>
        <w:t xml:space="preserve"> </w:t>
      </w:r>
      <w:r>
        <w:rPr>
          <w:rStyle w:val="VerbatimChar"/>
        </w:rPr>
        <w:t xml:space="preserve">MemberAdmitted</w:t>
      </w:r>
      <w:r>
        <w:t xml:space="preserve">,</w:t>
      </w:r>
      <w:r>
        <w:t xml:space="preserve"> </w:t>
      </w:r>
      <w:r>
        <w:rPr>
          <w:rStyle w:val="VerbatimChar"/>
        </w:rPr>
        <w:t xml:space="preserve">ShareCapitalPosted</w:t>
      </w:r>
      <w:r>
        <w:t xml:space="preserve">,</w:t>
      </w:r>
      <w:r>
        <w:t xml:space="preserve"> </w:t>
      </w:r>
      <w:r>
        <w:rPr>
          <w:rStyle w:val="VerbatimChar"/>
        </w:rPr>
        <w:t xml:space="preserve">GroupFormed</w:t>
      </w:r>
      <w:r>
        <w:t xml:space="preserve"> </w:t>
      </w:r>
      <w:r>
        <w:t xml:space="preserve">and</w:t>
      </w:r>
      <w:r>
        <w:t xml:space="preserve"> </w:t>
      </w:r>
      <w:r>
        <w:rPr>
          <w:rStyle w:val="VerbatimChar"/>
        </w:rPr>
        <w:t xml:space="preserve">GroupCollectionPosted</w:t>
      </w:r>
      <w:r>
        <w:t xml:space="preserve">; Udofin consumes them. Udofin produces</w:t>
      </w:r>
      <w:r>
        <w:t xml:space="preserve"> </w:t>
      </w:r>
      <w:r>
        <w:rPr>
          <w:rStyle w:val="VerbatimChar"/>
        </w:rPr>
        <w:t xml:space="preserve">CentreMeetingHeld</w:t>
      </w:r>
      <w:r>
        <w:t xml:space="preserve"> </w:t>
      </w:r>
      <w:r>
        <w:t xml:space="preserve">only when the meeting is closed in Udofin’s assisted tools; otherwise the lender produces it. A credit co-operative society is a</w:t>
      </w:r>
      <w:r>
        <w:t xml:space="preserve"> </w:t>
      </w:r>
      <w:r>
        <w:rPr>
          <w:bCs/>
          <w:b/>
        </w:rPr>
        <w:t xml:space="preserve">non-RE lender</w:t>
      </w:r>
      <w:r>
        <w:t xml:space="preserve">: it uses the same contracts with</w:t>
      </w:r>
      <w:r>
        <w:t xml:space="preserve"> </w:t>
      </w:r>
      <w:r>
        <w:rPr>
          <w:rStyle w:val="VerbatimChar"/>
        </w:rPr>
        <w:t xml:space="preserve">lender_type = NON_RE_SOCIETY</w:t>
      </w:r>
      <w:r>
        <w:t xml:space="preserve"> </w:t>
      </w:r>
      <w:r>
        <w:t xml:space="preserve">and its ecosystem lender id in</w:t>
      </w:r>
      <w:r>
        <w:t xml:space="preserve"> </w:t>
      </w:r>
      <w:r>
        <w:rPr>
          <w:rStyle w:val="VerbatimChar"/>
        </w:rPr>
        <w:t xml:space="preserve">reid</w:t>
      </w:r>
      <w:r>
        <w:t xml:space="preserve"> </w:t>
      </w:r>
      <w:r>
        <w:t xml:space="preserve">(4.1).</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65"/>
        <w:gridCol w:w="1329"/>
        <w:gridCol w:w="1287"/>
        <w:gridCol w:w="2356"/>
        <w:gridCol w:w="879"/>
        <w:gridCol w:w="1024"/>
        <w:gridCol w:w="1498"/>
      </w:tblGrid>
      <w:tr>
        <w:trPr>
          <w:tblHeader w:val="true"/>
          <w:tblHeader w:val="true"/>
        </w:trPr>
        <w:tc>
          <w:tcPr>
            <w:tcW w:w="1265" w:type="dxa"/>
            <w:shd w:val="clear" w:color="auto" w:fill="1F3A5F"/>
          </w:tcPr>
          <w:p>
            <w:pPr>
              <w:pStyle w:val="Compact"/>
              <w:spacing w:after="40"/>
              <w:jc w:val="left"/>
            </w:pPr>
            <w:r>
              <w:rPr>
                <w:b/>
                <w:color w:val="FFFFFF"/>
                <w:sz w:val="18"/>
              </w:rPr>
              <w:t xml:space="preserve">Event or API</w:t>
            </w:r>
          </w:p>
        </w:tc>
        <w:tc>
          <w:tcPr>
            <w:tcW w:w="1329" w:type="dxa"/>
            <w:shd w:val="clear" w:color="auto" w:fill="1F3A5F"/>
          </w:tcPr>
          <w:p>
            <w:pPr>
              <w:pStyle w:val="Compact"/>
              <w:spacing w:after="40"/>
              <w:jc w:val="left"/>
            </w:pPr>
            <w:r>
              <w:rPr>
                <w:b/>
                <w:color w:val="FFFFFF"/>
                <w:sz w:val="18"/>
              </w:rPr>
              <w:t xml:space="preserve">Producer → consumer(s)</w:t>
            </w:r>
          </w:p>
        </w:tc>
        <w:tc>
          <w:tcPr>
            <w:tcW w:w="1287" w:type="dxa"/>
            <w:shd w:val="clear" w:color="auto" w:fill="1F3A5F"/>
          </w:tcPr>
          <w:p>
            <w:pPr>
              <w:pStyle w:val="Compact"/>
              <w:spacing w:after="40"/>
              <w:jc w:val="left"/>
            </w:pPr>
            <w:r>
              <w:rPr>
                <w:b/>
                <w:color w:val="FFFFFF"/>
                <w:sz w:val="18"/>
              </w:rPr>
              <w:t xml:space="preserve">Trigger</w:t>
            </w:r>
          </w:p>
        </w:tc>
        <w:tc>
          <w:tcPr>
            <w:tcW w:w="2356" w:type="dxa"/>
            <w:shd w:val="clear" w:color="auto" w:fill="1F3A5F"/>
          </w:tcPr>
          <w:p>
            <w:pPr>
              <w:pStyle w:val="Compact"/>
              <w:spacing w:after="40"/>
              <w:jc w:val="left"/>
            </w:pPr>
            <w:r>
              <w:rPr>
                <w:b/>
                <w:color w:val="FFFFFF"/>
                <w:sz w:val="18"/>
              </w:rPr>
              <w:t xml:space="preserve">Key payload fields</w:t>
            </w:r>
          </w:p>
        </w:tc>
        <w:tc>
          <w:tcPr>
            <w:tcW w:w="879" w:type="dxa"/>
            <w:shd w:val="clear" w:color="auto" w:fill="1F3A5F"/>
          </w:tcPr>
          <w:p>
            <w:pPr>
              <w:pStyle w:val="Compact"/>
              <w:spacing w:after="40"/>
              <w:jc w:val="left"/>
            </w:pPr>
            <w:r>
              <w:rPr>
                <w:b/>
                <w:color w:val="FFFFFF"/>
                <w:sz w:val="18"/>
              </w:rPr>
              <w:t xml:space="preserve">Owner</w:t>
            </w:r>
          </w:p>
        </w:tc>
        <w:tc>
          <w:tcPr>
            <w:tcW w:w="1024" w:type="dxa"/>
            <w:shd w:val="clear" w:color="auto" w:fill="1F3A5F"/>
          </w:tcPr>
          <w:p>
            <w:pPr>
              <w:pStyle w:val="Compact"/>
              <w:spacing w:after="40"/>
              <w:jc w:val="left"/>
            </w:pPr>
            <w:r>
              <w:rPr>
                <w:b/>
                <w:color w:val="FFFFFF"/>
                <w:sz w:val="18"/>
              </w:rPr>
              <w:t xml:space="preserve">Idempotency key</w:t>
            </w:r>
          </w:p>
        </w:tc>
        <w:tc>
          <w:tcPr>
            <w:tcW w:w="1498" w:type="dxa"/>
            <w:shd w:val="clear" w:color="auto" w:fill="1F3A5F"/>
          </w:tcPr>
          <w:p>
            <w:pPr>
              <w:pStyle w:val="Compact"/>
              <w:spacing w:after="40"/>
              <w:jc w:val="left"/>
            </w:pPr>
            <w:r>
              <w:rPr>
                <w:b/>
                <w:color w:val="FFFFFF"/>
                <w:sz w:val="18"/>
              </w:rPr>
              <w:t xml:space="preserve">SLA</w:t>
            </w:r>
          </w:p>
        </w:tc>
      </w:tr>
      <w:tr>
        <w:tc>
          <w:tcPr>
            <w:tcW w:w="1265" w:type="dxa"/>
          </w:tcPr>
          <w:p>
            <w:pPr>
              <w:pStyle w:val="Compact"/>
              <w:spacing w:after="40"/>
              <w:jc w:val="left"/>
            </w:pPr>
            <w:r>
              <w:rPr>
                <w:rStyle w:val="VerbatimChar"/>
                <w:sz w:val="18"/>
              </w:rPr>
              <w:t xml:space="preserve">MemberAdmitted</w:t>
            </w:r>
            <w:r>
              <w:rPr>
                <w:sz w:val="18"/>
              </w:rPr>
              <w:t xml:space="preserve"> </w:t>
            </w:r>
            <w:r>
              <w:rPr>
                <w:sz w:val="18"/>
              </w:rPr>
              <w:t xml:space="preserve">(N11)</w:t>
            </w:r>
          </w:p>
        </w:tc>
        <w:tc>
          <w:tcPr>
            <w:tcW w:w="1329" w:type="dxa"/>
          </w:tcPr>
          <w:p>
            <w:pPr>
              <w:pStyle w:val="Compact"/>
              <w:spacing w:after="40"/>
              <w:jc w:val="left"/>
            </w:pPr>
            <w:r>
              <w:rPr>
                <w:sz w:val="18"/>
              </w:rPr>
              <w:t xml:space="preserve">Lender (FX IP2 or society’s certified LOS) → UD</w:t>
            </w:r>
          </w:p>
        </w:tc>
        <w:tc>
          <w:tcPr>
            <w:tcW w:w="1287" w:type="dxa"/>
          </w:tcPr>
          <w:p>
            <w:pPr>
              <w:pStyle w:val="Compact"/>
              <w:spacing w:after="40"/>
              <w:jc w:val="left"/>
            </w:pPr>
            <w:r>
              <w:rPr>
                <w:sz w:val="18"/>
              </w:rPr>
              <w:t xml:space="preserve">Member reaches ACTIVE</w:t>
            </w:r>
          </w:p>
        </w:tc>
        <w:tc>
          <w:tcPr>
            <w:tcW w:w="2356" w:type="dxa"/>
          </w:tcPr>
          <w:p>
            <w:pPr>
              <w:pStyle w:val="Compact"/>
              <w:spacing w:after="40"/>
              <w:jc w:val="left"/>
            </w:pPr>
            <w:r>
              <w:rPr>
                <w:sz w:val="18"/>
              </w:rPr>
              <w:t xml:space="preserve">lender id, member party_ref (pairwise for Udofin), member class (ORDINARY_VOTING, NOMINAL, ASSOCIATE, NON_VOTING_SHAREHOLDER, INSTITUTIONAL), borrowing eligibility, area-of-operation check, admitted_at</w:t>
            </w:r>
          </w:p>
        </w:tc>
        <w:tc>
          <w:tcPr>
            <w:tcW w:w="879" w:type="dxa"/>
          </w:tcPr>
          <w:p>
            <w:pPr>
              <w:pStyle w:val="Compact"/>
              <w:spacing w:after="40"/>
              <w:jc w:val="left"/>
            </w:pPr>
            <w:r>
              <w:rPr>
                <w:sz w:val="18"/>
              </w:rPr>
              <w:t xml:space="preserve">Lender</w:t>
            </w:r>
          </w:p>
        </w:tc>
        <w:tc>
          <w:tcPr>
            <w:tcW w:w="1024" w:type="dxa"/>
          </w:tcPr>
          <w:p>
            <w:pPr>
              <w:pStyle w:val="Compact"/>
              <w:spacing w:after="40"/>
              <w:jc w:val="left"/>
            </w:pPr>
            <w:r>
              <w:rPr>
                <w:sz w:val="18"/>
              </w:rPr>
              <w:t xml:space="preserve">(lender_id, member_ref)</w:t>
            </w:r>
          </w:p>
        </w:tc>
        <w:tc>
          <w:tcPr>
            <w:tcW w:w="1498" w:type="dxa"/>
          </w:tcPr>
          <w:p>
            <w:pPr>
              <w:pStyle w:val="Compact"/>
              <w:spacing w:after="40"/>
              <w:jc w:val="left"/>
            </w:pPr>
            <w:r>
              <w:rPr>
                <w:sz w:val="18"/>
              </w:rPr>
              <w:t xml:space="preserve">std</w:t>
            </w:r>
          </w:p>
        </w:tc>
      </w:tr>
      <w:tr>
        <w:tc>
          <w:tcPr>
            <w:tcW w:w="1265" w:type="dxa"/>
          </w:tcPr>
          <w:p>
            <w:pPr>
              <w:pStyle w:val="Compact"/>
              <w:spacing w:after="40"/>
              <w:jc w:val="left"/>
            </w:pPr>
            <w:r>
              <w:rPr>
                <w:rStyle w:val="VerbatimChar"/>
                <w:sz w:val="18"/>
              </w:rPr>
              <w:t xml:space="preserve">ShareCapitalPosted</w:t>
            </w:r>
            <w:r>
              <w:rPr>
                <w:sz w:val="18"/>
              </w:rPr>
              <w:t xml:space="preserve"> </w:t>
            </w:r>
            <w:r>
              <w:rPr>
                <w:sz w:val="18"/>
              </w:rPr>
              <w:t xml:space="preserve">(N11) signed</w:t>
            </w:r>
          </w:p>
        </w:tc>
        <w:tc>
          <w:tcPr>
            <w:tcW w:w="1329" w:type="dxa"/>
          </w:tcPr>
          <w:p>
            <w:pPr>
              <w:pStyle w:val="Compact"/>
              <w:spacing w:after="40"/>
              <w:jc w:val="left"/>
            </w:pPr>
            <w:r>
              <w:rPr>
                <w:sz w:val="18"/>
              </w:rPr>
              <w:t xml:space="preserve">Lender → UD</w:t>
            </w:r>
          </w:p>
        </w:tc>
        <w:tc>
          <w:tcPr>
            <w:tcW w:w="1287" w:type="dxa"/>
          </w:tcPr>
          <w:p>
            <w:pPr>
              <w:pStyle w:val="Compact"/>
              <w:spacing w:after="40"/>
              <w:jc w:val="left"/>
            </w:pPr>
            <w:r>
              <w:rPr>
                <w:sz w:val="18"/>
              </w:rPr>
              <w:t xml:space="preserve">Allotment, top-up, transfer, redemption or forfeiture posted</w:t>
            </w:r>
          </w:p>
        </w:tc>
        <w:tc>
          <w:tcPr>
            <w:tcW w:w="2356" w:type="dxa"/>
          </w:tcPr>
          <w:p>
            <w:pPr>
              <w:pStyle w:val="Compact"/>
              <w:spacing w:after="40"/>
              <w:jc w:val="left"/>
            </w:pPr>
            <w:r>
              <w:rPr>
                <w:sz w:val="18"/>
              </w:rPr>
              <w:t xml:space="preserve">member party_ref, transaction type, amount, shares held after, receipt ref</w:t>
            </w:r>
          </w:p>
        </w:tc>
        <w:tc>
          <w:tcPr>
            <w:tcW w:w="879" w:type="dxa"/>
          </w:tcPr>
          <w:p>
            <w:pPr>
              <w:pStyle w:val="Compact"/>
              <w:spacing w:after="40"/>
              <w:jc w:val="left"/>
            </w:pPr>
            <w:r>
              <w:rPr>
                <w:sz w:val="18"/>
              </w:rPr>
              <w:t xml:space="preserve">Lender</w:t>
            </w:r>
          </w:p>
        </w:tc>
        <w:tc>
          <w:tcPr>
            <w:tcW w:w="1024" w:type="dxa"/>
          </w:tcPr>
          <w:p>
            <w:pPr>
              <w:pStyle w:val="Compact"/>
              <w:spacing w:after="40"/>
              <w:jc w:val="left"/>
            </w:pPr>
            <w:r>
              <w:rPr>
                <w:sz w:val="18"/>
              </w:rPr>
              <w:t xml:space="preserve">(lender_id, share_txn_id)</w:t>
            </w:r>
          </w:p>
        </w:tc>
        <w:tc>
          <w:tcPr>
            <w:tcW w:w="1498" w:type="dxa"/>
          </w:tcPr>
          <w:p>
            <w:pPr>
              <w:pStyle w:val="Compact"/>
              <w:spacing w:after="40"/>
              <w:jc w:val="left"/>
            </w:pPr>
            <w:r>
              <w:rPr>
                <w:sz w:val="18"/>
              </w:rPr>
              <w:t xml:space="preserve">Same day</w:t>
            </w:r>
          </w:p>
        </w:tc>
      </w:tr>
      <w:tr>
        <w:tc>
          <w:tcPr>
            <w:tcW w:w="1265" w:type="dxa"/>
          </w:tcPr>
          <w:p>
            <w:pPr>
              <w:pStyle w:val="Compact"/>
              <w:spacing w:after="40"/>
              <w:jc w:val="left"/>
            </w:pPr>
            <w:r>
              <w:rPr>
                <w:rStyle w:val="VerbatimChar"/>
                <w:sz w:val="18"/>
              </w:rPr>
              <w:t xml:space="preserve">GroupFormed</w:t>
            </w:r>
            <w:r>
              <w:rPr>
                <w:sz w:val="18"/>
              </w:rPr>
              <w:t xml:space="preserve"> </w:t>
            </w:r>
            <w:r>
              <w:rPr>
                <w:sz w:val="18"/>
              </w:rPr>
              <w:t xml:space="preserve">(N11)</w:t>
            </w:r>
          </w:p>
        </w:tc>
        <w:tc>
          <w:tcPr>
            <w:tcW w:w="1329" w:type="dxa"/>
          </w:tcPr>
          <w:p>
            <w:pPr>
              <w:pStyle w:val="Compact"/>
              <w:spacing w:after="40"/>
              <w:jc w:val="left"/>
            </w:pPr>
            <w:r>
              <w:rPr>
                <w:sz w:val="18"/>
              </w:rPr>
              <w:t xml:space="preserve">Lender (FX IP4 or the RE’s LMS) → UD</w:t>
            </w:r>
          </w:p>
        </w:tc>
        <w:tc>
          <w:tcPr>
            <w:tcW w:w="1287" w:type="dxa"/>
          </w:tcPr>
          <w:p>
            <w:pPr>
              <w:pStyle w:val="Compact"/>
              <w:spacing w:after="40"/>
              <w:jc w:val="left"/>
            </w:pPr>
            <w:r>
              <w:rPr>
                <w:sz w:val="18"/>
              </w:rPr>
              <w:t xml:space="preserve">Group ACTIVE after GRT</w:t>
            </w:r>
          </w:p>
        </w:tc>
        <w:tc>
          <w:tcPr>
            <w:tcW w:w="2356" w:type="dxa"/>
          </w:tcPr>
          <w:p>
            <w:pPr>
              <w:pStyle w:val="Compact"/>
              <w:spacing w:after="40"/>
              <w:jc w:val="left"/>
            </w:pPr>
            <w:r>
              <w:rPr>
                <w:sz w:val="18"/>
              </w:rPr>
              <w:t xml:space="preserve">group_id, type (JLG, SHG), centre_id, member party_refs, GRT evidence ref</w:t>
            </w:r>
          </w:p>
        </w:tc>
        <w:tc>
          <w:tcPr>
            <w:tcW w:w="879" w:type="dxa"/>
          </w:tcPr>
          <w:p>
            <w:pPr>
              <w:pStyle w:val="Compact"/>
              <w:spacing w:after="40"/>
              <w:jc w:val="left"/>
            </w:pPr>
            <w:r>
              <w:rPr>
                <w:sz w:val="18"/>
              </w:rPr>
              <w:t xml:space="preserve">Lender</w:t>
            </w:r>
          </w:p>
        </w:tc>
        <w:tc>
          <w:tcPr>
            <w:tcW w:w="1024" w:type="dxa"/>
          </w:tcPr>
          <w:p>
            <w:pPr>
              <w:pStyle w:val="Compact"/>
              <w:spacing w:after="40"/>
              <w:jc w:val="left"/>
            </w:pPr>
            <w:r>
              <w:rPr>
                <w:sz w:val="18"/>
              </w:rPr>
              <w:t xml:space="preserve">group_id</w:t>
            </w:r>
          </w:p>
        </w:tc>
        <w:tc>
          <w:tcPr>
            <w:tcW w:w="1498" w:type="dxa"/>
          </w:tcPr>
          <w:p>
            <w:pPr>
              <w:pStyle w:val="Compact"/>
              <w:spacing w:after="40"/>
              <w:jc w:val="left"/>
            </w:pPr>
            <w:r>
              <w:rPr>
                <w:sz w:val="18"/>
              </w:rPr>
              <w:t xml:space="preserve">std; Udofin marks a group RECOGNISED only on this event</w:t>
            </w:r>
          </w:p>
        </w:tc>
      </w:tr>
      <w:tr>
        <w:tc>
          <w:tcPr>
            <w:tcW w:w="1265" w:type="dxa"/>
          </w:tcPr>
          <w:p>
            <w:pPr>
              <w:pStyle w:val="Compact"/>
              <w:spacing w:after="40"/>
              <w:jc w:val="left"/>
            </w:pPr>
            <w:r>
              <w:rPr>
                <w:rStyle w:val="VerbatimChar"/>
                <w:sz w:val="18"/>
              </w:rPr>
              <w:t xml:space="preserve">CentreMeetingHeld</w:t>
            </w:r>
            <w:r>
              <w:rPr>
                <w:sz w:val="18"/>
              </w:rPr>
              <w:t xml:space="preserve"> </w:t>
            </w:r>
            <w:r>
              <w:rPr>
                <w:sz w:val="18"/>
              </w:rPr>
              <w:t xml:space="preserve">(N11)</w:t>
            </w:r>
          </w:p>
        </w:tc>
        <w:tc>
          <w:tcPr>
            <w:tcW w:w="1329" w:type="dxa"/>
          </w:tcPr>
          <w:p>
            <w:pPr>
              <w:pStyle w:val="Compact"/>
              <w:spacing w:after="40"/>
              <w:jc w:val="left"/>
            </w:pPr>
            <w:r>
              <w:rPr>
                <w:sz w:val="18"/>
              </w:rPr>
              <w:t xml:space="preserve">UD → lender when closed in Udofin tooling; otherwise lender → UD</w:t>
            </w:r>
          </w:p>
        </w:tc>
        <w:tc>
          <w:tcPr>
            <w:tcW w:w="1287" w:type="dxa"/>
          </w:tcPr>
          <w:p>
            <w:pPr>
              <w:pStyle w:val="Compact"/>
              <w:spacing w:after="40"/>
              <w:jc w:val="left"/>
            </w:pPr>
            <w:r>
              <w:rPr>
                <w:sz w:val="18"/>
              </w:rPr>
              <w:t xml:space="preserve">Meeting closed and reconciled</w:t>
            </w:r>
          </w:p>
        </w:tc>
        <w:tc>
          <w:tcPr>
            <w:tcW w:w="2356" w:type="dxa"/>
          </w:tcPr>
          <w:p>
            <w:pPr>
              <w:pStyle w:val="Compact"/>
              <w:spacing w:after="40"/>
              <w:jc w:val="left"/>
            </w:pPr>
            <w:r>
              <w:rPr>
                <w:sz w:val="18"/>
              </w:rPr>
              <w:t xml:space="preserve">centre_id, date, designated place (RBC para 90), start and end time, attendance per member, receipts (receipt_no, amount, mode UPI or CASH, collector role), issues, next meeting</w:t>
            </w:r>
          </w:p>
        </w:tc>
        <w:tc>
          <w:tcPr>
            <w:tcW w:w="879" w:type="dxa"/>
          </w:tcPr>
          <w:p>
            <w:pPr>
              <w:pStyle w:val="Compact"/>
              <w:spacing w:after="40"/>
              <w:jc w:val="left"/>
            </w:pPr>
            <w:r>
              <w:rPr>
                <w:sz w:val="18"/>
              </w:rPr>
              <w:t xml:space="preserve">Closing system; lender posts</w:t>
            </w:r>
          </w:p>
        </w:tc>
        <w:tc>
          <w:tcPr>
            <w:tcW w:w="1024" w:type="dxa"/>
          </w:tcPr>
          <w:p>
            <w:pPr>
              <w:pStyle w:val="Compact"/>
              <w:spacing w:after="40"/>
              <w:jc w:val="left"/>
            </w:pPr>
            <w:r>
              <w:rPr>
                <w:sz w:val="18"/>
              </w:rPr>
              <w:t xml:space="preserve">(centre_id, meeting_date)</w:t>
            </w:r>
          </w:p>
        </w:tc>
        <w:tc>
          <w:tcPr>
            <w:tcW w:w="1498" w:type="dxa"/>
          </w:tcPr>
          <w:p>
            <w:pPr>
              <w:pStyle w:val="Compact"/>
              <w:spacing w:after="40"/>
              <w:jc w:val="left"/>
            </w:pPr>
            <w:r>
              <w:rPr>
                <w:sz w:val="18"/>
              </w:rPr>
              <w:t xml:space="preserve">Same day</w:t>
            </w:r>
          </w:p>
        </w:tc>
      </w:tr>
      <w:tr>
        <w:tc>
          <w:tcPr>
            <w:tcW w:w="1265" w:type="dxa"/>
          </w:tcPr>
          <w:p>
            <w:pPr>
              <w:pStyle w:val="Compact"/>
              <w:spacing w:after="40"/>
              <w:jc w:val="left"/>
            </w:pPr>
            <w:r>
              <w:rPr>
                <w:rStyle w:val="VerbatimChar"/>
                <w:sz w:val="18"/>
              </w:rPr>
              <w:t xml:space="preserve">GroupCollectionPosted</w:t>
            </w:r>
            <w:r>
              <w:rPr>
                <w:sz w:val="18"/>
              </w:rPr>
              <w:t xml:space="preserve"> </w:t>
            </w:r>
            <w:r>
              <w:rPr>
                <w:sz w:val="18"/>
              </w:rPr>
              <w:t xml:space="preserve">(N11) signed</w:t>
            </w:r>
          </w:p>
        </w:tc>
        <w:tc>
          <w:tcPr>
            <w:tcW w:w="1329" w:type="dxa"/>
          </w:tcPr>
          <w:p>
            <w:pPr>
              <w:pStyle w:val="Compact"/>
              <w:spacing w:after="40"/>
              <w:jc w:val="left"/>
            </w:pPr>
            <w:r>
              <w:rPr>
                <w:sz w:val="18"/>
              </w:rPr>
              <w:t xml:space="preserve">Lender → UD</w:t>
            </w:r>
          </w:p>
        </w:tc>
        <w:tc>
          <w:tcPr>
            <w:tcW w:w="1287" w:type="dxa"/>
          </w:tcPr>
          <w:p>
            <w:pPr>
              <w:pStyle w:val="Compact"/>
              <w:spacing w:after="40"/>
              <w:jc w:val="left"/>
            </w:pPr>
            <w:r>
              <w:rPr>
                <w:sz w:val="18"/>
              </w:rPr>
              <w:t xml:space="preserve">Meeting collections posted to loans</w:t>
            </w:r>
          </w:p>
        </w:tc>
        <w:tc>
          <w:tcPr>
            <w:tcW w:w="2356" w:type="dxa"/>
          </w:tcPr>
          <w:p>
            <w:pPr>
              <w:pStyle w:val="Compact"/>
              <w:spacing w:after="40"/>
              <w:jc w:val="left"/>
            </w:pPr>
            <w:r>
              <w:rPr>
                <w:sz w:val="18"/>
              </w:rPr>
              <w:t xml:space="preserve">centre_id, meeting date, per-member postings (loan ref, amount, UTR or receipt_no), shortfall and cash-variance flags</w:t>
            </w:r>
          </w:p>
        </w:tc>
        <w:tc>
          <w:tcPr>
            <w:tcW w:w="879" w:type="dxa"/>
          </w:tcPr>
          <w:p>
            <w:pPr>
              <w:pStyle w:val="Compact"/>
              <w:spacing w:after="40"/>
              <w:jc w:val="left"/>
            </w:pPr>
            <w:r>
              <w:rPr>
                <w:sz w:val="18"/>
              </w:rPr>
              <w:t xml:space="preserve">Lender</w:t>
            </w:r>
          </w:p>
        </w:tc>
        <w:tc>
          <w:tcPr>
            <w:tcW w:w="1024" w:type="dxa"/>
          </w:tcPr>
          <w:p>
            <w:pPr>
              <w:pStyle w:val="Compact"/>
              <w:spacing w:after="40"/>
              <w:jc w:val="left"/>
            </w:pPr>
            <w:r>
              <w:rPr>
                <w:sz w:val="18"/>
              </w:rPr>
              <w:t xml:space="preserve">(centre_id, meeting_date, posting_seq)</w:t>
            </w:r>
          </w:p>
        </w:tc>
        <w:tc>
          <w:tcPr>
            <w:tcW w:w="1498" w:type="dxa"/>
          </w:tcPr>
          <w:p>
            <w:pPr>
              <w:pStyle w:val="Compact"/>
              <w:spacing w:after="40"/>
              <w:jc w:val="left"/>
            </w:pPr>
            <w:r>
              <w:rPr>
                <w:sz w:val="18"/>
              </w:rPr>
              <w:t xml:space="preserve">Same day [REC; mirrors CF para 10(5)]</w:t>
            </w:r>
          </w:p>
        </w:tc>
      </w:tr>
      <w:tr>
        <w:tc>
          <w:tcPr>
            <w:tcW w:w="1265" w:type="dxa"/>
          </w:tcPr>
          <w:p>
            <w:pPr>
              <w:pStyle w:val="Compact"/>
              <w:spacing w:after="40"/>
              <w:jc w:val="left"/>
            </w:pPr>
            <w:r>
              <w:rPr>
                <w:sz w:val="18"/>
              </w:rPr>
              <w:t xml:space="preserve">API</w:t>
            </w:r>
            <w:r>
              <w:rPr>
                <w:sz w:val="18"/>
              </w:rPr>
              <w:t xml:space="preserve"> </w:t>
            </w:r>
            <w:r>
              <w:rPr>
                <w:rStyle w:val="VerbatimChar"/>
                <w:sz w:val="18"/>
              </w:rPr>
              <w:t xml:space="preserve">GET /v1/societies/{id}/members/{ref}</w:t>
            </w:r>
            <w:r>
              <w:rPr>
                <w:sz w:val="18"/>
              </w:rPr>
              <w:t xml:space="preserve"> </w:t>
            </w:r>
            <w:r>
              <w:rPr>
                <w:sz w:val="18"/>
              </w:rPr>
              <w:t xml:space="preserve">(N11+)</w:t>
            </w:r>
          </w:p>
        </w:tc>
        <w:tc>
          <w:tcPr>
            <w:tcW w:w="1329" w:type="dxa"/>
          </w:tcPr>
          <w:p>
            <w:pPr>
              <w:pStyle w:val="Compact"/>
              <w:spacing w:after="40"/>
              <w:jc w:val="left"/>
            </w:pPr>
            <w:r>
              <w:rPr>
                <w:sz w:val="18"/>
              </w:rPr>
              <w:t xml:space="preserve">UD → society system</w:t>
            </w:r>
          </w:p>
        </w:tc>
        <w:tc>
          <w:tcPr>
            <w:tcW w:w="1287" w:type="dxa"/>
          </w:tcPr>
          <w:p>
            <w:pPr>
              <w:pStyle w:val="Compact"/>
              <w:spacing w:after="40"/>
              <w:jc w:val="left"/>
            </w:pPr>
            <w:r>
              <w:rPr>
                <w:sz w:val="18"/>
              </w:rPr>
              <w:t xml:space="preserve">Membership verification before any loan screen</w:t>
            </w:r>
          </w:p>
        </w:tc>
        <w:tc>
          <w:tcPr>
            <w:tcW w:w="2356" w:type="dxa"/>
          </w:tcPr>
          <w:p>
            <w:pPr>
              <w:pStyle w:val="Compact"/>
              <w:spacing w:after="40"/>
              <w:jc w:val="left"/>
            </w:pPr>
            <w:r>
              <w:rPr>
                <w:sz w:val="18"/>
              </w:rPr>
              <w:t xml:space="preserve">returns class, status (ACTIVE, DEFAULTER, RESIGNED, EXPELLED, DECEASED), borrowing eligibility, share-holding sufficiency; consentref required</w:t>
            </w:r>
          </w:p>
        </w:tc>
        <w:tc>
          <w:tcPr>
            <w:tcW w:w="879" w:type="dxa"/>
          </w:tcPr>
          <w:p>
            <w:pPr>
              <w:pStyle w:val="Compact"/>
              <w:spacing w:after="40"/>
              <w:jc w:val="left"/>
            </w:pPr>
            <w:r>
              <w:rPr>
                <w:sz w:val="18"/>
              </w:rPr>
              <w:t xml:space="preserve">Society</w:t>
            </w:r>
          </w:p>
        </w:tc>
        <w:tc>
          <w:tcPr>
            <w:tcW w:w="1024" w:type="dxa"/>
          </w:tcPr>
          <w:p>
            <w:pPr>
              <w:pStyle w:val="Compact"/>
              <w:spacing w:after="40"/>
              <w:jc w:val="left"/>
            </w:pPr>
            <w:r>
              <w:rPr>
                <w:sz w:val="18"/>
              </w:rPr>
              <w:t xml:space="preserve">n/a</w:t>
            </w:r>
          </w:p>
        </w:tc>
        <w:tc>
          <w:tcPr>
            <w:tcW w:w="1498" w:type="dxa"/>
          </w:tcPr>
          <w:p>
            <w:pPr>
              <w:pStyle w:val="Compact"/>
              <w:spacing w:after="40"/>
              <w:jc w:val="left"/>
            </w:pPr>
            <w:r>
              <w:rPr>
                <w:sz w:val="18"/>
              </w:rPr>
              <w:t xml:space="preserve">p95 ≤ 800 ms</w:t>
            </w:r>
          </w:p>
        </w:tc>
      </w:tr>
      <w:tr>
        <w:tc>
          <w:tcPr>
            <w:tcW w:w="1265" w:type="dxa"/>
          </w:tcPr>
          <w:p>
            <w:pPr>
              <w:pStyle w:val="Compact"/>
              <w:spacing w:after="40"/>
              <w:jc w:val="left"/>
            </w:pPr>
            <w:r>
              <w:rPr>
                <w:sz w:val="18"/>
              </w:rPr>
              <w:t xml:space="preserve">API</w:t>
            </w:r>
            <w:r>
              <w:rPr>
                <w:sz w:val="18"/>
              </w:rPr>
              <w:t xml:space="preserve"> </w:t>
            </w:r>
            <w:r>
              <w:rPr>
                <w:rStyle w:val="VerbatimChar"/>
                <w:sz w:val="18"/>
              </w:rPr>
              <w:t xml:space="preserve">POST /v1/societies/{id}/membership-applications</w:t>
            </w:r>
            <w:r>
              <w:rPr>
                <w:sz w:val="18"/>
              </w:rPr>
              <w:t xml:space="preserve"> </w:t>
            </w:r>
            <w:r>
              <w:rPr>
                <w:sz w:val="18"/>
              </w:rPr>
              <w:t xml:space="preserve">(N11+)</w:t>
            </w:r>
          </w:p>
        </w:tc>
        <w:tc>
          <w:tcPr>
            <w:tcW w:w="1329" w:type="dxa"/>
          </w:tcPr>
          <w:p>
            <w:pPr>
              <w:pStyle w:val="Compact"/>
              <w:spacing w:after="40"/>
              <w:jc w:val="left"/>
            </w:pPr>
            <w:r>
              <w:rPr>
                <w:sz w:val="18"/>
              </w:rPr>
              <w:t xml:space="preserve">UD → society system</w:t>
            </w:r>
          </w:p>
        </w:tc>
        <w:tc>
          <w:tcPr>
            <w:tcW w:w="1287" w:type="dxa"/>
          </w:tcPr>
          <w:p>
            <w:pPr>
              <w:pStyle w:val="Compact"/>
              <w:spacing w:after="40"/>
              <w:jc w:val="left"/>
            </w:pPr>
            <w:r>
              <w:rPr>
                <w:sz w:val="18"/>
              </w:rPr>
              <w:t xml:space="preserve">Applicant applies for membership</w:t>
            </w:r>
          </w:p>
        </w:tc>
        <w:tc>
          <w:tcPr>
            <w:tcW w:w="2356" w:type="dxa"/>
          </w:tcPr>
          <w:p>
            <w:pPr>
              <w:pStyle w:val="Compact"/>
              <w:spacing w:after="40"/>
              <w:jc w:val="left"/>
            </w:pPr>
            <w:r>
              <w:rPr>
                <w:sz w:val="18"/>
              </w:rPr>
              <w:t xml:space="preserve">KYC evidence refs (no Aadhaar number), area-of-operation proof, nominee, declared other-society borrowings, consentref</w:t>
            </w:r>
          </w:p>
        </w:tc>
        <w:tc>
          <w:tcPr>
            <w:tcW w:w="879" w:type="dxa"/>
          </w:tcPr>
          <w:p>
            <w:pPr>
              <w:pStyle w:val="Compact"/>
              <w:spacing w:after="40"/>
              <w:jc w:val="left"/>
            </w:pPr>
            <w:r>
              <w:rPr>
                <w:sz w:val="18"/>
              </w:rPr>
              <w:t xml:space="preserve">Society decides</w:t>
            </w:r>
          </w:p>
        </w:tc>
        <w:tc>
          <w:tcPr>
            <w:tcW w:w="1024" w:type="dxa"/>
          </w:tcPr>
          <w:p>
            <w:pPr>
              <w:pStyle w:val="Compact"/>
              <w:spacing w:after="40"/>
              <w:jc w:val="left"/>
            </w:pPr>
            <w:r>
              <w:rPr>
                <w:sz w:val="18"/>
              </w:rPr>
              <w:t xml:space="preserve">Idempotency-Key</w:t>
            </w:r>
          </w:p>
        </w:tc>
        <w:tc>
          <w:tcPr>
            <w:tcW w:w="1498" w:type="dxa"/>
          </w:tcPr>
          <w:p>
            <w:pPr>
              <w:pStyle w:val="Compact"/>
              <w:spacing w:after="40"/>
              <w:jc w:val="left"/>
            </w:pPr>
            <w:r>
              <w:rPr>
                <w:sz w:val="18"/>
              </w:rPr>
              <w:t xml:space="preserve">Ack ≤ 5 min; decision timer per Act (MSCS s.25(4): 4 months, then deemed refused)</w:t>
            </w:r>
          </w:p>
        </w:tc>
      </w:tr>
      <w:tr>
        <w:tc>
          <w:tcPr>
            <w:tcW w:w="1265" w:type="dxa"/>
          </w:tcPr>
          <w:p>
            <w:pPr>
              <w:pStyle w:val="Compact"/>
              <w:spacing w:after="40"/>
              <w:jc w:val="left"/>
            </w:pPr>
            <w:r>
              <w:rPr>
                <w:sz w:val="18"/>
              </w:rPr>
              <w:t xml:space="preserve">Field</w:t>
            </w:r>
            <w:r>
              <w:rPr>
                <w:sz w:val="18"/>
              </w:rPr>
              <w:t xml:space="preserve"> </w:t>
            </w:r>
            <w:r>
              <w:rPr>
                <w:rStyle w:val="VerbatimChar"/>
                <w:sz w:val="18"/>
              </w:rPr>
              <w:t xml:space="preserve">lender_type</w:t>
            </w:r>
            <w:r>
              <w:rPr>
                <w:sz w:val="18"/>
              </w:rPr>
              <w:t xml:space="preserve"> </w:t>
            </w:r>
            <w:r>
              <w:rPr>
                <w:sz w:val="18"/>
              </w:rPr>
              <w:t xml:space="preserve">on</w:t>
            </w:r>
            <w:r>
              <w:rPr>
                <w:sz w:val="18"/>
              </w:rPr>
              <w:t xml:space="preserve"> </w:t>
            </w:r>
            <w:r>
              <w:rPr>
                <w:rStyle w:val="VerbatimChar"/>
                <w:sz w:val="18"/>
              </w:rPr>
              <w:t xml:space="preserve">ApplicationSubmitted</w:t>
            </w:r>
            <w:r>
              <w:rPr>
                <w:sz w:val="18"/>
              </w:rPr>
              <w:t xml:space="preserve"> </w:t>
            </w:r>
            <w:r>
              <w:rPr>
                <w:sz w:val="18"/>
              </w:rPr>
              <w:t xml:space="preserve">(N11+)</w:t>
            </w:r>
          </w:p>
        </w:tc>
        <w:tc>
          <w:tcPr>
            <w:tcW w:w="1329" w:type="dxa"/>
          </w:tcPr>
          <w:p>
            <w:pPr>
              <w:pStyle w:val="Compact"/>
              <w:spacing w:after="40"/>
              <w:jc w:val="left"/>
            </w:pPr>
            <w:r>
              <w:rPr>
                <w:sz w:val="18"/>
              </w:rPr>
              <w:t xml:space="preserve">UD → lender</w:t>
            </w:r>
          </w:p>
        </w:tc>
        <w:tc>
          <w:tcPr>
            <w:tcW w:w="1287" w:type="dxa"/>
          </w:tcPr>
          <w:p>
            <w:pPr>
              <w:pStyle w:val="Compact"/>
              <w:spacing w:after="40"/>
              <w:jc w:val="left"/>
            </w:pPr>
            <w:r>
              <w:rPr>
                <w:sz w:val="18"/>
              </w:rPr>
              <w:t xml:space="preserve">As 6.2</w:t>
            </w:r>
          </w:p>
        </w:tc>
        <w:tc>
          <w:tcPr>
            <w:tcW w:w="2356" w:type="dxa"/>
          </w:tcPr>
          <w:p>
            <w:pPr>
              <w:pStyle w:val="Compact"/>
              <w:spacing w:after="40"/>
              <w:jc w:val="left"/>
            </w:pPr>
            <w:r>
              <w:rPr>
                <w:rStyle w:val="VerbatimChar"/>
                <w:sz w:val="18"/>
              </w:rPr>
              <w:t xml:space="preserve">lender_type</w:t>
            </w:r>
            <w:r>
              <w:rPr>
                <w:sz w:val="18"/>
              </w:rPr>
              <w:t xml:space="preserve"> </w:t>
            </w:r>
            <w:r>
              <w:rPr>
                <w:sz w:val="18"/>
              </w:rPr>
              <w:t xml:space="preserve">∈ RE, NON_RE_SOCIETY; optional in v1.x minor, absent means RE</w:t>
            </w:r>
          </w:p>
        </w:tc>
        <w:tc>
          <w:tcPr>
            <w:tcW w:w="879" w:type="dxa"/>
          </w:tcPr>
          <w:p>
            <w:pPr>
              <w:pStyle w:val="Compact"/>
              <w:spacing w:after="40"/>
              <w:jc w:val="left"/>
            </w:pPr>
            <w:r>
              <w:rPr>
                <w:sz w:val="18"/>
              </w:rPr>
              <w:t xml:space="preserve">As 6.2</w:t>
            </w:r>
          </w:p>
        </w:tc>
        <w:tc>
          <w:tcPr>
            <w:tcW w:w="1024" w:type="dxa"/>
          </w:tcPr>
          <w:p>
            <w:pPr>
              <w:pStyle w:val="Compact"/>
              <w:spacing w:after="40"/>
              <w:jc w:val="left"/>
            </w:pPr>
            <w:r>
              <w:rPr>
                <w:sz w:val="18"/>
              </w:rPr>
              <w:t xml:space="preserve">As 6.2</w:t>
            </w:r>
          </w:p>
        </w:tc>
        <w:tc>
          <w:tcPr>
            <w:tcW w:w="1498" w:type="dxa"/>
          </w:tcPr>
          <w:p>
            <w:pPr>
              <w:pStyle w:val="Compact"/>
              <w:spacing w:after="40"/>
              <w:jc w:val="left"/>
            </w:pPr>
            <w:r>
              <w:rPr>
                <w:sz w:val="18"/>
              </w:rPr>
              <w:t xml:space="preserve">As 6.2</w:t>
            </w:r>
          </w:p>
        </w:tc>
      </w:tr>
    </w:tbl>
    <w:p>
      <w:pPr>
        <w:numPr>
          <w:ilvl w:val="0"/>
          <w:numId w:val="1018"/>
        </w:numPr>
        <w:pStyle w:val="Compact"/>
      </w:pPr>
      <w:r>
        <w:rPr>
          <w:bCs/>
          <w:b/>
        </w:rPr>
        <w:t xml:space="preserve">Hard blocks</w:t>
      </w:r>
      <w:r>
        <w:t xml:space="preserve"> </w:t>
      </w:r>
      <w:r>
        <w:t xml:space="preserve">(</w:t>
      </w:r>
      <w:r>
        <w:rPr>
          <w:rStyle w:val="VerbatimChar"/>
        </w:rPr>
        <w:t xml:space="preserve">regulatory-guard</w:t>
      </w:r>
      <w:r>
        <w:t xml:space="preserve">): deposits from anyone other than an active voting member (MSCS s.67 Explanation; SCS-MH s.144-5A; BUDS Act First Schedule item 8), and Udofin never lists, solicits, markets or collects deposits (no deposit API exists); co-lending, loan sale, direct assignment, participation or DLG between a society or co-operative bank and any NBFC (TDCR paras 7, 12(4), 97); loans on the security of the society’s own shares (MSCS s.66(1)); society products in the RE multi-lender offer view; the RBI Ombudsman route for society members (societies are outside RB-IOS 2026).</w:t>
      </w:r>
    </w:p>
    <w:p>
      <w:pPr>
        <w:numPr>
          <w:ilvl w:val="0"/>
          <w:numId w:val="1018"/>
        </w:numPr>
        <w:pStyle w:val="Compact"/>
      </w:pPr>
      <w:r>
        <w:rPr>
          <w:bCs/>
          <w:b/>
        </w:rPr>
        <w:t xml:space="preserve">Money:</w:t>
      </w:r>
      <w:r>
        <w:t xml:space="preserve"> </w:t>
      </w:r>
      <w:r>
        <w:t xml:space="preserve">admission fee, share money and repayments go only to the society’s own account; Udofin never collects, holds or nets them (CF para 10 applied by contract [REC]).</w:t>
      </w:r>
    </w:p>
    <w:p>
      <w:pPr>
        <w:numPr>
          <w:ilvl w:val="0"/>
          <w:numId w:val="1018"/>
        </w:numPr>
        <w:pStyle w:val="Compact"/>
      </w:pPr>
      <w:r>
        <w:t xml:space="preserve">Society loans on Udofin run on web and assisted channels only until app-store policy for non-RE lenders is confirmed [VERIFY].</w:t>
      </w:r>
    </w:p>
    <w:p>
      <w:pPr>
        <w:numPr>
          <w:ilvl w:val="0"/>
          <w:numId w:val="1018"/>
        </w:numPr>
        <w:pStyle w:val="Compact"/>
      </w:pPr>
      <w:r>
        <w:rPr>
          <w:bCs/>
          <w:b/>
        </w:rPr>
        <w:t xml:space="preserve">Microfinance:</w:t>
      </w:r>
      <w:r>
        <w:t xml:space="preserve"> </w:t>
      </w:r>
      <w:r>
        <w:t xml:space="preserve">each loan is an individual contract; joint liability is voluntary and no member’s payment, savings or disbursal is applied to another’s loan; UPI QR per member per instalment on the lender’s merchant account is the default; cash at centre meetings on Udofin-sourced loans only with the RE’s legal opinion (CF paras 10(2), 10(5)), and Udofin staff collect cash only as the RE’s appointed agent on overdue loans (Udofin UR4); contact hours 09:00–18:00 until 31 December 2026, then the RBC Third Amendment rule pack (RBI/2026-27/230) from 1 January 2027 [VERIFY: final window]; household cap and MFI-only bureau reporting (6.19).</w:t>
      </w:r>
    </w:p>
    <w:p>
      <w:pPr>
        <w:numPr>
          <w:ilvl w:val="0"/>
          <w:numId w:val="1018"/>
        </w:numPr>
        <w:pStyle w:val="Compact"/>
      </w:pPr>
      <w:r>
        <w:t xml:space="preserve">Full registers (</w:t>
      </w:r>
      <w:r>
        <w:rPr>
          <w:rStyle w:val="VerbatimChar"/>
        </w:rPr>
        <w:t xml:space="preserve">member_register_v1</w:t>
      </w:r>
      <w:r>
        <w:t xml:space="preserve">,</w:t>
      </w:r>
      <w:r>
        <w:t xml:space="preserve"> </w:t>
      </w:r>
      <w:r>
        <w:rPr>
          <w:rStyle w:val="VerbatimChar"/>
        </w:rPr>
        <w:t xml:space="preserve">share_ledger_v1</w:t>
      </w:r>
      <w:r>
        <w:t xml:space="preserve">,</w:t>
      </w:r>
      <w:r>
        <w:t xml:space="preserve"> </w:t>
      </w:r>
      <w:r>
        <w:rPr>
          <w:rStyle w:val="VerbatimChar"/>
        </w:rPr>
        <w:t xml:space="preserve">jlg_group_v1</w:t>
      </w:r>
      <w:r>
        <w:t xml:space="preserve">) are for archives, Registrar or auditor packs and migration; Udofin receives member data only for members who applied through Udofin or consented to Udofin presentation.</w:t>
      </w:r>
    </w:p>
    <w:bookmarkEnd w:id="71"/>
    <w:bookmarkStart w:id="72" w:name="Xb63db04c934a6ef2d3e719cffd6cc51746c127b"/>
    <w:p>
      <w:pPr>
        <w:pStyle w:val="Heading2"/>
      </w:pPr>
      <w:r>
        <w:t xml:space="preserve">6.25 Investments, ARC and servicing (</w:t>
      </w:r>
      <w:r>
        <w:rPr>
          <w:rStyle w:val="VerbatimChar"/>
        </w:rPr>
        <w:t xml:space="preserve">investments</w:t>
      </w:r>
      <w:r>
        <w:t xml:space="preserve">)</w:t>
      </w:r>
    </w:p>
    <w:p>
      <w:pPr>
        <w:pStyle w:val="FirstParagraph"/>
      </w:pPr>
      <w:r>
        <w:t xml:space="preserve">Finbyx Part 7H (IV1–IV7) and Part 7G IP5 (ARCs).</w:t>
      </w:r>
      <w:r>
        <w:t xml:space="preserve"> </w:t>
      </w:r>
      <w:r>
        <w:rPr>
          <w:bCs/>
          <w:b/>
        </w:rPr>
        <w:t xml:space="preserve">Finbyx records, checks, values, accounts and reports; it never executes trades, routes orders or gives investment advice.</w:t>
      </w:r>
      <w:r>
        <w:t xml:space="preserve"> </w:t>
      </w:r>
      <w:r>
        <w:t xml:space="preserve">Consumers that are other tenants (SR holders, transferors, investors, trustees) receive these events only under a contract recorded as a link (4.1) between the two tenants.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38"/>
        <w:gridCol w:w="2055"/>
        <w:gridCol w:w="1313"/>
        <w:gridCol w:w="1970"/>
        <w:gridCol w:w="895"/>
        <w:gridCol w:w="1110"/>
        <w:gridCol w:w="1257"/>
      </w:tblGrid>
      <w:tr>
        <w:trPr>
          <w:tblHeader w:val="true"/>
          <w:tblHeader w:val="true"/>
        </w:trPr>
        <w:tc>
          <w:tcPr>
            <w:tcW w:w="1038" w:type="dxa"/>
            <w:shd w:val="clear" w:color="auto" w:fill="1F3A5F"/>
          </w:tcPr>
          <w:p>
            <w:pPr>
              <w:pStyle w:val="Compact"/>
              <w:spacing w:after="40"/>
              <w:jc w:val="left"/>
            </w:pPr>
            <w:r>
              <w:rPr>
                <w:b/>
                <w:color w:val="FFFFFF"/>
                <w:sz w:val="18"/>
              </w:rPr>
              <w:t xml:space="preserve">Event or API</w:t>
            </w:r>
          </w:p>
        </w:tc>
        <w:tc>
          <w:tcPr>
            <w:tcW w:w="2055" w:type="dxa"/>
            <w:shd w:val="clear" w:color="auto" w:fill="1F3A5F"/>
          </w:tcPr>
          <w:p>
            <w:pPr>
              <w:pStyle w:val="Compact"/>
              <w:spacing w:after="40"/>
              <w:jc w:val="left"/>
            </w:pPr>
            <w:r>
              <w:rPr>
                <w:b/>
                <w:color w:val="FFFFFF"/>
                <w:sz w:val="18"/>
              </w:rPr>
              <w:t xml:space="preserve">Producer → consumer(s)</w:t>
            </w:r>
          </w:p>
        </w:tc>
        <w:tc>
          <w:tcPr>
            <w:tcW w:w="1313" w:type="dxa"/>
            <w:shd w:val="clear" w:color="auto" w:fill="1F3A5F"/>
          </w:tcPr>
          <w:p>
            <w:pPr>
              <w:pStyle w:val="Compact"/>
              <w:spacing w:after="40"/>
              <w:jc w:val="left"/>
            </w:pPr>
            <w:r>
              <w:rPr>
                <w:b/>
                <w:color w:val="FFFFFF"/>
                <w:sz w:val="18"/>
              </w:rPr>
              <w:t xml:space="preserve">Trigger</w:t>
            </w:r>
          </w:p>
        </w:tc>
        <w:tc>
          <w:tcPr>
            <w:tcW w:w="1970" w:type="dxa"/>
            <w:shd w:val="clear" w:color="auto" w:fill="1F3A5F"/>
          </w:tcPr>
          <w:p>
            <w:pPr>
              <w:pStyle w:val="Compact"/>
              <w:spacing w:after="40"/>
              <w:jc w:val="left"/>
            </w:pPr>
            <w:r>
              <w:rPr>
                <w:b/>
                <w:color w:val="FFFFFF"/>
                <w:sz w:val="18"/>
              </w:rPr>
              <w:t xml:space="preserve">Key payload fields</w:t>
            </w:r>
          </w:p>
        </w:tc>
        <w:tc>
          <w:tcPr>
            <w:tcW w:w="895" w:type="dxa"/>
            <w:shd w:val="clear" w:color="auto" w:fill="1F3A5F"/>
          </w:tcPr>
          <w:p>
            <w:pPr>
              <w:pStyle w:val="Compact"/>
              <w:spacing w:after="40"/>
              <w:jc w:val="left"/>
            </w:pPr>
            <w:r>
              <w:rPr>
                <w:b/>
                <w:color w:val="FFFFFF"/>
                <w:sz w:val="18"/>
              </w:rPr>
              <w:t xml:space="preserve">Owner</w:t>
            </w:r>
          </w:p>
        </w:tc>
        <w:tc>
          <w:tcPr>
            <w:tcW w:w="1110" w:type="dxa"/>
            <w:shd w:val="clear" w:color="auto" w:fill="1F3A5F"/>
          </w:tcPr>
          <w:p>
            <w:pPr>
              <w:pStyle w:val="Compact"/>
              <w:spacing w:after="40"/>
              <w:jc w:val="left"/>
            </w:pPr>
            <w:r>
              <w:rPr>
                <w:b/>
                <w:color w:val="FFFFFF"/>
                <w:sz w:val="18"/>
              </w:rPr>
              <w:t xml:space="preserve">Idempotency key</w:t>
            </w:r>
          </w:p>
        </w:tc>
        <w:tc>
          <w:tcPr>
            <w:tcW w:w="1257" w:type="dxa"/>
            <w:shd w:val="clear" w:color="auto" w:fill="1F3A5F"/>
          </w:tcPr>
          <w:p>
            <w:pPr>
              <w:pStyle w:val="Compact"/>
              <w:spacing w:after="40"/>
              <w:jc w:val="left"/>
            </w:pPr>
            <w:r>
              <w:rPr>
                <w:b/>
                <w:color w:val="FFFFFF"/>
                <w:sz w:val="18"/>
              </w:rPr>
              <w:t xml:space="preserve">SLA</w:t>
            </w:r>
          </w:p>
        </w:tc>
      </w:tr>
      <w:tr>
        <w:tc>
          <w:tcPr>
            <w:tcW w:w="1038" w:type="dxa"/>
          </w:tcPr>
          <w:p>
            <w:pPr>
              <w:pStyle w:val="Compact"/>
              <w:spacing w:after="40"/>
              <w:jc w:val="left"/>
            </w:pPr>
            <w:r>
              <w:rPr>
                <w:rStyle w:val="VerbatimChar"/>
                <w:sz w:val="18"/>
              </w:rPr>
              <w:t xml:space="preserve">TradeBooked</w:t>
            </w:r>
            <w:r>
              <w:rPr>
                <w:sz w:val="18"/>
              </w:rPr>
              <w:t xml:space="preserve"> </w:t>
            </w:r>
            <w:r>
              <w:rPr>
                <w:sz w:val="18"/>
              </w:rPr>
              <w:t xml:space="preserve">(N11)</w:t>
            </w:r>
          </w:p>
        </w:tc>
        <w:tc>
          <w:tcPr>
            <w:tcW w:w="2055" w:type="dxa"/>
          </w:tcPr>
          <w:p>
            <w:pPr>
              <w:pStyle w:val="Compact"/>
              <w:spacing w:after="40"/>
              <w:jc w:val="left"/>
            </w:pPr>
            <w:r>
              <w:rPr>
                <w:sz w:val="18"/>
              </w:rPr>
              <w:t xml:space="preserve">FX → FX 7C and 7E (internal), custodian or depository reconciliation adapter, tenant compliance destination (PIT evidence where relevant)</w:t>
            </w:r>
          </w:p>
        </w:tc>
        <w:tc>
          <w:tcPr>
            <w:tcW w:w="1313" w:type="dxa"/>
          </w:tcPr>
          <w:p>
            <w:pPr>
              <w:pStyle w:val="Compact"/>
              <w:spacing w:after="40"/>
              <w:jc w:val="left"/>
            </w:pPr>
            <w:r>
              <w:rPr>
                <w:sz w:val="18"/>
              </w:rPr>
              <w:t xml:space="preserve">Contract note matched and posted (trade-date accounting)</w:t>
            </w:r>
          </w:p>
        </w:tc>
        <w:tc>
          <w:tcPr>
            <w:tcW w:w="1970" w:type="dxa"/>
          </w:tcPr>
          <w:p>
            <w:pPr>
              <w:pStyle w:val="Compact"/>
              <w:spacing w:after="40"/>
              <w:jc w:val="left"/>
            </w:pPr>
            <w:r>
              <w:rPr>
                <w:sz w:val="18"/>
              </w:rPr>
              <w:t xml:space="preserve">order_id, ISIN, side, quantity, price, contract-note hash, posting id, approval refs</w:t>
            </w:r>
          </w:p>
        </w:tc>
        <w:tc>
          <w:tcPr>
            <w:tcW w:w="895" w:type="dxa"/>
          </w:tcPr>
          <w:p>
            <w:pPr>
              <w:pStyle w:val="Compact"/>
              <w:spacing w:after="40"/>
              <w:jc w:val="left"/>
            </w:pPr>
            <w:r>
              <w:rPr>
                <w:sz w:val="18"/>
              </w:rPr>
              <w:t xml:space="preserve">FX</w:t>
            </w:r>
          </w:p>
        </w:tc>
        <w:tc>
          <w:tcPr>
            <w:tcW w:w="1110" w:type="dxa"/>
          </w:tcPr>
          <w:p>
            <w:pPr>
              <w:pStyle w:val="Compact"/>
              <w:spacing w:after="40"/>
              <w:jc w:val="left"/>
            </w:pPr>
            <w:r>
              <w:rPr>
                <w:sz w:val="18"/>
              </w:rPr>
              <w:t xml:space="preserve">(order_id, contract_note_hash)</w:t>
            </w:r>
          </w:p>
        </w:tc>
        <w:tc>
          <w:tcPr>
            <w:tcW w:w="1257" w:type="dxa"/>
          </w:tcPr>
          <w:p>
            <w:pPr>
              <w:pStyle w:val="Compact"/>
              <w:spacing w:after="40"/>
              <w:jc w:val="left"/>
            </w:pPr>
            <w:r>
              <w:rPr>
                <w:sz w:val="18"/>
              </w:rPr>
              <w:t xml:space="preserve">std</w:t>
            </w:r>
          </w:p>
        </w:tc>
      </w:tr>
      <w:tr>
        <w:tc>
          <w:tcPr>
            <w:tcW w:w="1038" w:type="dxa"/>
          </w:tcPr>
          <w:p>
            <w:pPr>
              <w:pStyle w:val="Compact"/>
              <w:spacing w:after="40"/>
              <w:jc w:val="left"/>
            </w:pPr>
            <w:r>
              <w:rPr>
                <w:rStyle w:val="VerbatimChar"/>
                <w:sz w:val="18"/>
              </w:rPr>
              <w:t xml:space="preserve">PositionValued</w:t>
            </w:r>
            <w:r>
              <w:rPr>
                <w:sz w:val="18"/>
              </w:rPr>
              <w:t xml:space="preserve"> </w:t>
            </w:r>
            <w:r>
              <w:rPr>
                <w:sz w:val="18"/>
              </w:rPr>
              <w:t xml:space="preserve">(N11)</w:t>
            </w:r>
          </w:p>
        </w:tc>
        <w:tc>
          <w:tcPr>
            <w:tcW w:w="2055" w:type="dxa"/>
          </w:tcPr>
          <w:p>
            <w:pPr>
              <w:pStyle w:val="Compact"/>
              <w:spacing w:after="40"/>
              <w:jc w:val="left"/>
            </w:pPr>
            <w:r>
              <w:rPr>
                <w:sz w:val="18"/>
              </w:rPr>
              <w:t xml:space="preserve">FX → FX 7E (internal), LDC (aggregates), investor tenants under a look-through contract</w:t>
            </w:r>
          </w:p>
        </w:tc>
        <w:tc>
          <w:tcPr>
            <w:tcW w:w="1313" w:type="dxa"/>
          </w:tcPr>
          <w:p>
            <w:pPr>
              <w:pStyle w:val="Compact"/>
              <w:spacing w:after="40"/>
              <w:jc w:val="left"/>
            </w:pPr>
            <w:r>
              <w:rPr>
                <w:sz w:val="18"/>
              </w:rPr>
              <w:t xml:space="preserve">Valuation run per position</w:t>
            </w:r>
          </w:p>
        </w:tc>
        <w:tc>
          <w:tcPr>
            <w:tcW w:w="1970" w:type="dxa"/>
          </w:tcPr>
          <w:p>
            <w:pPr>
              <w:pStyle w:val="Compact"/>
              <w:spacing w:after="40"/>
              <w:jc w:val="left"/>
            </w:pPr>
            <w:r>
              <w:rPr>
                <w:sz w:val="18"/>
              </w:rPr>
              <w:t xml:space="preserve">position_id, method, price source, fair-value level, value, run type (INDICATIVE, OFFICIAL), hash</w:t>
            </w:r>
          </w:p>
        </w:tc>
        <w:tc>
          <w:tcPr>
            <w:tcW w:w="895" w:type="dxa"/>
          </w:tcPr>
          <w:p>
            <w:pPr>
              <w:pStyle w:val="Compact"/>
              <w:spacing w:after="40"/>
              <w:jc w:val="left"/>
            </w:pPr>
            <w:r>
              <w:rPr>
                <w:sz w:val="18"/>
              </w:rPr>
              <w:t xml:space="preserve">FX</w:t>
            </w:r>
          </w:p>
        </w:tc>
        <w:tc>
          <w:tcPr>
            <w:tcW w:w="1110" w:type="dxa"/>
          </w:tcPr>
          <w:p>
            <w:pPr>
              <w:pStyle w:val="Compact"/>
              <w:spacing w:after="40"/>
              <w:jc w:val="left"/>
            </w:pPr>
            <w:r>
              <w:rPr>
                <w:sz w:val="18"/>
              </w:rPr>
              <w:t xml:space="preserve">(position_id, valuation_run_id)</w:t>
            </w:r>
          </w:p>
        </w:tc>
        <w:tc>
          <w:tcPr>
            <w:tcW w:w="1257" w:type="dxa"/>
          </w:tcPr>
          <w:p>
            <w:pPr>
              <w:pStyle w:val="Compact"/>
              <w:spacing w:after="40"/>
              <w:jc w:val="left"/>
            </w:pPr>
            <w:r>
              <w:rPr>
                <w:sz w:val="18"/>
              </w:rPr>
              <w:t xml:space="preserve">Official month-end run by WD+3 [REC]</w:t>
            </w:r>
          </w:p>
        </w:tc>
      </w:tr>
      <w:tr>
        <w:tc>
          <w:tcPr>
            <w:tcW w:w="1038" w:type="dxa"/>
          </w:tcPr>
          <w:p>
            <w:pPr>
              <w:pStyle w:val="Compact"/>
              <w:spacing w:after="40"/>
              <w:jc w:val="left"/>
            </w:pPr>
            <w:r>
              <w:rPr>
                <w:rStyle w:val="VerbatimChar"/>
                <w:sz w:val="18"/>
              </w:rPr>
              <w:t xml:space="preserve">InvestmentLimitBreached</w:t>
            </w:r>
            <w:r>
              <w:rPr>
                <w:sz w:val="18"/>
              </w:rPr>
              <w:t xml:space="preserve"> </w:t>
            </w:r>
            <w:r>
              <w:rPr>
                <w:sz w:val="18"/>
              </w:rPr>
              <w:t xml:space="preserve">(N11)</w:t>
            </w:r>
          </w:p>
        </w:tc>
        <w:tc>
          <w:tcPr>
            <w:tcW w:w="2055" w:type="dxa"/>
          </w:tcPr>
          <w:p>
            <w:pPr>
              <w:pStyle w:val="Compact"/>
              <w:spacing w:after="40"/>
              <w:jc w:val="left"/>
            </w:pPr>
            <w:r>
              <w:rPr>
                <w:sz w:val="18"/>
              </w:rPr>
              <w:t xml:space="preserve">FX → FX 7E (internal), LDC (always with</w:t>
            </w:r>
            <w:r>
              <w:rPr>
                <w:sz w:val="18"/>
              </w:rPr>
              <w:t xml:space="preserve"> </w:t>
            </w:r>
            <w:r>
              <w:rPr>
                <w:rStyle w:val="VerbatimChar"/>
                <w:sz w:val="18"/>
              </w:rPr>
              <w:t xml:space="preserve">LimitBreached</w:t>
            </w:r>
            <w:r>
              <w:rPr>
                <w:sz w:val="18"/>
              </w:rPr>
              <w:t xml:space="preserve">, 6.22)</w:t>
            </w:r>
          </w:p>
        </w:tc>
        <w:tc>
          <w:tcPr>
            <w:tcW w:w="1313" w:type="dxa"/>
          </w:tcPr>
          <w:p>
            <w:pPr>
              <w:pStyle w:val="Compact"/>
              <w:spacing w:after="40"/>
              <w:jc w:val="left"/>
            </w:pPr>
            <w:r>
              <w:rPr>
                <w:sz w:val="18"/>
              </w:rPr>
              <w:t xml:space="preserve">Investment, exposure or category limit breached</w:t>
            </w:r>
          </w:p>
        </w:tc>
        <w:tc>
          <w:tcPr>
            <w:tcW w:w="1970" w:type="dxa"/>
          </w:tcPr>
          <w:p>
            <w:pPr>
              <w:pStyle w:val="Compact"/>
              <w:spacing w:after="40"/>
              <w:jc w:val="left"/>
            </w:pPr>
            <w:r>
              <w:rPr>
                <w:sz w:val="18"/>
              </w:rPr>
              <w:t xml:space="preserve">limit_id, rule (INV, CON, CICD, ARC para 21, RBI-AIF), value, limit, citation, pseudonymised issuer ref</w:t>
            </w:r>
          </w:p>
        </w:tc>
        <w:tc>
          <w:tcPr>
            <w:tcW w:w="895" w:type="dxa"/>
          </w:tcPr>
          <w:p>
            <w:pPr>
              <w:pStyle w:val="Compact"/>
              <w:spacing w:after="40"/>
              <w:jc w:val="left"/>
            </w:pPr>
            <w:r>
              <w:rPr>
                <w:sz w:val="18"/>
              </w:rPr>
              <w:t xml:space="preserve">FX</w:t>
            </w:r>
          </w:p>
        </w:tc>
        <w:tc>
          <w:tcPr>
            <w:tcW w:w="1110" w:type="dxa"/>
          </w:tcPr>
          <w:p>
            <w:pPr>
              <w:pStyle w:val="Compact"/>
              <w:spacing w:after="40"/>
              <w:jc w:val="left"/>
            </w:pPr>
            <w:r>
              <w:rPr>
                <w:sz w:val="18"/>
              </w:rPr>
              <w:t xml:space="preserve">(limit_id, episode_id, update_seq)</w:t>
            </w:r>
          </w:p>
        </w:tc>
        <w:tc>
          <w:tcPr>
            <w:tcW w:w="1257" w:type="dxa"/>
          </w:tcPr>
          <w:p>
            <w:pPr>
              <w:pStyle w:val="Compact"/>
              <w:spacing w:after="40"/>
              <w:jc w:val="left"/>
            </w:pPr>
            <w:r>
              <w:rPr>
                <w:sz w:val="18"/>
              </w:rPr>
              <w:t xml:space="preserve">≤ 15 min</w:t>
            </w:r>
          </w:p>
        </w:tc>
      </w:tr>
      <w:tr>
        <w:tc>
          <w:tcPr>
            <w:tcW w:w="1038" w:type="dxa"/>
          </w:tcPr>
          <w:p>
            <w:pPr>
              <w:pStyle w:val="Compact"/>
              <w:spacing w:after="40"/>
              <w:jc w:val="left"/>
            </w:pPr>
            <w:r>
              <w:rPr>
                <w:rStyle w:val="VerbatimChar"/>
                <w:sz w:val="18"/>
              </w:rPr>
              <w:t xml:space="preserve">AssetAcquired</w:t>
            </w:r>
            <w:r>
              <w:rPr>
                <w:sz w:val="18"/>
              </w:rPr>
              <w:t xml:space="preserve"> </w:t>
            </w:r>
            <w:r>
              <w:rPr>
                <w:sz w:val="18"/>
              </w:rPr>
              <w:t xml:space="preserve">(N11) signed</w:t>
            </w:r>
          </w:p>
        </w:tc>
        <w:tc>
          <w:tcPr>
            <w:tcW w:w="2055" w:type="dxa"/>
          </w:tcPr>
          <w:p>
            <w:pPr>
              <w:pStyle w:val="Compact"/>
              <w:spacing w:after="40"/>
              <w:jc w:val="left"/>
            </w:pPr>
            <w:r>
              <w:rPr>
                <w:sz w:val="18"/>
              </w:rPr>
              <w:t xml:space="preserve">ARC tenant (FX IP5) → transferor’s system (FX R13 or other LMS), LDC</w:t>
            </w:r>
          </w:p>
        </w:tc>
        <w:tc>
          <w:tcPr>
            <w:tcW w:w="1313" w:type="dxa"/>
          </w:tcPr>
          <w:p>
            <w:pPr>
              <w:pStyle w:val="Compact"/>
              <w:spacing w:after="40"/>
              <w:jc w:val="left"/>
            </w:pPr>
            <w:r>
              <w:rPr>
                <w:sz w:val="18"/>
              </w:rPr>
              <w:t xml:space="preserve">Acquisition completed</w:t>
            </w:r>
          </w:p>
        </w:tc>
        <w:tc>
          <w:tcPr>
            <w:tcW w:w="1970" w:type="dxa"/>
          </w:tcPr>
          <w:p>
            <w:pPr>
              <w:pStyle w:val="Compact"/>
              <w:spacing w:after="40"/>
              <w:jc w:val="left"/>
            </w:pPr>
            <w:r>
              <w:rPr>
                <w:sz w:val="18"/>
              </w:rPr>
              <w:t xml:space="preserve">scheme_id, trust_id, mode (AUCTION, BILATERAL), acquisition price, transferor org, account refs (pseudonymous), settlement UTR</w:t>
            </w:r>
          </w:p>
        </w:tc>
        <w:tc>
          <w:tcPr>
            <w:tcW w:w="895" w:type="dxa"/>
          </w:tcPr>
          <w:p>
            <w:pPr>
              <w:pStyle w:val="Compact"/>
              <w:spacing w:after="40"/>
              <w:jc w:val="left"/>
            </w:pPr>
            <w:r>
              <w:rPr>
                <w:sz w:val="18"/>
              </w:rPr>
              <w:t xml:space="preserve">ARC</w:t>
            </w:r>
          </w:p>
        </w:tc>
        <w:tc>
          <w:tcPr>
            <w:tcW w:w="1110" w:type="dxa"/>
          </w:tcPr>
          <w:p>
            <w:pPr>
              <w:pStyle w:val="Compact"/>
              <w:spacing w:after="40"/>
              <w:jc w:val="left"/>
            </w:pPr>
            <w:r>
              <w:rPr>
                <w:sz w:val="18"/>
              </w:rPr>
              <w:t xml:space="preserve">(scheme_id, acquisition_id)</w:t>
            </w:r>
          </w:p>
        </w:tc>
        <w:tc>
          <w:tcPr>
            <w:tcW w:w="1257" w:type="dxa"/>
          </w:tcPr>
          <w:p>
            <w:pPr>
              <w:pStyle w:val="Compact"/>
              <w:spacing w:after="40"/>
              <w:jc w:val="left"/>
            </w:pPr>
            <w:r>
              <w:rPr>
                <w:sz w:val="18"/>
              </w:rPr>
              <w:t xml:space="preserve">≤ 1 working day</w:t>
            </w:r>
          </w:p>
        </w:tc>
      </w:tr>
      <w:tr>
        <w:tc>
          <w:tcPr>
            <w:tcW w:w="1038" w:type="dxa"/>
          </w:tcPr>
          <w:p>
            <w:pPr>
              <w:pStyle w:val="Compact"/>
              <w:spacing w:after="40"/>
              <w:jc w:val="left"/>
            </w:pPr>
            <w:r>
              <w:rPr>
                <w:rStyle w:val="VerbatimChar"/>
                <w:sz w:val="18"/>
              </w:rPr>
              <w:t xml:space="preserve">SecurityReceiptIssued</w:t>
            </w:r>
            <w:r>
              <w:rPr>
                <w:sz w:val="18"/>
              </w:rPr>
              <w:t xml:space="preserve"> </w:t>
            </w:r>
            <w:r>
              <w:rPr>
                <w:sz w:val="18"/>
              </w:rPr>
              <w:t xml:space="preserve">(N11) signed</w:t>
            </w:r>
          </w:p>
        </w:tc>
        <w:tc>
          <w:tcPr>
            <w:tcW w:w="2055" w:type="dxa"/>
          </w:tcPr>
          <w:p>
            <w:pPr>
              <w:pStyle w:val="Compact"/>
              <w:spacing w:after="40"/>
              <w:jc w:val="left"/>
            </w:pPr>
            <w:r>
              <w:rPr>
                <w:sz w:val="18"/>
              </w:rPr>
              <w:t xml:space="preserve">ARC → QB holder tenants (FX IV4), transferor</w:t>
            </w:r>
          </w:p>
        </w:tc>
        <w:tc>
          <w:tcPr>
            <w:tcW w:w="1313" w:type="dxa"/>
          </w:tcPr>
          <w:p>
            <w:pPr>
              <w:pStyle w:val="Compact"/>
              <w:spacing w:after="40"/>
              <w:jc w:val="left"/>
            </w:pPr>
            <w:r>
              <w:rPr>
                <w:sz w:val="18"/>
              </w:rPr>
              <w:t xml:space="preserve">SRs issued</w:t>
            </w:r>
          </w:p>
        </w:tc>
        <w:tc>
          <w:tcPr>
            <w:tcW w:w="1970" w:type="dxa"/>
          </w:tcPr>
          <w:p>
            <w:pPr>
              <w:pStyle w:val="Compact"/>
              <w:spacing w:after="40"/>
              <w:jc w:val="left"/>
            </w:pPr>
            <w:r>
              <w:rPr>
                <w:sz w:val="18"/>
              </w:rPr>
              <w:t xml:space="preserve">ISIN, scheme, class, units, face value, holder ref (QB), ARC self-investment percentage (ARC para 81)</w:t>
            </w:r>
          </w:p>
        </w:tc>
        <w:tc>
          <w:tcPr>
            <w:tcW w:w="895" w:type="dxa"/>
          </w:tcPr>
          <w:p>
            <w:pPr>
              <w:pStyle w:val="Compact"/>
              <w:spacing w:after="40"/>
              <w:jc w:val="left"/>
            </w:pPr>
            <w:r>
              <w:rPr>
                <w:sz w:val="18"/>
              </w:rPr>
              <w:t xml:space="preserve">ARC</w:t>
            </w:r>
          </w:p>
        </w:tc>
        <w:tc>
          <w:tcPr>
            <w:tcW w:w="1110" w:type="dxa"/>
          </w:tcPr>
          <w:p>
            <w:pPr>
              <w:pStyle w:val="Compact"/>
              <w:spacing w:after="40"/>
              <w:jc w:val="left"/>
            </w:pPr>
            <w:r>
              <w:rPr>
                <w:sz w:val="18"/>
              </w:rPr>
              <w:t xml:space="preserve">(isin, issue_id)</w:t>
            </w:r>
          </w:p>
        </w:tc>
        <w:tc>
          <w:tcPr>
            <w:tcW w:w="1257" w:type="dxa"/>
          </w:tcPr>
          <w:p>
            <w:pPr>
              <w:pStyle w:val="Compact"/>
              <w:spacing w:after="40"/>
              <w:jc w:val="left"/>
            </w:pPr>
            <w:r>
              <w:rPr>
                <w:sz w:val="18"/>
              </w:rPr>
              <w:t xml:space="preserve">≤ 1 working day</w:t>
            </w:r>
          </w:p>
        </w:tc>
      </w:tr>
      <w:tr>
        <w:tc>
          <w:tcPr>
            <w:tcW w:w="1038" w:type="dxa"/>
          </w:tcPr>
          <w:p>
            <w:pPr>
              <w:pStyle w:val="Compact"/>
              <w:spacing w:after="40"/>
              <w:jc w:val="left"/>
            </w:pPr>
            <w:r>
              <w:rPr>
                <w:rStyle w:val="VerbatimChar"/>
                <w:sz w:val="18"/>
              </w:rPr>
              <w:t xml:space="preserve">SrNavPublished</w:t>
            </w:r>
            <w:r>
              <w:rPr>
                <w:sz w:val="18"/>
              </w:rPr>
              <w:t xml:space="preserve"> </w:t>
            </w:r>
            <w:r>
              <w:rPr>
                <w:sz w:val="18"/>
              </w:rPr>
              <w:t xml:space="preserve">(N11)</w:t>
            </w:r>
          </w:p>
        </w:tc>
        <w:tc>
          <w:tcPr>
            <w:tcW w:w="2055" w:type="dxa"/>
          </w:tcPr>
          <w:p>
            <w:pPr>
              <w:pStyle w:val="Compact"/>
              <w:spacing w:after="40"/>
              <w:jc w:val="left"/>
            </w:pPr>
            <w:r>
              <w:rPr>
                <w:sz w:val="18"/>
              </w:rPr>
              <w:t xml:space="preserve">ARC → SR holders (FX IV4), transferors (FX R13)</w:t>
            </w:r>
          </w:p>
        </w:tc>
        <w:tc>
          <w:tcPr>
            <w:tcW w:w="1313" w:type="dxa"/>
          </w:tcPr>
          <w:p>
            <w:pPr>
              <w:pStyle w:val="Compact"/>
              <w:spacing w:after="40"/>
              <w:jc w:val="left"/>
            </w:pPr>
            <w:r>
              <w:rPr>
                <w:sz w:val="18"/>
              </w:rPr>
              <w:t xml:space="preserve">NAV as on 30 June and 31 December (ARC para 90)</w:t>
            </w:r>
          </w:p>
        </w:tc>
        <w:tc>
          <w:tcPr>
            <w:tcW w:w="1970" w:type="dxa"/>
          </w:tcPr>
          <w:p>
            <w:pPr>
              <w:pStyle w:val="Compact"/>
              <w:spacing w:after="40"/>
              <w:jc w:val="left"/>
            </w:pPr>
            <w:r>
              <w:rPr>
                <w:sz w:val="18"/>
              </w:rPr>
              <w:t xml:space="preserve">ISIN, scheme, class, NAV, CRA recovery range, rating, as_of</w:t>
            </w:r>
          </w:p>
        </w:tc>
        <w:tc>
          <w:tcPr>
            <w:tcW w:w="895" w:type="dxa"/>
          </w:tcPr>
          <w:p>
            <w:pPr>
              <w:pStyle w:val="Compact"/>
              <w:spacing w:after="40"/>
              <w:jc w:val="left"/>
            </w:pPr>
            <w:r>
              <w:rPr>
                <w:sz w:val="18"/>
              </w:rPr>
              <w:t xml:space="preserve">ARC</w:t>
            </w:r>
          </w:p>
        </w:tc>
        <w:tc>
          <w:tcPr>
            <w:tcW w:w="1110" w:type="dxa"/>
          </w:tcPr>
          <w:p>
            <w:pPr>
              <w:pStyle w:val="Compact"/>
              <w:spacing w:after="40"/>
              <w:jc w:val="left"/>
            </w:pPr>
            <w:r>
              <w:rPr>
                <w:sz w:val="18"/>
              </w:rPr>
              <w:t xml:space="preserve">(isin, as_of)</w:t>
            </w:r>
          </w:p>
        </w:tc>
        <w:tc>
          <w:tcPr>
            <w:tcW w:w="1257" w:type="dxa"/>
          </w:tcPr>
          <w:p>
            <w:pPr>
              <w:pStyle w:val="Compact"/>
              <w:spacing w:after="40"/>
              <w:jc w:val="left"/>
            </w:pPr>
            <w:r>
              <w:rPr>
                <w:sz w:val="18"/>
              </w:rPr>
              <w:t xml:space="preserve">Per ARC Directions</w:t>
            </w:r>
          </w:p>
        </w:tc>
      </w:tr>
      <w:tr>
        <w:tc>
          <w:tcPr>
            <w:tcW w:w="1038" w:type="dxa"/>
          </w:tcPr>
          <w:p>
            <w:pPr>
              <w:pStyle w:val="Compact"/>
              <w:spacing w:after="40"/>
              <w:jc w:val="left"/>
            </w:pPr>
            <w:r>
              <w:rPr>
                <w:rStyle w:val="VerbatimChar"/>
                <w:sz w:val="18"/>
              </w:rPr>
              <w:t xml:space="preserve">ServicerRemittanceMade</w:t>
            </w:r>
            <w:r>
              <w:rPr>
                <w:sz w:val="18"/>
              </w:rPr>
              <w:t xml:space="preserve"> </w:t>
            </w:r>
            <w:r>
              <w:rPr>
                <w:sz w:val="18"/>
              </w:rPr>
              <w:t xml:space="preserve">(N11) signed</w:t>
            </w:r>
          </w:p>
        </w:tc>
        <w:tc>
          <w:tcPr>
            <w:tcW w:w="2055" w:type="dxa"/>
          </w:tcPr>
          <w:p>
            <w:pPr>
              <w:pStyle w:val="Compact"/>
              <w:spacing w:after="40"/>
              <w:jc w:val="left"/>
            </w:pPr>
            <w:r>
              <w:rPr>
                <w:sz w:val="18"/>
              </w:rPr>
              <w:t xml:space="preserve">Originator-servicer (FX IV7) → trustee (TR), investor tenants</w:t>
            </w:r>
          </w:p>
        </w:tc>
        <w:tc>
          <w:tcPr>
            <w:tcW w:w="1313" w:type="dxa"/>
          </w:tcPr>
          <w:p>
            <w:pPr>
              <w:pStyle w:val="Compact"/>
              <w:spacing w:after="40"/>
              <w:jc w:val="left"/>
            </w:pPr>
            <w:r>
              <w:rPr>
                <w:sz w:val="18"/>
              </w:rPr>
              <w:t xml:space="preserve">Waterfall payout instruction executed by the trustee</w:t>
            </w:r>
          </w:p>
        </w:tc>
        <w:tc>
          <w:tcPr>
            <w:tcW w:w="1970" w:type="dxa"/>
          </w:tcPr>
          <w:p>
            <w:pPr>
              <w:pStyle w:val="Compact"/>
              <w:spacing w:after="40"/>
              <w:jc w:val="left"/>
            </w:pPr>
            <w:r>
              <w:rPr>
                <w:sz w:val="18"/>
              </w:rPr>
              <w:t xml:space="preserve">transaction_id, period, collected, remitted, retained fee, principal and interest deficiency, trigger status</w:t>
            </w:r>
          </w:p>
        </w:tc>
        <w:tc>
          <w:tcPr>
            <w:tcW w:w="895" w:type="dxa"/>
          </w:tcPr>
          <w:p>
            <w:pPr>
              <w:pStyle w:val="Compact"/>
              <w:spacing w:after="40"/>
              <w:jc w:val="left"/>
            </w:pPr>
            <w:r>
              <w:rPr>
                <w:sz w:val="18"/>
              </w:rPr>
              <w:t xml:space="preserve">Servicer; the trustee pays</w:t>
            </w:r>
          </w:p>
        </w:tc>
        <w:tc>
          <w:tcPr>
            <w:tcW w:w="1110" w:type="dxa"/>
          </w:tcPr>
          <w:p>
            <w:pPr>
              <w:pStyle w:val="Compact"/>
              <w:spacing w:after="40"/>
              <w:jc w:val="left"/>
            </w:pPr>
            <w:r>
              <w:rPr>
                <w:sz w:val="18"/>
              </w:rPr>
              <w:t xml:space="preserve">(transaction_id, period, remittance_seq)</w:t>
            </w:r>
          </w:p>
        </w:tc>
        <w:tc>
          <w:tcPr>
            <w:tcW w:w="1257" w:type="dxa"/>
          </w:tcPr>
          <w:p>
            <w:pPr>
              <w:pStyle w:val="Compact"/>
              <w:spacing w:after="40"/>
              <w:jc w:val="left"/>
            </w:pPr>
            <w:r>
              <w:rPr>
                <w:sz w:val="18"/>
              </w:rPr>
              <w:t xml:space="preserve">Per servicing agreement (daily or T+1 sweep)</w:t>
            </w:r>
          </w:p>
        </w:tc>
      </w:tr>
      <w:tr>
        <w:tc>
          <w:tcPr>
            <w:tcW w:w="1038" w:type="dxa"/>
          </w:tcPr>
          <w:p>
            <w:pPr>
              <w:pStyle w:val="Compact"/>
              <w:spacing w:after="40"/>
              <w:jc w:val="left"/>
            </w:pPr>
            <w:r>
              <w:rPr>
                <w:rStyle w:val="VerbatimChar"/>
                <w:sz w:val="18"/>
              </w:rPr>
              <w:t xml:space="preserve">InvestorReportPublished</w:t>
            </w:r>
            <w:r>
              <w:rPr>
                <w:sz w:val="18"/>
              </w:rPr>
              <w:t xml:space="preserve"> </w:t>
            </w:r>
            <w:r>
              <w:rPr>
                <w:sz w:val="18"/>
              </w:rPr>
              <w:t xml:space="preserve">(N11)</w:t>
            </w:r>
          </w:p>
        </w:tc>
        <w:tc>
          <w:tcPr>
            <w:tcW w:w="2055" w:type="dxa"/>
          </w:tcPr>
          <w:p>
            <w:pPr>
              <w:pStyle w:val="Compact"/>
              <w:spacing w:after="40"/>
              <w:jc w:val="left"/>
            </w:pPr>
            <w:r>
              <w:rPr>
                <w:sz w:val="18"/>
              </w:rPr>
              <w:t xml:space="preserve">Servicer → TR, investor tenants, CRAs</w:t>
            </w:r>
          </w:p>
        </w:tc>
        <w:tc>
          <w:tcPr>
            <w:tcW w:w="1313" w:type="dxa"/>
          </w:tcPr>
          <w:p>
            <w:pPr>
              <w:pStyle w:val="Compact"/>
              <w:spacing w:after="40"/>
              <w:jc w:val="left"/>
            </w:pPr>
            <w:r>
              <w:rPr>
                <w:sz w:val="18"/>
              </w:rPr>
              <w:t xml:space="preserve">Monthly servicer report or SEC disclosure released</w:t>
            </w:r>
          </w:p>
        </w:tc>
        <w:tc>
          <w:tcPr>
            <w:tcW w:w="1970" w:type="dxa"/>
          </w:tcPr>
          <w:p>
            <w:pPr>
              <w:pStyle w:val="Compact"/>
              <w:spacing w:after="40"/>
              <w:jc w:val="left"/>
            </w:pPr>
            <w:r>
              <w:rPr>
                <w:sz w:val="18"/>
              </w:rPr>
              <w:t xml:space="preserve">report type (SERVICER_MONTHLY, MHP_MRR, MATERIAL_CHANGE, STC_DATA), period, document ref and hash (</w:t>
            </w:r>
            <w:r>
              <w:rPr>
                <w:rStyle w:val="VerbatimChar"/>
                <w:sz w:val="18"/>
              </w:rPr>
              <w:t xml:space="preserve">servicer_report_v1</w:t>
            </w:r>
            <w:r>
              <w:rPr>
                <w:sz w:val="18"/>
              </w:rPr>
              <w:t xml:space="preserve">)</w:t>
            </w:r>
          </w:p>
        </w:tc>
        <w:tc>
          <w:tcPr>
            <w:tcW w:w="895" w:type="dxa"/>
          </w:tcPr>
          <w:p>
            <w:pPr>
              <w:pStyle w:val="Compact"/>
              <w:spacing w:after="40"/>
              <w:jc w:val="left"/>
            </w:pPr>
            <w:r>
              <w:rPr>
                <w:sz w:val="18"/>
              </w:rPr>
              <w:t xml:space="preserve">Servicer</w:t>
            </w:r>
          </w:p>
        </w:tc>
        <w:tc>
          <w:tcPr>
            <w:tcW w:w="1110" w:type="dxa"/>
          </w:tcPr>
          <w:p>
            <w:pPr>
              <w:pStyle w:val="Compact"/>
              <w:spacing w:after="40"/>
              <w:jc w:val="left"/>
            </w:pPr>
            <w:r>
              <w:rPr>
                <w:sz w:val="18"/>
              </w:rPr>
              <w:t xml:space="preserve">(transaction_id, report_type, period)</w:t>
            </w:r>
          </w:p>
        </w:tc>
        <w:tc>
          <w:tcPr>
            <w:tcW w:w="1257" w:type="dxa"/>
          </w:tcPr>
          <w:p>
            <w:pPr>
              <w:pStyle w:val="Compact"/>
              <w:spacing w:after="40"/>
              <w:jc w:val="left"/>
            </w:pPr>
            <w:r>
              <w:rPr>
                <w:sz w:val="18"/>
              </w:rPr>
              <w:t xml:space="preserve">SEC paras 18–22, 112–113; material change ≤ 14 days</w:t>
            </w:r>
          </w:p>
        </w:tc>
      </w:tr>
    </w:tbl>
    <w:p>
      <w:pPr>
        <w:numPr>
          <w:ilvl w:val="0"/>
          <w:numId w:val="1019"/>
        </w:numPr>
        <w:pStyle w:val="Compact"/>
      </w:pPr>
      <w:r>
        <w:rPr>
          <w:bCs/>
          <w:b/>
        </w:rPr>
        <w:t xml:space="preserve">Recycling rule:</w:t>
      </w:r>
      <w:r>
        <w:t xml:space="preserve"> </w:t>
      </w:r>
      <w:r>
        <w:t xml:space="preserve">the originator may use the upfront sale consideration freely; post-sale collections belong to the SPE, post to a held-in-trust liability sub-ledger and never fund the originator’s lending (SEC para 95(2)–(4)); replenishment only within a documented period and never to improve a deteriorated pool (CAP para 27(9)); clean-up call only at or below 10% (CAP para 27(8)).</w:t>
      </w:r>
    </w:p>
    <w:p>
      <w:pPr>
        <w:numPr>
          <w:ilvl w:val="0"/>
          <w:numId w:val="1019"/>
        </w:numPr>
        <w:pStyle w:val="Compact"/>
      </w:pPr>
      <w:r>
        <w:rPr>
          <w:bCs/>
          <w:b/>
        </w:rPr>
        <w:t xml:space="preserve">Co-operatives</w:t>
      </w:r>
      <w:r>
        <w:t xml:space="preserve"> </w:t>
      </w:r>
      <w:r>
        <w:t xml:space="preserve">never co-lend or sell loans (6.24); IFSC entities as co-lending partners await the owner’s decision (Finbyx Appendix B).</w:t>
      </w:r>
    </w:p>
    <w:p>
      <w:pPr>
        <w:numPr>
          <w:ilvl w:val="0"/>
          <w:numId w:val="1019"/>
        </w:numPr>
        <w:pStyle w:val="Compact"/>
      </w:pPr>
      <w:r>
        <w:t xml:space="preserve">The GV4.4 restricted list (listed borrowers whose UPSI lender staff hold) is consumed only inside the tenant by the pre-trade check; it is never published cross-product.</w:t>
      </w:r>
    </w:p>
    <w:p>
      <w:pPr>
        <w:numPr>
          <w:ilvl w:val="0"/>
          <w:numId w:val="1019"/>
        </w:numPr>
        <w:pStyle w:val="Compact"/>
      </w:pPr>
      <w:r>
        <w:t xml:space="preserve">AIF tenants deliver RBI-AIF para 6 debtor look-through files to RE investor tenants through the file contract (3.11) using</w:t>
      </w:r>
      <w:r>
        <w:t xml:space="preserve"> </w:t>
      </w:r>
      <w:r>
        <w:rPr>
          <w:rStyle w:val="VerbatimChar"/>
        </w:rPr>
        <w:t xml:space="preserve">investment_position_v1</w:t>
      </w:r>
      <w:r>
        <w:t xml:space="preserve"> </w:t>
      </w:r>
      <w:r>
        <w:t xml:space="preserve">with the look-through profile.</w:t>
      </w:r>
    </w:p>
    <w:p>
      <w:pPr>
        <w:numPr>
          <w:ilvl w:val="0"/>
          <w:numId w:val="1019"/>
        </w:numPr>
        <w:pStyle w:val="Compact"/>
      </w:pPr>
      <w:r>
        <w:t xml:space="preserve">Market data only under a recorded licence (Finbyx IV1); prices never leave the tenant except as valuation results.</w:t>
      </w:r>
    </w:p>
    <w:bookmarkEnd w:id="72"/>
    <w:bookmarkStart w:id="73" w:name="portability-and-storage-portability"/>
    <w:p>
      <w:pPr>
        <w:pStyle w:val="Heading2"/>
      </w:pPr>
      <w:r>
        <w:t xml:space="preserve">6.26 Portability and storage (</w:t>
      </w:r>
      <w:r>
        <w:rPr>
          <w:rStyle w:val="VerbatimChar"/>
        </w:rPr>
        <w:t xml:space="preserve">portability</w:t>
      </w:r>
      <w:r>
        <w:t xml:space="preserve">)</w:t>
      </w:r>
    </w:p>
    <w:p>
      <w:pPr>
        <w:pStyle w:val="FirstParagraph"/>
      </w:pPr>
      <w:r>
        <w:t xml:space="preserve">Finbyx Part 7J (DP1–DP5); Udofin Part 7H RA3 and Part 7B UP3, UP5; archive standard 12.1; storage contract 12.2. Payloads describe jobs and archives, never their content. Borrower self-service exports (Udofin UB1) are internal to Udofin and publish no cross-product event; wellness add-on data never appears in any archive.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25"/>
        <w:gridCol w:w="2051"/>
        <w:gridCol w:w="1744"/>
        <w:gridCol w:w="2277"/>
        <w:gridCol w:w="659"/>
        <w:gridCol w:w="929"/>
        <w:gridCol w:w="953"/>
      </w:tblGrid>
      <w:tr>
        <w:trPr>
          <w:tblHeader w:val="true"/>
          <w:tblHeader w:val="true"/>
        </w:trPr>
        <w:tc>
          <w:tcPr>
            <w:tcW w:w="1025" w:type="dxa"/>
            <w:shd w:val="clear" w:color="auto" w:fill="1F3A5F"/>
          </w:tcPr>
          <w:p>
            <w:pPr>
              <w:pStyle w:val="Compact"/>
              <w:spacing w:after="40"/>
              <w:jc w:val="left"/>
            </w:pPr>
            <w:r>
              <w:rPr>
                <w:b/>
                <w:color w:val="FFFFFF"/>
                <w:sz w:val="18"/>
              </w:rPr>
              <w:t xml:space="preserve">Event or API</w:t>
            </w:r>
          </w:p>
        </w:tc>
        <w:tc>
          <w:tcPr>
            <w:tcW w:w="2051" w:type="dxa"/>
            <w:shd w:val="clear" w:color="auto" w:fill="1F3A5F"/>
          </w:tcPr>
          <w:p>
            <w:pPr>
              <w:pStyle w:val="Compact"/>
              <w:spacing w:after="40"/>
              <w:jc w:val="left"/>
            </w:pPr>
            <w:r>
              <w:rPr>
                <w:b/>
                <w:color w:val="FFFFFF"/>
                <w:sz w:val="18"/>
              </w:rPr>
              <w:t xml:space="preserve">Producer → consumer(s)</w:t>
            </w:r>
          </w:p>
        </w:tc>
        <w:tc>
          <w:tcPr>
            <w:tcW w:w="1744" w:type="dxa"/>
            <w:shd w:val="clear" w:color="auto" w:fill="1F3A5F"/>
          </w:tcPr>
          <w:p>
            <w:pPr>
              <w:pStyle w:val="Compact"/>
              <w:spacing w:after="40"/>
              <w:jc w:val="left"/>
            </w:pPr>
            <w:r>
              <w:rPr>
                <w:b/>
                <w:color w:val="FFFFFF"/>
                <w:sz w:val="18"/>
              </w:rPr>
              <w:t xml:space="preserve">Trigger</w:t>
            </w:r>
          </w:p>
        </w:tc>
        <w:tc>
          <w:tcPr>
            <w:tcW w:w="2277" w:type="dxa"/>
            <w:shd w:val="clear" w:color="auto" w:fill="1F3A5F"/>
          </w:tcPr>
          <w:p>
            <w:pPr>
              <w:pStyle w:val="Compact"/>
              <w:spacing w:after="40"/>
              <w:jc w:val="left"/>
            </w:pPr>
            <w:r>
              <w:rPr>
                <w:b/>
                <w:color w:val="FFFFFF"/>
                <w:sz w:val="18"/>
              </w:rPr>
              <w:t xml:space="preserve">Key payload fields</w:t>
            </w:r>
          </w:p>
        </w:tc>
        <w:tc>
          <w:tcPr>
            <w:tcW w:w="659" w:type="dxa"/>
            <w:shd w:val="clear" w:color="auto" w:fill="1F3A5F"/>
          </w:tcPr>
          <w:p>
            <w:pPr>
              <w:pStyle w:val="Compact"/>
              <w:spacing w:after="40"/>
              <w:jc w:val="left"/>
            </w:pPr>
            <w:r>
              <w:rPr>
                <w:b/>
                <w:color w:val="FFFFFF"/>
                <w:sz w:val="18"/>
              </w:rPr>
              <w:t xml:space="preserve">Owner</w:t>
            </w:r>
          </w:p>
        </w:tc>
        <w:tc>
          <w:tcPr>
            <w:tcW w:w="929" w:type="dxa"/>
            <w:shd w:val="clear" w:color="auto" w:fill="1F3A5F"/>
          </w:tcPr>
          <w:p>
            <w:pPr>
              <w:pStyle w:val="Compact"/>
              <w:spacing w:after="40"/>
              <w:jc w:val="left"/>
            </w:pPr>
            <w:r>
              <w:rPr>
                <w:b/>
                <w:color w:val="FFFFFF"/>
                <w:sz w:val="18"/>
              </w:rPr>
              <w:t xml:space="preserve">Idempotency key</w:t>
            </w:r>
          </w:p>
        </w:tc>
        <w:tc>
          <w:tcPr>
            <w:tcW w:w="953" w:type="dxa"/>
            <w:shd w:val="clear" w:color="auto" w:fill="1F3A5F"/>
          </w:tcPr>
          <w:p>
            <w:pPr>
              <w:pStyle w:val="Compact"/>
              <w:spacing w:after="40"/>
              <w:jc w:val="left"/>
            </w:pPr>
            <w:r>
              <w:rPr>
                <w:b/>
                <w:color w:val="FFFFFF"/>
                <w:sz w:val="18"/>
              </w:rPr>
              <w:t xml:space="preserve">SLA</w:t>
            </w:r>
          </w:p>
        </w:tc>
      </w:tr>
      <w:tr>
        <w:tc>
          <w:tcPr>
            <w:tcW w:w="1025" w:type="dxa"/>
          </w:tcPr>
          <w:p>
            <w:pPr>
              <w:pStyle w:val="Compact"/>
              <w:spacing w:after="40"/>
              <w:jc w:val="left"/>
            </w:pPr>
            <w:r>
              <w:rPr>
                <w:rStyle w:val="VerbatimChar"/>
                <w:sz w:val="18"/>
              </w:rPr>
              <w:t xml:space="preserve">ExportRequested</w:t>
            </w:r>
            <w:r>
              <w:rPr>
                <w:sz w:val="18"/>
              </w:rPr>
              <w:t xml:space="preserve"> </w:t>
            </w:r>
            <w:r>
              <w:rPr>
                <w:sz w:val="18"/>
              </w:rPr>
              <w:t xml:space="preserve">(N11)</w:t>
            </w:r>
          </w:p>
        </w:tc>
        <w:tc>
          <w:tcPr>
            <w:tcW w:w="2051" w:type="dxa"/>
          </w:tcPr>
          <w:p>
            <w:pPr>
              <w:pStyle w:val="Compact"/>
              <w:spacing w:after="40"/>
              <w:jc w:val="left"/>
            </w:pPr>
            <w:r>
              <w:rPr>
                <w:sz w:val="18"/>
              </w:rPr>
              <w:t xml:space="preserve">FX, UD → tenant compliance destination (UD: the RE); OH4 (exit projects) and OH13 (status and counts only)</w:t>
            </w:r>
          </w:p>
        </w:tc>
        <w:tc>
          <w:tcPr>
            <w:tcW w:w="1744" w:type="dxa"/>
          </w:tcPr>
          <w:p>
            <w:pPr>
              <w:pStyle w:val="Compact"/>
              <w:spacing w:after="40"/>
              <w:jc w:val="left"/>
            </w:pPr>
            <w:r>
              <w:rPr>
                <w:sz w:val="18"/>
              </w:rPr>
              <w:t xml:space="preserve">Export job REQUESTED</w:t>
            </w:r>
          </w:p>
        </w:tc>
        <w:tc>
          <w:tcPr>
            <w:tcW w:w="2277" w:type="dxa"/>
          </w:tcPr>
          <w:p>
            <w:pPr>
              <w:pStyle w:val="Compact"/>
              <w:spacing w:after="40"/>
              <w:jc w:val="left"/>
            </w:pPr>
            <w:r>
              <w:rPr>
                <w:sz w:val="18"/>
              </w:rPr>
              <w:t xml:space="preserve">job_id, scope type (DATASET, LEGAL_ENTITY, MODULE, AUDIT_PACK, RE_PACK, FULL_TENANT, EXIT), data classes, destination type, requester role</w:t>
            </w:r>
          </w:p>
        </w:tc>
        <w:tc>
          <w:tcPr>
            <w:tcW w:w="659" w:type="dxa"/>
          </w:tcPr>
          <w:p>
            <w:pPr>
              <w:pStyle w:val="Compact"/>
              <w:spacing w:after="40"/>
              <w:jc w:val="left"/>
            </w:pPr>
            <w:r>
              <w:rPr>
                <w:sz w:val="18"/>
              </w:rPr>
              <w:t xml:space="preserve">Producer</w:t>
            </w:r>
          </w:p>
        </w:tc>
        <w:tc>
          <w:tcPr>
            <w:tcW w:w="929" w:type="dxa"/>
          </w:tcPr>
          <w:p>
            <w:pPr>
              <w:pStyle w:val="Compact"/>
              <w:spacing w:after="40"/>
              <w:jc w:val="left"/>
            </w:pPr>
            <w:r>
              <w:rPr>
                <w:sz w:val="18"/>
              </w:rPr>
              <w:t xml:space="preserve">job_id</w:t>
            </w:r>
          </w:p>
        </w:tc>
        <w:tc>
          <w:tcPr>
            <w:tcW w:w="953" w:type="dxa"/>
          </w:tcPr>
          <w:p>
            <w:pPr>
              <w:pStyle w:val="Compact"/>
              <w:spacing w:after="40"/>
              <w:jc w:val="left"/>
            </w:pPr>
            <w:r>
              <w:rPr>
                <w:sz w:val="18"/>
              </w:rPr>
              <w:t xml:space="preserve">std</w:t>
            </w:r>
          </w:p>
        </w:tc>
      </w:tr>
      <w:tr>
        <w:tc>
          <w:tcPr>
            <w:tcW w:w="1025" w:type="dxa"/>
          </w:tcPr>
          <w:p>
            <w:pPr>
              <w:pStyle w:val="Compact"/>
              <w:spacing w:after="40"/>
              <w:jc w:val="left"/>
            </w:pPr>
            <w:r>
              <w:rPr>
                <w:rStyle w:val="VerbatimChar"/>
                <w:sz w:val="18"/>
              </w:rPr>
              <w:t xml:space="preserve">ExportCompleted</w:t>
            </w:r>
            <w:r>
              <w:rPr>
                <w:sz w:val="18"/>
              </w:rPr>
              <w:t xml:space="preserve"> </w:t>
            </w:r>
            <w:r>
              <w:rPr>
                <w:sz w:val="18"/>
              </w:rPr>
              <w:t xml:space="preserve">(N11) signed</w:t>
            </w:r>
          </w:p>
        </w:tc>
        <w:tc>
          <w:tcPr>
            <w:tcW w:w="2051" w:type="dxa"/>
          </w:tcPr>
          <w:p>
            <w:pPr>
              <w:pStyle w:val="Compact"/>
              <w:spacing w:after="40"/>
              <w:jc w:val="left"/>
            </w:pPr>
            <w:r>
              <w:rPr>
                <w:sz w:val="18"/>
              </w:rPr>
              <w:t xml:space="preserve">Same</w:t>
            </w:r>
          </w:p>
        </w:tc>
        <w:tc>
          <w:tcPr>
            <w:tcW w:w="1744" w:type="dxa"/>
          </w:tcPr>
          <w:p>
            <w:pPr>
              <w:pStyle w:val="Compact"/>
              <w:spacing w:after="40"/>
              <w:jc w:val="left"/>
            </w:pPr>
            <w:r>
              <w:rPr>
                <w:sz w:val="18"/>
              </w:rPr>
              <w:t xml:space="preserve">Job CONFIRMED by recipient or target</w:t>
            </w:r>
          </w:p>
        </w:tc>
        <w:tc>
          <w:tcPr>
            <w:tcW w:w="2277" w:type="dxa"/>
          </w:tcPr>
          <w:p>
            <w:pPr>
              <w:pStyle w:val="Compact"/>
              <w:spacing w:after="40"/>
              <w:jc w:val="left"/>
            </w:pPr>
            <w:r>
              <w:rPr>
                <w:sz w:val="18"/>
              </w:rPr>
              <w:t xml:space="preserve">archive_id, archive standard version, folder profile, file count, bytes, manifest hash, destination type, predecessor archive_id</w:t>
            </w:r>
          </w:p>
        </w:tc>
        <w:tc>
          <w:tcPr>
            <w:tcW w:w="659" w:type="dxa"/>
          </w:tcPr>
          <w:p>
            <w:pPr>
              <w:pStyle w:val="Compact"/>
              <w:spacing w:after="40"/>
              <w:jc w:val="left"/>
            </w:pPr>
            <w:r>
              <w:rPr>
                <w:sz w:val="18"/>
              </w:rPr>
              <w:t xml:space="preserve">Producer</w:t>
            </w:r>
          </w:p>
        </w:tc>
        <w:tc>
          <w:tcPr>
            <w:tcW w:w="929" w:type="dxa"/>
          </w:tcPr>
          <w:p>
            <w:pPr>
              <w:pStyle w:val="Compact"/>
              <w:spacing w:after="40"/>
              <w:jc w:val="left"/>
            </w:pPr>
            <w:r>
              <w:rPr>
                <w:sz w:val="18"/>
              </w:rPr>
              <w:t xml:space="preserve">archive_id</w:t>
            </w:r>
          </w:p>
        </w:tc>
        <w:tc>
          <w:tcPr>
            <w:tcW w:w="953" w:type="dxa"/>
          </w:tcPr>
          <w:p>
            <w:pPr>
              <w:pStyle w:val="Compact"/>
              <w:spacing w:after="40"/>
              <w:jc w:val="left"/>
            </w:pPr>
            <w:r>
              <w:rPr>
                <w:sz w:val="18"/>
              </w:rPr>
              <w:t xml:space="preserve">std</w:t>
            </w:r>
          </w:p>
        </w:tc>
      </w:tr>
      <w:tr>
        <w:tc>
          <w:tcPr>
            <w:tcW w:w="1025" w:type="dxa"/>
          </w:tcPr>
          <w:p>
            <w:pPr>
              <w:pStyle w:val="Compact"/>
              <w:spacing w:after="40"/>
              <w:jc w:val="left"/>
            </w:pPr>
            <w:r>
              <w:rPr>
                <w:rStyle w:val="VerbatimChar"/>
                <w:sz w:val="18"/>
              </w:rPr>
              <w:t xml:space="preserve">StorageTargetConnected</w:t>
            </w:r>
            <w:r>
              <w:rPr>
                <w:sz w:val="18"/>
              </w:rPr>
              <w:t xml:space="preserve"> </w:t>
            </w:r>
            <w:r>
              <w:rPr>
                <w:sz w:val="18"/>
              </w:rPr>
              <w:t xml:space="preserve">(N11)</w:t>
            </w:r>
          </w:p>
        </w:tc>
        <w:tc>
          <w:tcPr>
            <w:tcW w:w="2051" w:type="dxa"/>
          </w:tcPr>
          <w:p>
            <w:pPr>
              <w:pStyle w:val="Compact"/>
              <w:spacing w:after="40"/>
              <w:jc w:val="left"/>
            </w:pPr>
            <w:r>
              <w:rPr>
                <w:sz w:val="18"/>
              </w:rPr>
              <w:t xml:space="preserve">Same</w:t>
            </w:r>
          </w:p>
        </w:tc>
        <w:tc>
          <w:tcPr>
            <w:tcW w:w="1744" w:type="dxa"/>
          </w:tcPr>
          <w:p>
            <w:pPr>
              <w:pStyle w:val="Compact"/>
              <w:spacing w:after="40"/>
              <w:jc w:val="left"/>
            </w:pPr>
            <w:r>
              <w:rPr>
                <w:rStyle w:val="VerbatimChar"/>
                <w:sz w:val="18"/>
              </w:rPr>
              <w:t xml:space="preserve">verifyResidency()</w:t>
            </w:r>
            <w:r>
              <w:rPr>
                <w:sz w:val="18"/>
              </w:rPr>
              <w:t xml:space="preserve"> </w:t>
            </w:r>
            <w:r>
              <w:rPr>
                <w:sz w:val="18"/>
              </w:rPr>
              <w:t xml:space="preserve">and</w:t>
            </w:r>
            <w:r>
              <w:rPr>
                <w:sz w:val="18"/>
              </w:rPr>
              <w:t xml:space="preserve"> </w:t>
            </w:r>
            <w:r>
              <w:rPr>
                <w:rStyle w:val="VerbatimChar"/>
                <w:sz w:val="18"/>
              </w:rPr>
              <w:t xml:space="preserve">testWrite()</w:t>
            </w:r>
            <w:r>
              <w:rPr>
                <w:sz w:val="18"/>
              </w:rPr>
              <w:t xml:space="preserve"> </w:t>
            </w:r>
            <w:r>
              <w:rPr>
                <w:sz w:val="18"/>
              </w:rPr>
              <w:t xml:space="preserve">pass (12.2)</w:t>
            </w:r>
          </w:p>
        </w:tc>
        <w:tc>
          <w:tcPr>
            <w:tcW w:w="2277" w:type="dxa"/>
          </w:tcPr>
          <w:p>
            <w:pPr>
              <w:pStyle w:val="Compact"/>
              <w:spacing w:after="40"/>
              <w:jc w:val="left"/>
            </w:pPr>
            <w:r>
              <w:rPr>
                <w:sz w:val="18"/>
              </w:rPr>
              <w:t xml:space="preserve">target_id, provider, region, data classes allowed, key mode, write-once flag, connector certification version</w:t>
            </w:r>
          </w:p>
        </w:tc>
        <w:tc>
          <w:tcPr>
            <w:tcW w:w="659" w:type="dxa"/>
          </w:tcPr>
          <w:p>
            <w:pPr>
              <w:pStyle w:val="Compact"/>
              <w:spacing w:after="40"/>
              <w:jc w:val="left"/>
            </w:pPr>
            <w:r>
              <w:rPr>
                <w:sz w:val="18"/>
              </w:rPr>
              <w:t xml:space="preserve">Producer</w:t>
            </w:r>
          </w:p>
        </w:tc>
        <w:tc>
          <w:tcPr>
            <w:tcW w:w="929" w:type="dxa"/>
          </w:tcPr>
          <w:p>
            <w:pPr>
              <w:pStyle w:val="Compact"/>
              <w:spacing w:after="40"/>
              <w:jc w:val="left"/>
            </w:pPr>
            <w:r>
              <w:rPr>
                <w:sz w:val="18"/>
              </w:rPr>
              <w:t xml:space="preserve">(target_id, version)</w:t>
            </w:r>
          </w:p>
        </w:tc>
        <w:tc>
          <w:tcPr>
            <w:tcW w:w="953" w:type="dxa"/>
          </w:tcPr>
          <w:p>
            <w:pPr>
              <w:pStyle w:val="Compact"/>
              <w:spacing w:after="40"/>
              <w:jc w:val="left"/>
            </w:pPr>
            <w:r>
              <w:rPr>
                <w:sz w:val="18"/>
              </w:rPr>
              <w:t xml:space="preserve">std</w:t>
            </w:r>
          </w:p>
        </w:tc>
      </w:tr>
      <w:tr>
        <w:tc>
          <w:tcPr>
            <w:tcW w:w="1025" w:type="dxa"/>
          </w:tcPr>
          <w:p>
            <w:pPr>
              <w:pStyle w:val="Compact"/>
              <w:spacing w:after="40"/>
              <w:jc w:val="left"/>
            </w:pPr>
            <w:r>
              <w:rPr>
                <w:rStyle w:val="VerbatimChar"/>
                <w:sz w:val="18"/>
              </w:rPr>
              <w:t xml:space="preserve">BackupCompleted</w:t>
            </w:r>
            <w:r>
              <w:rPr>
                <w:sz w:val="18"/>
              </w:rPr>
              <w:t xml:space="preserve"> </w:t>
            </w:r>
            <w:r>
              <w:rPr>
                <w:sz w:val="18"/>
              </w:rPr>
              <w:t xml:space="preserve">(N11)</w:t>
            </w:r>
          </w:p>
        </w:tc>
        <w:tc>
          <w:tcPr>
            <w:tcW w:w="2051" w:type="dxa"/>
          </w:tcPr>
          <w:p>
            <w:pPr>
              <w:pStyle w:val="Compact"/>
              <w:spacing w:after="40"/>
              <w:jc w:val="left"/>
            </w:pPr>
            <w:r>
              <w:rPr>
                <w:sz w:val="18"/>
              </w:rPr>
              <w:t xml:space="preserve">FX, UD → tenant compliance destination; OH13 (status); OH (own platform,</w:t>
            </w:r>
            <w:r>
              <w:rPr>
                <w:sz w:val="18"/>
              </w:rPr>
              <w:t xml:space="preserve"> </w:t>
            </w:r>
            <w:r>
              <w:rPr>
                <w:rStyle w:val="VerbatimChar"/>
                <w:sz w:val="18"/>
              </w:rPr>
              <w:t xml:space="preserve">oh</w:t>
            </w:r>
            <w:r>
              <w:rPr>
                <w:sz w:val="18"/>
              </w:rPr>
              <w:t xml:space="preserve"> </w:t>
            </w:r>
            <w:r>
              <w:rPr>
                <w:sz w:val="18"/>
              </w:rPr>
              <w:t xml:space="preserve">scope) → OH13</w:t>
            </w:r>
          </w:p>
        </w:tc>
        <w:tc>
          <w:tcPr>
            <w:tcW w:w="1744" w:type="dxa"/>
          </w:tcPr>
          <w:p>
            <w:pPr>
              <w:pStyle w:val="Compact"/>
              <w:spacing w:after="40"/>
              <w:jc w:val="left"/>
            </w:pPr>
            <w:r>
              <w:rPr>
                <w:sz w:val="18"/>
              </w:rPr>
              <w:t xml:space="preserve">Customer-held backup delivered and verified, or platform backup evidence produced</w:t>
            </w:r>
          </w:p>
        </w:tc>
        <w:tc>
          <w:tcPr>
            <w:tcW w:w="2277" w:type="dxa"/>
          </w:tcPr>
          <w:p>
            <w:pPr>
              <w:pStyle w:val="Compact"/>
              <w:spacing w:after="40"/>
              <w:jc w:val="left"/>
            </w:pPr>
            <w:r>
              <w:rPr>
                <w:sz w:val="18"/>
              </w:rPr>
              <w:t xml:space="preserve">archive_id, type (DAILY_INCREMENTAL, WEEKLY, MONTHLY_FULL, FY_FULL, PLATFORM), bytes, manifest hash, target_id</w:t>
            </w:r>
          </w:p>
        </w:tc>
        <w:tc>
          <w:tcPr>
            <w:tcW w:w="659" w:type="dxa"/>
          </w:tcPr>
          <w:p>
            <w:pPr>
              <w:pStyle w:val="Compact"/>
              <w:spacing w:after="40"/>
              <w:jc w:val="left"/>
            </w:pPr>
            <w:r>
              <w:rPr>
                <w:sz w:val="18"/>
              </w:rPr>
              <w:t xml:space="preserve">Producer</w:t>
            </w:r>
          </w:p>
        </w:tc>
        <w:tc>
          <w:tcPr>
            <w:tcW w:w="929" w:type="dxa"/>
          </w:tcPr>
          <w:p>
            <w:pPr>
              <w:pStyle w:val="Compact"/>
              <w:spacing w:after="40"/>
              <w:jc w:val="left"/>
            </w:pPr>
            <w:r>
              <w:rPr>
                <w:sz w:val="18"/>
              </w:rPr>
              <w:t xml:space="preserve">(target_id, archive_id)</w:t>
            </w:r>
          </w:p>
        </w:tc>
        <w:tc>
          <w:tcPr>
            <w:tcW w:w="953" w:type="dxa"/>
          </w:tcPr>
          <w:p>
            <w:pPr>
              <w:pStyle w:val="Compact"/>
              <w:spacing w:after="40"/>
              <w:jc w:val="left"/>
            </w:pPr>
            <w:r>
              <w:rPr>
                <w:sz w:val="18"/>
              </w:rPr>
              <w:t xml:space="preserve">Daily by 06:00 IST [REC]</w:t>
            </w:r>
          </w:p>
        </w:tc>
      </w:tr>
      <w:tr>
        <w:tc>
          <w:tcPr>
            <w:tcW w:w="1025" w:type="dxa"/>
          </w:tcPr>
          <w:p>
            <w:pPr>
              <w:pStyle w:val="Compact"/>
              <w:spacing w:after="40"/>
              <w:jc w:val="left"/>
            </w:pPr>
            <w:r>
              <w:rPr>
                <w:rStyle w:val="VerbatimChar"/>
                <w:sz w:val="18"/>
              </w:rPr>
              <w:t xml:space="preserve">RestoreTested</w:t>
            </w:r>
            <w:r>
              <w:rPr>
                <w:sz w:val="18"/>
              </w:rPr>
              <w:t xml:space="preserve"> </w:t>
            </w:r>
            <w:r>
              <w:rPr>
                <w:sz w:val="18"/>
              </w:rPr>
              <w:t xml:space="preserve">(N11)</w:t>
            </w:r>
          </w:p>
        </w:tc>
        <w:tc>
          <w:tcPr>
            <w:tcW w:w="2051" w:type="dxa"/>
          </w:tcPr>
          <w:p>
            <w:pPr>
              <w:pStyle w:val="Compact"/>
              <w:spacing w:after="40"/>
              <w:jc w:val="left"/>
            </w:pPr>
            <w:r>
              <w:rPr>
                <w:sz w:val="18"/>
              </w:rPr>
              <w:t xml:space="preserve">FX, UD, OH (</w:t>
            </w:r>
            <w:r>
              <w:rPr>
                <w:rStyle w:val="VerbatimChar"/>
                <w:sz w:val="18"/>
              </w:rPr>
              <w:t xml:space="preserve">oh</w:t>
            </w:r>
            <w:r>
              <w:rPr>
                <w:sz w:val="18"/>
              </w:rPr>
              <w:t xml:space="preserve"> </w:t>
            </w:r>
            <w:r>
              <w:rPr>
                <w:sz w:val="18"/>
              </w:rPr>
              <w:t xml:space="preserve">scope) → tenant compliance destination (product tests); OH13 (status) and OH14 (control evidence)</w:t>
            </w:r>
          </w:p>
        </w:tc>
        <w:tc>
          <w:tcPr>
            <w:tcW w:w="1744" w:type="dxa"/>
          </w:tcPr>
          <w:p>
            <w:pPr>
              <w:pStyle w:val="Compact"/>
              <w:spacing w:after="40"/>
              <w:jc w:val="left"/>
            </w:pPr>
            <w:r>
              <w:rPr>
                <w:sz w:val="18"/>
              </w:rPr>
              <w:t xml:space="preserve">Restore test completed</w:t>
            </w:r>
          </w:p>
        </w:tc>
        <w:tc>
          <w:tcPr>
            <w:tcW w:w="2277" w:type="dxa"/>
          </w:tcPr>
          <w:p>
            <w:pPr>
              <w:pStyle w:val="Compact"/>
              <w:spacing w:after="40"/>
              <w:jc w:val="left"/>
            </w:pPr>
            <w:r>
              <w:rPr>
                <w:sz w:val="18"/>
              </w:rPr>
              <w:t xml:space="preserve">test_id, type (INTEGRITY, READABILITY, REHYDRATION, DR_DRILL), archive_id, result, discrepancy count, approver role</w:t>
            </w:r>
          </w:p>
        </w:tc>
        <w:tc>
          <w:tcPr>
            <w:tcW w:w="659" w:type="dxa"/>
          </w:tcPr>
          <w:p>
            <w:pPr>
              <w:pStyle w:val="Compact"/>
              <w:spacing w:after="40"/>
              <w:jc w:val="left"/>
            </w:pPr>
            <w:r>
              <w:rPr>
                <w:sz w:val="18"/>
              </w:rPr>
              <w:t xml:space="preserve">Producer</w:t>
            </w:r>
          </w:p>
        </w:tc>
        <w:tc>
          <w:tcPr>
            <w:tcW w:w="929" w:type="dxa"/>
          </w:tcPr>
          <w:p>
            <w:pPr>
              <w:pStyle w:val="Compact"/>
              <w:spacing w:after="40"/>
              <w:jc w:val="left"/>
            </w:pPr>
            <w:r>
              <w:rPr>
                <w:sz w:val="18"/>
              </w:rPr>
              <w:t xml:space="preserve">test_id</w:t>
            </w:r>
          </w:p>
        </w:tc>
        <w:tc>
          <w:tcPr>
            <w:tcW w:w="953" w:type="dxa"/>
          </w:tcPr>
          <w:p>
            <w:pPr>
              <w:pStyle w:val="Compact"/>
              <w:spacing w:after="40"/>
              <w:jc w:val="left"/>
            </w:pPr>
            <w:r>
              <w:rPr>
                <w:sz w:val="18"/>
              </w:rPr>
              <w:t xml:space="preserve">≤ 1 working day</w:t>
            </w:r>
          </w:p>
        </w:tc>
      </w:tr>
    </w:tbl>
    <w:p>
      <w:pPr>
        <w:numPr>
          <w:ilvl w:val="0"/>
          <w:numId w:val="1020"/>
        </w:numPr>
        <w:pStyle w:val="Compact"/>
      </w:pPr>
      <w:r>
        <w:t xml:space="preserve">A storage-target health failure (credential revoked, residency check failed, canary mismatch) is published as</w:t>
      </w:r>
      <w:r>
        <w:t xml:space="preserve"> </w:t>
      </w:r>
      <w:r>
        <w:rPr>
          <w:rStyle w:val="VerbatimChar"/>
        </w:rPr>
        <w:t xml:space="preserve">ControlTestResultPublished</w:t>
      </w:r>
      <w:r>
        <w:t xml:space="preserve"> </w:t>
      </w:r>
      <w:r>
        <w:t xml:space="preserve">(control</w:t>
      </w:r>
      <w:r>
        <w:t xml:space="preserve"> </w:t>
      </w:r>
      <w:r>
        <w:rPr>
          <w:rStyle w:val="VerbatimChar"/>
        </w:rPr>
        <w:t xml:space="preserve">STORAGE_TARGET_HEALTH</w:t>
      </w:r>
      <w:r>
        <w:t xml:space="preserve">, result FAIL) to the tenant’s compliance destination; jobs pause and are never retried silently against another target.</w:t>
      </w:r>
    </w:p>
    <w:p>
      <w:pPr>
        <w:numPr>
          <w:ilvl w:val="0"/>
          <w:numId w:val="1020"/>
        </w:numPr>
        <w:pStyle w:val="Compact"/>
      </w:pPr>
      <w:r>
        <w:t xml:space="preserve">Export and read access are never suspended for non-payment (6.27); exit exports use scope EXIT (Finbyx DP5; Udofin UP5) and the OUT para 87 freeze applies.</w:t>
      </w:r>
    </w:p>
    <w:bookmarkEnd w:id="73"/>
    <w:bookmarkStart w:id="74" w:name="plans-billing-and-usage-billing"/>
    <w:p>
      <w:pPr>
        <w:pStyle w:val="Heading2"/>
      </w:pPr>
      <w:r>
        <w:t xml:space="preserve">6.27 Plans, billing and usage (</w:t>
      </w:r>
      <w:r>
        <w:rPr>
          <w:rStyle w:val="VerbatimChar"/>
        </w:rPr>
        <w:t xml:space="preserve">billing</w:t>
      </w:r>
      <w:r>
        <w:t xml:space="preserve">)</w:t>
      </w:r>
    </w:p>
    <w:p>
      <w:pPr>
        <w:pStyle w:val="FirstParagraph"/>
      </w:pPr>
      <w:r>
        <w:t xml:space="preserve">Operations Hub OH8 (catalogue, prices, invoices, Razorpay account, revenue accounting); Finbyx Part 7K and Udofin Part 7G (tenant pages, server-side entitlement enforcement, metering at source).</w:t>
      </w:r>
      <w:r>
        <w:t xml:space="preserve"> </w:t>
      </w:r>
      <w:r>
        <w:rPr>
          <w:bCs/>
          <w:b/>
        </w:rPr>
        <w:t xml:space="preserve">Aggregates only reach the Hub.</w:t>
      </w:r>
      <w:r>
        <w:t xml:space="preserve"> </w:t>
      </w:r>
      <w:r>
        <w:t xml:space="preserve">Billing payment events are named</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the servicing</w:t>
      </w:r>
      <w:r>
        <w:t xml:space="preserve"> </w:t>
      </w:r>
      <w:r>
        <w:rPr>
          <w:rStyle w:val="VerbatimChar"/>
        </w:rPr>
        <w:t xml:space="preserve">PaymentReceived</w:t>
      </w:r>
      <w:r>
        <w:t xml:space="preserve"> </w:t>
      </w:r>
      <w:r>
        <w:t xml:space="preserve">(6.4) is never used for vendor billing, and consumers key on the full CloudEvents</w:t>
      </w:r>
      <w:r>
        <w:t xml:space="preserve"> </w:t>
      </w:r>
      <w:r>
        <w:rPr>
          <w:rStyle w:val="VerbatimChar"/>
        </w:rPr>
        <w:t xml:space="preserve">type</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34"/>
        <w:gridCol w:w="864"/>
        <w:gridCol w:w="1807"/>
        <w:gridCol w:w="2628"/>
        <w:gridCol w:w="788"/>
        <w:gridCol w:w="1170"/>
        <w:gridCol w:w="1147"/>
      </w:tblGrid>
      <w:tr>
        <w:trPr>
          <w:tblHeader w:val="true"/>
          <w:tblHeader w:val="true"/>
        </w:trPr>
        <w:tc>
          <w:tcPr>
            <w:tcW w:w="1234" w:type="dxa"/>
            <w:shd w:val="clear" w:color="auto" w:fill="1F3A5F"/>
          </w:tcPr>
          <w:p>
            <w:pPr>
              <w:pStyle w:val="Compact"/>
              <w:spacing w:after="40"/>
              <w:jc w:val="left"/>
            </w:pPr>
            <w:r>
              <w:rPr>
                <w:b/>
                <w:color w:val="FFFFFF"/>
                <w:sz w:val="18"/>
              </w:rPr>
              <w:t xml:space="preserve">Event or API</w:t>
            </w:r>
          </w:p>
        </w:tc>
        <w:tc>
          <w:tcPr>
            <w:tcW w:w="864" w:type="dxa"/>
            <w:shd w:val="clear" w:color="auto" w:fill="1F3A5F"/>
          </w:tcPr>
          <w:p>
            <w:pPr>
              <w:pStyle w:val="Compact"/>
              <w:spacing w:after="40"/>
              <w:jc w:val="left"/>
            </w:pPr>
            <w:r>
              <w:rPr>
                <w:b/>
                <w:color w:val="FFFFFF"/>
                <w:sz w:val="18"/>
              </w:rPr>
              <w:t xml:space="preserve">Producer → consumer(s)</w:t>
            </w:r>
          </w:p>
        </w:tc>
        <w:tc>
          <w:tcPr>
            <w:tcW w:w="1807" w:type="dxa"/>
            <w:shd w:val="clear" w:color="auto" w:fill="1F3A5F"/>
          </w:tcPr>
          <w:p>
            <w:pPr>
              <w:pStyle w:val="Compact"/>
              <w:spacing w:after="40"/>
              <w:jc w:val="left"/>
            </w:pPr>
            <w:r>
              <w:rPr>
                <w:b/>
                <w:color w:val="FFFFFF"/>
                <w:sz w:val="18"/>
              </w:rPr>
              <w:t xml:space="preserve">Trigger</w:t>
            </w:r>
          </w:p>
        </w:tc>
        <w:tc>
          <w:tcPr>
            <w:tcW w:w="2628" w:type="dxa"/>
            <w:shd w:val="clear" w:color="auto" w:fill="1F3A5F"/>
          </w:tcPr>
          <w:p>
            <w:pPr>
              <w:pStyle w:val="Compact"/>
              <w:spacing w:after="40"/>
              <w:jc w:val="left"/>
            </w:pPr>
            <w:r>
              <w:rPr>
                <w:b/>
                <w:color w:val="FFFFFF"/>
                <w:sz w:val="18"/>
              </w:rPr>
              <w:t xml:space="preserve">Key payload fields</w:t>
            </w:r>
          </w:p>
        </w:tc>
        <w:tc>
          <w:tcPr>
            <w:tcW w:w="788" w:type="dxa"/>
            <w:shd w:val="clear" w:color="auto" w:fill="1F3A5F"/>
          </w:tcPr>
          <w:p>
            <w:pPr>
              <w:pStyle w:val="Compact"/>
              <w:spacing w:after="40"/>
              <w:jc w:val="left"/>
            </w:pPr>
            <w:r>
              <w:rPr>
                <w:b/>
                <w:color w:val="FFFFFF"/>
                <w:sz w:val="18"/>
              </w:rPr>
              <w:t xml:space="preserve">Owner</w:t>
            </w:r>
          </w:p>
        </w:tc>
        <w:tc>
          <w:tcPr>
            <w:tcW w:w="1170" w:type="dxa"/>
            <w:shd w:val="clear" w:color="auto" w:fill="1F3A5F"/>
          </w:tcPr>
          <w:p>
            <w:pPr>
              <w:pStyle w:val="Compact"/>
              <w:spacing w:after="40"/>
              <w:jc w:val="left"/>
            </w:pPr>
            <w:r>
              <w:rPr>
                <w:b/>
                <w:color w:val="FFFFFF"/>
                <w:sz w:val="18"/>
              </w:rPr>
              <w:t xml:space="preserve">Idempotency key</w:t>
            </w:r>
          </w:p>
        </w:tc>
        <w:tc>
          <w:tcPr>
            <w:tcW w:w="1147" w:type="dxa"/>
            <w:shd w:val="clear" w:color="auto" w:fill="1F3A5F"/>
          </w:tcPr>
          <w:p>
            <w:pPr>
              <w:pStyle w:val="Compact"/>
              <w:spacing w:after="40"/>
              <w:jc w:val="left"/>
            </w:pPr>
            <w:r>
              <w:rPr>
                <w:b/>
                <w:color w:val="FFFFFF"/>
                <w:sz w:val="18"/>
              </w:rPr>
              <w:t xml:space="preserve">SLA</w:t>
            </w:r>
          </w:p>
        </w:tc>
      </w:tr>
      <w:tr>
        <w:tc>
          <w:tcPr>
            <w:tcW w:w="1234" w:type="dxa"/>
          </w:tcPr>
          <w:p>
            <w:pPr>
              <w:pStyle w:val="Compact"/>
              <w:spacing w:after="40"/>
              <w:jc w:val="left"/>
            </w:pPr>
            <w:r>
              <w:rPr>
                <w:rStyle w:val="VerbatimChar"/>
                <w:sz w:val="18"/>
              </w:rPr>
              <w:t xml:space="preserve">PlanChanged</w:t>
            </w:r>
            <w:r>
              <w:rPr>
                <w:sz w:val="18"/>
              </w:rPr>
              <w:t xml:space="preserve"> </w:t>
            </w:r>
            <w:r>
              <w:rPr>
                <w:sz w:val="18"/>
              </w:rPr>
              <w:t xml:space="preserve">(N11)</w:t>
            </w:r>
          </w:p>
        </w:tc>
        <w:tc>
          <w:tcPr>
            <w:tcW w:w="864" w:type="dxa"/>
          </w:tcPr>
          <w:p>
            <w:pPr>
              <w:pStyle w:val="Compact"/>
              <w:spacing w:after="40"/>
              <w:jc w:val="left"/>
            </w:pPr>
            <w:r>
              <w:rPr>
                <w:sz w:val="18"/>
              </w:rPr>
              <w:t xml:space="preserve">OH → FX, UD</w:t>
            </w:r>
          </w:p>
        </w:tc>
        <w:tc>
          <w:tcPr>
            <w:tcW w:w="1807" w:type="dxa"/>
          </w:tcPr>
          <w:p>
            <w:pPr>
              <w:pStyle w:val="Compact"/>
              <w:spacing w:after="40"/>
              <w:jc w:val="left"/>
            </w:pPr>
            <w:r>
              <w:rPr>
                <w:sz w:val="18"/>
              </w:rPr>
              <w:t xml:space="preserve">Plan created, upgraded, downgraded or switched (an RE deal switch arrives through Udofin UP2 and OH8)</w:t>
            </w:r>
          </w:p>
        </w:tc>
        <w:tc>
          <w:tcPr>
            <w:tcW w:w="2628" w:type="dxa"/>
          </w:tcPr>
          <w:p>
            <w:pPr>
              <w:pStyle w:val="Compact"/>
              <w:spacing w:after="40"/>
              <w:jc w:val="left"/>
            </w:pPr>
            <w:r>
              <w:rPr>
                <w:sz w:val="18"/>
              </w:rPr>
              <w:t xml:space="preserve">tenantid, legal entity scope, plan, SKU, effective_at, proration ref, catalogue version</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(tenantid, plan_change_id)</w:t>
            </w:r>
          </w:p>
        </w:tc>
        <w:tc>
          <w:tcPr>
            <w:tcW w:w="1147" w:type="dxa"/>
          </w:tcPr>
          <w:p>
            <w:pPr>
              <w:pStyle w:val="Compact"/>
              <w:spacing w:after="40"/>
              <w:jc w:val="left"/>
            </w:pPr>
            <w:r>
              <w:rPr>
                <w:sz w:val="18"/>
              </w:rPr>
              <w:t xml:space="preserve">std</w:t>
            </w:r>
          </w:p>
        </w:tc>
      </w:tr>
      <w:tr>
        <w:tc>
          <w:tcPr>
            <w:tcW w:w="1234" w:type="dxa"/>
          </w:tcPr>
          <w:p>
            <w:pPr>
              <w:pStyle w:val="Compact"/>
              <w:spacing w:after="40"/>
              <w:jc w:val="left"/>
            </w:pPr>
            <w:r>
              <w:rPr>
                <w:rStyle w:val="VerbatimChar"/>
                <w:sz w:val="18"/>
              </w:rPr>
              <w:t xml:space="preserve">EntitlementChanged</w:t>
            </w:r>
            <w:r>
              <w:rPr>
                <w:sz w:val="18"/>
              </w:rPr>
              <w:t xml:space="preserve"> </w:t>
            </w:r>
            <w:r>
              <w:rPr>
                <w:sz w:val="18"/>
              </w:rPr>
              <w:t xml:space="preserve">(N11) signed</w:t>
            </w:r>
          </w:p>
        </w:tc>
        <w:tc>
          <w:tcPr>
            <w:tcW w:w="864" w:type="dxa"/>
          </w:tcPr>
          <w:p>
            <w:pPr>
              <w:pStyle w:val="Compact"/>
              <w:spacing w:after="40"/>
              <w:jc w:val="left"/>
            </w:pPr>
            <w:r>
              <w:rPr>
                <w:sz w:val="18"/>
              </w:rPr>
              <w:t xml:space="preserve">OH → FX, UD</w:t>
            </w:r>
          </w:p>
        </w:tc>
        <w:tc>
          <w:tcPr>
            <w:tcW w:w="1807" w:type="dxa"/>
          </w:tcPr>
          <w:p>
            <w:pPr>
              <w:pStyle w:val="Compact"/>
              <w:spacing w:after="40"/>
              <w:jc w:val="left"/>
            </w:pPr>
            <w:r>
              <w:rPr>
                <w:sz w:val="18"/>
              </w:rPr>
              <w:t xml:space="preserve">Entitlement set or changed</w:t>
            </w:r>
          </w:p>
        </w:tc>
        <w:tc>
          <w:tcPr>
            <w:tcW w:w="2628" w:type="dxa"/>
          </w:tcPr>
          <w:p>
            <w:pPr>
              <w:pStyle w:val="Compact"/>
              <w:spacing w:after="40"/>
              <w:jc w:val="left"/>
            </w:pPr>
            <w:r>
              <w:rPr>
                <w:sz w:val="18"/>
              </w:rPr>
              <w:t xml:space="preserve">SKU, modules, limits, start, end, contract ref, JWS by the pinned Hub key</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(tenantid, entitlement_id, version)</w:t>
            </w:r>
          </w:p>
        </w:tc>
        <w:tc>
          <w:tcPr>
            <w:tcW w:w="1147" w:type="dxa"/>
          </w:tcPr>
          <w:p>
            <w:pPr>
              <w:pStyle w:val="Compact"/>
              <w:spacing w:after="40"/>
              <w:jc w:val="left"/>
            </w:pPr>
            <w:r>
              <w:rPr>
                <w:sz w:val="18"/>
              </w:rPr>
              <w:t xml:space="preserve">std</w:t>
            </w:r>
          </w:p>
        </w:tc>
      </w:tr>
      <w:tr>
        <w:tc>
          <w:tcPr>
            <w:tcW w:w="1234" w:type="dxa"/>
          </w:tcPr>
          <w:p>
            <w:pPr>
              <w:pStyle w:val="Compact"/>
              <w:spacing w:after="40"/>
              <w:jc w:val="left"/>
            </w:pPr>
            <w:r>
              <w:rPr>
                <w:rStyle w:val="VerbatimChar"/>
                <w:sz w:val="18"/>
              </w:rPr>
              <w:t xml:space="preserve">UsageRecorded</w:t>
            </w:r>
            <w:r>
              <w:rPr>
                <w:sz w:val="18"/>
              </w:rPr>
              <w:t xml:space="preserve"> </w:t>
            </w:r>
            <w:r>
              <w:rPr>
                <w:sz w:val="18"/>
              </w:rPr>
              <w:t xml:space="preserve">(N11)</w:t>
            </w:r>
          </w:p>
        </w:tc>
        <w:tc>
          <w:tcPr>
            <w:tcW w:w="864" w:type="dxa"/>
          </w:tcPr>
          <w:p>
            <w:pPr>
              <w:pStyle w:val="Compact"/>
              <w:spacing w:after="40"/>
              <w:jc w:val="left"/>
            </w:pPr>
            <w:r>
              <w:rPr>
                <w:sz w:val="18"/>
              </w:rPr>
              <w:t xml:space="preserve">FX, UD → OH</w:t>
            </w:r>
          </w:p>
        </w:tc>
        <w:tc>
          <w:tcPr>
            <w:tcW w:w="1807" w:type="dxa"/>
          </w:tcPr>
          <w:p>
            <w:pPr>
              <w:pStyle w:val="Compact"/>
              <w:spacing w:after="40"/>
              <w:jc w:val="left"/>
            </w:pPr>
            <w:r>
              <w:rPr>
                <w:sz w:val="18"/>
              </w:rPr>
              <w:t xml:space="preserve">Usage statement closed (monthly; daily provisional)</w:t>
            </w:r>
          </w:p>
        </w:tc>
        <w:tc>
          <w:tcPr>
            <w:tcW w:w="2628" w:type="dxa"/>
          </w:tcPr>
          <w:p>
            <w:pPr>
              <w:pStyle w:val="Compact"/>
              <w:spacing w:after="40"/>
              <w:jc w:val="left"/>
            </w:pPr>
            <w:r>
              <w:rPr>
                <w:sz w:val="18"/>
              </w:rPr>
              <w:t xml:space="preserve">tenantid, legal entity, meter, period, quantity,</w:t>
            </w:r>
            <w:r>
              <w:rPr>
                <w:sz w:val="18"/>
              </w:rPr>
              <w:t xml:space="preserve"> </w:t>
            </w:r>
            <w:r>
              <w:rPr>
                <w:rStyle w:val="VerbatimChar"/>
                <w:sz w:val="18"/>
              </w:rPr>
              <w:t xml:space="preserve">meter_kind</w:t>
            </w:r>
            <w:r>
              <w:rPr>
                <w:sz w:val="18"/>
              </w:rPr>
              <w:t xml:space="preserve"> </w:t>
            </w:r>
            <w:r>
              <w:rPr>
                <w:sz w:val="18"/>
              </w:rPr>
              <w:t xml:space="preserve">(USAGE, REVENUE_AGGREGATE), statement hash (</w:t>
            </w:r>
            <w:r>
              <w:rPr>
                <w:rStyle w:val="VerbatimChar"/>
                <w:sz w:val="18"/>
              </w:rPr>
              <w:t xml:space="preserve">usage_aggregate_v1</w:t>
            </w:r>
            <w:r>
              <w:rPr>
                <w:sz w:val="18"/>
              </w:rPr>
              <w:t xml:space="preserve">); never loan, borrower, member, user or record ids</w:t>
            </w:r>
          </w:p>
        </w:tc>
        <w:tc>
          <w:tcPr>
            <w:tcW w:w="788" w:type="dxa"/>
          </w:tcPr>
          <w:p>
            <w:pPr>
              <w:pStyle w:val="Compact"/>
              <w:spacing w:after="40"/>
              <w:jc w:val="left"/>
            </w:pPr>
            <w:r>
              <w:rPr>
                <w:sz w:val="18"/>
              </w:rPr>
              <w:t xml:space="preserve">Product</w:t>
            </w:r>
          </w:p>
        </w:tc>
        <w:tc>
          <w:tcPr>
            <w:tcW w:w="1170" w:type="dxa"/>
          </w:tcPr>
          <w:p>
            <w:pPr>
              <w:pStyle w:val="Compact"/>
              <w:spacing w:after="40"/>
              <w:jc w:val="left"/>
            </w:pPr>
            <w:r>
              <w:rPr>
                <w:sz w:val="18"/>
              </w:rPr>
              <w:t xml:space="preserve">(tenantid, meter, period, statement_version)</w:t>
            </w:r>
          </w:p>
        </w:tc>
        <w:tc>
          <w:tcPr>
            <w:tcW w:w="1147" w:type="dxa"/>
          </w:tcPr>
          <w:p>
            <w:pPr>
              <w:pStyle w:val="Compact"/>
              <w:spacing w:after="40"/>
              <w:jc w:val="left"/>
            </w:pPr>
            <w:r>
              <w:rPr>
                <w:sz w:val="18"/>
              </w:rPr>
              <w:t xml:space="preserve">Monthly by WD+3 [REC]</w:t>
            </w:r>
          </w:p>
        </w:tc>
      </w:tr>
      <w:tr>
        <w:tc>
          <w:tcPr>
            <w:tcW w:w="1234" w:type="dxa"/>
          </w:tcPr>
          <w:p>
            <w:pPr>
              <w:pStyle w:val="Compact"/>
              <w:spacing w:after="40"/>
              <w:jc w:val="left"/>
            </w:pPr>
            <w:r>
              <w:rPr>
                <w:rStyle w:val="VerbatimChar"/>
                <w:sz w:val="18"/>
              </w:rPr>
              <w:t xml:space="preserve">InvoiceIssued</w:t>
            </w:r>
            <w:r>
              <w:rPr>
                <w:sz w:val="18"/>
              </w:rPr>
              <w:t xml:space="preserve"> </w:t>
            </w:r>
            <w:r>
              <w:rPr>
                <w:sz w:val="18"/>
              </w:rPr>
              <w:t xml:space="preserve">(N11) signed</w:t>
            </w:r>
          </w:p>
        </w:tc>
        <w:tc>
          <w:tcPr>
            <w:tcW w:w="864" w:type="dxa"/>
          </w:tcPr>
          <w:p>
            <w:pPr>
              <w:pStyle w:val="Compact"/>
              <w:spacing w:after="40"/>
              <w:jc w:val="left"/>
            </w:pPr>
            <w:r>
              <w:rPr>
                <w:sz w:val="18"/>
              </w:rPr>
              <w:t xml:space="preserve">OH → FX, UD</w:t>
            </w:r>
          </w:p>
        </w:tc>
        <w:tc>
          <w:tcPr>
            <w:tcW w:w="1807" w:type="dxa"/>
          </w:tcPr>
          <w:p>
            <w:pPr>
              <w:pStyle w:val="Compact"/>
              <w:spacing w:after="40"/>
              <w:jc w:val="left"/>
            </w:pPr>
            <w:r>
              <w:rPr>
                <w:sz w:val="18"/>
              </w:rPr>
              <w:t xml:space="preserve">Tax invoice or credit note issued</w:t>
            </w:r>
          </w:p>
        </w:tc>
        <w:tc>
          <w:tcPr>
            <w:tcW w:w="2628" w:type="dxa"/>
          </w:tcPr>
          <w:p>
            <w:pPr>
              <w:pStyle w:val="Compact"/>
              <w:spacing w:after="40"/>
              <w:jc w:val="left"/>
            </w:pPr>
            <w:r>
              <w:rPr>
                <w:sz w:val="18"/>
              </w:rPr>
              <w:t xml:space="preserve">invoice_no, supplier and recipient GSTINs, place of supply, SAC [VERIFY], taxable value, GST, IRN and QR where applicable, due date, document ref</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invoice_no</w:t>
            </w:r>
          </w:p>
        </w:tc>
        <w:tc>
          <w:tcPr>
            <w:tcW w:w="1147" w:type="dxa"/>
          </w:tcPr>
          <w:p>
            <w:pPr>
              <w:pStyle w:val="Compact"/>
              <w:spacing w:after="40"/>
              <w:jc w:val="left"/>
            </w:pPr>
            <w:r>
              <w:rPr>
                <w:sz w:val="18"/>
              </w:rPr>
              <w:t xml:space="preserve">std</w:t>
            </w:r>
          </w:p>
        </w:tc>
      </w:tr>
      <w:tr>
        <w:tc>
          <w:tcPr>
            <w:tcW w:w="1234" w:type="dxa"/>
          </w:tcPr>
          <w:p>
            <w:pPr>
              <w:pStyle w:val="Compact"/>
              <w:spacing w:after="40"/>
              <w:jc w:val="left"/>
            </w:pPr>
            <w:r>
              <w:rPr>
                <w:rStyle w:val="VerbatimChar"/>
                <w:sz w:val="18"/>
              </w:rPr>
              <w:t xml:space="preserve">SubscriptionPaymentReceived</w:t>
            </w:r>
            <w:r>
              <w:rPr>
                <w:sz w:val="18"/>
              </w:rPr>
              <w:t xml:space="preserve"> </w:t>
            </w:r>
            <w:r>
              <w:rPr>
                <w:sz w:val="18"/>
              </w:rPr>
              <w:t xml:space="preserve">(N11) signed</w:t>
            </w:r>
          </w:p>
        </w:tc>
        <w:tc>
          <w:tcPr>
            <w:tcW w:w="864" w:type="dxa"/>
          </w:tcPr>
          <w:p>
            <w:pPr>
              <w:pStyle w:val="Compact"/>
              <w:spacing w:after="40"/>
              <w:jc w:val="left"/>
            </w:pPr>
            <w:r>
              <w:rPr>
                <w:sz w:val="18"/>
              </w:rPr>
              <w:t xml:space="preserve">OH → FX, UD</w:t>
            </w:r>
          </w:p>
        </w:tc>
        <w:tc>
          <w:tcPr>
            <w:tcW w:w="1807" w:type="dxa"/>
          </w:tcPr>
          <w:p>
            <w:pPr>
              <w:pStyle w:val="Compact"/>
              <w:spacing w:after="40"/>
              <w:jc w:val="left"/>
            </w:pPr>
            <w:r>
              <w:rPr>
                <w:sz w:val="18"/>
              </w:rPr>
              <w:t xml:space="preserve">Razorpay payment verified server-side (webhook signature and API fetch)</w:t>
            </w:r>
          </w:p>
        </w:tc>
        <w:tc>
          <w:tcPr>
            <w:tcW w:w="2628" w:type="dxa"/>
          </w:tcPr>
          <w:p>
            <w:pPr>
              <w:pStyle w:val="Compact"/>
              <w:spacing w:after="40"/>
              <w:jc w:val="left"/>
            </w:pPr>
            <w:r>
              <w:rPr>
                <w:sz w:val="18"/>
              </w:rPr>
              <w:t xml:space="preserve">invoice or subscription ref, amount, method class, Razorpay payment id, captured_at</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razorpay_payment_id</w:t>
            </w:r>
          </w:p>
        </w:tc>
        <w:tc>
          <w:tcPr>
            <w:tcW w:w="1147" w:type="dxa"/>
          </w:tcPr>
          <w:p>
            <w:pPr>
              <w:pStyle w:val="Compact"/>
              <w:spacing w:after="40"/>
              <w:jc w:val="left"/>
            </w:pPr>
            <w:r>
              <w:rPr>
                <w:sz w:val="18"/>
              </w:rPr>
              <w:t xml:space="preserve">≤ 15 min of capture</w:t>
            </w:r>
          </w:p>
        </w:tc>
      </w:tr>
      <w:tr>
        <w:tc>
          <w:tcPr>
            <w:tcW w:w="1234" w:type="dxa"/>
          </w:tcPr>
          <w:p>
            <w:pPr>
              <w:pStyle w:val="Compact"/>
              <w:spacing w:after="40"/>
              <w:jc w:val="left"/>
            </w:pPr>
            <w:r>
              <w:rPr>
                <w:rStyle w:val="VerbatimChar"/>
                <w:sz w:val="18"/>
              </w:rPr>
              <w:t xml:space="preserve">SubscriptionPaymentFailed</w:t>
            </w:r>
            <w:r>
              <w:rPr>
                <w:sz w:val="18"/>
              </w:rPr>
              <w:t xml:space="preserve"> </w:t>
            </w:r>
            <w:r>
              <w:rPr>
                <w:sz w:val="18"/>
              </w:rPr>
              <w:t xml:space="preserve">(N11)</w:t>
            </w:r>
          </w:p>
        </w:tc>
        <w:tc>
          <w:tcPr>
            <w:tcW w:w="864" w:type="dxa"/>
          </w:tcPr>
          <w:p>
            <w:pPr>
              <w:pStyle w:val="Compact"/>
              <w:spacing w:after="40"/>
              <w:jc w:val="left"/>
            </w:pPr>
            <w:r>
              <w:rPr>
                <w:sz w:val="18"/>
              </w:rPr>
              <w:t xml:space="preserve">OH → FX, UD</w:t>
            </w:r>
          </w:p>
        </w:tc>
        <w:tc>
          <w:tcPr>
            <w:tcW w:w="1807" w:type="dxa"/>
          </w:tcPr>
          <w:p>
            <w:pPr>
              <w:pStyle w:val="Compact"/>
              <w:spacing w:after="40"/>
              <w:jc w:val="left"/>
            </w:pPr>
            <w:r>
              <w:rPr>
                <w:sz w:val="18"/>
              </w:rPr>
              <w:t xml:space="preserve">Failure, mandate failure or subscription halt</w:t>
            </w:r>
          </w:p>
        </w:tc>
        <w:tc>
          <w:tcPr>
            <w:tcW w:w="2628" w:type="dxa"/>
          </w:tcPr>
          <w:p>
            <w:pPr>
              <w:pStyle w:val="Compact"/>
              <w:spacing w:after="40"/>
              <w:jc w:val="left"/>
            </w:pPr>
            <w:r>
              <w:rPr>
                <w:sz w:val="18"/>
              </w:rPr>
              <w:t xml:space="preserve">ref, reason class, retry schedule, dunning stage</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(ref, attempt)</w:t>
            </w:r>
          </w:p>
        </w:tc>
        <w:tc>
          <w:tcPr>
            <w:tcW w:w="1147" w:type="dxa"/>
          </w:tcPr>
          <w:p>
            <w:pPr>
              <w:pStyle w:val="Compact"/>
              <w:spacing w:after="40"/>
              <w:jc w:val="left"/>
            </w:pPr>
            <w:r>
              <w:rPr>
                <w:sz w:val="18"/>
              </w:rPr>
              <w:t xml:space="preserve">≤ 15 min</w:t>
            </w:r>
          </w:p>
        </w:tc>
      </w:tr>
      <w:tr>
        <w:tc>
          <w:tcPr>
            <w:tcW w:w="1234" w:type="dxa"/>
          </w:tcPr>
          <w:p>
            <w:pPr>
              <w:pStyle w:val="Compact"/>
              <w:spacing w:after="40"/>
              <w:jc w:val="left"/>
            </w:pPr>
            <w:r>
              <w:rPr>
                <w:rStyle w:val="VerbatimChar"/>
                <w:sz w:val="18"/>
              </w:rPr>
              <w:t xml:space="preserve">SubscriptionCancelled</w:t>
            </w:r>
            <w:r>
              <w:rPr>
                <w:sz w:val="18"/>
              </w:rPr>
              <w:t xml:space="preserve"> </w:t>
            </w:r>
            <w:r>
              <w:rPr>
                <w:sz w:val="18"/>
              </w:rPr>
              <w:t xml:space="preserve">(N11)</w:t>
            </w:r>
          </w:p>
        </w:tc>
        <w:tc>
          <w:tcPr>
            <w:tcW w:w="864" w:type="dxa"/>
          </w:tcPr>
          <w:p>
            <w:pPr>
              <w:pStyle w:val="Compact"/>
              <w:spacing w:after="40"/>
              <w:jc w:val="left"/>
            </w:pPr>
            <w:r>
              <w:rPr>
                <w:sz w:val="18"/>
              </w:rPr>
              <w:t xml:space="preserve">OH → FX, UD</w:t>
            </w:r>
          </w:p>
        </w:tc>
        <w:tc>
          <w:tcPr>
            <w:tcW w:w="1807" w:type="dxa"/>
          </w:tcPr>
          <w:p>
            <w:pPr>
              <w:pStyle w:val="Compact"/>
              <w:spacing w:after="40"/>
              <w:jc w:val="left"/>
            </w:pPr>
            <w:r>
              <w:rPr>
                <w:sz w:val="18"/>
              </w:rPr>
              <w:t xml:space="preserve">Cancellation or non-renewal effective</w:t>
            </w:r>
          </w:p>
        </w:tc>
        <w:tc>
          <w:tcPr>
            <w:tcW w:w="2628" w:type="dxa"/>
          </w:tcPr>
          <w:p>
            <w:pPr>
              <w:pStyle w:val="Compact"/>
              <w:spacing w:after="40"/>
              <w:jc w:val="left"/>
            </w:pPr>
            <w:r>
              <w:rPr>
                <w:sz w:val="18"/>
              </w:rPr>
              <w:t xml:space="preserve">subscription_id, effective_at, reason, exit path (DP5 or UP5 for regulated tenants)</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subscription_id</w:t>
            </w:r>
          </w:p>
        </w:tc>
        <w:tc>
          <w:tcPr>
            <w:tcW w:w="1147" w:type="dxa"/>
          </w:tcPr>
          <w:p>
            <w:pPr>
              <w:pStyle w:val="Compact"/>
              <w:spacing w:after="40"/>
              <w:jc w:val="left"/>
            </w:pPr>
            <w:r>
              <w:rPr>
                <w:sz w:val="18"/>
              </w:rPr>
              <w:t xml:space="preserve">std</w:t>
            </w:r>
          </w:p>
        </w:tc>
      </w:tr>
      <w:tr>
        <w:tc>
          <w:tcPr>
            <w:tcW w:w="1234" w:type="dxa"/>
          </w:tcPr>
          <w:p>
            <w:pPr>
              <w:pStyle w:val="Compact"/>
              <w:spacing w:after="40"/>
              <w:jc w:val="left"/>
            </w:pPr>
            <w:r>
              <w:rPr>
                <w:sz w:val="18"/>
              </w:rPr>
              <w:t xml:space="preserve">API</w:t>
            </w:r>
            <w:r>
              <w:rPr>
                <w:sz w:val="18"/>
              </w:rPr>
              <w:t xml:space="preserve"> </w:t>
            </w:r>
            <w:r>
              <w:rPr>
                <w:rStyle w:val="VerbatimChar"/>
                <w:sz w:val="18"/>
              </w:rPr>
              <w:t xml:space="preserve">GET /v1/catalogue/versions/{v}</w:t>
            </w:r>
            <w:r>
              <w:rPr>
                <w:sz w:val="18"/>
              </w:rPr>
              <w:t xml:space="preserve"> </w:t>
            </w:r>
            <w:r>
              <w:rPr>
                <w:sz w:val="18"/>
              </w:rPr>
              <w:t xml:space="preserve">(N11+)</w:t>
            </w:r>
          </w:p>
        </w:tc>
        <w:tc>
          <w:tcPr>
            <w:tcW w:w="864" w:type="dxa"/>
          </w:tcPr>
          <w:p>
            <w:pPr>
              <w:pStyle w:val="Compact"/>
              <w:spacing w:after="40"/>
              <w:jc w:val="left"/>
            </w:pPr>
            <w:r>
              <w:rPr>
                <w:sz w:val="18"/>
              </w:rPr>
              <w:t xml:space="preserve">FX, UD, EQ, LDC → OH</w:t>
            </w:r>
          </w:p>
        </w:tc>
        <w:tc>
          <w:tcPr>
            <w:tcW w:w="1807" w:type="dxa"/>
          </w:tcPr>
          <w:p>
            <w:pPr>
              <w:pStyle w:val="Compact"/>
              <w:spacing w:after="40"/>
              <w:jc w:val="left"/>
            </w:pPr>
            <w:r>
              <w:rPr>
                <w:sz w:val="18"/>
              </w:rPr>
              <w:t xml:space="preserve">Catalogue fetch (on</w:t>
            </w:r>
            <w:r>
              <w:rPr>
                <w:sz w:val="18"/>
              </w:rPr>
              <w:t xml:space="preserve"> </w:t>
            </w:r>
            <w:r>
              <w:rPr>
                <w:rStyle w:val="VerbatimChar"/>
                <w:sz w:val="18"/>
              </w:rPr>
              <w:t xml:space="preserve">PlanChanged</w:t>
            </w:r>
            <w:r>
              <w:rPr>
                <w:sz w:val="18"/>
              </w:rPr>
              <w:t xml:space="preserve"> </w:t>
            </w:r>
            <w:r>
              <w:rPr>
                <w:sz w:val="18"/>
              </w:rPr>
              <w:t xml:space="preserve">and daily)</w:t>
            </w:r>
          </w:p>
        </w:tc>
        <w:tc>
          <w:tcPr>
            <w:tcW w:w="2628" w:type="dxa"/>
          </w:tcPr>
          <w:p>
            <w:pPr>
              <w:pStyle w:val="Compact"/>
              <w:spacing w:after="40"/>
              <w:jc w:val="left"/>
            </w:pPr>
            <w:r>
              <w:rPr>
                <w:sz w:val="18"/>
              </w:rPr>
              <w:t xml:space="preserve">signed catalogue document (JWS by the pinned Hub key); SKUs mapped to</w:t>
            </w:r>
            <w:r>
              <w:rPr>
                <w:sz w:val="18"/>
              </w:rPr>
              <w:t xml:space="preserve"> </w:t>
            </w:r>
            <w:r>
              <w:rPr>
                <w:rStyle w:val="VerbatimChar"/>
                <w:sz w:val="18"/>
              </w:rPr>
              <w:t xml:space="preserve">module.yaml</w:t>
            </w:r>
            <w:r>
              <w:rPr>
                <w:sz w:val="18"/>
              </w:rPr>
              <w:t xml:space="preserve"> </w:t>
            </w:r>
            <w:r>
              <w:rPr>
                <w:rStyle w:val="VerbatimChar"/>
                <w:sz w:val="18"/>
              </w:rPr>
              <w:t xml:space="preserve">licence_sku</w:t>
            </w:r>
            <w:r>
              <w:rPr>
                <w:sz w:val="18"/>
              </w:rPr>
              <w:t xml:space="preserve"> </w:t>
            </w:r>
            <w:r>
              <w:rPr>
                <w:sz w:val="18"/>
              </w:rPr>
              <w:t xml:space="preserve">(11.1); explainers</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n/a</w:t>
            </w:r>
          </w:p>
        </w:tc>
        <w:tc>
          <w:tcPr>
            <w:tcW w:w="1147" w:type="dxa"/>
          </w:tcPr>
          <w:p>
            <w:pPr>
              <w:pStyle w:val="Compact"/>
              <w:spacing w:after="40"/>
              <w:jc w:val="left"/>
            </w:pPr>
            <w:r>
              <w:rPr>
                <w:sz w:val="18"/>
              </w:rPr>
              <w:t xml:space="preserve">p95 ≤ 800 ms</w:t>
            </w:r>
          </w:p>
        </w:tc>
      </w:tr>
      <w:tr>
        <w:tc>
          <w:tcPr>
            <w:tcW w:w="1234" w:type="dxa"/>
          </w:tcPr>
          <w:p>
            <w:pPr>
              <w:pStyle w:val="Compact"/>
              <w:spacing w:after="40"/>
              <w:jc w:val="left"/>
            </w:pPr>
            <w:r>
              <w:rPr>
                <w:sz w:val="18"/>
              </w:rPr>
              <w:t xml:space="preserve">API</w:t>
            </w:r>
            <w:r>
              <w:rPr>
                <w:sz w:val="18"/>
              </w:rPr>
              <w:t xml:space="preserve"> </w:t>
            </w:r>
            <w:r>
              <w:rPr>
                <w:rStyle w:val="VerbatimChar"/>
                <w:sz w:val="18"/>
              </w:rPr>
              <w:t xml:space="preserve">POST /v1/billing/quotes</w:t>
            </w:r>
            <w:r>
              <w:rPr>
                <w:sz w:val="18"/>
              </w:rPr>
              <w:t xml:space="preserve"> </w:t>
            </w:r>
            <w:r>
              <w:rPr>
                <w:sz w:val="18"/>
              </w:rPr>
              <w:t xml:space="preserve">(N11+)</w:t>
            </w:r>
          </w:p>
        </w:tc>
        <w:tc>
          <w:tcPr>
            <w:tcW w:w="864" w:type="dxa"/>
          </w:tcPr>
          <w:p>
            <w:pPr>
              <w:pStyle w:val="Compact"/>
              <w:spacing w:after="40"/>
              <w:jc w:val="left"/>
            </w:pPr>
            <w:r>
              <w:rPr>
                <w:sz w:val="18"/>
              </w:rPr>
              <w:t xml:space="preserve">FX, UD billing page → OH</w:t>
            </w:r>
          </w:p>
        </w:tc>
        <w:tc>
          <w:tcPr>
            <w:tcW w:w="1807" w:type="dxa"/>
          </w:tcPr>
          <w:p>
            <w:pPr>
              <w:pStyle w:val="Compact"/>
              <w:spacing w:after="40"/>
              <w:jc w:val="left"/>
            </w:pPr>
            <w:r>
              <w:rPr>
                <w:sz w:val="18"/>
              </w:rPr>
              <w:t xml:space="preserve">Priced quote and proration preview before a plan or add-on change</w:t>
            </w:r>
          </w:p>
        </w:tc>
        <w:tc>
          <w:tcPr>
            <w:tcW w:w="2628" w:type="dxa"/>
          </w:tcPr>
          <w:p>
            <w:pPr>
              <w:pStyle w:val="Compact"/>
              <w:spacing w:after="40"/>
              <w:jc w:val="left"/>
            </w:pPr>
            <w:r>
              <w:rPr>
                <w:sz w:val="18"/>
              </w:rPr>
              <w:t xml:space="preserve">input: tenantid, target plan or add-on, effective date; returns quote_id, price, prorated charge or credit (IST calendar-day proration), GST, entitlement diff, valid_until (default 7 days); products compute no price or tax</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Idempotency-Key</w:t>
            </w:r>
          </w:p>
        </w:tc>
        <w:tc>
          <w:tcPr>
            <w:tcW w:w="1147" w:type="dxa"/>
          </w:tcPr>
          <w:p>
            <w:pPr>
              <w:pStyle w:val="Compact"/>
              <w:spacing w:after="40"/>
              <w:jc w:val="left"/>
            </w:pPr>
            <w:r>
              <w:rPr>
                <w:sz w:val="18"/>
              </w:rPr>
              <w:t xml:space="preserve">≤ 2 s</w:t>
            </w:r>
          </w:p>
        </w:tc>
      </w:tr>
      <w:tr>
        <w:tc>
          <w:tcPr>
            <w:tcW w:w="1234" w:type="dxa"/>
          </w:tcPr>
          <w:p>
            <w:pPr>
              <w:pStyle w:val="Compact"/>
              <w:spacing w:after="40"/>
              <w:jc w:val="left"/>
            </w:pPr>
            <w:r>
              <w:rPr>
                <w:sz w:val="18"/>
              </w:rPr>
              <w:t xml:space="preserve">API</w:t>
            </w:r>
            <w:r>
              <w:rPr>
                <w:sz w:val="18"/>
              </w:rPr>
              <w:t xml:space="preserve"> </w:t>
            </w:r>
            <w:r>
              <w:rPr>
                <w:rStyle w:val="VerbatimChar"/>
                <w:sz w:val="18"/>
              </w:rPr>
              <w:t xml:space="preserve">POST /v1/billing/orders</w:t>
            </w:r>
            <w:r>
              <w:rPr>
                <w:sz w:val="18"/>
              </w:rPr>
              <w:t xml:space="preserve"> </w:t>
            </w:r>
            <w:r>
              <w:rPr>
                <w:sz w:val="18"/>
              </w:rPr>
              <w:t xml:space="preserve">(N11+)</w:t>
            </w:r>
          </w:p>
        </w:tc>
        <w:tc>
          <w:tcPr>
            <w:tcW w:w="864" w:type="dxa"/>
          </w:tcPr>
          <w:p>
            <w:pPr>
              <w:pStyle w:val="Compact"/>
              <w:spacing w:after="40"/>
              <w:jc w:val="left"/>
            </w:pPr>
            <w:r>
              <w:rPr>
                <w:sz w:val="18"/>
              </w:rPr>
              <w:t xml:space="preserve">FX, UD billing page → OH</w:t>
            </w:r>
          </w:p>
        </w:tc>
        <w:tc>
          <w:tcPr>
            <w:tcW w:w="1807" w:type="dxa"/>
          </w:tcPr>
          <w:p>
            <w:pPr>
              <w:pStyle w:val="Compact"/>
              <w:spacing w:after="40"/>
              <w:jc w:val="left"/>
            </w:pPr>
            <w:r>
              <w:rPr>
                <w:sz w:val="18"/>
              </w:rPr>
              <w:t xml:space="preserve">Order, payment link, subscription or mandate created from an approved quote or an invoice</w:t>
            </w:r>
          </w:p>
        </w:tc>
        <w:tc>
          <w:tcPr>
            <w:tcW w:w="2628" w:type="dxa"/>
          </w:tcPr>
          <w:p>
            <w:pPr>
              <w:pStyle w:val="Compact"/>
              <w:spacing w:after="40"/>
              <w:jc w:val="left"/>
            </w:pPr>
            <w:r>
              <w:rPr>
                <w:sz w:val="18"/>
              </w:rPr>
              <w:t xml:space="preserve">quote_id or invoice ref; returns a Razorpay-hosted URL for top-level redirect</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Idempotency-Key</w:t>
            </w:r>
          </w:p>
        </w:tc>
        <w:tc>
          <w:tcPr>
            <w:tcW w:w="1147" w:type="dxa"/>
          </w:tcPr>
          <w:p>
            <w:pPr>
              <w:pStyle w:val="Compact"/>
              <w:spacing w:after="40"/>
              <w:jc w:val="left"/>
            </w:pPr>
            <w:r>
              <w:rPr>
                <w:sz w:val="18"/>
              </w:rPr>
              <w:t xml:space="preserve">≤ 2 s</w:t>
            </w:r>
          </w:p>
        </w:tc>
      </w:tr>
      <w:tr>
        <w:tc>
          <w:tcPr>
            <w:tcW w:w="1234" w:type="dxa"/>
          </w:tcPr>
          <w:p>
            <w:pPr>
              <w:pStyle w:val="Compact"/>
              <w:spacing w:after="40"/>
              <w:jc w:val="left"/>
            </w:pPr>
            <w:r>
              <w:rPr>
                <w:sz w:val="18"/>
              </w:rPr>
              <w:t xml:space="preserve">API</w:t>
            </w:r>
            <w:r>
              <w:rPr>
                <w:sz w:val="18"/>
              </w:rPr>
              <w:t xml:space="preserve"> </w:t>
            </w:r>
            <w:r>
              <w:rPr>
                <w:rStyle w:val="VerbatimChar"/>
                <w:sz w:val="18"/>
              </w:rPr>
              <w:t xml:space="preserve">GET /v1/billing/invoices?tenantid=[id]</w:t>
            </w:r>
            <w:r>
              <w:rPr>
                <w:sz w:val="18"/>
              </w:rPr>
              <w:t xml:space="preserve"> </w:t>
            </w:r>
            <w:r>
              <w:rPr>
                <w:sz w:val="18"/>
              </w:rPr>
              <w:t xml:space="preserve">(N11+)</w:t>
            </w:r>
          </w:p>
        </w:tc>
        <w:tc>
          <w:tcPr>
            <w:tcW w:w="864" w:type="dxa"/>
          </w:tcPr>
          <w:p>
            <w:pPr>
              <w:pStyle w:val="Compact"/>
              <w:spacing w:after="40"/>
              <w:jc w:val="left"/>
            </w:pPr>
            <w:r>
              <w:rPr>
                <w:sz w:val="18"/>
              </w:rPr>
              <w:t xml:space="preserve">FX, UD → OH</w:t>
            </w:r>
          </w:p>
        </w:tc>
        <w:tc>
          <w:tcPr>
            <w:tcW w:w="1807" w:type="dxa"/>
          </w:tcPr>
          <w:p>
            <w:pPr>
              <w:pStyle w:val="Compact"/>
              <w:spacing w:after="40"/>
              <w:jc w:val="left"/>
            </w:pPr>
            <w:r>
              <w:rPr>
                <w:sz w:val="18"/>
              </w:rPr>
              <w:t xml:space="preserve">Display on billing pages</w:t>
            </w:r>
          </w:p>
        </w:tc>
        <w:tc>
          <w:tcPr>
            <w:tcW w:w="2628" w:type="dxa"/>
          </w:tcPr>
          <w:p>
            <w:pPr>
              <w:pStyle w:val="Compact"/>
              <w:spacing w:after="40"/>
              <w:jc w:val="left"/>
            </w:pPr>
            <w:r>
              <w:rPr>
                <w:sz w:val="18"/>
              </w:rPr>
              <w:t xml:space="preserve">invoices, credit notes, statements of account, documents</w:t>
            </w:r>
          </w:p>
        </w:tc>
        <w:tc>
          <w:tcPr>
            <w:tcW w:w="788" w:type="dxa"/>
          </w:tcPr>
          <w:p>
            <w:pPr>
              <w:pStyle w:val="Compact"/>
              <w:spacing w:after="40"/>
              <w:jc w:val="left"/>
            </w:pPr>
            <w:r>
              <w:rPr>
                <w:sz w:val="18"/>
              </w:rPr>
              <w:t xml:space="preserve">OH</w:t>
            </w:r>
          </w:p>
        </w:tc>
        <w:tc>
          <w:tcPr>
            <w:tcW w:w="1170" w:type="dxa"/>
          </w:tcPr>
          <w:p>
            <w:pPr>
              <w:pStyle w:val="Compact"/>
              <w:spacing w:after="40"/>
              <w:jc w:val="left"/>
            </w:pPr>
            <w:r>
              <w:rPr>
                <w:sz w:val="18"/>
              </w:rPr>
              <w:t xml:space="preserve">n/a</w:t>
            </w:r>
          </w:p>
        </w:tc>
        <w:tc>
          <w:tcPr>
            <w:tcW w:w="1147" w:type="dxa"/>
          </w:tcPr>
          <w:p>
            <w:pPr>
              <w:pStyle w:val="Compact"/>
              <w:spacing w:after="40"/>
              <w:jc w:val="left"/>
            </w:pPr>
            <w:r>
              <w:rPr>
                <w:sz w:val="18"/>
              </w:rPr>
              <w:t xml:space="preserve">p95 ≤ 800 ms</w:t>
            </w:r>
          </w:p>
        </w:tc>
      </w:tr>
      <w:tr>
        <w:tc>
          <w:tcPr>
            <w:tcW w:w="1234" w:type="dxa"/>
          </w:tcPr>
          <w:p>
            <w:pPr>
              <w:pStyle w:val="Compact"/>
              <w:spacing w:after="40"/>
              <w:jc w:val="left"/>
            </w:pPr>
            <w:r>
              <w:rPr>
                <w:sz w:val="18"/>
              </w:rPr>
              <w:t xml:space="preserve">API</w:t>
            </w:r>
            <w:r>
              <w:rPr>
                <w:sz w:val="18"/>
              </w:rPr>
              <w:t xml:space="preserve"> </w:t>
            </w:r>
            <w:r>
              <w:rPr>
                <w:rStyle w:val="VerbatimChar"/>
                <w:sz w:val="18"/>
              </w:rPr>
              <w:t xml:space="preserve">POST /v1/usage-disputes</w:t>
            </w:r>
            <w:r>
              <w:rPr>
                <w:sz w:val="18"/>
              </w:rPr>
              <w:t xml:space="preserve"> </w:t>
            </w:r>
            <w:r>
              <w:rPr>
                <w:sz w:val="18"/>
              </w:rPr>
              <w:t xml:space="preserve">(N11+)</w:t>
            </w:r>
          </w:p>
        </w:tc>
        <w:tc>
          <w:tcPr>
            <w:tcW w:w="864" w:type="dxa"/>
          </w:tcPr>
          <w:p>
            <w:pPr>
              <w:pStyle w:val="Compact"/>
              <w:spacing w:after="40"/>
              <w:jc w:val="left"/>
            </w:pPr>
            <w:r>
              <w:rPr>
                <w:sz w:val="18"/>
              </w:rPr>
              <w:t xml:space="preserve">FX, UD billing page → OH</w:t>
            </w:r>
          </w:p>
        </w:tc>
        <w:tc>
          <w:tcPr>
            <w:tcW w:w="1807" w:type="dxa"/>
          </w:tcPr>
          <w:p>
            <w:pPr>
              <w:pStyle w:val="Compact"/>
              <w:spacing w:after="40"/>
              <w:jc w:val="left"/>
            </w:pPr>
            <w:r>
              <w:rPr>
                <w:sz w:val="18"/>
              </w:rPr>
              <w:t xml:space="preserve">Tenant disputes a meter within 7 days of statement issue</w:t>
            </w:r>
          </w:p>
        </w:tc>
        <w:tc>
          <w:tcPr>
            <w:tcW w:w="2628" w:type="dxa"/>
          </w:tcPr>
          <w:p>
            <w:pPr>
              <w:pStyle w:val="Compact"/>
              <w:spacing w:after="40"/>
              <w:jc w:val="left"/>
            </w:pPr>
            <w:r>
              <w:rPr>
                <w:sz w:val="18"/>
              </w:rPr>
              <w:t xml:space="preserve">tenantid, meter, period, statement_version, reason; holds invoicing for that meter only; an upheld dispute is answered by a new</w:t>
            </w:r>
            <w:r>
              <w:rPr>
                <w:sz w:val="18"/>
              </w:rPr>
              <w:t xml:space="preserve"> </w:t>
            </w:r>
            <w:r>
              <w:rPr>
                <w:rStyle w:val="VerbatimChar"/>
                <w:sz w:val="18"/>
              </w:rPr>
              <w:t xml:space="preserve">UsageRecorded</w:t>
            </w:r>
            <w:r>
              <w:rPr>
                <w:sz w:val="18"/>
              </w:rPr>
              <w:t xml:space="preserve"> </w:t>
            </w:r>
            <w:r>
              <w:rPr>
                <w:sz w:val="18"/>
              </w:rPr>
              <w:t xml:space="preserve">with a higher</w:t>
            </w:r>
            <w:r>
              <w:rPr>
                <w:sz w:val="18"/>
              </w:rPr>
              <w:t xml:space="preserve"> </w:t>
            </w:r>
            <w:r>
              <w:rPr>
                <w:rStyle w:val="VerbatimChar"/>
                <w:sz w:val="18"/>
              </w:rPr>
              <w:t xml:space="preserve">statement_version</w:t>
            </w:r>
          </w:p>
        </w:tc>
        <w:tc>
          <w:tcPr>
            <w:tcW w:w="788" w:type="dxa"/>
          </w:tcPr>
          <w:p>
            <w:pPr>
              <w:pStyle w:val="Compact"/>
              <w:spacing w:after="40"/>
              <w:jc w:val="left"/>
            </w:pPr>
            <w:r>
              <w:rPr>
                <w:sz w:val="18"/>
              </w:rPr>
              <w:t xml:space="preserve">OH decides</w:t>
            </w:r>
          </w:p>
        </w:tc>
        <w:tc>
          <w:tcPr>
            <w:tcW w:w="1170" w:type="dxa"/>
          </w:tcPr>
          <w:p>
            <w:pPr>
              <w:pStyle w:val="Compact"/>
              <w:spacing w:after="40"/>
              <w:jc w:val="left"/>
            </w:pPr>
            <w:r>
              <w:rPr>
                <w:sz w:val="18"/>
              </w:rPr>
              <w:t xml:space="preserve">Idempotency-Key</w:t>
            </w:r>
          </w:p>
        </w:tc>
        <w:tc>
          <w:tcPr>
            <w:tcW w:w="1147" w:type="dxa"/>
          </w:tcPr>
          <w:p>
            <w:pPr>
              <w:pStyle w:val="Compact"/>
              <w:spacing w:after="40"/>
              <w:jc w:val="left"/>
            </w:pPr>
            <w:r>
              <w:rPr>
                <w:sz w:val="18"/>
              </w:rPr>
              <w:t xml:space="preserve">Ack ≤ 2 s; decision ≤ 5 working days [REC]</w:t>
            </w:r>
          </w:p>
        </w:tc>
      </w:tr>
      <w:tr>
        <w:tc>
          <w:tcPr>
            <w:tcW w:w="1234" w:type="dxa"/>
          </w:tcPr>
          <w:p>
            <w:pPr>
              <w:pStyle w:val="Compact"/>
              <w:spacing w:after="40"/>
              <w:jc w:val="left"/>
            </w:pPr>
            <w:r>
              <w:rPr>
                <w:sz w:val="18"/>
              </w:rPr>
              <w:t xml:space="preserve">API</w:t>
            </w:r>
            <w:r>
              <w:rPr>
                <w:sz w:val="18"/>
              </w:rPr>
              <w:t xml:space="preserve"> </w:t>
            </w:r>
            <w:r>
              <w:rPr>
                <w:rStyle w:val="VerbatimChar"/>
                <w:sz w:val="18"/>
              </w:rPr>
              <w:t xml:space="preserve">GET /v1/entitlements?tenant=[tenantid]</w:t>
            </w:r>
            <w:r>
              <w:rPr>
                <w:sz w:val="18"/>
              </w:rPr>
              <w:t xml:space="preserve"> </w:t>
            </w:r>
            <w:r>
              <w:rPr>
                <w:sz w:val="18"/>
              </w:rPr>
              <w:t xml:space="preserve">(N11+)</w:t>
            </w:r>
          </w:p>
        </w:tc>
        <w:tc>
          <w:tcPr>
            <w:tcW w:w="864" w:type="dxa"/>
          </w:tcPr>
          <w:p>
            <w:pPr>
              <w:pStyle w:val="Compact"/>
              <w:spacing w:after="40"/>
              <w:jc w:val="left"/>
            </w:pPr>
            <w:r>
              <w:rPr>
                <w:sz w:val="18"/>
              </w:rPr>
              <w:t xml:space="preserve">OH8 → FX, UD</w:t>
            </w:r>
          </w:p>
        </w:tc>
        <w:tc>
          <w:tcPr>
            <w:tcW w:w="1807" w:type="dxa"/>
          </w:tcPr>
          <w:p>
            <w:pPr>
              <w:pStyle w:val="Compact"/>
              <w:spacing w:after="40"/>
              <w:jc w:val="left"/>
            </w:pPr>
            <w:r>
              <w:rPr>
                <w:sz w:val="18"/>
              </w:rPr>
              <w:t xml:space="preserve">Daily reconciliation of entitlements as applied against OH8 (the source of truth for issued entitlements)</w:t>
            </w:r>
          </w:p>
        </w:tc>
        <w:tc>
          <w:tcPr>
            <w:tcW w:w="2628" w:type="dxa"/>
          </w:tcPr>
          <w:p>
            <w:pPr>
              <w:pStyle w:val="Compact"/>
              <w:spacing w:after="40"/>
              <w:jc w:val="left"/>
            </w:pPr>
            <w:r>
              <w:rPr>
                <w:sz w:val="18"/>
              </w:rPr>
              <w:t xml:space="preserve">applied entitlement ids and versions, modules, limits, module states (11.1); a mismatch raises</w:t>
            </w:r>
            <w:r>
              <w:rPr>
                <w:sz w:val="18"/>
              </w:rPr>
              <w:t xml:space="preserve"> </w:t>
            </w:r>
            <w:r>
              <w:rPr>
                <w:rStyle w:val="VerbatimChar"/>
                <w:sz w:val="18"/>
              </w:rPr>
              <w:t xml:space="preserve">ReconciliationBreakRaised</w:t>
            </w:r>
          </w:p>
        </w:tc>
        <w:tc>
          <w:tcPr>
            <w:tcW w:w="788" w:type="dxa"/>
          </w:tcPr>
          <w:p>
            <w:pPr>
              <w:pStyle w:val="Compact"/>
              <w:spacing w:after="40"/>
              <w:jc w:val="left"/>
            </w:pPr>
            <w:r>
              <w:rPr>
                <w:sz w:val="18"/>
              </w:rPr>
              <w:t xml:space="preserve">Product (as applied)</w:t>
            </w:r>
          </w:p>
        </w:tc>
        <w:tc>
          <w:tcPr>
            <w:tcW w:w="1170" w:type="dxa"/>
          </w:tcPr>
          <w:p>
            <w:pPr>
              <w:pStyle w:val="Compact"/>
              <w:spacing w:after="40"/>
              <w:jc w:val="left"/>
            </w:pPr>
            <w:r>
              <w:rPr>
                <w:sz w:val="18"/>
              </w:rPr>
              <w:t xml:space="preserve">n/a</w:t>
            </w:r>
          </w:p>
        </w:tc>
        <w:tc>
          <w:tcPr>
            <w:tcW w:w="1147" w:type="dxa"/>
          </w:tcPr>
          <w:p>
            <w:pPr>
              <w:pStyle w:val="Compact"/>
              <w:spacing w:after="40"/>
              <w:jc w:val="left"/>
            </w:pPr>
            <w:r>
              <w:rPr>
                <w:sz w:val="18"/>
              </w:rPr>
              <w:t xml:space="preserve">p95 ≤ 800 ms; by 06:00 IST daily</w:t>
            </w:r>
          </w:p>
        </w:tc>
      </w:tr>
    </w:tbl>
    <w:p>
      <w:pPr>
        <w:numPr>
          <w:ilvl w:val="0"/>
          <w:numId w:val="1021"/>
        </w:numPr>
        <w:pStyle w:val="Compact"/>
      </w:pPr>
      <w:r>
        <w:rPr>
          <w:bCs/>
          <w:b/>
        </w:rPr>
        <w:t xml:space="preserve">Dunning never interrupts regulated functions, read access or export.</w:t>
      </w:r>
      <w:r>
        <w:t xml:space="preserve"> </w:t>
      </w:r>
      <w:r>
        <w:t xml:space="preserve">Non-payment ends in a termination notice leading into the exit process (Finbyx DP5; Udofin UP5), never a hard cancel, remote kill switch or remote deletion; products keep the last valid signed entitlement for 30 days if the Hub is unreachable [REC].</w:t>
      </w:r>
    </w:p>
    <w:p>
      <w:pPr>
        <w:numPr>
          <w:ilvl w:val="0"/>
          <w:numId w:val="1021"/>
        </w:numPr>
        <w:pStyle w:val="Compact"/>
      </w:pPr>
      <w:r>
        <w:t xml:space="preserve">A browser redirect is never proof of payment; card data is never stored, processed or logged (Razorpay-hosted pages; PCI DSS v4.0.1 scope minimised; CoFT circular 2021); Razorpay keys and webhook secrets live only in the Hub (and in Udofin’s separate B2C billing service).</w:t>
      </w:r>
    </w:p>
    <w:p>
      <w:pPr>
        <w:numPr>
          <w:ilvl w:val="0"/>
          <w:numId w:val="1021"/>
        </w:numPr>
        <w:pStyle w:val="Compact"/>
      </w:pPr>
      <w:r>
        <w:rPr>
          <w:bCs/>
          <w:b/>
        </w:rPr>
        <w:t xml:space="preserve">Udofin B2C plans</w:t>
      </w:r>
      <w:r>
        <w:t xml:space="preserve"> </w:t>
      </w:r>
      <w:r>
        <w:t xml:space="preserve">are billed by Udofin’s own billing service on Udofin’s own Razorpay account; their plan, entitlement, invoice and payment events are Udofin-internal and are not registered cross-product subjects. The Hub receives only monthly</w:t>
      </w:r>
      <w:r>
        <w:t xml:space="preserve"> </w:t>
      </w:r>
      <w:r>
        <w:rPr>
          <w:rStyle w:val="VerbatimChar"/>
        </w:rPr>
        <w:t xml:space="preserve">UsageRecorded</w:t>
      </w:r>
      <w:r>
        <w:t xml:space="preserve"> </w:t>
      </w:r>
      <w:r>
        <w:t xml:space="preserve">with</w:t>
      </w:r>
      <w:r>
        <w:t xml:space="preserve"> </w:t>
      </w:r>
      <w:r>
        <w:rPr>
          <w:rStyle w:val="VerbatimChar"/>
        </w:rPr>
        <w:t xml:space="preserve">meter_kind = REVENUE_AGGREGATE</w:t>
      </w:r>
      <w:r>
        <w:t xml:space="preserve"> </w:t>
      </w:r>
      <w:r>
        <w:t xml:space="preserve">per plan (subscriber count, gross, GST); no subscriber key, borrower identity or wellness data.</w:t>
      </w:r>
    </w:p>
    <w:p>
      <w:pPr>
        <w:numPr>
          <w:ilvl w:val="0"/>
          <w:numId w:val="1021"/>
        </w:numPr>
        <w:pStyle w:val="Compact"/>
      </w:pPr>
      <w:r>
        <w:rPr>
          <w:bCs/>
          <w:b/>
        </w:rPr>
        <w:t xml:space="preserve">Borrowers are never charged for anything loan-related</w:t>
      </w:r>
      <w:r>
        <w:t xml:space="preserve"> </w:t>
      </w:r>
      <w:r>
        <w:t xml:space="preserve">(CF para 10(4)); a separate non-credit add-on needs Udofin’s FW4 gates, an owner decision and a legal opinion, and no plan, price or upsell may appear inside a loan journey.</w:t>
      </w:r>
    </w:p>
    <w:p>
      <w:pPr>
        <w:numPr>
          <w:ilvl w:val="0"/>
          <w:numId w:val="1021"/>
        </w:numPr>
        <w:pStyle w:val="Compact"/>
      </w:pPr>
      <w:r>
        <w:t xml:space="preserve">The billing service has no access to tenants’ loan-payment credentials and loan money never uses billing rails (CF paras 10(1)–(3)); a revenue stream is shown only after its legality gate is approved (OH8; Finbyx CM5; Udofin RV1).</w:t>
      </w:r>
    </w:p>
    <w:bookmarkEnd w:id="74"/>
    <w:bookmarkStart w:id="75" w:name="lender-partnerships-partners"/>
    <w:p>
      <w:pPr>
        <w:pStyle w:val="Heading2"/>
      </w:pPr>
      <w:r>
        <w:t xml:space="preserve">6.28 Lender partnerships (</w:t>
      </w:r>
      <w:r>
        <w:rPr>
          <w:rStyle w:val="VerbatimChar"/>
        </w:rPr>
        <w:t xml:space="preserve">partners</w:t>
      </w:r>
      <w:r>
        <w:t xml:space="preserve">)</w:t>
      </w:r>
    </w:p>
    <w:p>
      <w:pPr>
        <w:pStyle w:val="FirstParagraph"/>
      </w:pPr>
      <w:r>
        <w:t xml:space="preserve">Udofin Part 7B (UP1–UP5). Udofin produces the deal events; the RE’s system (Finbyx LSP register, OUT para 36 central record of material outsourcing) or the RE’s GRC tool consumes them; LawDocsComply receives them in the RE’s compliance mode. A non-RE society deal carries</w:t>
      </w:r>
      <w:r>
        <w:t xml:space="preserve"> </w:t>
      </w:r>
      <w:r>
        <w:rPr>
          <w:rStyle w:val="VerbatimChar"/>
        </w:rPr>
        <w:t xml:space="preserve">lender_type = NON_RE_SOCIETY</w:t>
      </w:r>
      <w:r>
        <w:t xml:space="preserve"> </w:t>
      </w:r>
      <w:r>
        <w:t xml:space="preserve">and is consumed by the society’s certified system or shown in the lender portal only (OUT para 36 does not bind a society).</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12"/>
        <w:gridCol w:w="1025"/>
        <w:gridCol w:w="1570"/>
        <w:gridCol w:w="2439"/>
        <w:gridCol w:w="893"/>
        <w:gridCol w:w="1060"/>
        <w:gridCol w:w="1239"/>
      </w:tblGrid>
      <w:tr>
        <w:trPr>
          <w:tblHeader w:val="true"/>
          <w:tblHeader w:val="true"/>
        </w:trPr>
        <w:tc>
          <w:tcPr>
            <w:tcW w:w="1412" w:type="dxa"/>
            <w:shd w:val="clear" w:color="auto" w:fill="1F3A5F"/>
          </w:tcPr>
          <w:p>
            <w:pPr>
              <w:pStyle w:val="Compact"/>
              <w:spacing w:after="40"/>
              <w:jc w:val="left"/>
            </w:pPr>
            <w:r>
              <w:rPr>
                <w:b/>
                <w:color w:val="FFFFFF"/>
                <w:sz w:val="18"/>
              </w:rPr>
              <w:t xml:space="preserve">Event or API</w:t>
            </w:r>
          </w:p>
        </w:tc>
        <w:tc>
          <w:tcPr>
            <w:tcW w:w="1025" w:type="dxa"/>
            <w:shd w:val="clear" w:color="auto" w:fill="1F3A5F"/>
          </w:tcPr>
          <w:p>
            <w:pPr>
              <w:pStyle w:val="Compact"/>
              <w:spacing w:after="40"/>
              <w:jc w:val="left"/>
            </w:pPr>
            <w:r>
              <w:rPr>
                <w:b/>
                <w:color w:val="FFFFFF"/>
                <w:sz w:val="18"/>
              </w:rPr>
              <w:t xml:space="preserve">Producer → consumer(s)</w:t>
            </w:r>
          </w:p>
        </w:tc>
        <w:tc>
          <w:tcPr>
            <w:tcW w:w="1570" w:type="dxa"/>
            <w:shd w:val="clear" w:color="auto" w:fill="1F3A5F"/>
          </w:tcPr>
          <w:p>
            <w:pPr>
              <w:pStyle w:val="Compact"/>
              <w:spacing w:after="40"/>
              <w:jc w:val="left"/>
            </w:pPr>
            <w:r>
              <w:rPr>
                <w:b/>
                <w:color w:val="FFFFFF"/>
                <w:sz w:val="18"/>
              </w:rPr>
              <w:t xml:space="preserve">Trigger</w:t>
            </w:r>
          </w:p>
        </w:tc>
        <w:tc>
          <w:tcPr>
            <w:tcW w:w="2439" w:type="dxa"/>
            <w:shd w:val="clear" w:color="auto" w:fill="1F3A5F"/>
          </w:tcPr>
          <w:p>
            <w:pPr>
              <w:pStyle w:val="Compact"/>
              <w:spacing w:after="40"/>
              <w:jc w:val="left"/>
            </w:pPr>
            <w:r>
              <w:rPr>
                <w:b/>
                <w:color w:val="FFFFFF"/>
                <w:sz w:val="18"/>
              </w:rPr>
              <w:t xml:space="preserve">Key payload fields</w:t>
            </w:r>
          </w:p>
        </w:tc>
        <w:tc>
          <w:tcPr>
            <w:tcW w:w="893" w:type="dxa"/>
            <w:shd w:val="clear" w:color="auto" w:fill="1F3A5F"/>
          </w:tcPr>
          <w:p>
            <w:pPr>
              <w:pStyle w:val="Compact"/>
              <w:spacing w:after="40"/>
              <w:jc w:val="left"/>
            </w:pPr>
            <w:r>
              <w:rPr>
                <w:b/>
                <w:color w:val="FFFFFF"/>
                <w:sz w:val="18"/>
              </w:rPr>
              <w:t xml:space="preserve">Owner</w:t>
            </w:r>
          </w:p>
        </w:tc>
        <w:tc>
          <w:tcPr>
            <w:tcW w:w="1060" w:type="dxa"/>
            <w:shd w:val="clear" w:color="auto" w:fill="1F3A5F"/>
          </w:tcPr>
          <w:p>
            <w:pPr>
              <w:pStyle w:val="Compact"/>
              <w:spacing w:after="40"/>
              <w:jc w:val="left"/>
            </w:pPr>
            <w:r>
              <w:rPr>
                <w:b/>
                <w:color w:val="FFFFFF"/>
                <w:sz w:val="18"/>
              </w:rPr>
              <w:t xml:space="preserve">Idempotency key</w:t>
            </w:r>
          </w:p>
        </w:tc>
        <w:tc>
          <w:tcPr>
            <w:tcW w:w="1239" w:type="dxa"/>
            <w:shd w:val="clear" w:color="auto" w:fill="1F3A5F"/>
          </w:tcPr>
          <w:p>
            <w:pPr>
              <w:pStyle w:val="Compact"/>
              <w:spacing w:after="40"/>
              <w:jc w:val="left"/>
            </w:pPr>
            <w:r>
              <w:rPr>
                <w:b/>
                <w:color w:val="FFFFFF"/>
                <w:sz w:val="18"/>
              </w:rPr>
              <w:t xml:space="preserve">SLA</w:t>
            </w:r>
          </w:p>
        </w:tc>
      </w:tr>
      <w:tr>
        <w:tc>
          <w:tcPr>
            <w:tcW w:w="1412" w:type="dxa"/>
          </w:tcPr>
          <w:p>
            <w:pPr>
              <w:pStyle w:val="Compact"/>
              <w:spacing w:after="40"/>
              <w:jc w:val="left"/>
            </w:pPr>
            <w:r>
              <w:rPr>
                <w:rStyle w:val="VerbatimChar"/>
                <w:sz w:val="18"/>
              </w:rPr>
              <w:t xml:space="preserve">LenderDealProposed</w:t>
            </w:r>
            <w:r>
              <w:rPr>
                <w:sz w:val="18"/>
              </w:rPr>
              <w:t xml:space="preserve"> </w:t>
            </w:r>
            <w:r>
              <w:rPr>
                <w:sz w:val="18"/>
              </w:rPr>
              <w:t xml:space="preserve">(N11)</w:t>
            </w:r>
          </w:p>
        </w:tc>
        <w:tc>
          <w:tcPr>
            <w:tcW w:w="1025" w:type="dxa"/>
          </w:tcPr>
          <w:p>
            <w:pPr>
              <w:pStyle w:val="Compact"/>
              <w:spacing w:after="40"/>
              <w:jc w:val="left"/>
            </w:pPr>
            <w:r>
              <w:rPr>
                <w:sz w:val="18"/>
              </w:rPr>
              <w:t xml:space="preserve">UD → RE system or RE GRC, LDC</w:t>
            </w:r>
          </w:p>
        </w:tc>
        <w:tc>
          <w:tcPr>
            <w:tcW w:w="1570" w:type="dxa"/>
          </w:tcPr>
          <w:p>
            <w:pPr>
              <w:pStyle w:val="Compact"/>
              <w:spacing w:after="40"/>
              <w:jc w:val="left"/>
            </w:pPr>
            <w:r>
              <w:rPr>
                <w:sz w:val="18"/>
              </w:rPr>
              <w:t xml:space="preserve">Deal PROPOSED</w:t>
            </w:r>
          </w:p>
        </w:tc>
        <w:tc>
          <w:tcPr>
            <w:tcW w:w="2439" w:type="dxa"/>
          </w:tcPr>
          <w:p>
            <w:pPr>
              <w:pStyle w:val="Compact"/>
              <w:spacing w:after="40"/>
              <w:jc w:val="left"/>
            </w:pPr>
            <w:r>
              <w:rPr>
                <w:sz w:val="18"/>
              </w:rPr>
              <w:t xml:space="preserve">deal_id, lender org_id, lender_type, RE category and layer, proposed products, channels and states, NDA ref</w:t>
            </w:r>
          </w:p>
        </w:tc>
        <w:tc>
          <w:tcPr>
            <w:tcW w:w="893" w:type="dxa"/>
          </w:tcPr>
          <w:p>
            <w:pPr>
              <w:pStyle w:val="Compact"/>
              <w:spacing w:after="40"/>
              <w:jc w:val="left"/>
            </w:pPr>
            <w:r>
              <w:rPr>
                <w:sz w:val="18"/>
              </w:rPr>
              <w:t xml:space="preserve">UD</w:t>
            </w:r>
          </w:p>
        </w:tc>
        <w:tc>
          <w:tcPr>
            <w:tcW w:w="1060" w:type="dxa"/>
          </w:tcPr>
          <w:p>
            <w:pPr>
              <w:pStyle w:val="Compact"/>
              <w:spacing w:after="40"/>
              <w:jc w:val="left"/>
            </w:pPr>
            <w:r>
              <w:rPr>
                <w:sz w:val="18"/>
              </w:rPr>
              <w:t xml:space="preserve">deal_id</w:t>
            </w:r>
          </w:p>
        </w:tc>
        <w:tc>
          <w:tcPr>
            <w:tcW w:w="1239" w:type="dxa"/>
          </w:tcPr>
          <w:p>
            <w:pPr>
              <w:pStyle w:val="Compact"/>
              <w:spacing w:after="40"/>
              <w:jc w:val="left"/>
            </w:pPr>
            <w:r>
              <w:rPr>
                <w:sz w:val="18"/>
              </w:rPr>
              <w:t xml:space="preserve">std</w:t>
            </w:r>
          </w:p>
        </w:tc>
      </w:tr>
      <w:tr>
        <w:tc>
          <w:tcPr>
            <w:tcW w:w="1412" w:type="dxa"/>
          </w:tcPr>
          <w:p>
            <w:pPr>
              <w:pStyle w:val="Compact"/>
              <w:spacing w:after="40"/>
              <w:jc w:val="left"/>
            </w:pPr>
            <w:r>
              <w:rPr>
                <w:rStyle w:val="VerbatimChar"/>
                <w:sz w:val="18"/>
              </w:rPr>
              <w:t xml:space="preserve">LenderDealApproved</w:t>
            </w:r>
            <w:r>
              <w:rPr>
                <w:sz w:val="18"/>
              </w:rPr>
              <w:t xml:space="preserve"> </w:t>
            </w:r>
            <w:r>
              <w:rPr>
                <w:sz w:val="18"/>
              </w:rPr>
              <w:t xml:space="preserve">(N11) signed</w:t>
            </w:r>
          </w:p>
        </w:tc>
        <w:tc>
          <w:tcPr>
            <w:tcW w:w="1025" w:type="dxa"/>
          </w:tcPr>
          <w:p>
            <w:pPr>
              <w:pStyle w:val="Compact"/>
              <w:spacing w:after="40"/>
              <w:jc w:val="left"/>
            </w:pPr>
            <w:r>
              <w:rPr>
                <w:sz w:val="18"/>
              </w:rPr>
              <w:t xml:space="preserve">UD → same</w:t>
            </w:r>
          </w:p>
        </w:tc>
        <w:tc>
          <w:tcPr>
            <w:tcW w:w="1570" w:type="dxa"/>
          </w:tcPr>
          <w:p>
            <w:pPr>
              <w:pStyle w:val="Compact"/>
              <w:spacing w:after="40"/>
              <w:jc w:val="left"/>
            </w:pPr>
            <w:r>
              <w:rPr>
                <w:sz w:val="18"/>
              </w:rPr>
              <w:t xml:space="preserve">LEGAL complete: agreements executed, clause matrix complete</w:t>
            </w:r>
          </w:p>
        </w:tc>
        <w:tc>
          <w:tcPr>
            <w:tcW w:w="2439" w:type="dxa"/>
          </w:tcPr>
          <w:p>
            <w:pPr>
              <w:pStyle w:val="Compact"/>
              <w:spacing w:after="40"/>
              <w:jc w:val="left"/>
            </w:pPr>
            <w:r>
              <w:rPr>
                <w:sz w:val="18"/>
              </w:rPr>
              <w:t xml:space="preserve">agreement hashes, OUT para 34 and para 74 clause-matrix status, DLG flag, recovery-agent flag, RE approver authority ref</w:t>
            </w:r>
          </w:p>
        </w:tc>
        <w:tc>
          <w:tcPr>
            <w:tcW w:w="893" w:type="dxa"/>
          </w:tcPr>
          <w:p>
            <w:pPr>
              <w:pStyle w:val="Compact"/>
              <w:spacing w:after="40"/>
              <w:jc w:val="left"/>
            </w:pPr>
            <w:r>
              <w:rPr>
                <w:sz w:val="18"/>
              </w:rPr>
              <w:t xml:space="preserve">UD record; RE approval</w:t>
            </w:r>
          </w:p>
        </w:tc>
        <w:tc>
          <w:tcPr>
            <w:tcW w:w="1060" w:type="dxa"/>
          </w:tcPr>
          <w:p>
            <w:pPr>
              <w:pStyle w:val="Compact"/>
              <w:spacing w:after="40"/>
              <w:jc w:val="left"/>
            </w:pPr>
            <w:r>
              <w:rPr>
                <w:sz w:val="18"/>
              </w:rPr>
              <w:t xml:space="preserve">(deal_id, approval_version)</w:t>
            </w:r>
          </w:p>
        </w:tc>
        <w:tc>
          <w:tcPr>
            <w:tcW w:w="1239" w:type="dxa"/>
          </w:tcPr>
          <w:p>
            <w:pPr>
              <w:pStyle w:val="Compact"/>
              <w:spacing w:after="40"/>
              <w:jc w:val="left"/>
            </w:pPr>
            <w:r>
              <w:rPr>
                <w:sz w:val="18"/>
              </w:rPr>
              <w:t xml:space="preserve">std</w:t>
            </w:r>
          </w:p>
        </w:tc>
      </w:tr>
      <w:tr>
        <w:tc>
          <w:tcPr>
            <w:tcW w:w="1412" w:type="dxa"/>
          </w:tcPr>
          <w:p>
            <w:pPr>
              <w:pStyle w:val="Compact"/>
              <w:spacing w:after="40"/>
              <w:jc w:val="left"/>
            </w:pPr>
            <w:r>
              <w:rPr>
                <w:rStyle w:val="VerbatimChar"/>
                <w:sz w:val="18"/>
              </w:rPr>
              <w:t xml:space="preserve">LenderDealActivated</w:t>
            </w:r>
            <w:r>
              <w:rPr>
                <w:sz w:val="18"/>
              </w:rPr>
              <w:t xml:space="preserve"> </w:t>
            </w:r>
            <w:r>
              <w:rPr>
                <w:sz w:val="18"/>
              </w:rPr>
              <w:t xml:space="preserve">(N11) signed</w:t>
            </w:r>
          </w:p>
        </w:tc>
        <w:tc>
          <w:tcPr>
            <w:tcW w:w="1025" w:type="dxa"/>
          </w:tcPr>
          <w:p>
            <w:pPr>
              <w:pStyle w:val="Compact"/>
              <w:spacing w:after="40"/>
              <w:jc w:val="left"/>
            </w:pPr>
            <w:r>
              <w:rPr>
                <w:sz w:val="18"/>
              </w:rPr>
              <w:t xml:space="preserve">UD → same</w:t>
            </w:r>
          </w:p>
        </w:tc>
        <w:tc>
          <w:tcPr>
            <w:tcW w:w="1570" w:type="dxa"/>
          </w:tcPr>
          <w:p>
            <w:pPr>
              <w:pStyle w:val="Compact"/>
              <w:spacing w:after="40"/>
              <w:jc w:val="left"/>
            </w:pPr>
            <w:r>
              <w:rPr>
                <w:sz w:val="18"/>
              </w:rPr>
              <w:t xml:space="preserve">PILOT starts, GENERAL go-live, or resumption after suspension</w:t>
            </w:r>
          </w:p>
        </w:tc>
        <w:tc>
          <w:tcPr>
            <w:tcW w:w="2439" w:type="dxa"/>
          </w:tcPr>
          <w:p>
            <w:pPr>
              <w:pStyle w:val="Compact"/>
              <w:spacing w:after="40"/>
              <w:jc w:val="left"/>
            </w:pPr>
            <w:r>
              <w:rPr>
                <w:rStyle w:val="VerbatimChar"/>
                <w:sz w:val="18"/>
              </w:rPr>
              <w:t xml:space="preserve">mode</w:t>
            </w:r>
            <w:r>
              <w:rPr>
                <w:sz w:val="18"/>
              </w:rPr>
              <w:t xml:space="preserve"> </w:t>
            </w:r>
            <w:r>
              <w:rPr>
                <w:sz w:val="18"/>
              </w:rPr>
              <w:t xml:space="preserve">(PILOT or GENERAL),</w:t>
            </w:r>
            <w:r>
              <w:rPr>
                <w:sz w:val="18"/>
              </w:rPr>
              <w:t xml:space="preserve"> </w:t>
            </w:r>
            <w:r>
              <w:rPr>
                <w:rStyle w:val="VerbatimChar"/>
                <w:sz w:val="18"/>
              </w:rPr>
              <w:t xml:space="preserve">resumed</w:t>
            </w:r>
            <w:r>
              <w:rPr>
                <w:sz w:val="18"/>
              </w:rPr>
              <w:t xml:space="preserve"> </w:t>
            </w:r>
            <w:r>
              <w:rPr>
                <w:sz w:val="18"/>
              </w:rPr>
              <w:t xml:space="preserve">(boolean), deal config version, CIMS DLA acknowledgement ref (CF para 18), website disclosure ref (CF para 9(4)), certification ref</w:t>
            </w:r>
          </w:p>
        </w:tc>
        <w:tc>
          <w:tcPr>
            <w:tcW w:w="893" w:type="dxa"/>
          </w:tcPr>
          <w:p>
            <w:pPr>
              <w:pStyle w:val="Compact"/>
              <w:spacing w:after="40"/>
              <w:jc w:val="left"/>
            </w:pPr>
            <w:r>
              <w:rPr>
                <w:sz w:val="18"/>
              </w:rPr>
              <w:t xml:space="preserve">UD</w:t>
            </w:r>
          </w:p>
        </w:tc>
        <w:tc>
          <w:tcPr>
            <w:tcW w:w="1060" w:type="dxa"/>
          </w:tcPr>
          <w:p>
            <w:pPr>
              <w:pStyle w:val="Compact"/>
              <w:spacing w:after="40"/>
              <w:jc w:val="left"/>
            </w:pPr>
            <w:r>
              <w:rPr>
                <w:sz w:val="18"/>
              </w:rPr>
              <w:t xml:space="preserve">(deal_id, mode, activation_seq)</w:t>
            </w:r>
          </w:p>
        </w:tc>
        <w:tc>
          <w:tcPr>
            <w:tcW w:w="1239" w:type="dxa"/>
          </w:tcPr>
          <w:p>
            <w:pPr>
              <w:pStyle w:val="Compact"/>
              <w:spacing w:after="40"/>
              <w:jc w:val="left"/>
            </w:pPr>
            <w:r>
              <w:rPr>
                <w:sz w:val="18"/>
              </w:rPr>
              <w:t xml:space="preserve">Before any borrower journey for the lender</w:t>
            </w:r>
          </w:p>
        </w:tc>
      </w:tr>
      <w:tr>
        <w:tc>
          <w:tcPr>
            <w:tcW w:w="1412" w:type="dxa"/>
          </w:tcPr>
          <w:p>
            <w:pPr>
              <w:pStyle w:val="Compact"/>
              <w:spacing w:after="40"/>
              <w:jc w:val="left"/>
            </w:pPr>
            <w:r>
              <w:rPr>
                <w:rStyle w:val="VerbatimChar"/>
                <w:sz w:val="18"/>
              </w:rPr>
              <w:t xml:space="preserve">LenderDealSuspended</w:t>
            </w:r>
            <w:r>
              <w:rPr>
                <w:sz w:val="18"/>
              </w:rPr>
              <w:t xml:space="preserve"> </w:t>
            </w:r>
            <w:r>
              <w:rPr>
                <w:sz w:val="18"/>
              </w:rPr>
              <w:t xml:space="preserve">(N11) signed</w:t>
            </w:r>
          </w:p>
        </w:tc>
        <w:tc>
          <w:tcPr>
            <w:tcW w:w="1025" w:type="dxa"/>
          </w:tcPr>
          <w:p>
            <w:pPr>
              <w:pStyle w:val="Compact"/>
              <w:spacing w:after="40"/>
              <w:jc w:val="left"/>
            </w:pPr>
            <w:r>
              <w:rPr>
                <w:sz w:val="18"/>
              </w:rPr>
              <w:t xml:space="preserve">UD → same</w:t>
            </w:r>
          </w:p>
        </w:tc>
        <w:tc>
          <w:tcPr>
            <w:tcW w:w="1570" w:type="dxa"/>
          </w:tcPr>
          <w:p>
            <w:pPr>
              <w:pStyle w:val="Compact"/>
              <w:spacing w:after="40"/>
              <w:jc w:val="left"/>
            </w:pPr>
            <w:r>
              <w:rPr>
                <w:sz w:val="18"/>
              </w:rPr>
              <w:t xml:space="preserve">RE suspension (OUT para 17), Udofin suspension or regulatory trigger</w:t>
            </w:r>
          </w:p>
        </w:tc>
        <w:tc>
          <w:tcPr>
            <w:tcW w:w="2439" w:type="dxa"/>
          </w:tcPr>
          <w:p>
            <w:pPr>
              <w:pStyle w:val="Compact"/>
              <w:spacing w:after="40"/>
              <w:jc w:val="left"/>
            </w:pPr>
            <w:r>
              <w:rPr>
                <w:sz w:val="18"/>
              </w:rPr>
              <w:t xml:space="preserve">reason code, scope (NEW_BUSINESS, ALL), borrower-continuity rules applied</w:t>
            </w:r>
          </w:p>
        </w:tc>
        <w:tc>
          <w:tcPr>
            <w:tcW w:w="893" w:type="dxa"/>
          </w:tcPr>
          <w:p>
            <w:pPr>
              <w:pStyle w:val="Compact"/>
              <w:spacing w:after="40"/>
              <w:jc w:val="left"/>
            </w:pPr>
            <w:r>
              <w:rPr>
                <w:sz w:val="18"/>
              </w:rPr>
              <w:t xml:space="preserve">UD</w:t>
            </w:r>
          </w:p>
        </w:tc>
        <w:tc>
          <w:tcPr>
            <w:tcW w:w="1060" w:type="dxa"/>
          </w:tcPr>
          <w:p>
            <w:pPr>
              <w:pStyle w:val="Compact"/>
              <w:spacing w:after="40"/>
              <w:jc w:val="left"/>
            </w:pPr>
            <w:r>
              <w:rPr>
                <w:sz w:val="18"/>
              </w:rPr>
              <w:t xml:space="preserve">(deal_id, suspension_seq)</w:t>
            </w:r>
          </w:p>
        </w:tc>
        <w:tc>
          <w:tcPr>
            <w:tcW w:w="1239" w:type="dxa"/>
          </w:tcPr>
          <w:p>
            <w:pPr>
              <w:pStyle w:val="Compact"/>
              <w:spacing w:after="40"/>
              <w:jc w:val="left"/>
            </w:pPr>
            <w:r>
              <w:rPr>
                <w:sz w:val="18"/>
              </w:rPr>
              <w:t xml:space="preserve">≤ 1 h [REC]</w:t>
            </w:r>
          </w:p>
        </w:tc>
      </w:tr>
      <w:tr>
        <w:tc>
          <w:tcPr>
            <w:tcW w:w="1412" w:type="dxa"/>
          </w:tcPr>
          <w:p>
            <w:pPr>
              <w:pStyle w:val="Compact"/>
              <w:spacing w:after="40"/>
              <w:jc w:val="left"/>
            </w:pPr>
            <w:r>
              <w:rPr>
                <w:rStyle w:val="VerbatimChar"/>
                <w:sz w:val="18"/>
              </w:rPr>
              <w:t xml:space="preserve">LenderDealTerminated</w:t>
            </w:r>
            <w:r>
              <w:rPr>
                <w:sz w:val="18"/>
              </w:rPr>
              <w:t xml:space="preserve"> </w:t>
            </w:r>
            <w:r>
              <w:rPr>
                <w:sz w:val="18"/>
              </w:rPr>
              <w:t xml:space="preserve">(N11) signed</w:t>
            </w:r>
          </w:p>
        </w:tc>
        <w:tc>
          <w:tcPr>
            <w:tcW w:w="1025" w:type="dxa"/>
          </w:tcPr>
          <w:p>
            <w:pPr>
              <w:pStyle w:val="Compact"/>
              <w:spacing w:after="40"/>
              <w:jc w:val="left"/>
            </w:pPr>
            <w:r>
              <w:rPr>
                <w:sz w:val="18"/>
              </w:rPr>
              <w:t xml:space="preserve">UD → same</w:t>
            </w:r>
          </w:p>
        </w:tc>
        <w:tc>
          <w:tcPr>
            <w:tcW w:w="1570" w:type="dxa"/>
          </w:tcPr>
          <w:p>
            <w:pPr>
              <w:pStyle w:val="Compact"/>
              <w:spacing w:after="40"/>
              <w:jc w:val="left"/>
            </w:pPr>
            <w:r>
              <w:rPr>
                <w:sz w:val="18"/>
              </w:rPr>
              <w:t xml:space="preserve">Deal TERMINATED after the exit plan</w:t>
            </w:r>
          </w:p>
        </w:tc>
        <w:tc>
          <w:tcPr>
            <w:tcW w:w="2439" w:type="dxa"/>
          </w:tcPr>
          <w:p>
            <w:pPr>
              <w:pStyle w:val="Compact"/>
              <w:spacing w:after="40"/>
              <w:jc w:val="left"/>
            </w:pPr>
            <w:r>
              <w:rPr>
                <w:sz w:val="18"/>
              </w:rPr>
              <w:t xml:space="preserve">exit archive_id, data-return certificate hash, purge plan ref</w:t>
            </w:r>
          </w:p>
        </w:tc>
        <w:tc>
          <w:tcPr>
            <w:tcW w:w="893" w:type="dxa"/>
          </w:tcPr>
          <w:p>
            <w:pPr>
              <w:pStyle w:val="Compact"/>
              <w:spacing w:after="40"/>
              <w:jc w:val="left"/>
            </w:pPr>
            <w:r>
              <w:rPr>
                <w:sz w:val="18"/>
              </w:rPr>
              <w:t xml:space="preserve">UD</w:t>
            </w:r>
          </w:p>
        </w:tc>
        <w:tc>
          <w:tcPr>
            <w:tcW w:w="1060" w:type="dxa"/>
          </w:tcPr>
          <w:p>
            <w:pPr>
              <w:pStyle w:val="Compact"/>
              <w:spacing w:after="40"/>
              <w:jc w:val="left"/>
            </w:pPr>
            <w:r>
              <w:rPr>
                <w:sz w:val="18"/>
              </w:rPr>
              <w:t xml:space="preserve">deal_id</w:t>
            </w:r>
          </w:p>
        </w:tc>
        <w:tc>
          <w:tcPr>
            <w:tcW w:w="1239" w:type="dxa"/>
          </w:tcPr>
          <w:p>
            <w:pPr>
              <w:pStyle w:val="Compact"/>
              <w:spacing w:after="40"/>
              <w:jc w:val="left"/>
            </w:pPr>
            <w:r>
              <w:rPr>
                <w:sz w:val="18"/>
              </w:rPr>
              <w:t xml:space="preserve">≤ 1 working day</w:t>
            </w:r>
          </w:p>
        </w:tc>
      </w:tr>
      <w:tr>
        <w:tc>
          <w:tcPr>
            <w:tcW w:w="1412" w:type="dxa"/>
          </w:tcPr>
          <w:p>
            <w:pPr>
              <w:pStyle w:val="Compact"/>
              <w:spacing w:after="40"/>
              <w:jc w:val="left"/>
            </w:pPr>
            <w:r>
              <w:rPr>
                <w:sz w:val="18"/>
              </w:rPr>
              <w:t xml:space="preserve">API</w:t>
            </w:r>
            <w:r>
              <w:rPr>
                <w:sz w:val="18"/>
              </w:rPr>
              <w:t xml:space="preserve"> </w:t>
            </w:r>
            <w:r>
              <w:rPr>
                <w:rStyle w:val="VerbatimChar"/>
                <w:sz w:val="18"/>
              </w:rPr>
              <w:t xml:space="preserve">GET /v1/deals/{id}/config-versions/{version}</w:t>
            </w:r>
            <w:r>
              <w:rPr>
                <w:sz w:val="18"/>
              </w:rPr>
              <w:t xml:space="preserve"> </w:t>
            </w:r>
            <w:r>
              <w:rPr>
                <w:sz w:val="18"/>
              </w:rPr>
              <w:t xml:space="preserve">(N11+)</w:t>
            </w:r>
          </w:p>
        </w:tc>
        <w:tc>
          <w:tcPr>
            <w:tcW w:w="1025" w:type="dxa"/>
          </w:tcPr>
          <w:p>
            <w:pPr>
              <w:pStyle w:val="Compact"/>
              <w:spacing w:after="40"/>
              <w:jc w:val="left"/>
            </w:pPr>
            <w:r>
              <w:rPr>
                <w:sz w:val="18"/>
              </w:rPr>
              <w:t xml:space="preserve">RE system → UD</w:t>
            </w:r>
          </w:p>
        </w:tc>
        <w:tc>
          <w:tcPr>
            <w:tcW w:w="1570" w:type="dxa"/>
          </w:tcPr>
          <w:p>
            <w:pPr>
              <w:pStyle w:val="Compact"/>
              <w:spacing w:after="40"/>
              <w:jc w:val="left"/>
            </w:pPr>
            <w:r>
              <w:rPr>
                <w:sz w:val="18"/>
              </w:rPr>
              <w:t xml:space="preserve">RE reviews a configuration version</w:t>
            </w:r>
          </w:p>
        </w:tc>
        <w:tc>
          <w:tcPr>
            <w:tcW w:w="2439" w:type="dxa"/>
          </w:tcPr>
          <w:p>
            <w:pPr>
              <w:pStyle w:val="Compact"/>
              <w:spacing w:after="40"/>
              <w:jc w:val="left"/>
            </w:pPr>
            <w:r>
              <w:rPr>
                <w:rStyle w:val="VerbatimChar"/>
                <w:sz w:val="18"/>
              </w:rPr>
              <w:t xml:space="preserve">deal_config_v1</w:t>
            </w:r>
            <w:r>
              <w:rPr>
                <w:sz w:val="18"/>
              </w:rPr>
              <w:t xml:space="preserve"> </w:t>
            </w:r>
            <w:r>
              <w:rPr>
                <w:sz w:val="18"/>
              </w:rPr>
              <w:t xml:space="preserve">without commercial terms, diff, impact analysis</w:t>
            </w:r>
          </w:p>
        </w:tc>
        <w:tc>
          <w:tcPr>
            <w:tcW w:w="893" w:type="dxa"/>
          </w:tcPr>
          <w:p>
            <w:pPr>
              <w:pStyle w:val="Compact"/>
              <w:spacing w:after="40"/>
              <w:jc w:val="left"/>
            </w:pPr>
            <w:r>
              <w:rPr>
                <w:sz w:val="18"/>
              </w:rPr>
              <w:t xml:space="preserve">UD</w:t>
            </w:r>
          </w:p>
        </w:tc>
        <w:tc>
          <w:tcPr>
            <w:tcW w:w="1060" w:type="dxa"/>
          </w:tcPr>
          <w:p>
            <w:pPr>
              <w:pStyle w:val="Compact"/>
              <w:spacing w:after="40"/>
              <w:jc w:val="left"/>
            </w:pPr>
            <w:r>
              <w:rPr>
                <w:sz w:val="18"/>
              </w:rPr>
              <w:t xml:space="preserve">n/a</w:t>
            </w:r>
          </w:p>
        </w:tc>
        <w:tc>
          <w:tcPr>
            <w:tcW w:w="1239" w:type="dxa"/>
          </w:tcPr>
          <w:p>
            <w:pPr>
              <w:pStyle w:val="Compact"/>
              <w:spacing w:after="40"/>
              <w:jc w:val="left"/>
            </w:pPr>
            <w:r>
              <w:rPr>
                <w:sz w:val="18"/>
              </w:rPr>
              <w:t xml:space="preserve">p95 ≤ 800 ms</w:t>
            </w:r>
          </w:p>
        </w:tc>
      </w:tr>
      <w:tr>
        <w:tc>
          <w:tcPr>
            <w:tcW w:w="1412" w:type="dxa"/>
          </w:tcPr>
          <w:p>
            <w:pPr>
              <w:pStyle w:val="Compact"/>
              <w:spacing w:after="40"/>
              <w:jc w:val="left"/>
            </w:pPr>
            <w:r>
              <w:rPr>
                <w:sz w:val="18"/>
              </w:rPr>
              <w:t xml:space="preserve">API</w:t>
            </w:r>
            <w:r>
              <w:rPr>
                <w:sz w:val="18"/>
              </w:rPr>
              <w:t xml:space="preserve"> </w:t>
            </w:r>
            <w:r>
              <w:rPr>
                <w:rStyle w:val="VerbatimChar"/>
                <w:sz w:val="18"/>
              </w:rPr>
              <w:t xml:space="preserve">POST /v1/deals/{id}/approvals</w:t>
            </w:r>
            <w:r>
              <w:rPr>
                <w:sz w:val="18"/>
              </w:rPr>
              <w:t xml:space="preserve"> </w:t>
            </w:r>
            <w:r>
              <w:rPr>
                <w:sz w:val="18"/>
              </w:rPr>
              <w:t xml:space="preserve">(N11+)</w:t>
            </w:r>
          </w:p>
        </w:tc>
        <w:tc>
          <w:tcPr>
            <w:tcW w:w="1025" w:type="dxa"/>
          </w:tcPr>
          <w:p>
            <w:pPr>
              <w:pStyle w:val="Compact"/>
              <w:spacing w:after="40"/>
              <w:jc w:val="left"/>
            </w:pPr>
            <w:r>
              <w:rPr>
                <w:sz w:val="18"/>
              </w:rPr>
              <w:t xml:space="preserve">RE system → UD</w:t>
            </w:r>
          </w:p>
        </w:tc>
        <w:tc>
          <w:tcPr>
            <w:tcW w:w="1570" w:type="dxa"/>
          </w:tcPr>
          <w:p>
            <w:pPr>
              <w:pStyle w:val="Compact"/>
              <w:spacing w:after="40"/>
              <w:jc w:val="left"/>
            </w:pPr>
            <w:r>
              <w:rPr>
                <w:sz w:val="18"/>
              </w:rPr>
              <w:t xml:space="preserve">RE approves a transition or configuration version</w:t>
            </w:r>
          </w:p>
        </w:tc>
        <w:tc>
          <w:tcPr>
            <w:tcW w:w="2439" w:type="dxa"/>
          </w:tcPr>
          <w:p>
            <w:pPr>
              <w:pStyle w:val="Compact"/>
              <w:spacing w:after="40"/>
              <w:jc w:val="left"/>
            </w:pPr>
            <w:r>
              <w:rPr>
                <w:sz w:val="18"/>
              </w:rPr>
              <w:t xml:space="preserve">approver name, role, authority ref, decision, comments</w:t>
            </w:r>
          </w:p>
        </w:tc>
        <w:tc>
          <w:tcPr>
            <w:tcW w:w="893" w:type="dxa"/>
          </w:tcPr>
          <w:p>
            <w:pPr>
              <w:pStyle w:val="Compact"/>
              <w:spacing w:after="40"/>
              <w:jc w:val="left"/>
            </w:pPr>
            <w:r>
              <w:rPr>
                <w:sz w:val="18"/>
              </w:rPr>
              <w:t xml:space="preserve">RE</w:t>
            </w:r>
          </w:p>
        </w:tc>
        <w:tc>
          <w:tcPr>
            <w:tcW w:w="1060" w:type="dxa"/>
          </w:tcPr>
          <w:p>
            <w:pPr>
              <w:pStyle w:val="Compact"/>
              <w:spacing w:after="40"/>
              <w:jc w:val="left"/>
            </w:pPr>
            <w:r>
              <w:rPr>
                <w:sz w:val="18"/>
              </w:rPr>
              <w:t xml:space="preserve">Idempotency-Key</w:t>
            </w:r>
          </w:p>
        </w:tc>
        <w:tc>
          <w:tcPr>
            <w:tcW w:w="1239" w:type="dxa"/>
          </w:tcPr>
          <w:p>
            <w:pPr>
              <w:pStyle w:val="Compact"/>
              <w:spacing w:after="40"/>
              <w:jc w:val="left"/>
            </w:pPr>
            <w:r>
              <w:rPr>
                <w:sz w:val="18"/>
              </w:rPr>
              <w:t xml:space="preserve">≤ 2 s</w:t>
            </w:r>
          </w:p>
        </w:tc>
      </w:tr>
    </w:tbl>
    <w:p>
      <w:pPr>
        <w:numPr>
          <w:ilvl w:val="0"/>
          <w:numId w:val="1022"/>
        </w:numPr>
        <w:pStyle w:val="Compact"/>
      </w:pPr>
      <w:r>
        <w:t xml:space="preserve">No borrower-facing journey, offer or communication exists for a lender before</w:t>
      </w:r>
      <w:r>
        <w:t xml:space="preserve"> </w:t>
      </w:r>
      <w:r>
        <w:rPr>
          <w:rStyle w:val="VerbatimChar"/>
        </w:rPr>
        <w:t xml:space="preserve">LenderDealActivated</w:t>
      </w:r>
      <w:r>
        <w:t xml:space="preserve"> </w:t>
      </w:r>
      <w:r>
        <w:t xml:space="preserve">with</w:t>
      </w:r>
      <w:r>
        <w:t xml:space="preserve"> </w:t>
      </w:r>
      <w:r>
        <w:rPr>
          <w:rStyle w:val="VerbatimChar"/>
        </w:rPr>
        <w:t xml:space="preserve">mode = PILOT</w:t>
      </w:r>
      <w:r>
        <w:t xml:space="preserve">.</w:t>
      </w:r>
    </w:p>
    <w:p>
      <w:pPr>
        <w:numPr>
          <w:ilvl w:val="0"/>
          <w:numId w:val="1022"/>
        </w:numPr>
        <w:pStyle w:val="Compact"/>
      </w:pPr>
      <w:r>
        <w:t xml:space="preserve">Neutrality: no sponsored or paid placement in the multi-lender offer view (CF para 7(4)); commercial terms are never inside</w:t>
      </w:r>
      <w:r>
        <w:t xml:space="preserve"> </w:t>
      </w:r>
      <w:r>
        <w:rPr>
          <w:rStyle w:val="VerbatimChar"/>
        </w:rPr>
        <w:t xml:space="preserve">deal_config_v1</w:t>
      </w:r>
      <w:r>
        <w:t xml:space="preserve">.</w:t>
      </w:r>
    </w:p>
    <w:p>
      <w:pPr>
        <w:numPr>
          <w:ilvl w:val="0"/>
          <w:numId w:val="1022"/>
        </w:numPr>
        <w:pStyle w:val="Compact"/>
      </w:pPr>
      <w:r>
        <w:t xml:space="preserve">RE audit, inspection and CIMS packs P1–P10 (Udofin UP3) use</w:t>
      </w:r>
      <w:r>
        <w:t xml:space="preserve"> </w:t>
      </w:r>
      <w:r>
        <w:rPr>
          <w:rStyle w:val="VerbatimChar"/>
        </w:rPr>
        <w:t xml:space="preserve">ExportRequested</w:t>
      </w:r>
      <w:r>
        <w:t xml:space="preserve"> </w:t>
      </w:r>
      <w:r>
        <w:t xml:space="preserve">and</w:t>
      </w:r>
      <w:r>
        <w:t xml:space="preserve"> </w:t>
      </w:r>
      <w:r>
        <w:rPr>
          <w:rStyle w:val="VerbatimChar"/>
        </w:rPr>
        <w:t xml:space="preserve">ExportCompleted</w:t>
      </w:r>
      <w:r>
        <w:t xml:space="preserve"> </w:t>
      </w:r>
      <w:r>
        <w:t xml:space="preserve">with scope RE_PACK and the</w:t>
      </w:r>
      <w:r>
        <w:t xml:space="preserve"> </w:t>
      </w:r>
      <w:r>
        <w:rPr>
          <w:rStyle w:val="VerbatimChar"/>
        </w:rPr>
        <w:t xml:space="preserve">re_audit_pack_v1</w:t>
      </w:r>
      <w:r>
        <w:t xml:space="preserve"> </w:t>
      </w:r>
      <w:r>
        <w:t xml:space="preserve">folder profile; an auditor’s or supervisor’s download is</w:t>
      </w:r>
      <w:r>
        <w:t xml:space="preserve"> </w:t>
      </w:r>
      <w:r>
        <w:rPr>
          <w:rStyle w:val="VerbatimChar"/>
        </w:rPr>
        <w:t xml:space="preserve">ExternalAccessUsed</w:t>
      </w:r>
      <w:r>
        <w:t xml:space="preserve"> </w:t>
      </w:r>
      <w:r>
        <w:t xml:space="preserve">(6.21).</w:t>
      </w:r>
    </w:p>
    <w:bookmarkEnd w:id="75"/>
    <w:bookmarkStart w:id="76" w:name="operations-hub-ops"/>
    <w:p>
      <w:pPr>
        <w:pStyle w:val="Heading2"/>
      </w:pPr>
      <w:r>
        <w:t xml:space="preserve">6.29 Operations Hub (</w:t>
      </w:r>
      <w:r>
        <w:rPr>
          <w:rStyle w:val="VerbatimChar"/>
        </w:rPr>
        <w:t xml:space="preserve">ops</w:t>
      </w:r>
      <w:r>
        <w:t xml:space="preserve">)</w:t>
      </w:r>
    </w:p>
    <w:p>
      <w:pPr>
        <w:pStyle w:val="FirstParagraph"/>
      </w:pPr>
      <w:r>
        <w:t xml:space="preserve">Operations Hub OH3–OH6, OH8 (entitlement reconciliation), OH9, OH13, OH14 (claims gate); Finbyx Part 7L and Udofin RA4 for engineering evidence. Directory events use the domain</w:t>
      </w:r>
      <w:r>
        <w:t xml:space="preserve"> </w:t>
      </w:r>
      <w:r>
        <w:rPr>
          <w:rStyle w:val="VerbatimChar"/>
        </w:rPr>
        <w:t xml:space="preserve">directory</w:t>
      </w:r>
      <w:r>
        <w:t xml:space="preserve"> </w:t>
      </w:r>
      <w:r>
        <w:t xml:space="preserve">(</w:t>
      </w:r>
      <w:r>
        <w:rPr>
          <w:rStyle w:val="VerbatimChar"/>
        </w:rPr>
        <w:t xml:space="preserve">in.infrabyx.directory.[EventName].v1</w:t>
      </w:r>
      <w:r>
        <w:t xml:space="preserve">). Nothing here carries customer content.</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038"/>
        <w:gridCol w:w="1555"/>
        <w:gridCol w:w="1395"/>
        <w:gridCol w:w="2750"/>
        <w:gridCol w:w="847"/>
        <w:gridCol w:w="813"/>
        <w:gridCol w:w="1240"/>
      </w:tblGrid>
      <w:tr>
        <w:trPr>
          <w:tblHeader w:val="true"/>
          <w:tblHeader w:val="true"/>
        </w:trPr>
        <w:tc>
          <w:tcPr>
            <w:tcW w:w="1038" w:type="dxa"/>
            <w:shd w:val="clear" w:color="auto" w:fill="1F3A5F"/>
          </w:tcPr>
          <w:p>
            <w:pPr>
              <w:pStyle w:val="Compact"/>
              <w:spacing w:after="40"/>
              <w:jc w:val="left"/>
            </w:pPr>
            <w:r>
              <w:rPr>
                <w:b/>
                <w:color w:val="FFFFFF"/>
                <w:sz w:val="18"/>
              </w:rPr>
              <w:t xml:space="preserve">Event or API</w:t>
            </w:r>
          </w:p>
        </w:tc>
        <w:tc>
          <w:tcPr>
            <w:tcW w:w="1555" w:type="dxa"/>
            <w:shd w:val="clear" w:color="auto" w:fill="1F3A5F"/>
          </w:tcPr>
          <w:p>
            <w:pPr>
              <w:pStyle w:val="Compact"/>
              <w:spacing w:after="40"/>
              <w:jc w:val="left"/>
            </w:pPr>
            <w:r>
              <w:rPr>
                <w:b/>
                <w:color w:val="FFFFFF"/>
                <w:sz w:val="18"/>
              </w:rPr>
              <w:t xml:space="preserve">Producer → consumer(s)</w:t>
            </w:r>
          </w:p>
        </w:tc>
        <w:tc>
          <w:tcPr>
            <w:tcW w:w="1395" w:type="dxa"/>
            <w:shd w:val="clear" w:color="auto" w:fill="1F3A5F"/>
          </w:tcPr>
          <w:p>
            <w:pPr>
              <w:pStyle w:val="Compact"/>
              <w:spacing w:after="40"/>
              <w:jc w:val="left"/>
            </w:pPr>
            <w:r>
              <w:rPr>
                <w:b/>
                <w:color w:val="FFFFFF"/>
                <w:sz w:val="18"/>
              </w:rPr>
              <w:t xml:space="preserve">Trigger</w:t>
            </w:r>
          </w:p>
        </w:tc>
        <w:tc>
          <w:tcPr>
            <w:tcW w:w="2750" w:type="dxa"/>
            <w:shd w:val="clear" w:color="auto" w:fill="1F3A5F"/>
          </w:tcPr>
          <w:p>
            <w:pPr>
              <w:pStyle w:val="Compact"/>
              <w:spacing w:after="40"/>
              <w:jc w:val="left"/>
            </w:pPr>
            <w:r>
              <w:rPr>
                <w:b/>
                <w:color w:val="FFFFFF"/>
                <w:sz w:val="18"/>
              </w:rPr>
              <w:t xml:space="preserve">Key payload fields</w:t>
            </w:r>
          </w:p>
        </w:tc>
        <w:tc>
          <w:tcPr>
            <w:tcW w:w="847" w:type="dxa"/>
            <w:shd w:val="clear" w:color="auto" w:fill="1F3A5F"/>
          </w:tcPr>
          <w:p>
            <w:pPr>
              <w:pStyle w:val="Compact"/>
              <w:spacing w:after="40"/>
              <w:jc w:val="left"/>
            </w:pPr>
            <w:r>
              <w:rPr>
                <w:b/>
                <w:color w:val="FFFFFF"/>
                <w:sz w:val="18"/>
              </w:rPr>
              <w:t xml:space="preserve">Owner</w:t>
            </w:r>
          </w:p>
        </w:tc>
        <w:tc>
          <w:tcPr>
            <w:tcW w:w="813" w:type="dxa"/>
            <w:shd w:val="clear" w:color="auto" w:fill="1F3A5F"/>
          </w:tcPr>
          <w:p>
            <w:pPr>
              <w:pStyle w:val="Compact"/>
              <w:spacing w:after="40"/>
              <w:jc w:val="left"/>
            </w:pPr>
            <w:r>
              <w:rPr>
                <w:b/>
                <w:color w:val="FFFFFF"/>
                <w:sz w:val="18"/>
              </w:rPr>
              <w:t xml:space="preserve">Idempotency key</w:t>
            </w:r>
          </w:p>
        </w:tc>
        <w:tc>
          <w:tcPr>
            <w:tcW w:w="1240" w:type="dxa"/>
            <w:shd w:val="clear" w:color="auto" w:fill="1F3A5F"/>
          </w:tcPr>
          <w:p>
            <w:pPr>
              <w:pStyle w:val="Compact"/>
              <w:spacing w:after="40"/>
              <w:jc w:val="left"/>
            </w:pPr>
            <w:r>
              <w:rPr>
                <w:b/>
                <w:color w:val="FFFFFF"/>
                <w:sz w:val="18"/>
              </w:rPr>
              <w:t xml:space="preserve">SLA</w:t>
            </w:r>
          </w:p>
        </w:tc>
      </w:tr>
      <w:tr>
        <w:tc>
          <w:tcPr>
            <w:tcW w:w="1038" w:type="dxa"/>
          </w:tcPr>
          <w:p>
            <w:pPr>
              <w:pStyle w:val="Compact"/>
              <w:spacing w:after="40"/>
              <w:jc w:val="left"/>
            </w:pPr>
            <w:r>
              <w:rPr>
                <w:rStyle w:val="VerbatimChar"/>
                <w:sz w:val="18"/>
              </w:rPr>
              <w:t xml:space="preserve">TenantProvisioned</w:t>
            </w:r>
            <w:r>
              <w:rPr>
                <w:sz w:val="18"/>
              </w:rPr>
              <w:t xml:space="preserve"> </w:t>
            </w:r>
            <w:r>
              <w:rPr>
                <w:sz w:val="18"/>
              </w:rPr>
              <w:t xml:space="preserve">(N11) signed</w:t>
            </w:r>
          </w:p>
        </w:tc>
        <w:tc>
          <w:tcPr>
            <w:tcW w:w="1555" w:type="dxa"/>
          </w:tcPr>
          <w:p>
            <w:pPr>
              <w:pStyle w:val="Compact"/>
              <w:spacing w:after="40"/>
              <w:jc w:val="left"/>
            </w:pPr>
            <w:r>
              <w:rPr>
                <w:sz w:val="18"/>
              </w:rPr>
              <w:t xml:space="preserve">OH → FX, UD, EQ, LDC</w:t>
            </w:r>
          </w:p>
        </w:tc>
        <w:tc>
          <w:tcPr>
            <w:tcW w:w="1395" w:type="dxa"/>
          </w:tcPr>
          <w:p>
            <w:pPr>
              <w:pStyle w:val="Compact"/>
              <w:spacing w:after="40"/>
              <w:jc w:val="left"/>
            </w:pPr>
            <w:r>
              <w:rPr>
                <w:sz w:val="18"/>
              </w:rPr>
              <w:t xml:space="preserve">Provisioning request approved in OH4 (maker-checker) for a sandbox, UAT or production tenant</w:t>
            </w:r>
          </w:p>
        </w:tc>
        <w:tc>
          <w:tcPr>
            <w:tcW w:w="2750" w:type="dxa"/>
          </w:tcPr>
          <w:p>
            <w:pPr>
              <w:pStyle w:val="Compact"/>
              <w:spacing w:after="40"/>
              <w:jc w:val="left"/>
            </w:pPr>
            <w:r>
              <w:rPr>
                <w:sz w:val="18"/>
              </w:rPr>
              <w:t xml:space="preserve">provisioning_request_id, org_id, product, environment (SANDBOX, UAT, PRODUCTION), deployment model (SAAS, DEDICATED, ON_PREM), legal entities, plan and entitlement ref, residency, MSA and DPA refs, OUT clause-matrix ref (PRODUCTION only), first-admin work email with</w:t>
            </w:r>
            <w:r>
              <w:rPr>
                <w:sz w:val="18"/>
              </w:rPr>
              <w:t xml:space="preserve"> </w:t>
            </w:r>
            <w:r>
              <w:rPr>
                <w:rStyle w:val="VerbatimChar"/>
                <w:sz w:val="18"/>
              </w:rPr>
              <w:t xml:space="preserve">legalbasis = CONTRACT_PERFORMANCE_VENDOR</w:t>
            </w:r>
            <w:r>
              <w:rPr>
                <w:sz w:val="18"/>
              </w:rPr>
              <w:t xml:space="preserve"> </w:t>
            </w:r>
            <w:r>
              <w:rPr>
                <w:sz w:val="18"/>
              </w:rPr>
              <w:t xml:space="preserve">(no password; the product sends the invitation)</w:t>
            </w:r>
          </w:p>
        </w:tc>
        <w:tc>
          <w:tcPr>
            <w:tcW w:w="847" w:type="dxa"/>
          </w:tcPr>
          <w:p>
            <w:pPr>
              <w:pStyle w:val="Compact"/>
              <w:spacing w:after="40"/>
              <w:jc w:val="left"/>
            </w:pPr>
            <w:r>
              <w:rPr>
                <w:sz w:val="18"/>
              </w:rPr>
              <w:t xml:space="preserve">OH request; product creates the tenant</w:t>
            </w:r>
          </w:p>
        </w:tc>
        <w:tc>
          <w:tcPr>
            <w:tcW w:w="813" w:type="dxa"/>
          </w:tcPr>
          <w:p>
            <w:pPr>
              <w:pStyle w:val="Compact"/>
              <w:spacing w:after="40"/>
              <w:jc w:val="left"/>
            </w:pPr>
            <w:r>
              <w:rPr>
                <w:sz w:val="18"/>
              </w:rPr>
              <w:t xml:space="preserve">provisioning_request_id</w:t>
            </w:r>
          </w:p>
        </w:tc>
        <w:tc>
          <w:tcPr>
            <w:tcW w:w="1240" w:type="dxa"/>
          </w:tcPr>
          <w:p>
            <w:pPr>
              <w:pStyle w:val="Compact"/>
              <w:spacing w:after="40"/>
              <w:jc w:val="left"/>
            </w:pPr>
            <w:r>
              <w:rPr>
                <w:sz w:val="18"/>
              </w:rPr>
              <w:t xml:space="preserve">Ack ≤ 1 working day; ready ≤ 1 working day after a complete request [REC]</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PUT /v1/provisioning-requests/{id}</w:t>
            </w:r>
            <w:r>
              <w:rPr>
                <w:sz w:val="18"/>
              </w:rPr>
              <w:t xml:space="preserve"> </w:t>
            </w:r>
            <w:r>
              <w:rPr>
                <w:sz w:val="18"/>
              </w:rPr>
              <w:t xml:space="preserve">(N11+)</w:t>
            </w:r>
          </w:p>
        </w:tc>
        <w:tc>
          <w:tcPr>
            <w:tcW w:w="1555" w:type="dxa"/>
          </w:tcPr>
          <w:p>
            <w:pPr>
              <w:pStyle w:val="Compact"/>
              <w:spacing w:after="40"/>
              <w:jc w:val="left"/>
            </w:pPr>
            <w:r>
              <w:rPr>
                <w:sz w:val="18"/>
              </w:rPr>
              <w:t xml:space="preserve">FX, UD, EQ, LDC → OH</w:t>
            </w:r>
          </w:p>
        </w:tc>
        <w:tc>
          <w:tcPr>
            <w:tcW w:w="1395" w:type="dxa"/>
          </w:tcPr>
          <w:p>
            <w:pPr>
              <w:pStyle w:val="Compact"/>
              <w:spacing w:after="40"/>
              <w:jc w:val="left"/>
            </w:pPr>
            <w:r>
              <w:rPr>
                <w:sz w:val="18"/>
              </w:rPr>
              <w:t xml:space="preserve">Product acknowledges</w:t>
            </w:r>
            <w:r>
              <w:rPr>
                <w:sz w:val="18"/>
              </w:rPr>
              <w:t xml:space="preserve"> </w:t>
            </w:r>
            <w:r>
              <w:rPr>
                <w:rStyle w:val="VerbatimChar"/>
                <w:sz w:val="18"/>
              </w:rPr>
              <w:t xml:space="preserve">TenantProvisioned</w:t>
            </w:r>
            <w:r>
              <w:rPr>
                <w:sz w:val="18"/>
              </w:rPr>
              <w:t xml:space="preserve"> </w:t>
            </w:r>
            <w:r>
              <w:rPr>
                <w:sz w:val="18"/>
              </w:rPr>
              <w:t xml:space="preserve">and reports progress</w:t>
            </w:r>
          </w:p>
        </w:tc>
        <w:tc>
          <w:tcPr>
            <w:tcW w:w="2750" w:type="dxa"/>
          </w:tcPr>
          <w:p>
            <w:pPr>
              <w:pStyle w:val="Compact"/>
              <w:spacing w:after="40"/>
              <w:jc w:val="left"/>
            </w:pPr>
            <w:r>
              <w:rPr>
                <w:sz w:val="18"/>
              </w:rPr>
              <w:t xml:space="preserve">status (ACCEPTED, READY, FAILED with reason code), tenantid and tenant-map entry (4.1) once READY</w:t>
            </w:r>
          </w:p>
        </w:tc>
        <w:tc>
          <w:tcPr>
            <w:tcW w:w="847" w:type="dxa"/>
          </w:tcPr>
          <w:p>
            <w:pPr>
              <w:pStyle w:val="Compact"/>
              <w:spacing w:after="40"/>
              <w:jc w:val="left"/>
            </w:pPr>
            <w:r>
              <w:rPr>
                <w:sz w:val="18"/>
              </w:rPr>
              <w:t xml:space="preserve">Product</w:t>
            </w:r>
          </w:p>
        </w:tc>
        <w:tc>
          <w:tcPr>
            <w:tcW w:w="813" w:type="dxa"/>
          </w:tcPr>
          <w:p>
            <w:pPr>
              <w:pStyle w:val="Compact"/>
              <w:spacing w:after="40"/>
              <w:jc w:val="left"/>
            </w:pPr>
            <w:r>
              <w:rPr>
                <w:sz w:val="18"/>
              </w:rPr>
              <w:t xml:space="preserve">Idempotency-Key</w:t>
            </w:r>
          </w:p>
        </w:tc>
        <w:tc>
          <w:tcPr>
            <w:tcW w:w="1240" w:type="dxa"/>
          </w:tcPr>
          <w:p>
            <w:pPr>
              <w:pStyle w:val="Compact"/>
              <w:spacing w:after="40"/>
              <w:jc w:val="left"/>
            </w:pPr>
            <w:r>
              <w:rPr>
                <w:sz w:val="18"/>
              </w:rPr>
              <w:t xml:space="preserve">≤ 2 s</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GET /v1/tenants/{tenantid}/provisioning-status</w:t>
            </w:r>
            <w:r>
              <w:rPr>
                <w:sz w:val="18"/>
              </w:rPr>
              <w:t xml:space="preserve"> </w:t>
            </w:r>
            <w:r>
              <w:rPr>
                <w:sz w:val="18"/>
              </w:rPr>
              <w:t xml:space="preserve">(N11+)</w:t>
            </w:r>
          </w:p>
        </w:tc>
        <w:tc>
          <w:tcPr>
            <w:tcW w:w="1555" w:type="dxa"/>
          </w:tcPr>
          <w:p>
            <w:pPr>
              <w:pStyle w:val="Compact"/>
              <w:spacing w:after="40"/>
              <w:jc w:val="left"/>
            </w:pPr>
            <w:r>
              <w:rPr>
                <w:sz w:val="18"/>
              </w:rPr>
              <w:t xml:space="preserve">OH → FX, UD, EQ, LDC</w:t>
            </w:r>
          </w:p>
        </w:tc>
        <w:tc>
          <w:tcPr>
            <w:tcW w:w="1395" w:type="dxa"/>
          </w:tcPr>
          <w:p>
            <w:pPr>
              <w:pStyle w:val="Compact"/>
              <w:spacing w:after="40"/>
              <w:jc w:val="left"/>
            </w:pPr>
            <w:r>
              <w:rPr>
                <w:sz w:val="18"/>
              </w:rPr>
              <w:t xml:space="preserve">Fallback poll when no acknowledgement arrives within 1 working day</w:t>
            </w:r>
          </w:p>
        </w:tc>
        <w:tc>
          <w:tcPr>
            <w:tcW w:w="2750" w:type="dxa"/>
          </w:tcPr>
          <w:p>
            <w:pPr>
              <w:pStyle w:val="Compact"/>
              <w:spacing w:after="40"/>
              <w:jc w:val="left"/>
            </w:pPr>
            <w:r>
              <w:rPr>
                <w:sz w:val="18"/>
              </w:rPr>
              <w:t xml:space="preserve">status (PENDING, READY, FAILED), tenant-map entry (4.1)</w:t>
            </w:r>
          </w:p>
        </w:tc>
        <w:tc>
          <w:tcPr>
            <w:tcW w:w="847" w:type="dxa"/>
          </w:tcPr>
          <w:p>
            <w:pPr>
              <w:pStyle w:val="Compact"/>
              <w:spacing w:after="40"/>
              <w:jc w:val="left"/>
            </w:pPr>
            <w:r>
              <w:rPr>
                <w:sz w:val="18"/>
              </w:rPr>
              <w:t xml:space="preserve">Product</w:t>
            </w:r>
          </w:p>
        </w:tc>
        <w:tc>
          <w:tcPr>
            <w:tcW w:w="813" w:type="dxa"/>
          </w:tcPr>
          <w:p>
            <w:pPr>
              <w:pStyle w:val="Compact"/>
              <w:spacing w:after="40"/>
              <w:jc w:val="left"/>
            </w:pPr>
            <w:r>
              <w:rPr>
                <w:sz w:val="18"/>
              </w:rPr>
              <w:t xml:space="preserve">n/a</w:t>
            </w:r>
          </w:p>
        </w:tc>
        <w:tc>
          <w:tcPr>
            <w:tcW w:w="1240" w:type="dxa"/>
          </w:tcPr>
          <w:p>
            <w:pPr>
              <w:pStyle w:val="Compact"/>
              <w:spacing w:after="40"/>
              <w:jc w:val="left"/>
            </w:pPr>
            <w:r>
              <w:rPr>
                <w:sz w:val="18"/>
              </w:rPr>
              <w:t xml:space="preserve">p95 ≤ 800 ms</w:t>
            </w:r>
          </w:p>
        </w:tc>
      </w:tr>
      <w:tr>
        <w:tc>
          <w:tcPr>
            <w:tcW w:w="1038" w:type="dxa"/>
          </w:tcPr>
          <w:p>
            <w:pPr>
              <w:pStyle w:val="Compact"/>
              <w:spacing w:after="40"/>
              <w:jc w:val="left"/>
            </w:pPr>
            <w:r>
              <w:rPr>
                <w:rStyle w:val="VerbatimChar"/>
                <w:sz w:val="18"/>
              </w:rPr>
              <w:t xml:space="preserve">ImplementationMilestoneReached</w:t>
            </w:r>
            <w:r>
              <w:rPr>
                <w:sz w:val="18"/>
              </w:rPr>
              <w:t xml:space="preserve"> </w:t>
            </w:r>
            <w:r>
              <w:rPr>
                <w:sz w:val="18"/>
              </w:rPr>
              <w:t xml:space="preserve">(N11)</w:t>
            </w:r>
          </w:p>
        </w:tc>
        <w:tc>
          <w:tcPr>
            <w:tcW w:w="1555" w:type="dxa"/>
          </w:tcPr>
          <w:p>
            <w:pPr>
              <w:pStyle w:val="Compact"/>
              <w:spacing w:after="40"/>
              <w:jc w:val="left"/>
            </w:pPr>
            <w:r>
              <w:rPr>
                <w:sz w:val="18"/>
              </w:rPr>
              <w:t xml:space="preserve">OH → FX, UD (tenant admin view)</w:t>
            </w:r>
          </w:p>
        </w:tc>
        <w:tc>
          <w:tcPr>
            <w:tcW w:w="1395" w:type="dxa"/>
          </w:tcPr>
          <w:p>
            <w:pPr>
              <w:pStyle w:val="Compact"/>
              <w:spacing w:after="40"/>
              <w:jc w:val="left"/>
            </w:pPr>
            <w:r>
              <w:rPr>
                <w:sz w:val="18"/>
              </w:rPr>
              <w:t xml:space="preserve">Milestone accepted by the tenant (DISCOVERY, CONFIGURATION, MIGRATION, INTEGRATIONS, TRAINING, GO_LIVE)</w:t>
            </w:r>
          </w:p>
        </w:tc>
        <w:tc>
          <w:tcPr>
            <w:tcW w:w="2750" w:type="dxa"/>
          </w:tcPr>
          <w:p>
            <w:pPr>
              <w:pStyle w:val="Compact"/>
              <w:spacing w:after="40"/>
              <w:jc w:val="left"/>
            </w:pPr>
            <w:r>
              <w:rPr>
                <w:sz w:val="18"/>
              </w:rPr>
              <w:t xml:space="preserve">project_id, milestone, acceptance evidence ref, migration record counts and reconciliation result (no records)</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(project_id, milestone)</w:t>
            </w:r>
          </w:p>
        </w:tc>
        <w:tc>
          <w:tcPr>
            <w:tcW w:w="1240" w:type="dxa"/>
          </w:tcPr>
          <w:p>
            <w:pPr>
              <w:pStyle w:val="Compact"/>
              <w:spacing w:after="40"/>
              <w:jc w:val="left"/>
            </w:pPr>
            <w:r>
              <w:rPr>
                <w:sz w:val="18"/>
              </w:rPr>
              <w:t xml:space="preserve">std</w:t>
            </w:r>
          </w:p>
        </w:tc>
      </w:tr>
      <w:tr>
        <w:tc>
          <w:tcPr>
            <w:tcW w:w="1038" w:type="dxa"/>
          </w:tcPr>
          <w:p>
            <w:pPr>
              <w:pStyle w:val="Compact"/>
              <w:spacing w:after="40"/>
              <w:jc w:val="left"/>
            </w:pPr>
            <w:r>
              <w:rPr>
                <w:rStyle w:val="VerbatimChar"/>
                <w:sz w:val="18"/>
              </w:rPr>
              <w:t xml:space="preserve">SupportTicketOpened</w:t>
            </w:r>
            <w:r>
              <w:rPr>
                <w:sz w:val="18"/>
              </w:rPr>
              <w:t xml:space="preserve"> </w:t>
            </w:r>
            <w:r>
              <w:rPr>
                <w:sz w:val="18"/>
              </w:rPr>
              <w:t xml:space="preserve">(N11)</w:t>
            </w:r>
          </w:p>
        </w:tc>
        <w:tc>
          <w:tcPr>
            <w:tcW w:w="1555" w:type="dxa"/>
          </w:tcPr>
          <w:p>
            <w:pPr>
              <w:pStyle w:val="Compact"/>
              <w:spacing w:after="40"/>
              <w:jc w:val="left"/>
            </w:pPr>
            <w:r>
              <w:rPr>
                <w:sz w:val="18"/>
              </w:rPr>
              <w:t xml:space="preserve">OH → FX, UD (status on product help pages)</w:t>
            </w:r>
          </w:p>
        </w:tc>
        <w:tc>
          <w:tcPr>
            <w:tcW w:w="1395" w:type="dxa"/>
          </w:tcPr>
          <w:p>
            <w:pPr>
              <w:pStyle w:val="Compact"/>
              <w:spacing w:after="40"/>
              <w:jc w:val="left"/>
            </w:pPr>
            <w:r>
              <w:rPr>
                <w:sz w:val="18"/>
              </w:rPr>
              <w:t xml:space="preserve">Ticket created from the product (API below) or another channel</w:t>
            </w:r>
          </w:p>
        </w:tc>
        <w:tc>
          <w:tcPr>
            <w:tcW w:w="2750" w:type="dxa"/>
          </w:tcPr>
          <w:p>
            <w:pPr>
              <w:pStyle w:val="Compact"/>
              <w:spacing w:after="40"/>
              <w:jc w:val="left"/>
            </w:pPr>
            <w:r>
              <w:rPr>
                <w:sz w:val="18"/>
              </w:rPr>
              <w:t xml:space="preserve">ticket_id, tenantid, product, category, severity, SLA clock</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ticket_id</w:t>
            </w:r>
          </w:p>
        </w:tc>
        <w:tc>
          <w:tcPr>
            <w:tcW w:w="1240" w:type="dxa"/>
          </w:tcPr>
          <w:p>
            <w:pPr>
              <w:pStyle w:val="Compact"/>
              <w:spacing w:after="40"/>
              <w:jc w:val="left"/>
            </w:pPr>
            <w:r>
              <w:rPr>
                <w:sz w:val="18"/>
              </w:rPr>
              <w:t xml:space="preserve">Acknowledged per support SLA</w:t>
            </w:r>
          </w:p>
        </w:tc>
      </w:tr>
      <w:tr>
        <w:tc>
          <w:tcPr>
            <w:tcW w:w="1038" w:type="dxa"/>
          </w:tcPr>
          <w:p>
            <w:pPr>
              <w:pStyle w:val="Compact"/>
              <w:spacing w:after="40"/>
              <w:jc w:val="left"/>
            </w:pPr>
            <w:r>
              <w:rPr>
                <w:rStyle w:val="VerbatimChar"/>
                <w:sz w:val="18"/>
              </w:rPr>
              <w:t xml:space="preserve">SupportTicketResolved</w:t>
            </w:r>
            <w:r>
              <w:rPr>
                <w:sz w:val="18"/>
              </w:rPr>
              <w:t xml:space="preserve"> </w:t>
            </w:r>
            <w:r>
              <w:rPr>
                <w:sz w:val="18"/>
              </w:rPr>
              <w:t xml:space="preserve">(N11)</w:t>
            </w:r>
          </w:p>
        </w:tc>
        <w:tc>
          <w:tcPr>
            <w:tcW w:w="1555" w:type="dxa"/>
          </w:tcPr>
          <w:p>
            <w:pPr>
              <w:pStyle w:val="Compact"/>
              <w:spacing w:after="40"/>
              <w:jc w:val="left"/>
            </w:pPr>
            <w:r>
              <w:rPr>
                <w:sz w:val="18"/>
              </w:rPr>
              <w:t xml:space="preserve">OH → FX, UD</w:t>
            </w:r>
          </w:p>
        </w:tc>
        <w:tc>
          <w:tcPr>
            <w:tcW w:w="1395" w:type="dxa"/>
          </w:tcPr>
          <w:p>
            <w:pPr>
              <w:pStyle w:val="Compact"/>
              <w:spacing w:after="40"/>
              <w:jc w:val="left"/>
            </w:pPr>
            <w:r>
              <w:rPr>
                <w:sz w:val="18"/>
              </w:rPr>
              <w:t xml:space="preserve">Resolution confirmed or auto-closed</w:t>
            </w:r>
          </w:p>
        </w:tc>
        <w:tc>
          <w:tcPr>
            <w:tcW w:w="2750" w:type="dxa"/>
          </w:tcPr>
          <w:p>
            <w:pPr>
              <w:pStyle w:val="Compact"/>
              <w:spacing w:after="40"/>
              <w:jc w:val="left"/>
            </w:pPr>
            <w:r>
              <w:rPr>
                <w:sz w:val="18"/>
              </w:rPr>
              <w:t xml:space="preserve">ticket_id, resolution code, resolved_at, satisfaction request</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(ticket_id, resolution_seq)</w:t>
            </w:r>
          </w:p>
        </w:tc>
        <w:tc>
          <w:tcPr>
            <w:tcW w:w="1240" w:type="dxa"/>
          </w:tcPr>
          <w:p>
            <w:pPr>
              <w:pStyle w:val="Compact"/>
              <w:spacing w:after="40"/>
              <w:jc w:val="left"/>
            </w:pPr>
            <w:r>
              <w:rPr>
                <w:sz w:val="18"/>
              </w:rPr>
              <w:t xml:space="preserve">std</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POST /v1/support/tickets</w:t>
            </w:r>
            <w:r>
              <w:rPr>
                <w:sz w:val="18"/>
              </w:rPr>
              <w:t xml:space="preserve"> </w:t>
            </w:r>
            <w:r>
              <w:rPr>
                <w:sz w:val="18"/>
              </w:rPr>
              <w:t xml:space="preserve">(N11+)</w:t>
            </w:r>
          </w:p>
        </w:tc>
        <w:tc>
          <w:tcPr>
            <w:tcW w:w="1555" w:type="dxa"/>
          </w:tcPr>
          <w:p>
            <w:pPr>
              <w:pStyle w:val="Compact"/>
              <w:spacing w:after="40"/>
              <w:jc w:val="left"/>
            </w:pPr>
            <w:r>
              <w:rPr>
                <w:sz w:val="18"/>
              </w:rPr>
              <w:t xml:space="preserve">FX, UD → OH</w:t>
            </w:r>
          </w:p>
        </w:tc>
        <w:tc>
          <w:tcPr>
            <w:tcW w:w="1395" w:type="dxa"/>
          </w:tcPr>
          <w:p>
            <w:pPr>
              <w:pStyle w:val="Compact"/>
              <w:spacing w:after="40"/>
              <w:jc w:val="left"/>
            </w:pPr>
            <w:r>
              <w:rPr>
                <w:sz w:val="18"/>
              </w:rPr>
              <w:t xml:space="preserve">Tenant user raises a ticket from in-product help</w:t>
            </w:r>
          </w:p>
        </w:tc>
        <w:tc>
          <w:tcPr>
            <w:tcW w:w="2750" w:type="dxa"/>
          </w:tcPr>
          <w:p>
            <w:pPr>
              <w:pStyle w:val="Compact"/>
              <w:spacing w:after="40"/>
              <w:jc w:val="left"/>
            </w:pPr>
            <w:r>
              <w:rPr>
                <w:sz w:val="18"/>
              </w:rPr>
              <w:t xml:space="preserve">product-signed token (org_id, tenantid, user ref), category, severity, description, deep link, attachments after PII scan (redacted screenshots only; Aadhaar, PAN, account, card or mobile patterns redacted or rejected with a reason)</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Idempotency-Key</w:t>
            </w:r>
          </w:p>
        </w:tc>
        <w:tc>
          <w:tcPr>
            <w:tcW w:w="1240" w:type="dxa"/>
          </w:tcPr>
          <w:p>
            <w:pPr>
              <w:pStyle w:val="Compact"/>
              <w:spacing w:after="40"/>
              <w:jc w:val="left"/>
            </w:pPr>
            <w:r>
              <w:rPr>
                <w:sz w:val="18"/>
              </w:rPr>
              <w:t xml:space="preserve">≤ 2 s</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POST /v1/crm/requests</w:t>
            </w:r>
            <w:r>
              <w:rPr>
                <w:sz w:val="18"/>
              </w:rPr>
              <w:t xml:space="preserve"> </w:t>
            </w:r>
            <w:r>
              <w:rPr>
                <w:sz w:val="18"/>
              </w:rPr>
              <w:t xml:space="preserve">(N11+)</w:t>
            </w:r>
          </w:p>
        </w:tc>
        <w:tc>
          <w:tcPr>
            <w:tcW w:w="1555" w:type="dxa"/>
          </w:tcPr>
          <w:p>
            <w:pPr>
              <w:pStyle w:val="Compact"/>
              <w:spacing w:after="40"/>
              <w:jc w:val="left"/>
            </w:pPr>
            <w:r>
              <w:rPr>
                <w:sz w:val="18"/>
              </w:rPr>
              <w:t xml:space="preserve">FX, UD billing and plan pages → OH3</w:t>
            </w:r>
          </w:p>
        </w:tc>
        <w:tc>
          <w:tcPr>
            <w:tcW w:w="1395" w:type="dxa"/>
          </w:tcPr>
          <w:p>
            <w:pPr>
              <w:pStyle w:val="Compact"/>
              <w:spacing w:after="40"/>
              <w:jc w:val="left"/>
            </w:pPr>
            <w:r>
              <w:rPr>
                <w:sz w:val="18"/>
              </w:rPr>
              <w:t xml:space="preserve">“</w:t>
            </w:r>
            <w:r>
              <w:rPr>
                <w:sz w:val="18"/>
              </w:rPr>
              <w:t xml:space="preserve">Contact sales</w:t>
            </w:r>
            <w:r>
              <w:rPr>
                <w:sz w:val="18"/>
              </w:rPr>
              <w:t xml:space="preserve">”</w:t>
            </w:r>
            <w:r>
              <w:rPr>
                <w:sz w:val="18"/>
              </w:rPr>
              <w:t xml:space="preserve"> </w:t>
            </w:r>
            <w:r>
              <w:rPr>
                <w:sz w:val="18"/>
              </w:rPr>
              <w:t xml:space="preserve">or enterprise-plan request</w:t>
            </w:r>
          </w:p>
        </w:tc>
        <w:tc>
          <w:tcPr>
            <w:tcW w:w="2750" w:type="dxa"/>
          </w:tcPr>
          <w:p>
            <w:pPr>
              <w:pStyle w:val="Compact"/>
              <w:spacing w:after="40"/>
              <w:jc w:val="left"/>
            </w:pPr>
            <w:r>
              <w:rPr>
                <w:sz w:val="18"/>
              </w:rPr>
              <w:t xml:space="preserve">org_id, tenantid, requester business contact under the product’s notice, product, plan or add-on of interest, message; never borrower, member or loan data</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Idempotency-Key</w:t>
            </w:r>
          </w:p>
        </w:tc>
        <w:tc>
          <w:tcPr>
            <w:tcW w:w="1240" w:type="dxa"/>
          </w:tcPr>
          <w:p>
            <w:pPr>
              <w:pStyle w:val="Compact"/>
              <w:spacing w:after="40"/>
              <w:jc w:val="left"/>
            </w:pPr>
            <w:r>
              <w:rPr>
                <w:sz w:val="18"/>
              </w:rPr>
              <w:t xml:space="preserve">≤ 2 s; sales response per OH3 SLA</w:t>
            </w:r>
          </w:p>
        </w:tc>
      </w:tr>
      <w:tr>
        <w:tc>
          <w:tcPr>
            <w:tcW w:w="1038" w:type="dxa"/>
          </w:tcPr>
          <w:p>
            <w:pPr>
              <w:pStyle w:val="Compact"/>
              <w:spacing w:after="40"/>
              <w:jc w:val="left"/>
            </w:pPr>
            <w:r>
              <w:rPr>
                <w:rStyle w:val="VerbatimChar"/>
                <w:sz w:val="18"/>
              </w:rPr>
              <w:t xml:space="preserve">ReleasePublished</w:t>
            </w:r>
            <w:r>
              <w:rPr>
                <w:sz w:val="18"/>
              </w:rPr>
              <w:t xml:space="preserve"> </w:t>
            </w:r>
            <w:r>
              <w:rPr>
                <w:sz w:val="18"/>
              </w:rPr>
              <w:t xml:space="preserve">(N11)</w:t>
            </w:r>
          </w:p>
        </w:tc>
        <w:tc>
          <w:tcPr>
            <w:tcW w:w="1555" w:type="dxa"/>
          </w:tcPr>
          <w:p>
            <w:pPr>
              <w:pStyle w:val="Compact"/>
              <w:spacing w:after="40"/>
              <w:jc w:val="left"/>
            </w:pPr>
            <w:r>
              <w:rPr>
                <w:sz w:val="18"/>
              </w:rPr>
              <w:t xml:space="preserve">FX, UD, EQ, LDC, OH → OH13, OH14; tenant compliance destination (release notes with regulatory impact)</w:t>
            </w:r>
          </w:p>
        </w:tc>
        <w:tc>
          <w:tcPr>
            <w:tcW w:w="1395" w:type="dxa"/>
          </w:tcPr>
          <w:p>
            <w:pPr>
              <w:pStyle w:val="Compact"/>
              <w:spacing w:after="40"/>
              <w:jc w:val="left"/>
            </w:pPr>
            <w:r>
              <w:rPr>
                <w:sz w:val="18"/>
              </w:rPr>
              <w:t xml:space="preserve">Production deployment complete</w:t>
            </w:r>
          </w:p>
        </w:tc>
        <w:tc>
          <w:tcPr>
            <w:tcW w:w="2750" w:type="dxa"/>
          </w:tcPr>
          <w:p>
            <w:pPr>
              <w:pStyle w:val="Compact"/>
              <w:spacing w:after="40"/>
              <w:jc w:val="left"/>
            </w:pPr>
            <w:r>
              <w:rPr>
                <w:sz w:val="18"/>
              </w:rPr>
              <w:t xml:space="preserve">version, change ids, SBOM hash, signature digest, release-notes ref, regulatory-impact flag</w:t>
            </w:r>
          </w:p>
        </w:tc>
        <w:tc>
          <w:tcPr>
            <w:tcW w:w="847" w:type="dxa"/>
          </w:tcPr>
          <w:p>
            <w:pPr>
              <w:pStyle w:val="Compact"/>
              <w:spacing w:after="40"/>
              <w:jc w:val="left"/>
            </w:pPr>
            <w:r>
              <w:rPr>
                <w:sz w:val="18"/>
              </w:rPr>
              <w:t xml:space="preserve">Product</w:t>
            </w:r>
          </w:p>
        </w:tc>
        <w:tc>
          <w:tcPr>
            <w:tcW w:w="813" w:type="dxa"/>
          </w:tcPr>
          <w:p>
            <w:pPr>
              <w:pStyle w:val="Compact"/>
              <w:spacing w:after="40"/>
              <w:jc w:val="left"/>
            </w:pPr>
            <w:r>
              <w:rPr>
                <w:sz w:val="18"/>
              </w:rPr>
              <w:t xml:space="preserve">(product, version)</w:t>
            </w:r>
          </w:p>
        </w:tc>
        <w:tc>
          <w:tcPr>
            <w:tcW w:w="1240" w:type="dxa"/>
          </w:tcPr>
          <w:p>
            <w:pPr>
              <w:pStyle w:val="Compact"/>
              <w:spacing w:after="40"/>
              <w:jc w:val="left"/>
            </w:pPr>
            <w:r>
              <w:rPr>
                <w:sz w:val="18"/>
              </w:rPr>
              <w:t xml:space="preserve">≤ 1 h</w:t>
            </w:r>
          </w:p>
        </w:tc>
      </w:tr>
      <w:tr>
        <w:tc>
          <w:tcPr>
            <w:tcW w:w="1038" w:type="dxa"/>
          </w:tcPr>
          <w:p>
            <w:pPr>
              <w:pStyle w:val="Compact"/>
              <w:spacing w:after="40"/>
              <w:jc w:val="left"/>
            </w:pPr>
            <w:r>
              <w:rPr>
                <w:rStyle w:val="VerbatimChar"/>
                <w:sz w:val="18"/>
              </w:rPr>
              <w:t xml:space="preserve">ChangeApproved</w:t>
            </w:r>
            <w:r>
              <w:rPr>
                <w:sz w:val="18"/>
              </w:rPr>
              <w:t xml:space="preserve"> </w:t>
            </w:r>
            <w:r>
              <w:rPr>
                <w:sz w:val="18"/>
              </w:rPr>
              <w:t xml:space="preserve">(N11)</w:t>
            </w:r>
          </w:p>
        </w:tc>
        <w:tc>
          <w:tcPr>
            <w:tcW w:w="1555" w:type="dxa"/>
          </w:tcPr>
          <w:p>
            <w:pPr>
              <w:pStyle w:val="Compact"/>
              <w:spacing w:after="40"/>
              <w:jc w:val="left"/>
            </w:pPr>
            <w:r>
              <w:rPr>
                <w:sz w:val="18"/>
              </w:rPr>
              <w:t xml:space="preserve">OH13 (CAB record) → FX, UD, EQ, LDC deployment gates, OH14; tenant compliance destination for tenant-impacting REGULATED changes</w:t>
            </w:r>
          </w:p>
        </w:tc>
        <w:tc>
          <w:tcPr>
            <w:tcW w:w="1395" w:type="dxa"/>
          </w:tcPr>
          <w:p>
            <w:pPr>
              <w:pStyle w:val="Compact"/>
              <w:spacing w:after="40"/>
              <w:jc w:val="left"/>
            </w:pPr>
            <w:r>
              <w:rPr>
                <w:sz w:val="18"/>
              </w:rPr>
              <w:t xml:space="preserve">CAB, standard-catalogue or emergency approval</w:t>
            </w:r>
          </w:p>
        </w:tc>
        <w:tc>
          <w:tcPr>
            <w:tcW w:w="2750" w:type="dxa"/>
          </w:tcPr>
          <w:p>
            <w:pPr>
              <w:pStyle w:val="Compact"/>
              <w:spacing w:after="40"/>
              <w:jc w:val="left"/>
            </w:pPr>
            <w:r>
              <w:rPr>
                <w:sz w:val="18"/>
              </w:rPr>
              <w:t xml:space="preserve">change_id, class (STANDARD, NORMAL, REGULATED, EMERGENCY; REGULATED needs a compliance reviewer and a golden-case pass), approvers, window, risk rating, retrospective-review due date (EMERGENCY)</w:t>
            </w:r>
          </w:p>
        </w:tc>
        <w:tc>
          <w:tcPr>
            <w:tcW w:w="847" w:type="dxa"/>
          </w:tcPr>
          <w:p>
            <w:pPr>
              <w:pStyle w:val="Compact"/>
              <w:spacing w:after="40"/>
              <w:jc w:val="left"/>
            </w:pPr>
            <w:r>
              <w:rPr>
                <w:sz w:val="18"/>
              </w:rPr>
              <w:t xml:space="preserve">OH13</w:t>
            </w:r>
          </w:p>
        </w:tc>
        <w:tc>
          <w:tcPr>
            <w:tcW w:w="813" w:type="dxa"/>
          </w:tcPr>
          <w:p>
            <w:pPr>
              <w:pStyle w:val="Compact"/>
              <w:spacing w:after="40"/>
              <w:jc w:val="left"/>
            </w:pPr>
            <w:r>
              <w:rPr>
                <w:sz w:val="18"/>
              </w:rPr>
              <w:t xml:space="preserve">(change_id, approval_version)</w:t>
            </w:r>
          </w:p>
        </w:tc>
        <w:tc>
          <w:tcPr>
            <w:tcW w:w="1240" w:type="dxa"/>
          </w:tcPr>
          <w:p>
            <w:pPr>
              <w:pStyle w:val="Compact"/>
              <w:spacing w:after="40"/>
              <w:jc w:val="left"/>
            </w:pPr>
            <w:r>
              <w:rPr>
                <w:sz w:val="18"/>
              </w:rPr>
              <w:t xml:space="preserve">Before deployment; a production deployment without a matching approval is refused</w:t>
            </w:r>
          </w:p>
        </w:tc>
      </w:tr>
      <w:tr>
        <w:tc>
          <w:tcPr>
            <w:tcW w:w="1038" w:type="dxa"/>
          </w:tcPr>
          <w:p>
            <w:pPr>
              <w:pStyle w:val="Compact"/>
              <w:spacing w:after="40"/>
              <w:jc w:val="left"/>
            </w:pPr>
            <w:r>
              <w:rPr>
                <w:rStyle w:val="VerbatimChar"/>
                <w:sz w:val="18"/>
              </w:rPr>
              <w:t xml:space="preserve">ControlEvidenceCollected</w:t>
            </w:r>
            <w:r>
              <w:rPr>
                <w:sz w:val="18"/>
              </w:rPr>
              <w:t xml:space="preserve"> </w:t>
            </w:r>
            <w:r>
              <w:rPr>
                <w:sz w:val="18"/>
              </w:rPr>
              <w:t xml:space="preserve">(N11)</w:t>
            </w:r>
          </w:p>
        </w:tc>
        <w:tc>
          <w:tcPr>
            <w:tcW w:w="1555" w:type="dxa"/>
          </w:tcPr>
          <w:p>
            <w:pPr>
              <w:pStyle w:val="Compact"/>
              <w:spacing w:after="40"/>
              <w:jc w:val="left"/>
            </w:pPr>
            <w:r>
              <w:rPr>
                <w:sz w:val="18"/>
              </w:rPr>
              <w:t xml:space="preserve">FX, UD, OH → OH14; tenant compliance destination where the evidence names a tenant</w:t>
            </w:r>
          </w:p>
        </w:tc>
        <w:tc>
          <w:tcPr>
            <w:tcW w:w="1395" w:type="dxa"/>
          </w:tcPr>
          <w:p>
            <w:pPr>
              <w:pStyle w:val="Compact"/>
              <w:spacing w:after="40"/>
              <w:jc w:val="left"/>
            </w:pPr>
            <w:r>
              <w:rPr>
                <w:sz w:val="18"/>
              </w:rPr>
              <w:t xml:space="preserve">Evidence item collected for a common-framework control</w:t>
            </w:r>
          </w:p>
        </w:tc>
        <w:tc>
          <w:tcPr>
            <w:tcW w:w="2750" w:type="dxa"/>
          </w:tcPr>
          <w:p>
            <w:pPr>
              <w:pStyle w:val="Compact"/>
              <w:spacing w:after="40"/>
              <w:jc w:val="left"/>
            </w:pPr>
            <w:r>
              <w:rPr>
                <w:sz w:val="18"/>
              </w:rPr>
              <w:t xml:space="preserve">control_id, period, collector, artefact hash, reviewer, status</w:t>
            </w:r>
          </w:p>
        </w:tc>
        <w:tc>
          <w:tcPr>
            <w:tcW w:w="847" w:type="dxa"/>
          </w:tcPr>
          <w:p>
            <w:pPr>
              <w:pStyle w:val="Compact"/>
              <w:spacing w:after="40"/>
              <w:jc w:val="left"/>
            </w:pPr>
            <w:r>
              <w:rPr>
                <w:sz w:val="18"/>
              </w:rPr>
              <w:t xml:space="preserve">Producer</w:t>
            </w:r>
          </w:p>
        </w:tc>
        <w:tc>
          <w:tcPr>
            <w:tcW w:w="813" w:type="dxa"/>
          </w:tcPr>
          <w:p>
            <w:pPr>
              <w:pStyle w:val="Compact"/>
              <w:spacing w:after="40"/>
              <w:jc w:val="left"/>
            </w:pPr>
            <w:r>
              <w:rPr>
                <w:sz w:val="18"/>
              </w:rPr>
              <w:t xml:space="preserve">(control_id, period, artefact_hash)</w:t>
            </w:r>
          </w:p>
        </w:tc>
        <w:tc>
          <w:tcPr>
            <w:tcW w:w="1240" w:type="dxa"/>
          </w:tcPr>
          <w:p>
            <w:pPr>
              <w:pStyle w:val="Compact"/>
              <w:spacing w:after="40"/>
              <w:jc w:val="left"/>
            </w:pPr>
            <w:r>
              <w:rPr>
                <w:sz w:val="18"/>
              </w:rPr>
              <w:t xml:space="preserve">≤ 1 h</w:t>
            </w:r>
          </w:p>
        </w:tc>
      </w:tr>
      <w:tr>
        <w:tc>
          <w:tcPr>
            <w:tcW w:w="1038" w:type="dxa"/>
          </w:tcPr>
          <w:p>
            <w:pPr>
              <w:pStyle w:val="Compact"/>
              <w:spacing w:after="40"/>
              <w:jc w:val="left"/>
            </w:pPr>
            <w:r>
              <w:rPr>
                <w:rStyle w:val="VerbatimChar"/>
                <w:sz w:val="18"/>
              </w:rPr>
              <w:t xml:space="preserve">ProfessionalEmpanelled</w:t>
            </w:r>
            <w:r>
              <w:rPr>
                <w:sz w:val="18"/>
              </w:rPr>
              <w:t xml:space="preserve"> </w:t>
            </w:r>
            <w:r>
              <w:rPr>
                <w:sz w:val="18"/>
              </w:rPr>
              <w:t xml:space="preserve">(N11)</w:t>
            </w:r>
          </w:p>
        </w:tc>
        <w:tc>
          <w:tcPr>
            <w:tcW w:w="1555" w:type="dxa"/>
          </w:tcPr>
          <w:p>
            <w:pPr>
              <w:pStyle w:val="Compact"/>
              <w:spacing w:after="40"/>
              <w:jc w:val="left"/>
            </w:pPr>
            <w:r>
              <w:rPr>
                <w:sz w:val="18"/>
              </w:rPr>
              <w:t xml:space="preserve">OH9 → FX (RS R11), Udolex</w:t>
            </w:r>
          </w:p>
        </w:tc>
        <w:tc>
          <w:tcPr>
            <w:tcW w:w="1395" w:type="dxa"/>
          </w:tcPr>
          <w:p>
            <w:pPr>
              <w:pStyle w:val="Compact"/>
              <w:spacing w:after="40"/>
              <w:jc w:val="left"/>
            </w:pPr>
            <w:r>
              <w:rPr>
                <w:sz w:val="18"/>
              </w:rPr>
              <w:t xml:space="preserve">Verification complete; listed in the group directory</w:t>
            </w:r>
          </w:p>
        </w:tc>
        <w:tc>
          <w:tcPr>
            <w:tcW w:w="2750" w:type="dxa"/>
          </w:tcPr>
          <w:p>
            <w:pPr>
              <w:pStyle w:val="Compact"/>
              <w:spacing w:after="40"/>
              <w:jc w:val="left"/>
            </w:pPr>
            <w:r>
              <w:rPr>
                <w:sz w:val="18"/>
              </w:rPr>
              <w:t xml:space="preserve">professional_id, BCI Rule 36 fields only (name, address, contacts, enrolment number and State Bar Council, enrolment date, qualifications, practice areas), courts, languages,</w:t>
            </w:r>
            <w:r>
              <w:rPr>
                <w:sz w:val="18"/>
              </w:rPr>
              <w:t xml:space="preserve"> </w:t>
            </w:r>
            <w:r>
              <w:rPr>
                <w:rStyle w:val="VerbatimChar"/>
                <w:sz w:val="18"/>
              </w:rPr>
              <w:t xml:space="preserve">equator_neutral</w:t>
            </w:r>
            <w:r>
              <w:rPr>
                <w:sz w:val="18"/>
              </w:rPr>
              <w:t xml:space="preserve"> </w:t>
            </w:r>
            <w:r>
              <w:rPr>
                <w:sz w:val="18"/>
              </w:rPr>
              <w:t xml:space="preserve">flag</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(professional_id, version)</w:t>
            </w:r>
          </w:p>
        </w:tc>
        <w:tc>
          <w:tcPr>
            <w:tcW w:w="1240" w:type="dxa"/>
          </w:tcPr>
          <w:p>
            <w:pPr>
              <w:pStyle w:val="Compact"/>
              <w:spacing w:after="40"/>
              <w:jc w:val="left"/>
            </w:pPr>
            <w:r>
              <w:rPr>
                <w:sz w:val="18"/>
              </w:rPr>
              <w:t xml:space="preserve">std</w:t>
            </w:r>
          </w:p>
        </w:tc>
      </w:tr>
      <w:tr>
        <w:tc>
          <w:tcPr>
            <w:tcW w:w="1038" w:type="dxa"/>
          </w:tcPr>
          <w:p>
            <w:pPr>
              <w:pStyle w:val="Compact"/>
              <w:spacing w:after="40"/>
              <w:jc w:val="left"/>
            </w:pPr>
            <w:r>
              <w:rPr>
                <w:rStyle w:val="VerbatimChar"/>
                <w:sz w:val="18"/>
              </w:rPr>
              <w:t xml:space="preserve">ProfessionalSuspended</w:t>
            </w:r>
            <w:r>
              <w:rPr>
                <w:sz w:val="18"/>
              </w:rPr>
              <w:t xml:space="preserve"> </w:t>
            </w:r>
            <w:r>
              <w:rPr>
                <w:sz w:val="18"/>
              </w:rPr>
              <w:t xml:space="preserve">(N11)</w:t>
            </w:r>
          </w:p>
        </w:tc>
        <w:tc>
          <w:tcPr>
            <w:tcW w:w="1555" w:type="dxa"/>
          </w:tcPr>
          <w:p>
            <w:pPr>
              <w:pStyle w:val="Compact"/>
              <w:spacing w:after="40"/>
              <w:jc w:val="left"/>
            </w:pPr>
            <w:r>
              <w:rPr>
                <w:sz w:val="18"/>
              </w:rPr>
              <w:t xml:space="preserve">OH9 → FX (RS R11), Udolex</w:t>
            </w:r>
          </w:p>
        </w:tc>
        <w:tc>
          <w:tcPr>
            <w:tcW w:w="1395" w:type="dxa"/>
          </w:tcPr>
          <w:p>
            <w:pPr>
              <w:pStyle w:val="Compact"/>
              <w:spacing w:after="40"/>
              <w:jc w:val="left"/>
            </w:pPr>
            <w:r>
              <w:rPr>
                <w:sz w:val="18"/>
              </w:rPr>
              <w:t xml:space="preserve">Suspension, removal, disciplinary order or lapsed certificate of practice</w:t>
            </w:r>
          </w:p>
        </w:tc>
        <w:tc>
          <w:tcPr>
            <w:tcW w:w="2750" w:type="dxa"/>
          </w:tcPr>
          <w:p>
            <w:pPr>
              <w:pStyle w:val="Compact"/>
              <w:spacing w:after="40"/>
              <w:jc w:val="left"/>
            </w:pPr>
            <w:r>
              <w:rPr>
                <w:sz w:val="18"/>
              </w:rPr>
              <w:t xml:space="preserve">professional_id, reason class, effective_at</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(professional_id, suspension_seq)</w:t>
            </w:r>
          </w:p>
        </w:tc>
        <w:tc>
          <w:tcPr>
            <w:tcW w:w="1240" w:type="dxa"/>
          </w:tcPr>
          <w:p>
            <w:pPr>
              <w:pStyle w:val="Compact"/>
              <w:spacing w:after="40"/>
              <w:jc w:val="left"/>
            </w:pPr>
            <w:r>
              <w:rPr>
                <w:sz w:val="18"/>
              </w:rPr>
              <w:t xml:space="preserve">≤ 1 h; RS blocks new allocations</w:t>
            </w:r>
          </w:p>
        </w:tc>
      </w:tr>
      <w:tr>
        <w:tc>
          <w:tcPr>
            <w:tcW w:w="1038" w:type="dxa"/>
          </w:tcPr>
          <w:p>
            <w:pPr>
              <w:pStyle w:val="Compact"/>
              <w:spacing w:after="40"/>
              <w:jc w:val="left"/>
            </w:pPr>
            <w:r>
              <w:rPr>
                <w:rStyle w:val="VerbatimChar"/>
                <w:sz w:val="18"/>
              </w:rPr>
              <w:t xml:space="preserve">MatterAllocated</w:t>
            </w:r>
            <w:r>
              <w:rPr>
                <w:sz w:val="18"/>
              </w:rPr>
              <w:t xml:space="preserve"> </w:t>
            </w:r>
            <w:r>
              <w:rPr>
                <w:sz w:val="18"/>
              </w:rPr>
              <w:t xml:space="preserve">(N11)</w:t>
            </w:r>
          </w:p>
        </w:tc>
        <w:tc>
          <w:tcPr>
            <w:tcW w:w="1555" w:type="dxa"/>
          </w:tcPr>
          <w:p>
            <w:pPr>
              <w:pStyle w:val="Compact"/>
              <w:spacing w:after="40"/>
              <w:jc w:val="left"/>
            </w:pPr>
            <w:r>
              <w:rPr>
                <w:sz w:val="18"/>
              </w:rPr>
              <w:t xml:space="preserve">FX (RS R11), Udolex → OH9; group legal tools (Infrabyx’s own matters,</w:t>
            </w:r>
            <w:r>
              <w:rPr>
                <w:sz w:val="18"/>
              </w:rPr>
              <w:t xml:space="preserve"> </w:t>
            </w:r>
            <w:r>
              <w:rPr>
                <w:rStyle w:val="VerbatimChar"/>
                <w:sz w:val="18"/>
              </w:rPr>
              <w:t xml:space="preserve">oh</w:t>
            </w:r>
            <w:r>
              <w:rPr>
                <w:sz w:val="18"/>
              </w:rPr>
              <w:t xml:space="preserve"> </w:t>
            </w:r>
            <w:r>
              <w:rPr>
                <w:sz w:val="18"/>
              </w:rPr>
              <w:t xml:space="preserve">scope) → OH9</w:t>
            </w:r>
          </w:p>
        </w:tc>
        <w:tc>
          <w:tcPr>
            <w:tcW w:w="1395" w:type="dxa"/>
          </w:tcPr>
          <w:p>
            <w:pPr>
              <w:pStyle w:val="Compact"/>
              <w:spacing w:after="40"/>
              <w:jc w:val="left"/>
            </w:pPr>
            <w:r>
              <w:rPr>
                <w:sz w:val="18"/>
              </w:rPr>
              <w:t xml:space="preserve">RE offers a matter to counsel from its own panel; counsel accepts or declines; RE withdraws</w:t>
            </w:r>
          </w:p>
        </w:tc>
        <w:tc>
          <w:tcPr>
            <w:tcW w:w="2750" w:type="dxa"/>
          </w:tcPr>
          <w:p>
            <w:pPr>
              <w:pStyle w:val="Compact"/>
              <w:spacing w:after="40"/>
              <w:jc w:val="left"/>
            </w:pPr>
            <w:r>
              <w:rPr>
                <w:sz w:val="18"/>
              </w:rPr>
              <w:t xml:space="preserve">allocation_id, professional_id, reid, matter class, forum type and State, allocation basis (ROTATION, RULE, REASONED_EXCEPTION), allocated_at, status (OFFERED, ACCEPTED, DECLINED_CONFLICT, DECLINED_CAPACITY, WITHDRAWN),</w:t>
            </w:r>
            <w:r>
              <w:rPr>
                <w:sz w:val="18"/>
              </w:rPr>
              <w:t xml:space="preserve"> </w:t>
            </w:r>
            <w:r>
              <w:rPr>
                <w:rStyle w:val="VerbatimChar"/>
                <w:sz w:val="18"/>
              </w:rPr>
              <w:t xml:space="preserve">update_seq</w:t>
            </w:r>
            <w:r>
              <w:rPr>
                <w:sz w:val="18"/>
              </w:rPr>
              <w:t xml:space="preserve">; never party names, matter or case numbers, loan identifiers or amounts</w:t>
            </w:r>
          </w:p>
        </w:tc>
        <w:tc>
          <w:tcPr>
            <w:tcW w:w="847" w:type="dxa"/>
          </w:tcPr>
          <w:p>
            <w:pPr>
              <w:pStyle w:val="Compact"/>
              <w:spacing w:after="40"/>
              <w:jc w:val="left"/>
            </w:pPr>
            <w:r>
              <w:rPr>
                <w:sz w:val="18"/>
              </w:rPr>
              <w:t xml:space="preserve">RE decision; RS record</w:t>
            </w:r>
          </w:p>
        </w:tc>
        <w:tc>
          <w:tcPr>
            <w:tcW w:w="813" w:type="dxa"/>
          </w:tcPr>
          <w:p>
            <w:pPr>
              <w:pStyle w:val="Compact"/>
              <w:spacing w:after="40"/>
              <w:jc w:val="left"/>
            </w:pPr>
            <w:r>
              <w:rPr>
                <w:sz w:val="18"/>
              </w:rPr>
              <w:t xml:space="preserve">(allocation_id, update_seq)</w:t>
            </w:r>
          </w:p>
        </w:tc>
        <w:tc>
          <w:tcPr>
            <w:tcW w:w="1240" w:type="dxa"/>
          </w:tcPr>
          <w:p>
            <w:pPr>
              <w:pStyle w:val="Compact"/>
              <w:spacing w:after="40"/>
              <w:jc w:val="left"/>
            </w:pPr>
            <w:r>
              <w:rPr>
                <w:sz w:val="18"/>
              </w:rPr>
              <w:t xml:space="preserve">std; a status change is an update with a higher</w:t>
            </w:r>
            <w:r>
              <w:rPr>
                <w:sz w:val="18"/>
              </w:rPr>
              <w:t xml:space="preserve"> </w:t>
            </w:r>
            <w:r>
              <w:rPr>
                <w:rStyle w:val="VerbatimChar"/>
                <w:sz w:val="18"/>
              </w:rPr>
              <w:t xml:space="preserve">update_seq</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GET /v1/directory/professionals</w:t>
            </w:r>
            <w:r>
              <w:rPr>
                <w:sz w:val="18"/>
              </w:rPr>
              <w:t xml:space="preserve"> </w:t>
            </w:r>
            <w:r>
              <w:rPr>
                <w:sz w:val="18"/>
              </w:rPr>
              <w:t xml:space="preserve">(N11+)</w:t>
            </w:r>
          </w:p>
        </w:tc>
        <w:tc>
          <w:tcPr>
            <w:tcW w:w="1555" w:type="dxa"/>
          </w:tcPr>
          <w:p>
            <w:pPr>
              <w:pStyle w:val="Compact"/>
              <w:spacing w:after="40"/>
              <w:jc w:val="left"/>
            </w:pPr>
            <w:r>
              <w:rPr>
                <w:sz w:val="18"/>
              </w:rPr>
              <w:t xml:space="preserve">FX (RS R11), Udolex, group legal tools and websites → OH9</w:t>
            </w:r>
          </w:p>
        </w:tc>
        <w:tc>
          <w:tcPr>
            <w:tcW w:w="1395" w:type="dxa"/>
          </w:tcPr>
          <w:p>
            <w:pPr>
              <w:pStyle w:val="Compact"/>
              <w:spacing w:after="40"/>
              <w:jc w:val="left"/>
            </w:pPr>
            <w:r>
              <w:rPr>
                <w:sz w:val="18"/>
              </w:rPr>
              <w:t xml:space="preserve">Directory search</w:t>
            </w:r>
          </w:p>
        </w:tc>
        <w:tc>
          <w:tcPr>
            <w:tcW w:w="2750" w:type="dxa"/>
          </w:tcPr>
          <w:p>
            <w:pPr>
              <w:pStyle w:val="Compact"/>
              <w:spacing w:after="40"/>
              <w:jc w:val="left"/>
            </w:pPr>
            <w:r>
              <w:rPr>
                <w:sz w:val="18"/>
              </w:rPr>
              <w:t xml:space="preserve">filters: category, State, district, court or forum, practice area, language; only ACTIVE with current credentials; Rule 36 fields and status in randomised order per call (seed logged); no ranking or sort-by-score parameter</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n/a</w:t>
            </w:r>
          </w:p>
        </w:tc>
        <w:tc>
          <w:tcPr>
            <w:tcW w:w="1240" w:type="dxa"/>
          </w:tcPr>
          <w:p>
            <w:pPr>
              <w:pStyle w:val="Compact"/>
              <w:spacing w:after="40"/>
              <w:jc w:val="left"/>
            </w:pPr>
            <w:r>
              <w:rPr>
                <w:sz w:val="18"/>
              </w:rPr>
              <w:t xml:space="preserve">p95 ≤ 800 ms</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GET /v1/directory/professionals/{id}</w:t>
            </w:r>
            <w:r>
              <w:rPr>
                <w:sz w:val="18"/>
              </w:rPr>
              <w:t xml:space="preserve"> </w:t>
            </w:r>
            <w:r>
              <w:rPr>
                <w:sz w:val="18"/>
              </w:rPr>
              <w:t xml:space="preserve">(N11+)</w:t>
            </w:r>
          </w:p>
        </w:tc>
        <w:tc>
          <w:tcPr>
            <w:tcW w:w="1555" w:type="dxa"/>
          </w:tcPr>
          <w:p>
            <w:pPr>
              <w:pStyle w:val="Compact"/>
              <w:spacing w:after="40"/>
              <w:jc w:val="left"/>
            </w:pPr>
            <w:r>
              <w:rPr>
                <w:sz w:val="18"/>
              </w:rPr>
              <w:t xml:space="preserve">FX (RS R11), Udolex → OH9</w:t>
            </w:r>
          </w:p>
        </w:tc>
        <w:tc>
          <w:tcPr>
            <w:tcW w:w="1395" w:type="dxa"/>
          </w:tcPr>
          <w:p>
            <w:pPr>
              <w:pStyle w:val="Compact"/>
              <w:spacing w:after="40"/>
              <w:jc w:val="left"/>
            </w:pPr>
            <w:r>
              <w:rPr>
                <w:sz w:val="18"/>
              </w:rPr>
              <w:t xml:space="preserve">Professional detail for the RE’s panel checklist</w:t>
            </w:r>
          </w:p>
        </w:tc>
        <w:tc>
          <w:tcPr>
            <w:tcW w:w="2750" w:type="dxa"/>
          </w:tcPr>
          <w:p>
            <w:pPr>
              <w:pStyle w:val="Compact"/>
              <w:spacing w:after="40"/>
              <w:jc w:val="left"/>
            </w:pPr>
            <w:r>
              <w:rPr>
                <w:sz w:val="18"/>
              </w:rPr>
              <w:t xml:space="preserve">Rule 36 fields, credential summary and expiries, verification dates and evidence hashes, professional-indemnity status, declared institutional conflicts</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n/a</w:t>
            </w:r>
          </w:p>
        </w:tc>
        <w:tc>
          <w:tcPr>
            <w:tcW w:w="1240" w:type="dxa"/>
          </w:tcPr>
          <w:p>
            <w:pPr>
              <w:pStyle w:val="Compact"/>
              <w:spacing w:after="40"/>
              <w:jc w:val="left"/>
            </w:pPr>
            <w:r>
              <w:rPr>
                <w:sz w:val="18"/>
              </w:rPr>
              <w:t xml:space="preserve">p95 ≤ 800 ms</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POST /v1/conflicts/check</w:t>
            </w:r>
            <w:r>
              <w:rPr>
                <w:sz w:val="18"/>
              </w:rPr>
              <w:t xml:space="preserve"> </w:t>
            </w:r>
            <w:r>
              <w:rPr>
                <w:sz w:val="18"/>
              </w:rPr>
              <w:t xml:space="preserve">(N11+)</w:t>
            </w:r>
          </w:p>
        </w:tc>
        <w:tc>
          <w:tcPr>
            <w:tcW w:w="1555" w:type="dxa"/>
          </w:tcPr>
          <w:p>
            <w:pPr>
              <w:pStyle w:val="Compact"/>
              <w:spacing w:after="40"/>
              <w:jc w:val="left"/>
            </w:pPr>
            <w:r>
              <w:rPr>
                <w:sz w:val="18"/>
              </w:rPr>
              <w:t xml:space="preserve">EQ (machine client only) → OH</w:t>
            </w:r>
          </w:p>
        </w:tc>
        <w:tc>
          <w:tcPr>
            <w:tcW w:w="1395" w:type="dxa"/>
          </w:tcPr>
          <w:p>
            <w:pPr>
              <w:pStyle w:val="Compact"/>
              <w:spacing w:after="40"/>
              <w:jc w:val="left"/>
            </w:pPr>
            <w:r>
              <w:rPr>
                <w:sz w:val="18"/>
              </w:rPr>
              <w:t xml:space="preserve">Neutral conflict screen (4.6)</w:t>
            </w:r>
          </w:p>
        </w:tc>
        <w:tc>
          <w:tcPr>
            <w:tcW w:w="2750" w:type="dxa"/>
          </w:tcPr>
          <w:p>
            <w:pPr>
              <w:pStyle w:val="Compact"/>
              <w:spacing w:after="40"/>
              <w:jc w:val="left"/>
            </w:pPr>
            <w:r>
              <w:rPr>
                <w:sz w:val="18"/>
              </w:rPr>
              <w:t xml:space="preserve">input: professional_id (or person_ref for Infrabyx staff and consultants), counterparty reid or org_id, window (ISO 8601 duration, default P3Y); output: allocation count by that counterparty in the window,</w:t>
            </w:r>
            <w:r>
              <w:rPr>
                <w:sz w:val="18"/>
              </w:rPr>
              <w:t xml:space="preserve"> </w:t>
            </w:r>
            <w:r>
              <w:rPr>
                <w:rStyle w:val="VerbatimChar"/>
                <w:sz w:val="18"/>
              </w:rPr>
              <w:t xml:space="preserve">conflict</w:t>
            </w:r>
            <w:r>
              <w:rPr>
                <w:sz w:val="18"/>
              </w:rPr>
              <w:t xml:space="preserve"> </w:t>
            </w:r>
            <w:r>
              <w:rPr>
                <w:sz w:val="18"/>
              </w:rPr>
              <w:t xml:space="preserve">flag with category (EMPLOYMENT, COUNSEL, CONSULTANCY, DIRECTORSHIP, GROUP_COMMERCIAL_RELATIONSHIP), as_of; counts and flags only, never matter, contract-value or pipeline data; every call logged</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Idempotency-Key</w:t>
            </w:r>
          </w:p>
        </w:tc>
        <w:tc>
          <w:tcPr>
            <w:tcW w:w="1240" w:type="dxa"/>
          </w:tcPr>
          <w:p>
            <w:pPr>
              <w:pStyle w:val="Compact"/>
              <w:spacing w:after="40"/>
              <w:jc w:val="left"/>
            </w:pPr>
            <w:r>
              <w:rPr>
                <w:sz w:val="18"/>
              </w:rPr>
              <w:t xml:space="preserve">p95 ≤ 800 ms</w:t>
            </w:r>
          </w:p>
        </w:tc>
      </w:tr>
      <w:tr>
        <w:tc>
          <w:tcPr>
            <w:tcW w:w="1038" w:type="dxa"/>
          </w:tcPr>
          <w:p>
            <w:pPr>
              <w:pStyle w:val="Compact"/>
              <w:spacing w:after="40"/>
              <w:jc w:val="left"/>
            </w:pPr>
            <w:r>
              <w:rPr>
                <w:sz w:val="18"/>
              </w:rPr>
              <w:t xml:space="preserve">API</w:t>
            </w:r>
            <w:r>
              <w:rPr>
                <w:sz w:val="18"/>
              </w:rPr>
              <w:t xml:space="preserve"> </w:t>
            </w:r>
            <w:r>
              <w:rPr>
                <w:rStyle w:val="VerbatimChar"/>
                <w:sz w:val="18"/>
              </w:rPr>
              <w:t xml:space="preserve">GET /v1/claims-gate/check</w:t>
            </w:r>
            <w:r>
              <w:rPr>
                <w:sz w:val="18"/>
              </w:rPr>
              <w:t xml:space="preserve"> </w:t>
            </w:r>
            <w:r>
              <w:rPr>
                <w:sz w:val="18"/>
              </w:rPr>
              <w:t xml:space="preserve">(N11+)</w:t>
            </w:r>
          </w:p>
        </w:tc>
        <w:tc>
          <w:tcPr>
            <w:tcW w:w="1555" w:type="dxa"/>
          </w:tcPr>
          <w:p>
            <w:pPr>
              <w:pStyle w:val="Compact"/>
              <w:spacing w:after="40"/>
              <w:jc w:val="left"/>
            </w:pPr>
            <w:r>
              <w:rPr>
                <w:sz w:val="18"/>
              </w:rPr>
              <w:t xml:space="preserve">FX, UD, EQ, LDC, websites, OH7 → OH14</w:t>
            </w:r>
          </w:p>
        </w:tc>
        <w:tc>
          <w:tcPr>
            <w:tcW w:w="1395" w:type="dxa"/>
          </w:tcPr>
          <w:p>
            <w:pPr>
              <w:pStyle w:val="Compact"/>
              <w:spacing w:after="40"/>
              <w:jc w:val="left"/>
            </w:pPr>
            <w:r>
              <w:rPr>
                <w:sz w:val="18"/>
              </w:rPr>
              <w:t xml:space="preserve">Text or asset checked before publication</w:t>
            </w:r>
          </w:p>
        </w:tc>
        <w:tc>
          <w:tcPr>
            <w:tcW w:w="2750" w:type="dxa"/>
          </w:tcPr>
          <w:p>
            <w:pPr>
              <w:pStyle w:val="Compact"/>
              <w:spacing w:after="40"/>
              <w:jc w:val="left"/>
            </w:pPr>
            <w:r>
              <w:rPr>
                <w:sz w:val="18"/>
              </w:rPr>
              <w:t xml:space="preserve">returns PASS or BLOCKED with the certification record (scheme, scope, report or certificate date) or the blocked phrase</w:t>
            </w:r>
          </w:p>
        </w:tc>
        <w:tc>
          <w:tcPr>
            <w:tcW w:w="847" w:type="dxa"/>
          </w:tcPr>
          <w:p>
            <w:pPr>
              <w:pStyle w:val="Compact"/>
              <w:spacing w:after="40"/>
              <w:jc w:val="left"/>
            </w:pPr>
            <w:r>
              <w:rPr>
                <w:sz w:val="18"/>
              </w:rPr>
              <w:t xml:space="preserve">OH</w:t>
            </w:r>
          </w:p>
        </w:tc>
        <w:tc>
          <w:tcPr>
            <w:tcW w:w="813" w:type="dxa"/>
          </w:tcPr>
          <w:p>
            <w:pPr>
              <w:pStyle w:val="Compact"/>
              <w:spacing w:after="40"/>
              <w:jc w:val="left"/>
            </w:pPr>
            <w:r>
              <w:rPr>
                <w:sz w:val="18"/>
              </w:rPr>
              <w:t xml:space="preserve">n/a</w:t>
            </w:r>
          </w:p>
        </w:tc>
        <w:tc>
          <w:tcPr>
            <w:tcW w:w="1240" w:type="dxa"/>
          </w:tcPr>
          <w:p>
            <w:pPr>
              <w:pStyle w:val="Compact"/>
              <w:spacing w:after="40"/>
              <w:jc w:val="left"/>
            </w:pPr>
            <w:r>
              <w:rPr>
                <w:sz w:val="18"/>
              </w:rPr>
              <w:t xml:space="preserve">p95 ≤ 800 ms</w:t>
            </w:r>
          </w:p>
        </w:tc>
      </w:tr>
    </w:tbl>
    <w:p>
      <w:pPr>
        <w:numPr>
          <w:ilvl w:val="0"/>
          <w:numId w:val="1023"/>
        </w:numPr>
        <w:pStyle w:val="Compact"/>
      </w:pPr>
      <w:r>
        <w:rPr>
          <w:bCs/>
          <w:b/>
        </w:rPr>
        <w:t xml:space="preserve">Directory limits (BCI Rule 36; Advocates Act s.35):</w:t>
      </w:r>
      <w:r>
        <w:t xml:space="preserve"> </w:t>
      </w:r>
      <w:r>
        <w:t xml:space="preserve">the directory publishes only the Schedule fields; no ratings, badges, success rates, fees, testimonials or paid placement, and neutral ordering everywhere it is shown. The RE’s panel approval, fee schedule and internal scorecard stay in the RE’s tenant (Finbyx R11); the RE alone allocates.</w:t>
      </w:r>
    </w:p>
    <w:p>
      <w:pPr>
        <w:numPr>
          <w:ilvl w:val="0"/>
          <w:numId w:val="1023"/>
        </w:numPr>
        <w:pStyle w:val="Compact"/>
      </w:pPr>
      <w:r>
        <w:rPr>
          <w:rStyle w:val="VerbatimChar"/>
        </w:rPr>
        <w:t xml:space="preserve">TenantProvisioned</w:t>
      </w:r>
      <w:r>
        <w:t xml:space="preserve"> </w:t>
      </w:r>
      <w:r>
        <w:t xml:space="preserve">is idempotent on</w:t>
      </w:r>
      <w:r>
        <w:t xml:space="preserve"> </w:t>
      </w:r>
      <w:r>
        <w:rPr>
          <w:rStyle w:val="VerbatimChar"/>
        </w:rPr>
        <w:t xml:space="preserve">provisioning_request_id</w:t>
      </w:r>
      <w:r>
        <w:t xml:space="preserve">, and a product holds at most one live tenant per</w:t>
      </w:r>
      <w:r>
        <w:t xml:space="preserve"> </w:t>
      </w:r>
      <w:r>
        <w:rPr>
          <w:rStyle w:val="VerbatimChar"/>
        </w:rPr>
        <w:t xml:space="preserve">(org_id, product, environment)</w:t>
      </w:r>
      <w:r>
        <w:t xml:space="preserve">; the product creates the tenant, registers it in the tenant map and reports readiness by</w:t>
      </w:r>
      <w:r>
        <w:t xml:space="preserve"> </w:t>
      </w:r>
      <w:r>
        <w:rPr>
          <w:rStyle w:val="VerbatimChar"/>
        </w:rPr>
        <w:t xml:space="preserve">PUT /v1/provisioning-requests/{id}</w:t>
      </w:r>
      <w:r>
        <w:t xml:space="preserve">; OH uses the status API only as a fallback poll. A PRODUCTION request without the MSA, DPA and OUT clause-matrix refs is rejected by the product with</w:t>
      </w:r>
      <w:r>
        <w:t xml:space="preserve"> </w:t>
      </w:r>
      <w:r>
        <w:rPr>
          <w:rStyle w:val="VerbatimChar"/>
        </w:rPr>
        <w:t xml:space="preserve">regulatory-guard</w:t>
      </w:r>
      <w:r>
        <w:t xml:space="preserve">.</w:t>
      </w:r>
    </w:p>
    <w:p>
      <w:pPr>
        <w:numPr>
          <w:ilvl w:val="0"/>
          <w:numId w:val="1023"/>
        </w:numPr>
        <w:pStyle w:val="Compact"/>
      </w:pPr>
      <w:r>
        <w:t xml:space="preserve">Support tickets never carry borrower or member data; where diagnosis needs tenant data, support uses the product’s break-glass procedure (4.6), visible to the tenant.</w:t>
      </w:r>
    </w:p>
    <w:bookmarkEnd w:id="76"/>
    <w:bookmarkStart w:id="77" w:name="Xa77eee440cc50ebd9d91c5408d9d28e0d52deef"/>
    <w:p>
      <w:pPr>
        <w:pStyle w:val="Heading2"/>
      </w:pPr>
      <w:r>
        <w:t xml:space="preserve">6.30 Insurance distribution (</w:t>
      </w:r>
      <w:r>
        <w:rPr>
          <w:rStyle w:val="VerbatimChar"/>
        </w:rPr>
        <w:t xml:space="preserve">insurance</w:t>
      </w:r>
      <w:r>
        <w:t xml:space="preserve">; Udofin ↔ insurer only)</w:t>
      </w:r>
    </w:p>
    <w:p>
      <w:pPr>
        <w:pStyle w:val="FirstParagraph"/>
      </w:pPr>
      <w:r>
        <w:t xml:space="preserve">Udofin Part 7F (XP2). These events flow</w:t>
      </w:r>
      <w:r>
        <w:t xml:space="preserve"> </w:t>
      </w:r>
      <w:r>
        <w:rPr>
          <w:bCs/>
          <w:b/>
        </w:rPr>
        <w:t xml:space="preserve">only between Udofin and the insurer or IRDAI-registered partner</w:t>
      </w:r>
      <w:r>
        <w:t xml:space="preserve">, under a separate consent per product purpose (default No), and never reach REs, Finbyx, LawDocsComply or the Operations Hub except as counts. No insurance module is enabled until the licence model is approved and registered (Udofin Appendix B: models A–D); Udofin earns nothing for distribution unless it holds the registration that permits it [VERIFY: Insurance Act s.40 as amended in 2025].</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218"/>
        <w:gridCol w:w="1043"/>
        <w:gridCol w:w="1476"/>
        <w:gridCol w:w="2508"/>
        <w:gridCol w:w="1156"/>
        <w:gridCol w:w="995"/>
        <w:gridCol w:w="1242"/>
      </w:tblGrid>
      <w:tr>
        <w:trPr>
          <w:tblHeader w:val="true"/>
          <w:tblHeader w:val="true"/>
        </w:trPr>
        <w:tc>
          <w:tcPr>
            <w:tcW w:w="1218" w:type="dxa"/>
            <w:shd w:val="clear" w:color="auto" w:fill="1F3A5F"/>
          </w:tcPr>
          <w:p>
            <w:pPr>
              <w:pStyle w:val="Compact"/>
              <w:spacing w:after="40"/>
              <w:jc w:val="left"/>
            </w:pPr>
            <w:r>
              <w:rPr>
                <w:b/>
                <w:color w:val="FFFFFF"/>
                <w:sz w:val="18"/>
              </w:rPr>
              <w:t xml:space="preserve">Event or API</w:t>
            </w:r>
          </w:p>
        </w:tc>
        <w:tc>
          <w:tcPr>
            <w:tcW w:w="1043" w:type="dxa"/>
            <w:shd w:val="clear" w:color="auto" w:fill="1F3A5F"/>
          </w:tcPr>
          <w:p>
            <w:pPr>
              <w:pStyle w:val="Compact"/>
              <w:spacing w:after="40"/>
              <w:jc w:val="left"/>
            </w:pPr>
            <w:r>
              <w:rPr>
                <w:b/>
                <w:color w:val="FFFFFF"/>
                <w:sz w:val="18"/>
              </w:rPr>
              <w:t xml:space="preserve">Producer → consumer(s)</w:t>
            </w:r>
          </w:p>
        </w:tc>
        <w:tc>
          <w:tcPr>
            <w:tcW w:w="1476" w:type="dxa"/>
            <w:shd w:val="clear" w:color="auto" w:fill="1F3A5F"/>
          </w:tcPr>
          <w:p>
            <w:pPr>
              <w:pStyle w:val="Compact"/>
              <w:spacing w:after="40"/>
              <w:jc w:val="left"/>
            </w:pPr>
            <w:r>
              <w:rPr>
                <w:b/>
                <w:color w:val="FFFFFF"/>
                <w:sz w:val="18"/>
              </w:rPr>
              <w:t xml:space="preserve">Trigger</w:t>
            </w:r>
          </w:p>
        </w:tc>
        <w:tc>
          <w:tcPr>
            <w:tcW w:w="2508" w:type="dxa"/>
            <w:shd w:val="clear" w:color="auto" w:fill="1F3A5F"/>
          </w:tcPr>
          <w:p>
            <w:pPr>
              <w:pStyle w:val="Compact"/>
              <w:spacing w:after="40"/>
              <w:jc w:val="left"/>
            </w:pPr>
            <w:r>
              <w:rPr>
                <w:b/>
                <w:color w:val="FFFFFF"/>
                <w:sz w:val="18"/>
              </w:rPr>
              <w:t xml:space="preserve">Key payload fields</w:t>
            </w:r>
          </w:p>
        </w:tc>
        <w:tc>
          <w:tcPr>
            <w:tcW w:w="1156" w:type="dxa"/>
            <w:shd w:val="clear" w:color="auto" w:fill="1F3A5F"/>
          </w:tcPr>
          <w:p>
            <w:pPr>
              <w:pStyle w:val="Compact"/>
              <w:spacing w:after="40"/>
              <w:jc w:val="left"/>
            </w:pPr>
            <w:r>
              <w:rPr>
                <w:b/>
                <w:color w:val="FFFFFF"/>
                <w:sz w:val="18"/>
              </w:rPr>
              <w:t xml:space="preserve">Owner</w:t>
            </w:r>
          </w:p>
        </w:tc>
        <w:tc>
          <w:tcPr>
            <w:tcW w:w="995" w:type="dxa"/>
            <w:shd w:val="clear" w:color="auto" w:fill="1F3A5F"/>
          </w:tcPr>
          <w:p>
            <w:pPr>
              <w:pStyle w:val="Compact"/>
              <w:spacing w:after="40"/>
              <w:jc w:val="left"/>
            </w:pPr>
            <w:r>
              <w:rPr>
                <w:b/>
                <w:color w:val="FFFFFF"/>
                <w:sz w:val="18"/>
              </w:rPr>
              <w:t xml:space="preserve">Idempotency key</w:t>
            </w:r>
          </w:p>
        </w:tc>
        <w:tc>
          <w:tcPr>
            <w:tcW w:w="1242" w:type="dxa"/>
            <w:shd w:val="clear" w:color="auto" w:fill="1F3A5F"/>
          </w:tcPr>
          <w:p>
            <w:pPr>
              <w:pStyle w:val="Compact"/>
              <w:spacing w:after="40"/>
              <w:jc w:val="left"/>
            </w:pPr>
            <w:r>
              <w:rPr>
                <w:b/>
                <w:color w:val="FFFFFF"/>
                <w:sz w:val="18"/>
              </w:rPr>
              <w:t xml:space="preserve">SLA</w:t>
            </w:r>
          </w:p>
        </w:tc>
      </w:tr>
      <w:tr>
        <w:tc>
          <w:tcPr>
            <w:tcW w:w="1218" w:type="dxa"/>
          </w:tcPr>
          <w:p>
            <w:pPr>
              <w:pStyle w:val="Compact"/>
              <w:spacing w:after="40"/>
              <w:jc w:val="left"/>
            </w:pPr>
            <w:r>
              <w:rPr>
                <w:rStyle w:val="VerbatimChar"/>
                <w:sz w:val="18"/>
              </w:rPr>
              <w:t xml:space="preserve">InsuranceQuoteRequested</w:t>
            </w:r>
            <w:r>
              <w:rPr>
                <w:sz w:val="18"/>
              </w:rPr>
              <w:t xml:space="preserve"> </w:t>
            </w:r>
            <w:r>
              <w:rPr>
                <w:sz w:val="18"/>
              </w:rPr>
              <w:t xml:space="preserve">(N11)</w:t>
            </w:r>
          </w:p>
        </w:tc>
        <w:tc>
          <w:tcPr>
            <w:tcW w:w="1043" w:type="dxa"/>
          </w:tcPr>
          <w:p>
            <w:pPr>
              <w:pStyle w:val="Compact"/>
              <w:spacing w:after="40"/>
              <w:jc w:val="left"/>
            </w:pPr>
            <w:r>
              <w:rPr>
                <w:sz w:val="18"/>
              </w:rPr>
              <w:t xml:space="preserve">UD → INS</w:t>
            </w:r>
          </w:p>
        </w:tc>
        <w:tc>
          <w:tcPr>
            <w:tcW w:w="1476" w:type="dxa"/>
          </w:tcPr>
          <w:p>
            <w:pPr>
              <w:pStyle w:val="Compact"/>
              <w:spacing w:after="40"/>
              <w:jc w:val="left"/>
            </w:pPr>
            <w:r>
              <w:rPr>
                <w:sz w:val="18"/>
              </w:rPr>
              <w:t xml:space="preserve">Customer requests quotes after needs capture</w:t>
            </w:r>
          </w:p>
        </w:tc>
        <w:tc>
          <w:tcPr>
            <w:tcW w:w="2508" w:type="dxa"/>
          </w:tcPr>
          <w:p>
            <w:pPr>
              <w:pStyle w:val="Compact"/>
              <w:spacing w:after="40"/>
              <w:jc w:val="left"/>
            </w:pPr>
            <w:r>
              <w:rPr>
                <w:sz w:val="18"/>
              </w:rPr>
              <w:t xml:space="preserve">quote_request_id, product line, needs-record ref, identity data under a consentref naming the insurer, seller-tagging data</w:t>
            </w:r>
          </w:p>
        </w:tc>
        <w:tc>
          <w:tcPr>
            <w:tcW w:w="1156" w:type="dxa"/>
          </w:tcPr>
          <w:p>
            <w:pPr>
              <w:pStyle w:val="Compact"/>
              <w:spacing w:after="40"/>
              <w:jc w:val="left"/>
            </w:pPr>
            <w:r>
              <w:rPr>
                <w:sz w:val="18"/>
              </w:rPr>
              <w:t xml:space="preserve">UD journey; insurer quotes</w:t>
            </w:r>
          </w:p>
        </w:tc>
        <w:tc>
          <w:tcPr>
            <w:tcW w:w="995" w:type="dxa"/>
          </w:tcPr>
          <w:p>
            <w:pPr>
              <w:pStyle w:val="Compact"/>
              <w:spacing w:after="40"/>
              <w:jc w:val="left"/>
            </w:pPr>
            <w:r>
              <w:rPr>
                <w:sz w:val="18"/>
              </w:rPr>
              <w:t xml:space="preserve">quote_request_id</w:t>
            </w:r>
          </w:p>
        </w:tc>
        <w:tc>
          <w:tcPr>
            <w:tcW w:w="1242" w:type="dxa"/>
          </w:tcPr>
          <w:p>
            <w:pPr>
              <w:pStyle w:val="Compact"/>
              <w:spacing w:after="40"/>
              <w:jc w:val="left"/>
            </w:pPr>
            <w:r>
              <w:rPr>
                <w:sz w:val="18"/>
              </w:rPr>
              <w:t xml:space="preserve">Per insurer agreement</w:t>
            </w:r>
          </w:p>
        </w:tc>
      </w:tr>
      <w:tr>
        <w:tc>
          <w:tcPr>
            <w:tcW w:w="1218" w:type="dxa"/>
          </w:tcPr>
          <w:p>
            <w:pPr>
              <w:pStyle w:val="Compact"/>
              <w:spacing w:after="40"/>
              <w:jc w:val="left"/>
            </w:pPr>
            <w:r>
              <w:rPr>
                <w:rStyle w:val="VerbatimChar"/>
                <w:sz w:val="18"/>
              </w:rPr>
              <w:t xml:space="preserve">PolicyIssued</w:t>
            </w:r>
            <w:r>
              <w:rPr>
                <w:sz w:val="18"/>
              </w:rPr>
              <w:t xml:space="preserve"> </w:t>
            </w:r>
            <w:r>
              <w:rPr>
                <w:sz w:val="18"/>
              </w:rPr>
              <w:t xml:space="preserve">(N11) signed</w:t>
            </w:r>
          </w:p>
        </w:tc>
        <w:tc>
          <w:tcPr>
            <w:tcW w:w="1043" w:type="dxa"/>
          </w:tcPr>
          <w:p>
            <w:pPr>
              <w:pStyle w:val="Compact"/>
              <w:spacing w:after="40"/>
              <w:jc w:val="left"/>
            </w:pPr>
            <w:r>
              <w:rPr>
                <w:sz w:val="18"/>
              </w:rPr>
              <w:t xml:space="preserve">INS → UD</w:t>
            </w:r>
          </w:p>
        </w:tc>
        <w:tc>
          <w:tcPr>
            <w:tcW w:w="1476" w:type="dxa"/>
          </w:tcPr>
          <w:p>
            <w:pPr>
              <w:pStyle w:val="Compact"/>
              <w:spacing w:after="40"/>
              <w:jc w:val="left"/>
            </w:pPr>
            <w:r>
              <w:rPr>
                <w:sz w:val="18"/>
              </w:rPr>
              <w:t xml:space="preserve">Insurer issues the policy</w:t>
            </w:r>
          </w:p>
        </w:tc>
        <w:tc>
          <w:tcPr>
            <w:tcW w:w="2508" w:type="dxa"/>
          </w:tcPr>
          <w:p>
            <w:pPr>
              <w:pStyle w:val="Compact"/>
              <w:spacing w:after="40"/>
              <w:jc w:val="left"/>
            </w:pPr>
            <w:r>
              <w:rPr>
                <w:sz w:val="18"/>
              </w:rPr>
              <w:t xml:space="preserve">insurer, policy_no, line, premium, term, document refs and hashes, seller tag</w:t>
            </w:r>
          </w:p>
        </w:tc>
        <w:tc>
          <w:tcPr>
            <w:tcW w:w="1156" w:type="dxa"/>
          </w:tcPr>
          <w:p>
            <w:pPr>
              <w:pStyle w:val="Compact"/>
              <w:spacing w:after="40"/>
              <w:jc w:val="left"/>
            </w:pPr>
            <w:r>
              <w:rPr>
                <w:sz w:val="18"/>
              </w:rPr>
              <w:t xml:space="preserve">Insurer</w:t>
            </w:r>
          </w:p>
        </w:tc>
        <w:tc>
          <w:tcPr>
            <w:tcW w:w="995" w:type="dxa"/>
          </w:tcPr>
          <w:p>
            <w:pPr>
              <w:pStyle w:val="Compact"/>
              <w:spacing w:after="40"/>
              <w:jc w:val="left"/>
            </w:pPr>
            <w:r>
              <w:rPr>
                <w:sz w:val="18"/>
              </w:rPr>
              <w:t xml:space="preserve">(insurer, policy_no)</w:t>
            </w:r>
          </w:p>
        </w:tc>
        <w:tc>
          <w:tcPr>
            <w:tcW w:w="1242" w:type="dxa"/>
          </w:tcPr>
          <w:p>
            <w:pPr>
              <w:pStyle w:val="Compact"/>
              <w:spacing w:after="40"/>
              <w:jc w:val="left"/>
            </w:pPr>
            <w:r>
              <w:rPr>
                <w:sz w:val="18"/>
              </w:rPr>
              <w:t xml:space="preserve">Per insurer agreement</w:t>
            </w:r>
          </w:p>
        </w:tc>
      </w:tr>
      <w:tr>
        <w:tc>
          <w:tcPr>
            <w:tcW w:w="1218" w:type="dxa"/>
          </w:tcPr>
          <w:p>
            <w:pPr>
              <w:pStyle w:val="Compact"/>
              <w:spacing w:after="40"/>
              <w:jc w:val="left"/>
            </w:pPr>
            <w:r>
              <w:rPr>
                <w:rStyle w:val="VerbatimChar"/>
                <w:sz w:val="18"/>
              </w:rPr>
              <w:t xml:space="preserve">ClaimAssistanceRequested</w:t>
            </w:r>
            <w:r>
              <w:rPr>
                <w:sz w:val="18"/>
              </w:rPr>
              <w:t xml:space="preserve"> </w:t>
            </w:r>
            <w:r>
              <w:rPr>
                <w:sz w:val="18"/>
              </w:rPr>
              <w:t xml:space="preserve">(N11)</w:t>
            </w:r>
          </w:p>
        </w:tc>
        <w:tc>
          <w:tcPr>
            <w:tcW w:w="1043" w:type="dxa"/>
          </w:tcPr>
          <w:p>
            <w:pPr>
              <w:pStyle w:val="Compact"/>
              <w:spacing w:after="40"/>
              <w:jc w:val="left"/>
            </w:pPr>
            <w:r>
              <w:rPr>
                <w:sz w:val="18"/>
              </w:rPr>
              <w:t xml:space="preserve">UD → INS</w:t>
            </w:r>
          </w:p>
        </w:tc>
        <w:tc>
          <w:tcPr>
            <w:tcW w:w="1476" w:type="dxa"/>
          </w:tcPr>
          <w:p>
            <w:pPr>
              <w:pStyle w:val="Compact"/>
              <w:spacing w:after="40"/>
              <w:jc w:val="left"/>
            </w:pPr>
            <w:r>
              <w:rPr>
                <w:sz w:val="18"/>
              </w:rPr>
              <w:t xml:space="preserve">Policyholder or nominee asks for claim help</w:t>
            </w:r>
          </w:p>
        </w:tc>
        <w:tc>
          <w:tcPr>
            <w:tcW w:w="2508" w:type="dxa"/>
          </w:tcPr>
          <w:p>
            <w:pPr>
              <w:pStyle w:val="Compact"/>
              <w:spacing w:after="40"/>
              <w:jc w:val="left"/>
            </w:pPr>
            <w:r>
              <w:rPr>
                <w:sz w:val="18"/>
              </w:rPr>
              <w:t xml:space="preserve">claim_assist_id, policy_no, claim type, event date, documents, payee is the policyholder’s or nominee’s own account, consentref</w:t>
            </w:r>
          </w:p>
        </w:tc>
        <w:tc>
          <w:tcPr>
            <w:tcW w:w="1156" w:type="dxa"/>
          </w:tcPr>
          <w:p>
            <w:pPr>
              <w:pStyle w:val="Compact"/>
              <w:spacing w:after="40"/>
              <w:jc w:val="left"/>
            </w:pPr>
            <w:r>
              <w:rPr>
                <w:sz w:val="18"/>
              </w:rPr>
              <w:t xml:space="preserve">UD request; insurer decides</w:t>
            </w:r>
          </w:p>
        </w:tc>
        <w:tc>
          <w:tcPr>
            <w:tcW w:w="995" w:type="dxa"/>
          </w:tcPr>
          <w:p>
            <w:pPr>
              <w:pStyle w:val="Compact"/>
              <w:spacing w:after="40"/>
              <w:jc w:val="left"/>
            </w:pPr>
            <w:r>
              <w:rPr>
                <w:sz w:val="18"/>
              </w:rPr>
              <w:t xml:space="preserve">claim_assist_id</w:t>
            </w:r>
          </w:p>
        </w:tc>
        <w:tc>
          <w:tcPr>
            <w:tcW w:w="1242" w:type="dxa"/>
          </w:tcPr>
          <w:p>
            <w:pPr>
              <w:pStyle w:val="Compact"/>
              <w:spacing w:after="40"/>
              <w:jc w:val="left"/>
            </w:pPr>
            <w:r>
              <w:rPr>
                <w:sz w:val="18"/>
              </w:rPr>
              <w:t xml:space="preserve">Forwarded ≤ 1 working day [REC]</w:t>
            </w:r>
          </w:p>
        </w:tc>
      </w:tr>
    </w:tbl>
    <w:p>
      <w:pPr>
        <w:numPr>
          <w:ilvl w:val="0"/>
          <w:numId w:val="1024"/>
        </w:numPr>
        <w:pStyle w:val="Compact"/>
      </w:pPr>
      <w:r>
        <w:t xml:space="preserve">Premiums go directly to the insurer; Udofin never collects, holds or nets them. No bundling of insurance with a loan (RBC Second Amendment, 15 June 2026, effective 1 January 2027); credit-linked cover appears only as the RE’s optional KFS item (model D).</w:t>
      </w:r>
    </w:p>
    <w:p>
      <w:pPr>
        <w:numPr>
          <w:ilvl w:val="0"/>
          <w:numId w:val="1024"/>
        </w:numPr>
        <w:pStyle w:val="Compact"/>
      </w:pPr>
      <w:r>
        <w:t xml:space="preserve">Insurance complaints are routed to the insurer’s grievance channel and the Insurance Ombudsman, separately from loan grievances (6.12) [VERIFY: current IRDAI grievance portal].</w:t>
      </w:r>
    </w:p>
    <w:p>
      <w:r>
        <w:pict>
          <v:rect style="width:0;height:1.5pt" o:hralign="center" o:hrstd="t" o:hr="t"/>
        </w:pict>
      </w:r>
    </w:p>
    <w:bookmarkEnd w:id="77"/>
    <w:bookmarkEnd w:id="78"/>
    <w:bookmarkStart w:id="83" w:name="product-lifecycle-data-sharing-matrix"/>
    <w:p>
      <w:pPr>
        <w:pStyle w:val="Heading1"/>
      </w:pPr>
      <w:r>
        <w:t xml:space="preserve">7 — PRODUCT LIFECYCLE DATA-SHARING MATRIX</w:t>
      </w:r>
    </w:p>
    <w:bookmarkStart w:id="79" w:name="common-rules"/>
    <w:p>
      <w:pPr>
        <w:pStyle w:val="Heading2"/>
      </w:pPr>
      <w:r>
        <w:t xml:space="preserve">7.1 Common rules</w:t>
      </w:r>
    </w:p>
    <w:p>
      <w:pPr>
        <w:pStyle w:val="FirstParagraph"/>
      </w:pPr>
      <w:r>
        <w:t xml:space="preserve">Origination flows Udofin → RE; decisions, documents and servicing flow back to Udofin’s read-only mirror. Collateral authority is always the RE’s: Udofin orchestrates borrower steps and displays RE values, never accepts, invokes or releases. Recovery data reaches Udofin only as the RE-permitted LSP projection; Udofin relays</w:t>
      </w:r>
      <w:r>
        <w:t xml:space="preserve"> </w:t>
      </w:r>
      <w:r>
        <w:rPr>
          <w:rStyle w:val="VerbatimChar"/>
        </w:rPr>
        <w:t xml:space="preserve">SettlementRequested</w:t>
      </w:r>
      <w:r>
        <w:t xml:space="preserve"> </w:t>
      </w:r>
      <w:r>
        <w:t xml:space="preserve">and captures</w:t>
      </w:r>
      <w:r>
        <w:t xml:space="preserve"> </w:t>
      </w:r>
      <w:r>
        <w:rPr>
          <w:rStyle w:val="VerbatimChar"/>
        </w:rPr>
        <w:t xml:space="preserve">SettlementOfferAccepted</w:t>
      </w:r>
      <w:r>
        <w:t xml:space="preserve"> </w:t>
      </w:r>
      <w:r>
        <w:t xml:space="preserve">evidence but never approves, refers, issues notices in its own name or holds funds. Project finance, loans to entities (CORP), staff loans (STAFF) and demand loans (DCL) are not Udofin products; consumer durable (CD) follows the Personal row with DISB-E to the merchant.</w:t>
      </w:r>
      <w:r>
        <w:t xml:space="preserve"> </w:t>
      </w:r>
      <w:r>
        <w:rPr>
          <w:bCs/>
          <w:b/>
        </w:rPr>
        <w:t xml:space="preserve">Non-RE lenders</w:t>
      </w:r>
      <w:r>
        <w:t xml:space="preserve"> </w:t>
      </w:r>
      <w:r>
        <w:t xml:space="preserve">(credit co-operative societies) use the same contracts with</w:t>
      </w:r>
      <w:r>
        <w:t xml:space="preserve"> </w:t>
      </w:r>
      <w:r>
        <w:rPr>
          <w:rStyle w:val="VerbatimChar"/>
        </w:rPr>
        <w:t xml:space="preserve">lender_type = NON_RE_SOCIETY</w:t>
      </w:r>
      <w:r>
        <w:t xml:space="preserve"> </w:t>
      </w:r>
      <w:r>
        <w:t xml:space="preserve">(6.24): they never co-lend with, sell loans to or buy loans from NBFCs (TDCR paras 7, 12(4), 97), never appear in the RE multi-lender offer view, take deposits only from active voting members and are never marketed for deposits on Udofin, and their members see the Registrar or co-operative forum route, never the RBI Ombudsman.</w:t>
      </w:r>
    </w:p>
    <w:bookmarkEnd w:id="79"/>
    <w:bookmarkStart w:id="80" w:name="matrix"/>
    <w:p>
      <w:pPr>
        <w:pStyle w:val="Heading2"/>
      </w:pPr>
      <w:r>
        <w:t xml:space="preserve">7.2 Matrix</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641"/>
        <w:gridCol w:w="1338"/>
        <w:gridCol w:w="997"/>
        <w:gridCol w:w="935"/>
        <w:gridCol w:w="902"/>
        <w:gridCol w:w="997"/>
        <w:gridCol w:w="1443"/>
        <w:gridCol w:w="1388"/>
        <w:gridCol w:w="997"/>
      </w:tblGrid>
      <w:tr>
        <w:trPr>
          <w:tblHeader w:val="true"/>
          <w:tblHeader w:val="true"/>
        </w:trPr>
        <w:tc>
          <w:tcPr>
            <w:tcW w:w="641" w:type="dxa"/>
            <w:shd w:val="clear" w:color="auto" w:fill="1F3A5F"/>
          </w:tcPr>
          <w:p>
            <w:pPr>
              <w:pStyle w:val="Compact"/>
              <w:spacing w:after="40"/>
              <w:jc w:val="left"/>
            </w:pPr>
            <w:r>
              <w:rPr>
                <w:b/>
                <w:color w:val="FFFFFF"/>
                <w:sz w:val="18"/>
              </w:rPr>
              <w:t xml:space="preserve">Product</w:t>
            </w:r>
          </w:p>
        </w:tc>
        <w:tc>
          <w:tcPr>
            <w:tcW w:w="1338" w:type="dxa"/>
            <w:shd w:val="clear" w:color="auto" w:fill="1F3A5F"/>
          </w:tcPr>
          <w:p>
            <w:pPr>
              <w:pStyle w:val="Compact"/>
              <w:spacing w:after="40"/>
              <w:jc w:val="left"/>
            </w:pPr>
            <w:r>
              <w:rPr>
                <w:b/>
                <w:color w:val="FFFFFF"/>
                <w:sz w:val="18"/>
              </w:rPr>
              <w:t xml:space="preserve">Origination (UD → FX)</w:t>
            </w:r>
          </w:p>
        </w:tc>
        <w:tc>
          <w:tcPr>
            <w:tcW w:w="997" w:type="dxa"/>
            <w:shd w:val="clear" w:color="auto" w:fill="1F3A5F"/>
          </w:tcPr>
          <w:p>
            <w:pPr>
              <w:pStyle w:val="Compact"/>
              <w:spacing w:after="40"/>
              <w:jc w:val="left"/>
            </w:pPr>
            <w:r>
              <w:rPr>
                <w:b/>
                <w:color w:val="FFFFFF"/>
                <w:sz w:val="18"/>
              </w:rPr>
              <w:t xml:space="preserve">Decision and documents</w:t>
            </w:r>
          </w:p>
        </w:tc>
        <w:tc>
          <w:tcPr>
            <w:tcW w:w="935" w:type="dxa"/>
            <w:shd w:val="clear" w:color="auto" w:fill="1F3A5F"/>
          </w:tcPr>
          <w:p>
            <w:pPr>
              <w:pStyle w:val="Compact"/>
              <w:spacing w:after="40"/>
              <w:jc w:val="left"/>
            </w:pPr>
            <w:r>
              <w:rPr>
                <w:b/>
                <w:color w:val="FFFFFF"/>
                <w:sz w:val="18"/>
              </w:rPr>
              <w:t xml:space="preserve">Collateral creation</w:t>
            </w:r>
          </w:p>
        </w:tc>
        <w:tc>
          <w:tcPr>
            <w:tcW w:w="902" w:type="dxa"/>
            <w:shd w:val="clear" w:color="auto" w:fill="1F3A5F"/>
          </w:tcPr>
          <w:p>
            <w:pPr>
              <w:pStyle w:val="Compact"/>
              <w:spacing w:after="40"/>
              <w:jc w:val="left"/>
            </w:pPr>
            <w:r>
              <w:rPr>
                <w:b/>
                <w:color w:val="FFFFFF"/>
                <w:sz w:val="18"/>
              </w:rPr>
              <w:t xml:space="preserve">Disbursement</w:t>
            </w:r>
          </w:p>
        </w:tc>
        <w:tc>
          <w:tcPr>
            <w:tcW w:w="997" w:type="dxa"/>
            <w:shd w:val="clear" w:color="auto" w:fill="1F3A5F"/>
          </w:tcPr>
          <w:p>
            <w:pPr>
              <w:pStyle w:val="Compact"/>
              <w:spacing w:after="40"/>
              <w:jc w:val="left"/>
            </w:pPr>
            <w:r>
              <w:rPr>
                <w:b/>
                <w:color w:val="FFFFFF"/>
                <w:sz w:val="18"/>
              </w:rPr>
              <w:t xml:space="preserve">Servicing</w:t>
            </w:r>
          </w:p>
        </w:tc>
        <w:tc>
          <w:tcPr>
            <w:tcW w:w="1443" w:type="dxa"/>
            <w:shd w:val="clear" w:color="auto" w:fill="1F3A5F"/>
          </w:tcPr>
          <w:p>
            <w:pPr>
              <w:pStyle w:val="Compact"/>
              <w:spacing w:after="40"/>
              <w:jc w:val="left"/>
            </w:pPr>
            <w:r>
              <w:rPr>
                <w:b/>
                <w:color w:val="FFFFFF"/>
                <w:sz w:val="18"/>
              </w:rPr>
              <w:t xml:space="preserve">Collections</w:t>
            </w:r>
          </w:p>
        </w:tc>
        <w:tc>
          <w:tcPr>
            <w:tcW w:w="1388" w:type="dxa"/>
            <w:shd w:val="clear" w:color="auto" w:fill="1F3A5F"/>
          </w:tcPr>
          <w:p>
            <w:pPr>
              <w:pStyle w:val="Compact"/>
              <w:spacing w:after="40"/>
              <w:jc w:val="left"/>
            </w:pPr>
            <w:r>
              <w:rPr>
                <w:b/>
                <w:color w:val="FFFFFF"/>
                <w:sz w:val="18"/>
              </w:rPr>
              <w:t xml:space="preserve">Recovery and ADR</w:t>
            </w:r>
          </w:p>
        </w:tc>
        <w:tc>
          <w:tcPr>
            <w:tcW w:w="997" w:type="dxa"/>
            <w:shd w:val="clear" w:color="auto" w:fill="1F3A5F"/>
          </w:tcPr>
          <w:p>
            <w:pPr>
              <w:pStyle w:val="Compact"/>
              <w:spacing w:after="40"/>
              <w:jc w:val="left"/>
            </w:pPr>
            <w:r>
              <w:rPr>
                <w:b/>
                <w:color w:val="FFFFFF"/>
                <w:sz w:val="18"/>
              </w:rPr>
              <w:t xml:space="preserve">Reconciliation</w:t>
            </w:r>
          </w:p>
        </w:tc>
      </w:tr>
      <w:tr>
        <w:tc>
          <w:tcPr>
            <w:tcW w:w="641" w:type="dxa"/>
          </w:tcPr>
          <w:p>
            <w:pPr>
              <w:pStyle w:val="Compact"/>
              <w:spacing w:after="40"/>
              <w:jc w:val="left"/>
            </w:pPr>
            <w:r>
              <w:rPr>
                <w:sz w:val="18"/>
              </w:rPr>
              <w:t xml:space="preserve">Personal, payday</w:t>
            </w:r>
          </w:p>
        </w:tc>
        <w:tc>
          <w:tcPr>
            <w:tcW w:w="1338" w:type="dxa"/>
          </w:tcPr>
          <w:p>
            <w:pPr>
              <w:pStyle w:val="Compact"/>
              <w:spacing w:after="40"/>
              <w:jc w:val="left"/>
            </w:pPr>
            <w:r>
              <w:rPr>
                <w:sz w:val="18"/>
              </w:rPr>
              <w:t xml:space="preserve">AA income ref, CF para 8 data, household (para 51), OTP e-KYC declaration</w:t>
            </w:r>
          </w:p>
        </w:tc>
        <w:tc>
          <w:tcPr>
            <w:tcW w:w="997" w:type="dxa"/>
          </w:tcPr>
          <w:p>
            <w:pPr>
              <w:pStyle w:val="Compact"/>
              <w:spacing w:after="40"/>
              <w:jc w:val="left"/>
            </w:pPr>
            <w:r>
              <w:rPr>
                <w:sz w:val="18"/>
              </w:rPr>
              <w:t xml:space="preserve">KFS validity at least 3 working days, or 1 working day if tenor under 7 days (RBC para 29(2))</w:t>
            </w:r>
          </w:p>
        </w:tc>
        <w:tc>
          <w:tcPr>
            <w:tcW w:w="935" w:type="dxa"/>
          </w:tcPr>
          <w:p>
            <w:pPr>
              <w:pStyle w:val="Compact"/>
              <w:spacing w:after="40"/>
              <w:jc w:val="left"/>
            </w:pPr>
            <w:r>
              <w:rPr>
                <w:sz w:val="18"/>
              </w:rPr>
              <w:t xml:space="preserve">None</w:t>
            </w:r>
          </w:p>
        </w:tc>
        <w:tc>
          <w:tcPr>
            <w:tcW w:w="902" w:type="dxa"/>
          </w:tcPr>
          <w:p>
            <w:pPr>
              <w:pStyle w:val="Compact"/>
              <w:spacing w:after="40"/>
              <w:jc w:val="left"/>
            </w:pPr>
            <w:r>
              <w:rPr>
                <w:sz w:val="18"/>
              </w:rPr>
              <w:t xml:space="preserve">To borrower; cooling-off exit</w:t>
            </w:r>
          </w:p>
        </w:tc>
        <w:tc>
          <w:tcPr>
            <w:tcW w:w="997" w:type="dxa"/>
          </w:tcPr>
          <w:p>
            <w:pPr>
              <w:pStyle w:val="Compact"/>
              <w:spacing w:after="40"/>
              <w:jc w:val="left"/>
            </w:pPr>
            <w:r>
              <w:rPr>
                <w:sz w:val="18"/>
              </w:rPr>
              <w:t xml:space="preserve">Standard</w:t>
            </w:r>
          </w:p>
        </w:tc>
        <w:tc>
          <w:tcPr>
            <w:tcW w:w="1443" w:type="dxa"/>
          </w:tcPr>
          <w:p>
            <w:pPr>
              <w:pStyle w:val="Compact"/>
              <w:spacing w:after="40"/>
              <w:jc w:val="left"/>
            </w:pPr>
            <w:r>
              <w:rPr>
                <w:sz w:val="18"/>
              </w:rPr>
              <w:t xml:space="preserve">If appointed: agent notice, 08:00–19:00 (RBC para 100)</w:t>
            </w:r>
          </w:p>
        </w:tc>
        <w:tc>
          <w:tcPr>
            <w:tcW w:w="1388" w:type="dxa"/>
          </w:tcPr>
          <w:p>
            <w:pPr>
              <w:pStyle w:val="Compact"/>
              <w:spacing w:after="40"/>
              <w:jc w:val="left"/>
            </w:pPr>
            <w:r>
              <w:rPr>
                <w:sz w:val="18"/>
              </w:rPr>
              <w:t xml:space="preserve">LRN; s.25 PSS or s.138; conciliation, Lok Adalat; arbitration only with valid basis (8.2)</w:t>
            </w:r>
          </w:p>
        </w:tc>
        <w:tc>
          <w:tcPr>
            <w:tcW w:w="997" w:type="dxa"/>
          </w:tcPr>
          <w:p>
            <w:pPr>
              <w:pStyle w:val="Compact"/>
              <w:spacing w:after="40"/>
              <w:jc w:val="left"/>
            </w:pPr>
            <w:r>
              <w:rPr>
                <w:sz w:val="18"/>
              </w:rPr>
              <w:t xml:space="preserve">Cooling-off exits; DLG</w:t>
            </w:r>
          </w:p>
        </w:tc>
      </w:tr>
      <w:tr>
        <w:tc>
          <w:tcPr>
            <w:tcW w:w="641" w:type="dxa"/>
          </w:tcPr>
          <w:p>
            <w:pPr>
              <w:pStyle w:val="Compact"/>
              <w:spacing w:after="40"/>
              <w:jc w:val="left"/>
            </w:pPr>
            <w:r>
              <w:rPr>
                <w:sz w:val="18"/>
              </w:rPr>
              <w:t xml:space="preserve">MSME, business</w:t>
            </w:r>
          </w:p>
        </w:tc>
        <w:tc>
          <w:tcPr>
            <w:tcW w:w="1338" w:type="dxa"/>
          </w:tcPr>
          <w:p>
            <w:pPr>
              <w:pStyle w:val="Compact"/>
              <w:spacing w:after="40"/>
              <w:jc w:val="left"/>
            </w:pPr>
            <w:r>
              <w:rPr>
                <w:sz w:val="18"/>
              </w:rPr>
              <w:t xml:space="preserve">GST, AA, Udyam refs; guarantor KYC; CGTMSE flag (blocks DLG, CF para 21(1))</w:t>
            </w:r>
          </w:p>
        </w:tc>
        <w:tc>
          <w:tcPr>
            <w:tcW w:w="997" w:type="dxa"/>
          </w:tcPr>
          <w:p>
            <w:pPr>
              <w:pStyle w:val="Compact"/>
              <w:spacing w:after="40"/>
              <w:jc w:val="left"/>
            </w:pPr>
            <w:r>
              <w:rPr>
                <w:sz w:val="18"/>
              </w:rPr>
              <w:t xml:space="preserve">Covenants</w:t>
            </w:r>
          </w:p>
        </w:tc>
        <w:tc>
          <w:tcPr>
            <w:tcW w:w="935" w:type="dxa"/>
          </w:tcPr>
          <w:p>
            <w:pPr>
              <w:pStyle w:val="Compact"/>
              <w:spacing w:after="40"/>
              <w:jc w:val="left"/>
            </w:pPr>
            <w:r>
              <w:rPr>
                <w:rStyle w:val="VerbatimChar"/>
                <w:sz w:val="18"/>
              </w:rPr>
              <w:t xml:space="preserve">CollateralChargeRegistered</w:t>
            </w:r>
            <w:r>
              <w:rPr>
                <w:sz w:val="18"/>
              </w:rPr>
              <w:t xml:space="preserve"> </w:t>
            </w:r>
            <w:r>
              <w:rPr>
                <w:sz w:val="18"/>
              </w:rPr>
              <w:t xml:space="preserve">(CERSAI, CGTMSE)</w:t>
            </w:r>
          </w:p>
        </w:tc>
        <w:tc>
          <w:tcPr>
            <w:tcW w:w="902" w:type="dxa"/>
          </w:tcPr>
          <w:p>
            <w:pPr>
              <w:pStyle w:val="Compact"/>
              <w:spacing w:after="40"/>
              <w:jc w:val="left"/>
            </w:pPr>
            <w:r>
              <w:rPr>
                <w:sz w:val="18"/>
              </w:rPr>
              <w:t xml:space="preserve">Borrower or supplier</w:t>
            </w:r>
          </w:p>
        </w:tc>
        <w:tc>
          <w:tcPr>
            <w:tcW w:w="997" w:type="dxa"/>
          </w:tcPr>
          <w:p>
            <w:pPr>
              <w:pStyle w:val="Compact"/>
              <w:spacing w:after="40"/>
              <w:jc w:val="left"/>
            </w:pPr>
            <w:r>
              <w:rPr>
                <w:sz w:val="18"/>
              </w:rPr>
              <w:t xml:space="preserve">Covenants in FX</w:t>
            </w:r>
          </w:p>
        </w:tc>
        <w:tc>
          <w:tcPr>
            <w:tcW w:w="1443" w:type="dxa"/>
          </w:tcPr>
          <w:p>
            <w:pPr>
              <w:pStyle w:val="Compact"/>
              <w:spacing w:after="40"/>
              <w:jc w:val="left"/>
            </w:pPr>
            <w:r>
              <w:rPr>
                <w:sz w:val="18"/>
              </w:rPr>
              <w:t xml:space="preserve">Standard</w:t>
            </w:r>
          </w:p>
        </w:tc>
        <w:tc>
          <w:tcPr>
            <w:tcW w:w="1388" w:type="dxa"/>
          </w:tcPr>
          <w:p>
            <w:pPr>
              <w:pStyle w:val="Compact"/>
              <w:spacing w:after="40"/>
              <w:jc w:val="left"/>
            </w:pPr>
            <w:r>
              <w:rPr>
                <w:sz w:val="18"/>
              </w:rPr>
              <w:t xml:space="preserve">SARFAESI if eligible; suit after s.12A mediation (≥ ₹3 lakh); IBC s.7 (≥ ₹1 crore), PG s.95; CGTMSE claim as</w:t>
            </w:r>
            <w:r>
              <w:rPr>
                <w:sz w:val="18"/>
              </w:rPr>
              <w:t xml:space="preserve"> </w:t>
            </w:r>
            <w:r>
              <w:rPr>
                <w:rStyle w:val="VerbatimChar"/>
                <w:sz w:val="18"/>
              </w:rPr>
              <w:t xml:space="preserve">CollateralInvoked</w:t>
            </w:r>
          </w:p>
        </w:tc>
        <w:tc>
          <w:tcPr>
            <w:tcW w:w="997" w:type="dxa"/>
          </w:tcPr>
          <w:p>
            <w:pPr>
              <w:pStyle w:val="Compact"/>
              <w:spacing w:after="40"/>
              <w:jc w:val="left"/>
            </w:pPr>
            <w:r>
              <w:rPr>
                <w:sz w:val="18"/>
              </w:rPr>
              <w:t xml:space="preserve">CGTMSE fees and claims</w:t>
            </w:r>
          </w:p>
        </w:tc>
      </w:tr>
      <w:tr>
        <w:tc>
          <w:tcPr>
            <w:tcW w:w="641" w:type="dxa"/>
          </w:tcPr>
          <w:p>
            <w:pPr>
              <w:pStyle w:val="Compact"/>
              <w:spacing w:after="40"/>
              <w:jc w:val="left"/>
            </w:pPr>
            <w:r>
              <w:rPr>
                <w:sz w:val="18"/>
              </w:rPr>
              <w:t xml:space="preserve">LAP</w:t>
            </w:r>
          </w:p>
        </w:tc>
        <w:tc>
          <w:tcPr>
            <w:tcW w:w="1338" w:type="dxa"/>
          </w:tcPr>
          <w:p>
            <w:pPr>
              <w:pStyle w:val="Compact"/>
              <w:spacing w:after="40"/>
              <w:jc w:val="left"/>
            </w:pPr>
            <w:r>
              <w:rPr>
                <w:sz w:val="18"/>
              </w:rPr>
              <w:t xml:space="preserve">Property refs</w:t>
            </w:r>
          </w:p>
        </w:tc>
        <w:tc>
          <w:tcPr>
            <w:tcW w:w="997" w:type="dxa"/>
          </w:tcPr>
          <w:p>
            <w:pPr>
              <w:pStyle w:val="Compact"/>
              <w:spacing w:after="40"/>
              <w:jc w:val="left"/>
            </w:pPr>
            <w:r>
              <w:rPr>
                <w:sz w:val="18"/>
              </w:rPr>
              <w:t xml:space="preserve">Legal, technical, valuation via</w:t>
            </w:r>
            <w:r>
              <w:rPr>
                <w:sz w:val="18"/>
              </w:rPr>
              <w:t xml:space="preserve"> </w:t>
            </w:r>
            <w:r>
              <w:rPr>
                <w:rStyle w:val="VerbatimChar"/>
                <w:sz w:val="18"/>
              </w:rPr>
              <w:t xml:space="preserve">VerificationRequested</w:t>
            </w:r>
            <w:r>
              <w:rPr>
                <w:sz w:val="18"/>
              </w:rPr>
              <w:t xml:space="preserve">; physical mortgage</w:t>
            </w:r>
          </w:p>
        </w:tc>
        <w:tc>
          <w:tcPr>
            <w:tcW w:w="935" w:type="dxa"/>
          </w:tcPr>
          <w:p>
            <w:pPr>
              <w:pStyle w:val="Compact"/>
              <w:spacing w:after="40"/>
              <w:jc w:val="left"/>
            </w:pPr>
            <w:r>
              <w:rPr>
                <w:sz w:val="18"/>
              </w:rPr>
              <w:t xml:space="preserve">Mortgage, CERSAI</w:t>
            </w:r>
          </w:p>
        </w:tc>
        <w:tc>
          <w:tcPr>
            <w:tcW w:w="902" w:type="dxa"/>
          </w:tcPr>
          <w:p>
            <w:pPr>
              <w:pStyle w:val="Compact"/>
              <w:spacing w:after="40"/>
              <w:jc w:val="left"/>
            </w:pPr>
            <w:r>
              <w:rPr>
                <w:sz w:val="18"/>
              </w:rPr>
              <w:t xml:space="preserve">Borrower or prior lender</w:t>
            </w:r>
          </w:p>
        </w:tc>
        <w:tc>
          <w:tcPr>
            <w:tcW w:w="997" w:type="dxa"/>
          </w:tcPr>
          <w:p>
            <w:pPr>
              <w:pStyle w:val="Compact"/>
              <w:spacing w:after="40"/>
              <w:jc w:val="left"/>
            </w:pPr>
            <w:r>
              <w:rPr>
                <w:sz w:val="18"/>
              </w:rPr>
              <w:t xml:space="preserve">Standard</w:t>
            </w:r>
          </w:p>
        </w:tc>
        <w:tc>
          <w:tcPr>
            <w:tcW w:w="1443" w:type="dxa"/>
          </w:tcPr>
          <w:p>
            <w:pPr>
              <w:pStyle w:val="Compact"/>
              <w:spacing w:after="40"/>
              <w:jc w:val="left"/>
            </w:pPr>
            <w:r>
              <w:rPr>
                <w:sz w:val="18"/>
              </w:rPr>
              <w:t xml:space="preserve">Standard</w:t>
            </w:r>
          </w:p>
        </w:tc>
        <w:tc>
          <w:tcPr>
            <w:tcW w:w="1388" w:type="dxa"/>
          </w:tcPr>
          <w:p>
            <w:pPr>
              <w:pStyle w:val="Compact"/>
              <w:spacing w:after="40"/>
              <w:jc w:val="left"/>
            </w:pPr>
            <w:r>
              <w:rPr>
                <w:sz w:val="18"/>
              </w:rPr>
              <w:t xml:space="preserve">SARFAESI for notified NBFCs, CERSAI-registered (s.26D); auction events; arbitration for money claims only (</w:t>
            </w:r>
            <w:r>
              <w:rPr>
                <w:iCs/>
                <w:i/>
                <w:sz w:val="18"/>
              </w:rPr>
              <w:t xml:space="preserve">Booz Allen</w:t>
            </w:r>
            <w:r>
              <w:rPr>
                <w:sz w:val="18"/>
              </w:rPr>
              <w:t xml:space="preserve">)</w:t>
            </w:r>
          </w:p>
        </w:tc>
        <w:tc>
          <w:tcPr>
            <w:tcW w:w="997" w:type="dxa"/>
          </w:tcPr>
          <w:p>
            <w:pPr>
              <w:pStyle w:val="Compact"/>
              <w:spacing w:after="40"/>
              <w:jc w:val="left"/>
            </w:pPr>
            <w:r>
              <w:rPr>
                <w:sz w:val="18"/>
              </w:rPr>
              <w:t xml:space="preserve">CERSAI vs register; release ≤ 30 days (RBC para 35)</w:t>
            </w:r>
          </w:p>
        </w:tc>
      </w:tr>
      <w:tr>
        <w:tc>
          <w:tcPr>
            <w:tcW w:w="641" w:type="dxa"/>
          </w:tcPr>
          <w:p>
            <w:pPr>
              <w:pStyle w:val="Compact"/>
              <w:spacing w:after="40"/>
              <w:jc w:val="left"/>
            </w:pPr>
            <w:r>
              <w:rPr>
                <w:sz w:val="18"/>
              </w:rPr>
              <w:t xml:space="preserve">Home</w:t>
            </w:r>
          </w:p>
        </w:tc>
        <w:tc>
          <w:tcPr>
            <w:tcW w:w="1338" w:type="dxa"/>
          </w:tcPr>
          <w:p>
            <w:pPr>
              <w:pStyle w:val="Compact"/>
              <w:spacing w:after="40"/>
              <w:jc w:val="left"/>
            </w:pPr>
            <w:r>
              <w:rPr>
                <w:sz w:val="18"/>
              </w:rPr>
              <w:t xml:space="preserve">Stage documents; builder or seller as beneficiary</w:t>
            </w:r>
          </w:p>
        </w:tc>
        <w:tc>
          <w:tcPr>
            <w:tcW w:w="997" w:type="dxa"/>
          </w:tcPr>
          <w:p>
            <w:pPr>
              <w:pStyle w:val="Compact"/>
              <w:spacing w:after="40"/>
              <w:jc w:val="left"/>
            </w:pPr>
            <w:r>
              <w:rPr>
                <w:sz w:val="18"/>
              </w:rPr>
              <w:t xml:space="preserve">As LAP; housing tests (CF para 4(1)(xiv))</w:t>
            </w:r>
          </w:p>
        </w:tc>
        <w:tc>
          <w:tcPr>
            <w:tcW w:w="935" w:type="dxa"/>
          </w:tcPr>
          <w:p>
            <w:pPr>
              <w:pStyle w:val="Compact"/>
              <w:spacing w:after="40"/>
              <w:jc w:val="left"/>
            </w:pPr>
            <w:r>
              <w:rPr>
                <w:sz w:val="18"/>
              </w:rPr>
              <w:t xml:space="preserve">Mortgage, CERSAI</w:t>
            </w:r>
          </w:p>
        </w:tc>
        <w:tc>
          <w:tcPr>
            <w:tcW w:w="902" w:type="dxa"/>
          </w:tcPr>
          <w:p>
            <w:pPr>
              <w:pStyle w:val="Compact"/>
              <w:spacing w:after="40"/>
              <w:jc w:val="left"/>
            </w:pPr>
            <w:r>
              <w:rPr>
                <w:sz w:val="18"/>
              </w:rPr>
              <w:t xml:space="preserve">TRANCHE vs stage</w:t>
            </w:r>
          </w:p>
        </w:tc>
        <w:tc>
          <w:tcPr>
            <w:tcW w:w="997" w:type="dxa"/>
          </w:tcPr>
          <w:p>
            <w:pPr>
              <w:pStyle w:val="Compact"/>
              <w:spacing w:after="40"/>
              <w:jc w:val="left"/>
            </w:pPr>
            <w:r>
              <w:rPr>
                <w:sz w:val="18"/>
              </w:rPr>
              <w:t xml:space="preserve">Interest certificates</w:t>
            </w:r>
          </w:p>
        </w:tc>
        <w:tc>
          <w:tcPr>
            <w:tcW w:w="1443" w:type="dxa"/>
          </w:tcPr>
          <w:p>
            <w:pPr>
              <w:pStyle w:val="Compact"/>
              <w:spacing w:after="40"/>
              <w:jc w:val="left"/>
            </w:pPr>
            <w:r>
              <w:rPr>
                <w:sz w:val="18"/>
              </w:rPr>
              <w:t xml:space="preserve">Standard</w:t>
            </w:r>
          </w:p>
        </w:tc>
        <w:tc>
          <w:tcPr>
            <w:tcW w:w="1388" w:type="dxa"/>
          </w:tcPr>
          <w:p>
            <w:pPr>
              <w:pStyle w:val="Compact"/>
              <w:spacing w:after="40"/>
              <w:jc w:val="left"/>
            </w:pPr>
            <w:r>
              <w:rPr>
                <w:sz w:val="18"/>
              </w:rPr>
              <w:t xml:space="preserve">As LAP; HFCs registered under NHB Act s.29A are notified FIs under SARFAESI s.2(1)(m)(iv) (notification of 17 June 2021) without the NBFC ₹20 lakh floor (</w:t>
            </w:r>
            <w:r>
              <w:rPr>
                <w:iCs/>
                <w:i/>
                <w:sz w:val="18"/>
              </w:rPr>
              <w:t xml:space="preserve">Virendra Rathore v Tehsildar</w:t>
            </w:r>
            <w:r>
              <w:rPr>
                <w:sz w:val="18"/>
              </w:rPr>
              <w:t xml:space="preserve">, MP HC, 22 May 2024) [VERIFY: S.O. number]</w:t>
            </w:r>
          </w:p>
        </w:tc>
        <w:tc>
          <w:tcPr>
            <w:tcW w:w="997" w:type="dxa"/>
          </w:tcPr>
          <w:p>
            <w:pPr>
              <w:pStyle w:val="Compact"/>
              <w:spacing w:after="40"/>
              <w:jc w:val="left"/>
            </w:pPr>
            <w:r>
              <w:rPr>
                <w:sz w:val="18"/>
              </w:rPr>
              <w:t xml:space="preserve">Tranches vs stage</w:t>
            </w:r>
          </w:p>
        </w:tc>
      </w:tr>
      <w:tr>
        <w:tc>
          <w:tcPr>
            <w:tcW w:w="641" w:type="dxa"/>
          </w:tcPr>
          <w:p>
            <w:pPr>
              <w:pStyle w:val="Compact"/>
              <w:spacing w:after="40"/>
              <w:jc w:val="left"/>
            </w:pPr>
            <w:r>
              <w:rPr>
                <w:sz w:val="18"/>
              </w:rPr>
              <w:t xml:space="preserve">Vehicle</w:t>
            </w:r>
          </w:p>
        </w:tc>
        <w:tc>
          <w:tcPr>
            <w:tcW w:w="1338" w:type="dxa"/>
          </w:tcPr>
          <w:p>
            <w:pPr>
              <w:pStyle w:val="Compact"/>
              <w:spacing w:after="40"/>
              <w:jc w:val="left"/>
            </w:pPr>
            <w:r>
              <w:rPr>
                <w:sz w:val="18"/>
              </w:rPr>
              <w:t xml:space="preserve">Dealer invoice, Vahan refs</w:t>
            </w:r>
          </w:p>
        </w:tc>
        <w:tc>
          <w:tcPr>
            <w:tcW w:w="997" w:type="dxa"/>
          </w:tcPr>
          <w:p>
            <w:pPr>
              <w:pStyle w:val="Compact"/>
              <w:spacing w:after="40"/>
              <w:jc w:val="left"/>
            </w:pPr>
            <w:r>
              <w:rPr>
                <w:sz w:val="18"/>
              </w:rPr>
              <w:t xml:space="preserve">Standard</w:t>
            </w:r>
          </w:p>
        </w:tc>
        <w:tc>
          <w:tcPr>
            <w:tcW w:w="935" w:type="dxa"/>
          </w:tcPr>
          <w:p>
            <w:pPr>
              <w:pStyle w:val="Compact"/>
              <w:spacing w:after="40"/>
              <w:jc w:val="left"/>
            </w:pPr>
            <w:r>
              <w:rPr>
                <w:rStyle w:val="VerbatimChar"/>
                <w:sz w:val="18"/>
              </w:rPr>
              <w:t xml:space="preserve">CollateralChargeRegistered</w:t>
            </w:r>
            <w:r>
              <w:rPr>
                <w:sz w:val="18"/>
              </w:rPr>
              <w:t xml:space="preserve"> </w:t>
            </w:r>
            <w:r>
              <w:rPr>
                <w:sz w:val="18"/>
              </w:rPr>
              <w:t xml:space="preserve">(VAHAN)</w:t>
            </w:r>
          </w:p>
        </w:tc>
        <w:tc>
          <w:tcPr>
            <w:tcW w:w="902" w:type="dxa"/>
          </w:tcPr>
          <w:p>
            <w:pPr>
              <w:pStyle w:val="Compact"/>
              <w:spacing w:after="40"/>
              <w:jc w:val="left"/>
            </w:pPr>
            <w:r>
              <w:rPr>
                <w:sz w:val="18"/>
              </w:rPr>
              <w:t xml:space="preserve">Dealer</w:t>
            </w:r>
          </w:p>
        </w:tc>
        <w:tc>
          <w:tcPr>
            <w:tcW w:w="997" w:type="dxa"/>
          </w:tcPr>
          <w:p>
            <w:pPr>
              <w:pStyle w:val="Compact"/>
              <w:spacing w:after="40"/>
              <w:jc w:val="left"/>
            </w:pPr>
            <w:r>
              <w:rPr>
                <w:sz w:val="18"/>
              </w:rPr>
              <w:t xml:space="preserve">Insurance reminders</w:t>
            </w:r>
          </w:p>
        </w:tc>
        <w:tc>
          <w:tcPr>
            <w:tcW w:w="1443" w:type="dxa"/>
          </w:tcPr>
          <w:p>
            <w:pPr>
              <w:pStyle w:val="Compact"/>
              <w:spacing w:after="40"/>
              <w:jc w:val="left"/>
            </w:pPr>
            <w:r>
              <w:rPr>
                <w:sz w:val="18"/>
              </w:rPr>
              <w:t xml:space="preserve">Standard</w:t>
            </w:r>
          </w:p>
        </w:tc>
        <w:tc>
          <w:tcPr>
            <w:tcW w:w="1388" w:type="dxa"/>
          </w:tcPr>
          <w:p>
            <w:pPr>
              <w:pStyle w:val="Compact"/>
              <w:spacing w:after="40"/>
              <w:jc w:val="left"/>
            </w:pPr>
            <w:r>
              <w:rPr>
                <w:sz w:val="18"/>
              </w:rPr>
              <w:t xml:space="preserve">Repossession only after notice period with signed possession memo (RBC para 26;</w:t>
            </w:r>
            <w:r>
              <w:rPr>
                <w:sz w:val="18"/>
              </w:rPr>
              <w:t xml:space="preserve"> </w:t>
            </w:r>
            <w:r>
              <w:rPr>
                <w:iCs/>
                <w:i/>
                <w:sz w:val="18"/>
              </w:rPr>
              <w:t xml:space="preserve">Hari Dutta Sharma v State of UP</w:t>
            </w:r>
            <w:r>
              <w:rPr>
                <w:sz w:val="18"/>
              </w:rPr>
              <w:t xml:space="preserve">, SC, 16 Sep 2026); Form 36 (MV Act s.51(5)); auction</w:t>
            </w:r>
          </w:p>
        </w:tc>
        <w:tc>
          <w:tcPr>
            <w:tcW w:w="997" w:type="dxa"/>
          </w:tcPr>
          <w:p>
            <w:pPr>
              <w:pStyle w:val="Compact"/>
              <w:spacing w:after="40"/>
              <w:jc w:val="left"/>
            </w:pPr>
            <w:r>
              <w:rPr>
                <w:sz w:val="18"/>
              </w:rPr>
              <w:t xml:space="preserve">Vahan NOC on closure</w:t>
            </w:r>
          </w:p>
        </w:tc>
      </w:tr>
      <w:tr>
        <w:tc>
          <w:tcPr>
            <w:tcW w:w="641" w:type="dxa"/>
          </w:tcPr>
          <w:p>
            <w:pPr>
              <w:pStyle w:val="Compact"/>
              <w:spacing w:after="40"/>
              <w:jc w:val="left"/>
            </w:pPr>
            <w:r>
              <w:rPr>
                <w:sz w:val="18"/>
              </w:rPr>
              <w:t xml:space="preserve">Gold</w:t>
            </w:r>
          </w:p>
        </w:tc>
        <w:tc>
          <w:tcPr>
            <w:tcW w:w="1338" w:type="dxa"/>
          </w:tcPr>
          <w:p>
            <w:pPr>
              <w:pStyle w:val="Compact"/>
              <w:spacing w:after="40"/>
              <w:jc w:val="left"/>
            </w:pPr>
            <w:r>
              <w:rPr>
                <w:sz w:val="18"/>
              </w:rPr>
              <w:t xml:space="preserve">Leads and branch-appointment scheduling only (gold handled and stored only in RE branches by RE staff: RBC paras 53–54)</w:t>
            </w:r>
          </w:p>
        </w:tc>
        <w:tc>
          <w:tcPr>
            <w:tcW w:w="997" w:type="dxa"/>
          </w:tcPr>
          <w:p>
            <w:pPr>
              <w:pStyle w:val="Compact"/>
              <w:spacing w:after="40"/>
              <w:jc w:val="left"/>
            </w:pPr>
            <w:r>
              <w:rPr>
                <w:sz w:val="18"/>
              </w:rPr>
              <w:t xml:space="preserve">Branch assay</w:t>
            </w:r>
          </w:p>
        </w:tc>
        <w:tc>
          <w:tcPr>
            <w:tcW w:w="935" w:type="dxa"/>
          </w:tcPr>
          <w:p>
            <w:pPr>
              <w:pStyle w:val="Compact"/>
              <w:spacing w:after="40"/>
              <w:jc w:val="left"/>
            </w:pPr>
            <w:r>
              <w:rPr>
                <w:rStyle w:val="VerbatimChar"/>
                <w:sz w:val="18"/>
              </w:rPr>
              <w:t xml:space="preserve">CollateralValuationUpdated</w:t>
            </w:r>
            <w:r>
              <w:rPr>
                <w:sz w:val="18"/>
              </w:rPr>
              <w:t xml:space="preserve"> </w:t>
            </w:r>
            <w:r>
              <w:rPr>
                <w:sz w:val="18"/>
              </w:rPr>
              <w:t xml:space="preserve">(ASSAY),</w:t>
            </w:r>
            <w:r>
              <w:rPr>
                <w:sz w:val="18"/>
              </w:rPr>
              <w:t xml:space="preserve"> </w:t>
            </w:r>
            <w:r>
              <w:rPr>
                <w:rStyle w:val="VerbatimChar"/>
                <w:sz w:val="18"/>
              </w:rPr>
              <w:t xml:space="preserve">CollateralPledgeCreated</w:t>
            </w:r>
          </w:p>
        </w:tc>
        <w:tc>
          <w:tcPr>
            <w:tcW w:w="902" w:type="dxa"/>
          </w:tcPr>
          <w:p>
            <w:pPr>
              <w:pStyle w:val="Compact"/>
              <w:spacing w:after="40"/>
              <w:jc w:val="left"/>
            </w:pPr>
            <w:r>
              <w:rPr>
                <w:sz w:val="18"/>
              </w:rPr>
              <w:t xml:space="preserve">Borrower</w:t>
            </w:r>
          </w:p>
        </w:tc>
        <w:tc>
          <w:tcPr>
            <w:tcW w:w="997" w:type="dxa"/>
          </w:tcPr>
          <w:p>
            <w:pPr>
              <w:pStyle w:val="Compact"/>
              <w:spacing w:after="40"/>
              <w:jc w:val="left"/>
            </w:pPr>
            <w:r>
              <w:rPr>
                <w:sz w:val="18"/>
              </w:rPr>
              <w:t xml:space="preserve">Daily LTV (CF paras 43–44)</w:t>
            </w:r>
          </w:p>
        </w:tc>
        <w:tc>
          <w:tcPr>
            <w:tcW w:w="1443" w:type="dxa"/>
          </w:tcPr>
          <w:p>
            <w:pPr>
              <w:pStyle w:val="Compact"/>
              <w:spacing w:after="40"/>
              <w:jc w:val="left"/>
            </w:pPr>
            <w:r>
              <w:rPr>
                <w:sz w:val="18"/>
              </w:rPr>
              <w:t xml:space="preserve">Standard</w:t>
            </w:r>
          </w:p>
        </w:tc>
        <w:tc>
          <w:tcPr>
            <w:tcW w:w="1388" w:type="dxa"/>
          </w:tcPr>
          <w:p>
            <w:pPr>
              <w:pStyle w:val="Compact"/>
              <w:spacing w:after="40"/>
              <w:jc w:val="left"/>
            </w:pPr>
            <w:r>
              <w:rPr>
                <w:sz w:val="18"/>
              </w:rPr>
              <w:t xml:space="preserve">Notice; reserve ≥ 90% (85% after two failures); first auction physical in district; no lender bids (RBC paras 60–66); surplus ≤ 7 working days</w:t>
            </w:r>
          </w:p>
        </w:tc>
        <w:tc>
          <w:tcPr>
            <w:tcW w:w="997" w:type="dxa"/>
          </w:tcPr>
          <w:p>
            <w:pPr>
              <w:pStyle w:val="Compact"/>
              <w:spacing w:after="40"/>
              <w:jc w:val="left"/>
            </w:pPr>
            <w:r>
              <w:rPr>
                <w:sz w:val="18"/>
              </w:rPr>
              <w:t xml:space="preserve">Vault vs pledge book; release ≤ 7 working days, ₹5,000/day after (RBC paras 58, 69)</w:t>
            </w:r>
          </w:p>
        </w:tc>
      </w:tr>
      <w:tr>
        <w:tc>
          <w:tcPr>
            <w:tcW w:w="641" w:type="dxa"/>
          </w:tcPr>
          <w:p>
            <w:pPr>
              <w:pStyle w:val="Compact"/>
              <w:spacing w:after="40"/>
              <w:jc w:val="left"/>
            </w:pPr>
            <w:r>
              <w:rPr>
                <w:sz w:val="18"/>
              </w:rPr>
              <w:t xml:space="preserve">LAS, LAMF</w:t>
            </w:r>
          </w:p>
        </w:tc>
        <w:tc>
          <w:tcPr>
            <w:tcW w:w="1338" w:type="dxa"/>
          </w:tcPr>
          <w:p>
            <w:pPr>
              <w:pStyle w:val="Compact"/>
              <w:spacing w:after="40"/>
              <w:jc w:val="left"/>
            </w:pPr>
            <w:r>
              <w:rPr>
                <w:rStyle w:val="VerbatimChar"/>
                <w:sz w:val="18"/>
              </w:rPr>
              <w:t xml:space="preserve">CollateralHoldingsShared</w:t>
            </w:r>
            <w:r>
              <w:rPr>
                <w:sz w:val="18"/>
              </w:rPr>
              <w:t xml:space="preserve">, OTP evidence</w:t>
            </w:r>
          </w:p>
        </w:tc>
        <w:tc>
          <w:tcPr>
            <w:tcW w:w="997" w:type="dxa"/>
          </w:tcPr>
          <w:p>
            <w:pPr>
              <w:pStyle w:val="Compact"/>
              <w:spacing w:after="40"/>
              <w:jc w:val="left"/>
            </w:pPr>
            <w:r>
              <w:rPr>
                <w:sz w:val="18"/>
              </w:rPr>
              <w:t xml:space="preserve">DP and haircuts from FX</w:t>
            </w:r>
          </w:p>
        </w:tc>
        <w:tc>
          <w:tcPr>
            <w:tcW w:w="935" w:type="dxa"/>
          </w:tcPr>
          <w:p>
            <w:pPr>
              <w:pStyle w:val="Compact"/>
              <w:spacing w:after="40"/>
              <w:jc w:val="left"/>
            </w:pPr>
            <w:r>
              <w:rPr>
                <w:sz w:val="18"/>
              </w:rPr>
              <w:t xml:space="preserve">Pledge requested → created (gate)</w:t>
            </w:r>
          </w:p>
        </w:tc>
        <w:tc>
          <w:tcPr>
            <w:tcW w:w="902" w:type="dxa"/>
          </w:tcPr>
          <w:p>
            <w:pPr>
              <w:pStyle w:val="Compact"/>
              <w:spacing w:after="40"/>
              <w:jc w:val="left"/>
            </w:pPr>
            <w:r>
              <w:rPr>
                <w:sz w:val="18"/>
              </w:rPr>
              <w:t xml:space="preserve">INITIAL, then DRAWDOWN</w:t>
            </w:r>
          </w:p>
        </w:tc>
        <w:tc>
          <w:tcPr>
            <w:tcW w:w="997" w:type="dxa"/>
          </w:tcPr>
          <w:p>
            <w:pPr>
              <w:pStyle w:val="Compact"/>
              <w:spacing w:after="40"/>
              <w:jc w:val="left"/>
            </w:pPr>
            <w:r>
              <w:rPr>
                <w:sz w:val="18"/>
              </w:rPr>
              <w:t xml:space="preserve">Daily valuation; margin calls</w:t>
            </w:r>
          </w:p>
        </w:tc>
        <w:tc>
          <w:tcPr>
            <w:tcW w:w="1443" w:type="dxa"/>
          </w:tcPr>
          <w:p>
            <w:pPr>
              <w:pStyle w:val="Compact"/>
              <w:spacing w:after="40"/>
              <w:jc w:val="left"/>
            </w:pPr>
            <w:r>
              <w:rPr>
                <w:sz w:val="18"/>
              </w:rPr>
              <w:t xml:space="preserve">Standard</w:t>
            </w:r>
          </w:p>
        </w:tc>
        <w:tc>
          <w:tcPr>
            <w:tcW w:w="1388" w:type="dxa"/>
          </w:tcPr>
          <w:p>
            <w:pPr>
              <w:pStyle w:val="Compact"/>
              <w:spacing w:after="40"/>
              <w:jc w:val="left"/>
            </w:pPr>
            <w:r>
              <w:rPr>
                <w:rStyle w:val="VerbatimChar"/>
                <w:sz w:val="18"/>
              </w:rPr>
              <w:t xml:space="preserve">CollateralInvoked</w:t>
            </w:r>
            <w:r>
              <w:rPr>
                <w:sz w:val="18"/>
              </w:rPr>
              <w:t xml:space="preserve"> </w:t>
            </w:r>
            <w:r>
              <w:rPr>
                <w:sz w:val="18"/>
              </w:rPr>
              <w:t xml:space="preserve">by RE only</w:t>
            </w:r>
          </w:p>
        </w:tc>
        <w:tc>
          <w:tcPr>
            <w:tcW w:w="997" w:type="dxa"/>
          </w:tcPr>
          <w:p>
            <w:pPr>
              <w:pStyle w:val="Compact"/>
              <w:spacing w:after="40"/>
              <w:jc w:val="left"/>
            </w:pPr>
            <w:r>
              <w:rPr>
                <w:sz w:val="18"/>
              </w:rPr>
              <w:t xml:space="preserve">Pledge book vs depository or RTA (7.3)</w:t>
            </w:r>
          </w:p>
        </w:tc>
      </w:tr>
      <w:tr>
        <w:tc>
          <w:tcPr>
            <w:tcW w:w="641" w:type="dxa"/>
          </w:tcPr>
          <w:p>
            <w:pPr>
              <w:pStyle w:val="Compact"/>
              <w:spacing w:after="40"/>
              <w:jc w:val="left"/>
            </w:pPr>
            <w:r>
              <w:rPr>
                <w:sz w:val="18"/>
              </w:rPr>
              <w:t xml:space="preserve">Microfinance</w:t>
            </w:r>
          </w:p>
        </w:tc>
        <w:tc>
          <w:tcPr>
            <w:tcW w:w="1338" w:type="dxa"/>
          </w:tcPr>
          <w:p>
            <w:pPr>
              <w:pStyle w:val="Compact"/>
              <w:spacing w:after="40"/>
              <w:jc w:val="left"/>
            </w:pPr>
            <w:r>
              <w:rPr>
                <w:sz w:val="18"/>
              </w:rPr>
              <w:t xml:space="preserve">Household, income, obligations (CF paras 51–57)</w:t>
            </w:r>
          </w:p>
        </w:tc>
        <w:tc>
          <w:tcPr>
            <w:tcW w:w="997" w:type="dxa"/>
          </w:tcPr>
          <w:p>
            <w:pPr>
              <w:pStyle w:val="Compact"/>
              <w:spacing w:after="40"/>
              <w:jc w:val="left"/>
            </w:pPr>
            <w:r>
              <w:rPr>
                <w:sz w:val="18"/>
              </w:rPr>
              <w:t xml:space="preserve">50% household cap; loan card (RBC paras 78–80)</w:t>
            </w:r>
          </w:p>
        </w:tc>
        <w:tc>
          <w:tcPr>
            <w:tcW w:w="935" w:type="dxa"/>
          </w:tcPr>
          <w:p>
            <w:pPr>
              <w:pStyle w:val="Compact"/>
              <w:spacing w:after="40"/>
              <w:jc w:val="left"/>
            </w:pPr>
            <w:r>
              <w:rPr>
                <w:sz w:val="18"/>
              </w:rPr>
              <w:t xml:space="preserve">None</w:t>
            </w:r>
          </w:p>
        </w:tc>
        <w:tc>
          <w:tcPr>
            <w:tcW w:w="902" w:type="dxa"/>
          </w:tcPr>
          <w:p>
            <w:pPr>
              <w:pStyle w:val="Compact"/>
              <w:spacing w:after="40"/>
              <w:jc w:val="left"/>
            </w:pPr>
            <w:r>
              <w:rPr>
                <w:sz w:val="18"/>
              </w:rPr>
              <w:t xml:space="preserve">Borrower</w:t>
            </w:r>
          </w:p>
        </w:tc>
        <w:tc>
          <w:tcPr>
            <w:tcW w:w="997" w:type="dxa"/>
          </w:tcPr>
          <w:p>
            <w:pPr>
              <w:pStyle w:val="Compact"/>
              <w:spacing w:after="40"/>
              <w:jc w:val="left"/>
            </w:pPr>
            <w:r>
              <w:rPr>
                <w:sz w:val="18"/>
              </w:rPr>
              <w:t xml:space="preserve">Meeting schedule</w:t>
            </w:r>
          </w:p>
        </w:tc>
        <w:tc>
          <w:tcPr>
            <w:tcW w:w="1443" w:type="dxa"/>
          </w:tcPr>
          <w:p>
            <w:pPr>
              <w:pStyle w:val="Compact"/>
              <w:spacing w:after="40"/>
              <w:jc w:val="left"/>
            </w:pPr>
            <w:r>
              <w:rPr>
                <w:sz w:val="18"/>
              </w:rPr>
              <w:t xml:space="preserve">09:00–18:00 until 31 Dec 2026 (RBC para 91(2)); visits after two missed appointments (para 90); then per RBC Third Amendment [VERIFY: MFI window]</w:t>
            </w:r>
          </w:p>
        </w:tc>
        <w:tc>
          <w:tcPr>
            <w:tcW w:w="1388" w:type="dxa"/>
          </w:tcPr>
          <w:p>
            <w:pPr>
              <w:pStyle w:val="Compact"/>
              <w:spacing w:after="40"/>
              <w:jc w:val="left"/>
            </w:pPr>
            <w:r>
              <w:rPr>
                <w:sz w:val="18"/>
              </w:rPr>
              <w:t xml:space="preserve">Conciliation, Lok Adalat</w:t>
            </w:r>
          </w:p>
        </w:tc>
        <w:tc>
          <w:tcPr>
            <w:tcW w:w="997" w:type="dxa"/>
          </w:tcPr>
          <w:p>
            <w:pPr>
              <w:pStyle w:val="Compact"/>
              <w:spacing w:after="40"/>
              <w:jc w:val="left"/>
            </w:pPr>
            <w:r>
              <w:rPr>
                <w:sz w:val="18"/>
              </w:rPr>
              <w:t xml:space="preserve">Household-cap breaches; income to CICs (CF para 54)</w:t>
            </w:r>
          </w:p>
        </w:tc>
      </w:tr>
      <w:tr>
        <w:tc>
          <w:tcPr>
            <w:tcW w:w="641" w:type="dxa"/>
          </w:tcPr>
          <w:p>
            <w:pPr>
              <w:pStyle w:val="Compact"/>
              <w:spacing w:after="40"/>
              <w:jc w:val="left"/>
            </w:pPr>
            <w:r>
              <w:rPr>
                <w:sz w:val="18"/>
              </w:rPr>
              <w:t xml:space="preserve">Microfinance group (JLG, SHG)</w:t>
            </w:r>
          </w:p>
        </w:tc>
        <w:tc>
          <w:tcPr>
            <w:tcW w:w="1338" w:type="dxa"/>
          </w:tcPr>
          <w:p>
            <w:pPr>
              <w:pStyle w:val="Compact"/>
              <w:spacing w:after="40"/>
              <w:jc w:val="left"/>
            </w:pPr>
            <w:r>
              <w:rPr>
                <w:sz w:val="18"/>
              </w:rPr>
              <w:t xml:space="preserve">One</w:t>
            </w:r>
            <w:r>
              <w:rPr>
                <w:sz w:val="18"/>
              </w:rPr>
              <w:t xml:space="preserve"> </w:t>
            </w:r>
            <w:r>
              <w:rPr>
                <w:rStyle w:val="VerbatimChar"/>
                <w:sz w:val="18"/>
              </w:rPr>
              <w:t xml:space="preserve">ApplicationSubmitted</w:t>
            </w:r>
            <w:r>
              <w:rPr>
                <w:sz w:val="18"/>
              </w:rPr>
              <w:t xml:space="preserve"> </w:t>
            </w:r>
            <w:r>
              <w:rPr>
                <w:sz w:val="18"/>
              </w:rPr>
              <w:t xml:space="preserve">per member (</w:t>
            </w:r>
            <w:r>
              <w:rPr>
                <w:rStyle w:val="VerbatimChar"/>
                <w:sz w:val="18"/>
              </w:rPr>
              <w:t xml:space="preserve">productfamily = MFI</w:t>
            </w:r>
            <w:r>
              <w:rPr>
                <w:sz w:val="18"/>
              </w:rPr>
              <w:t xml:space="preserve">) with household income and obligations; group captured in Udofin assisted tools and recognised only on the lender’s</w:t>
            </w:r>
            <w:r>
              <w:rPr>
                <w:sz w:val="18"/>
              </w:rPr>
              <w:t xml:space="preserve"> </w:t>
            </w:r>
            <w:r>
              <w:rPr>
                <w:rStyle w:val="VerbatimChar"/>
                <w:sz w:val="18"/>
              </w:rPr>
              <w:t xml:space="preserve">GroupFormed</w:t>
            </w:r>
          </w:p>
        </w:tc>
        <w:tc>
          <w:tcPr>
            <w:tcW w:w="997" w:type="dxa"/>
          </w:tcPr>
          <w:p>
            <w:pPr>
              <w:pStyle w:val="Compact"/>
              <w:spacing w:after="40"/>
              <w:jc w:val="left"/>
            </w:pPr>
            <w:r>
              <w:rPr>
                <w:sz w:val="18"/>
              </w:rPr>
              <w:t xml:space="preserve">Per-member sanction; 50% household cap; vernacular KFS and loan card (RBC paras 78–80); joint liability voluntary</w:t>
            </w:r>
          </w:p>
        </w:tc>
        <w:tc>
          <w:tcPr>
            <w:tcW w:w="935" w:type="dxa"/>
          </w:tcPr>
          <w:p>
            <w:pPr>
              <w:pStyle w:val="Compact"/>
              <w:spacing w:after="40"/>
              <w:jc w:val="left"/>
            </w:pPr>
            <w:r>
              <w:rPr>
                <w:sz w:val="18"/>
              </w:rPr>
              <w:t xml:space="preserve">None</w:t>
            </w:r>
          </w:p>
        </w:tc>
        <w:tc>
          <w:tcPr>
            <w:tcW w:w="902" w:type="dxa"/>
          </w:tcPr>
          <w:p>
            <w:pPr>
              <w:pStyle w:val="Compact"/>
              <w:spacing w:after="40"/>
              <w:jc w:val="left"/>
            </w:pPr>
            <w:r>
              <w:rPr>
                <w:sz w:val="18"/>
              </w:rPr>
              <w:t xml:space="preserve">Cashless to each member’s own account</w:t>
            </w:r>
          </w:p>
        </w:tc>
        <w:tc>
          <w:tcPr>
            <w:tcW w:w="997" w:type="dxa"/>
          </w:tcPr>
          <w:p>
            <w:pPr>
              <w:pStyle w:val="Compact"/>
              <w:spacing w:after="40"/>
              <w:jc w:val="left"/>
            </w:pPr>
            <w:r>
              <w:rPr>
                <w:sz w:val="18"/>
              </w:rPr>
              <w:t xml:space="preserve">Centre meetings at the designated place (RBC para 90) at the member-chosen frequency (CF para 59);</w:t>
            </w:r>
            <w:r>
              <w:rPr>
                <w:sz w:val="18"/>
              </w:rPr>
              <w:t xml:space="preserve"> </w:t>
            </w:r>
            <w:r>
              <w:rPr>
                <w:rStyle w:val="VerbatimChar"/>
                <w:sz w:val="18"/>
              </w:rPr>
              <w:t xml:space="preserve">CentreMeetingHeld</w:t>
            </w:r>
          </w:p>
        </w:tc>
        <w:tc>
          <w:tcPr>
            <w:tcW w:w="1443" w:type="dxa"/>
          </w:tcPr>
          <w:p>
            <w:pPr>
              <w:pStyle w:val="Compact"/>
              <w:spacing w:after="40"/>
              <w:jc w:val="left"/>
            </w:pPr>
            <w:r>
              <w:rPr>
                <w:sz w:val="18"/>
              </w:rPr>
              <w:t xml:space="preserve">UPI QR per member by default; cash at meetings on Udofin-sourced loans only with the RE’s legal opinion (CF paras 10(2), 10(5));</w:t>
            </w:r>
            <w:r>
              <w:rPr>
                <w:sz w:val="18"/>
              </w:rPr>
              <w:t xml:space="preserve"> </w:t>
            </w:r>
            <w:r>
              <w:rPr>
                <w:rStyle w:val="VerbatimChar"/>
                <w:sz w:val="18"/>
              </w:rPr>
              <w:t xml:space="preserve">GroupCollectionPosted</w:t>
            </w:r>
            <w:r>
              <w:rPr>
                <w:sz w:val="18"/>
              </w:rPr>
              <w:t xml:space="preserve"> </w:t>
            </w:r>
            <w:r>
              <w:rPr>
                <w:sz w:val="18"/>
              </w:rPr>
              <w:t xml:space="preserve">same day; 09:00–18:00 until 31 Dec 2026, then the RBC Third Amendment pack (RBI/2026-27/230)</w:t>
            </w:r>
          </w:p>
        </w:tc>
        <w:tc>
          <w:tcPr>
            <w:tcW w:w="1388" w:type="dxa"/>
          </w:tcPr>
          <w:p>
            <w:pPr>
              <w:pStyle w:val="Compact"/>
              <w:spacing w:after="40"/>
              <w:jc w:val="left"/>
            </w:pPr>
            <w:r>
              <w:rPr>
                <w:sz w:val="18"/>
              </w:rPr>
              <w:t xml:space="preserve">No pressure on co-members or relatives and no public naming (RBC para 91); conciliation, Lok Adalat</w:t>
            </w:r>
          </w:p>
        </w:tc>
        <w:tc>
          <w:tcPr>
            <w:tcW w:w="997" w:type="dxa"/>
          </w:tcPr>
          <w:p>
            <w:pPr>
              <w:pStyle w:val="Compact"/>
              <w:spacing w:after="40"/>
              <w:jc w:val="left"/>
            </w:pPr>
            <w:r>
              <w:rPr>
                <w:sz w:val="18"/>
              </w:rPr>
              <w:t xml:space="preserve">Centre receipts vs postings vs cash-in-transit vs bank; MFI bureau file only (6.19)</w:t>
            </w:r>
          </w:p>
        </w:tc>
      </w:tr>
      <w:tr>
        <w:tc>
          <w:tcPr>
            <w:tcW w:w="641" w:type="dxa"/>
          </w:tcPr>
          <w:p>
            <w:pPr>
              <w:pStyle w:val="Compact"/>
              <w:spacing w:after="40"/>
              <w:jc w:val="left"/>
            </w:pPr>
            <w:r>
              <w:rPr>
                <w:sz w:val="18"/>
              </w:rPr>
              <w:t xml:space="preserve">Supply chain, TReDS</w:t>
            </w:r>
          </w:p>
        </w:tc>
        <w:tc>
          <w:tcPr>
            <w:tcW w:w="1338" w:type="dxa"/>
          </w:tcPr>
          <w:p>
            <w:pPr>
              <w:pStyle w:val="Compact"/>
              <w:spacing w:after="40"/>
              <w:jc w:val="left"/>
            </w:pPr>
            <w:r>
              <w:rPr>
                <w:sz w:val="18"/>
              </w:rPr>
              <w:t xml:space="preserve">Anchor, invoice, factoring-unit ids</w:t>
            </w:r>
          </w:p>
        </w:tc>
        <w:tc>
          <w:tcPr>
            <w:tcW w:w="997" w:type="dxa"/>
          </w:tcPr>
          <w:p>
            <w:pPr>
              <w:pStyle w:val="Compact"/>
              <w:spacing w:after="40"/>
              <w:jc w:val="left"/>
            </w:pPr>
            <w:r>
              <w:rPr>
                <w:sz w:val="18"/>
              </w:rPr>
              <w:t xml:space="preserve">Programme limit</w:t>
            </w:r>
          </w:p>
        </w:tc>
        <w:tc>
          <w:tcPr>
            <w:tcW w:w="935" w:type="dxa"/>
          </w:tcPr>
          <w:p>
            <w:pPr>
              <w:pStyle w:val="Compact"/>
              <w:spacing w:after="40"/>
              <w:jc w:val="left"/>
            </w:pPr>
            <w:r>
              <w:rPr>
                <w:sz w:val="18"/>
              </w:rPr>
              <w:t xml:space="preserve">Receivable assignment (platform files with CERSAI)</w:t>
            </w:r>
          </w:p>
        </w:tc>
        <w:tc>
          <w:tcPr>
            <w:tcW w:w="902" w:type="dxa"/>
          </w:tcPr>
          <w:p>
            <w:pPr>
              <w:pStyle w:val="Compact"/>
              <w:spacing w:after="40"/>
              <w:jc w:val="left"/>
            </w:pPr>
            <w:r>
              <w:rPr>
                <w:sz w:val="18"/>
              </w:rPr>
              <w:t xml:space="preserve">Seller</w:t>
            </w:r>
          </w:p>
        </w:tc>
        <w:tc>
          <w:tcPr>
            <w:tcW w:w="997" w:type="dxa"/>
          </w:tcPr>
          <w:p>
            <w:pPr>
              <w:pStyle w:val="Compact"/>
              <w:spacing w:after="40"/>
              <w:jc w:val="left"/>
            </w:pPr>
            <w:r>
              <w:rPr>
                <w:sz w:val="18"/>
              </w:rPr>
              <w:t xml:space="preserve">Buyer pays on due date</w:t>
            </w:r>
          </w:p>
        </w:tc>
        <w:tc>
          <w:tcPr>
            <w:tcW w:w="1443" w:type="dxa"/>
          </w:tcPr>
          <w:p>
            <w:pPr>
              <w:pStyle w:val="Compact"/>
              <w:spacing w:after="40"/>
              <w:jc w:val="left"/>
            </w:pPr>
            <w:r>
              <w:rPr>
                <w:sz w:val="18"/>
              </w:rPr>
              <w:t xml:space="preserve">Against buyer</w:t>
            </w:r>
          </w:p>
        </w:tc>
        <w:tc>
          <w:tcPr>
            <w:tcW w:w="1388" w:type="dxa"/>
          </w:tcPr>
          <w:p>
            <w:pPr>
              <w:pStyle w:val="Compact"/>
              <w:spacing w:after="40"/>
              <w:jc w:val="left"/>
            </w:pPr>
            <w:r>
              <w:rPr>
                <w:sz w:val="18"/>
              </w:rPr>
              <w:t xml:space="preserve">TReDS units without recourse to the MSME; no buyer set-off (TReDS Directions 2026, RBI/DPSS/2026-27/406)</w:t>
            </w:r>
          </w:p>
        </w:tc>
        <w:tc>
          <w:tcPr>
            <w:tcW w:w="997" w:type="dxa"/>
          </w:tcPr>
          <w:p>
            <w:pPr>
              <w:pStyle w:val="Compact"/>
              <w:spacing w:after="40"/>
              <w:jc w:val="left"/>
            </w:pPr>
            <w:r>
              <w:rPr>
                <w:sz w:val="18"/>
              </w:rPr>
              <w:t xml:space="preserve">Settlement vs due date; revolving behind flag [VERIFY: August 2026 draft]</w:t>
            </w:r>
          </w:p>
        </w:tc>
      </w:tr>
      <w:tr>
        <w:tc>
          <w:tcPr>
            <w:tcW w:w="641" w:type="dxa"/>
          </w:tcPr>
          <w:p>
            <w:pPr>
              <w:pStyle w:val="Compact"/>
              <w:spacing w:after="40"/>
              <w:jc w:val="left"/>
            </w:pPr>
            <w:r>
              <w:rPr>
                <w:sz w:val="18"/>
              </w:rPr>
              <w:t xml:space="preserve">Education</w:t>
            </w:r>
          </w:p>
        </w:tc>
        <w:tc>
          <w:tcPr>
            <w:tcW w:w="1338" w:type="dxa"/>
          </w:tcPr>
          <w:p>
            <w:pPr>
              <w:pStyle w:val="Compact"/>
              <w:spacing w:after="40"/>
              <w:jc w:val="left"/>
            </w:pPr>
            <w:r>
              <w:rPr>
                <w:sz w:val="18"/>
              </w:rPr>
              <w:t xml:space="preserve">Institution, course dates, co-borrower</w:t>
            </w:r>
          </w:p>
        </w:tc>
        <w:tc>
          <w:tcPr>
            <w:tcW w:w="997" w:type="dxa"/>
          </w:tcPr>
          <w:p>
            <w:pPr>
              <w:pStyle w:val="Compact"/>
              <w:spacing w:after="40"/>
              <w:jc w:val="left"/>
            </w:pPr>
            <w:r>
              <w:rPr>
                <w:sz w:val="18"/>
              </w:rPr>
              <w:t xml:space="preserve">Standard</w:t>
            </w:r>
          </w:p>
        </w:tc>
        <w:tc>
          <w:tcPr>
            <w:tcW w:w="935" w:type="dxa"/>
          </w:tcPr>
          <w:p>
            <w:pPr>
              <w:pStyle w:val="Compact"/>
              <w:spacing w:after="40"/>
              <w:jc w:val="left"/>
            </w:pPr>
            <w:r>
              <w:rPr>
                <w:sz w:val="18"/>
              </w:rPr>
              <w:t xml:space="preserve">Optional</w:t>
            </w:r>
          </w:p>
        </w:tc>
        <w:tc>
          <w:tcPr>
            <w:tcW w:w="902" w:type="dxa"/>
          </w:tcPr>
          <w:p>
            <w:pPr>
              <w:pStyle w:val="Compact"/>
              <w:spacing w:after="40"/>
              <w:jc w:val="left"/>
            </w:pPr>
            <w:r>
              <w:rPr>
                <w:sz w:val="18"/>
              </w:rPr>
              <w:t xml:space="preserve">TRANCHE to institution</w:t>
            </w:r>
          </w:p>
        </w:tc>
        <w:tc>
          <w:tcPr>
            <w:tcW w:w="997" w:type="dxa"/>
          </w:tcPr>
          <w:p>
            <w:pPr>
              <w:pStyle w:val="Compact"/>
              <w:spacing w:after="40"/>
              <w:jc w:val="left"/>
            </w:pPr>
            <w:r>
              <w:rPr>
                <w:sz w:val="18"/>
              </w:rPr>
              <w:t xml:space="preserve">Moratorium via</w:t>
            </w:r>
            <w:r>
              <w:rPr>
                <w:sz w:val="18"/>
              </w:rPr>
              <w:t xml:space="preserve"> </w:t>
            </w:r>
            <w:r>
              <w:rPr>
                <w:rStyle w:val="VerbatimChar"/>
                <w:sz w:val="18"/>
              </w:rPr>
              <w:t xml:space="preserve">ScheduleChanged</w:t>
            </w:r>
          </w:p>
        </w:tc>
        <w:tc>
          <w:tcPr>
            <w:tcW w:w="1443" w:type="dxa"/>
          </w:tcPr>
          <w:p>
            <w:pPr>
              <w:pStyle w:val="Compact"/>
              <w:spacing w:after="40"/>
              <w:jc w:val="left"/>
            </w:pPr>
            <w:r>
              <w:rPr>
                <w:sz w:val="18"/>
              </w:rPr>
              <w:t xml:space="preserve">Co-borrower rules</w:t>
            </w:r>
          </w:p>
        </w:tc>
        <w:tc>
          <w:tcPr>
            <w:tcW w:w="1388" w:type="dxa"/>
          </w:tcPr>
          <w:p>
            <w:pPr>
              <w:pStyle w:val="Compact"/>
              <w:spacing w:after="40"/>
              <w:jc w:val="left"/>
            </w:pPr>
            <w:r>
              <w:rPr>
                <w:sz w:val="18"/>
              </w:rPr>
              <w:t xml:space="preserve">s.25 PSS or s.138, suit, conciliation</w:t>
            </w:r>
          </w:p>
        </w:tc>
        <w:tc>
          <w:tcPr>
            <w:tcW w:w="997" w:type="dxa"/>
          </w:tcPr>
          <w:p>
            <w:pPr>
              <w:pStyle w:val="Compact"/>
              <w:spacing w:after="40"/>
              <w:jc w:val="left"/>
            </w:pPr>
            <w:r>
              <w:rPr>
                <w:sz w:val="18"/>
              </w:rPr>
              <w:t xml:space="preserve">Disbursals vs fees</w:t>
            </w:r>
          </w:p>
        </w:tc>
      </w:tr>
      <w:tr>
        <w:tc>
          <w:tcPr>
            <w:tcW w:w="641" w:type="dxa"/>
          </w:tcPr>
          <w:p>
            <w:pPr>
              <w:pStyle w:val="Compact"/>
              <w:spacing w:after="40"/>
              <w:jc w:val="left"/>
            </w:pPr>
            <w:r>
              <w:rPr>
                <w:sz w:val="18"/>
              </w:rPr>
              <w:t xml:space="preserve">Specialist (RF, MED, LEF, DR; feasibility-gated)</w:t>
            </w:r>
          </w:p>
        </w:tc>
        <w:tc>
          <w:tcPr>
            <w:tcW w:w="1338" w:type="dxa"/>
          </w:tcPr>
          <w:p>
            <w:pPr>
              <w:pStyle w:val="Compact"/>
              <w:spacing w:after="40"/>
              <w:jc w:val="left"/>
            </w:pPr>
            <w:r>
              <w:rPr>
                <w:sz w:val="18"/>
              </w:rPr>
              <w:t xml:space="preserve">As Personal plus end-use evidence; RF and DR: settlement evidence (</w:t>
            </w:r>
            <w:r>
              <w:rPr>
                <w:rStyle w:val="VerbatimChar"/>
                <w:sz w:val="18"/>
              </w:rPr>
              <w:t xml:space="preserve">ADROutcomeRecorded</w:t>
            </w:r>
            <w:r>
              <w:rPr>
                <w:sz w:val="18"/>
              </w:rPr>
              <w:t xml:space="preserve">) or payoff letter</w:t>
            </w:r>
          </w:p>
        </w:tc>
        <w:tc>
          <w:tcPr>
            <w:tcW w:w="997" w:type="dxa"/>
          </w:tcPr>
          <w:p>
            <w:pPr>
              <w:pStyle w:val="Compact"/>
              <w:spacing w:after="40"/>
              <w:jc w:val="left"/>
            </w:pPr>
            <w:r>
              <w:rPr>
                <w:sz w:val="18"/>
              </w:rPr>
              <w:t xml:space="preserve">Feasibility note first; same-RE refinance is restructuring and needs a viability assessment (RSA paras 89, 169)</w:t>
            </w:r>
          </w:p>
        </w:tc>
        <w:tc>
          <w:tcPr>
            <w:tcW w:w="935" w:type="dxa"/>
          </w:tcPr>
          <w:p>
            <w:pPr>
              <w:pStyle w:val="Compact"/>
              <w:spacing w:after="40"/>
              <w:jc w:val="left"/>
            </w:pPr>
            <w:r>
              <w:rPr>
                <w:sz w:val="18"/>
              </w:rPr>
              <w:t xml:space="preserve">None, or as refinanced facility</w:t>
            </w:r>
          </w:p>
        </w:tc>
        <w:tc>
          <w:tcPr>
            <w:tcW w:w="902" w:type="dxa"/>
          </w:tcPr>
          <w:p>
            <w:pPr>
              <w:pStyle w:val="Compact"/>
              <w:spacing w:after="40"/>
              <w:jc w:val="left"/>
            </w:pPr>
            <w:r>
              <w:rPr>
                <w:sz w:val="18"/>
              </w:rPr>
              <w:t xml:space="preserve">End-beneficiary only: provider, counsel, settled creditor or existing lenders (CF para 10(1))</w:t>
            </w:r>
          </w:p>
        </w:tc>
        <w:tc>
          <w:tcPr>
            <w:tcW w:w="997" w:type="dxa"/>
          </w:tcPr>
          <w:p>
            <w:pPr>
              <w:pStyle w:val="Compact"/>
              <w:spacing w:after="40"/>
              <w:jc w:val="left"/>
            </w:pPr>
            <w:r>
              <w:rPr>
                <w:sz w:val="18"/>
              </w:rPr>
              <w:t xml:space="preserve">Standard</w:t>
            </w:r>
          </w:p>
        </w:tc>
        <w:tc>
          <w:tcPr>
            <w:tcW w:w="1443" w:type="dxa"/>
          </w:tcPr>
          <w:p>
            <w:pPr>
              <w:pStyle w:val="Compact"/>
              <w:spacing w:after="40"/>
              <w:jc w:val="left"/>
            </w:pPr>
            <w:r>
              <w:rPr>
                <w:sz w:val="18"/>
              </w:rPr>
              <w:t xml:space="preserve">Standard</w:t>
            </w:r>
          </w:p>
        </w:tc>
        <w:tc>
          <w:tcPr>
            <w:tcW w:w="1388" w:type="dxa"/>
          </w:tcPr>
          <w:p>
            <w:pPr>
              <w:pStyle w:val="Compact"/>
              <w:spacing w:after="40"/>
              <w:jc w:val="left"/>
            </w:pPr>
            <w:r>
              <w:rPr>
                <w:sz w:val="18"/>
              </w:rPr>
              <w:t xml:space="preserve">As Personal; RF and DR carry the restructuring flag</w:t>
            </w:r>
          </w:p>
        </w:tc>
        <w:tc>
          <w:tcPr>
            <w:tcW w:w="997" w:type="dxa"/>
          </w:tcPr>
          <w:p>
            <w:pPr>
              <w:pStyle w:val="Compact"/>
              <w:spacing w:after="40"/>
              <w:jc w:val="left"/>
            </w:pPr>
            <w:r>
              <w:rPr>
                <w:sz w:val="18"/>
              </w:rPr>
              <w:t xml:space="preserve">Payoffs vs creditor confirmations</w:t>
            </w:r>
          </w:p>
        </w:tc>
      </w:tr>
      <w:tr>
        <w:tc>
          <w:tcPr>
            <w:tcW w:w="641" w:type="dxa"/>
          </w:tcPr>
          <w:p>
            <w:pPr>
              <w:pStyle w:val="Compact"/>
              <w:spacing w:after="40"/>
              <w:jc w:val="left"/>
            </w:pPr>
            <w:r>
              <w:rPr>
                <w:sz w:val="18"/>
              </w:rPr>
              <w:t xml:space="preserve">Project finance</w:t>
            </w:r>
          </w:p>
        </w:tc>
        <w:tc>
          <w:tcPr>
            <w:tcW w:w="1338" w:type="dxa"/>
          </w:tcPr>
          <w:p>
            <w:pPr>
              <w:pStyle w:val="Compact"/>
              <w:spacing w:after="40"/>
              <w:jc w:val="left"/>
            </w:pPr>
            <w:r>
              <w:rPr>
                <w:sz w:val="18"/>
              </w:rPr>
              <w:t xml:space="preserve">Not Udofin</w:t>
            </w:r>
          </w:p>
        </w:tc>
        <w:tc>
          <w:tcPr>
            <w:tcW w:w="997" w:type="dxa"/>
          </w:tcPr>
          <w:p>
            <w:pPr>
              <w:pStyle w:val="Compact"/>
              <w:spacing w:after="40"/>
              <w:jc w:val="left"/>
            </w:pPr>
            <w:r>
              <w:rPr>
                <w:sz w:val="18"/>
              </w:rPr>
              <w:t xml:space="preserve">Gates (CF paras 67–75)</w:t>
            </w:r>
          </w:p>
        </w:tc>
        <w:tc>
          <w:tcPr>
            <w:tcW w:w="935" w:type="dxa"/>
          </w:tcPr>
          <w:p>
            <w:pPr>
              <w:pStyle w:val="Compact"/>
              <w:spacing w:after="40"/>
              <w:jc w:val="left"/>
            </w:pPr>
            <w:r>
              <w:rPr>
                <w:sz w:val="18"/>
              </w:rPr>
              <w:t xml:space="preserve">Common security</w:t>
            </w:r>
          </w:p>
        </w:tc>
        <w:tc>
          <w:tcPr>
            <w:tcW w:w="902" w:type="dxa"/>
          </w:tcPr>
          <w:p>
            <w:pPr>
              <w:pStyle w:val="Compact"/>
              <w:spacing w:after="40"/>
              <w:jc w:val="left"/>
            </w:pPr>
            <w:r>
              <w:rPr>
                <w:sz w:val="18"/>
              </w:rPr>
              <w:t xml:space="preserve">LIE-certified stages (para 75)</w:t>
            </w:r>
          </w:p>
        </w:tc>
        <w:tc>
          <w:tcPr>
            <w:tcW w:w="997" w:type="dxa"/>
          </w:tcPr>
          <w:p>
            <w:pPr>
              <w:pStyle w:val="Compact"/>
              <w:spacing w:after="40"/>
              <w:jc w:val="left"/>
            </w:pPr>
            <w:r>
              <w:rPr>
                <w:sz w:val="18"/>
              </w:rPr>
              <w:t xml:space="preserve">DCCO via</w:t>
            </w:r>
            <w:r>
              <w:rPr>
                <w:sz w:val="18"/>
              </w:rPr>
              <w:t xml:space="preserve"> </w:t>
            </w:r>
            <w:r>
              <w:rPr>
                <w:rStyle w:val="VerbatimChar"/>
                <w:sz w:val="18"/>
              </w:rPr>
              <w:t xml:space="preserve">ScheduleChanged</w:t>
            </w:r>
            <w:r>
              <w:rPr>
                <w:sz w:val="18"/>
              </w:rPr>
              <w:t xml:space="preserve">; database ≤ 15 days (paras 77–78)</w:t>
            </w:r>
          </w:p>
        </w:tc>
        <w:tc>
          <w:tcPr>
            <w:tcW w:w="1443" w:type="dxa"/>
          </w:tcPr>
          <w:p>
            <w:pPr>
              <w:pStyle w:val="Compact"/>
              <w:spacing w:after="40"/>
              <w:jc w:val="left"/>
            </w:pPr>
            <w:r>
              <w:rPr>
                <w:sz w:val="18"/>
              </w:rPr>
              <w:t xml:space="preserve">Lead lender</w:t>
            </w:r>
          </w:p>
        </w:tc>
        <w:tc>
          <w:tcPr>
            <w:tcW w:w="1388" w:type="dxa"/>
          </w:tcPr>
          <w:p>
            <w:pPr>
              <w:pStyle w:val="Compact"/>
              <w:spacing w:after="40"/>
              <w:jc w:val="left"/>
            </w:pPr>
            <w:r>
              <w:rPr>
                <w:sz w:val="18"/>
              </w:rPr>
              <w:t xml:space="preserve">ICA votes (RSA paras 31–33); credit events to consortium (para 107); SARFAESI needs 60% by value (s.13(9)); IBC</w:t>
            </w:r>
          </w:p>
        </w:tc>
        <w:tc>
          <w:tcPr>
            <w:tcW w:w="997" w:type="dxa"/>
          </w:tcPr>
          <w:p>
            <w:pPr>
              <w:pStyle w:val="Compact"/>
              <w:spacing w:after="40"/>
              <w:jc w:val="left"/>
            </w:pPr>
            <w:r>
              <w:rPr>
                <w:sz w:val="18"/>
              </w:rPr>
              <w:t xml:space="preserve">Shares vs common agreement</w:t>
            </w:r>
          </w:p>
        </w:tc>
      </w:tr>
      <w:tr>
        <w:tc>
          <w:tcPr>
            <w:tcW w:w="641" w:type="dxa"/>
          </w:tcPr>
          <w:p>
            <w:pPr>
              <w:pStyle w:val="Compact"/>
              <w:spacing w:after="40"/>
              <w:jc w:val="left"/>
            </w:pPr>
            <w:r>
              <w:rPr>
                <w:sz w:val="18"/>
              </w:rPr>
              <w:t xml:space="preserve">Co-lent (any)</w:t>
            </w:r>
          </w:p>
        </w:tc>
        <w:tc>
          <w:tcPr>
            <w:tcW w:w="1338" w:type="dxa"/>
          </w:tcPr>
          <w:p>
            <w:pPr>
              <w:pStyle w:val="Compact"/>
              <w:spacing w:after="40"/>
              <w:jc w:val="left"/>
            </w:pPr>
            <w:r>
              <w:rPr>
                <w:sz w:val="18"/>
              </w:rPr>
              <w:t xml:space="preserve">KFS item 5; single point of interface (TDCR paras 105–106)</w:t>
            </w:r>
          </w:p>
        </w:tc>
        <w:tc>
          <w:tcPr>
            <w:tcW w:w="997" w:type="dxa"/>
          </w:tcPr>
          <w:p>
            <w:pPr>
              <w:pStyle w:val="Compact"/>
              <w:spacing w:after="40"/>
              <w:jc w:val="left"/>
            </w:pPr>
            <w:r>
              <w:rPr>
                <w:sz w:val="18"/>
              </w:rPr>
              <w:t xml:space="preserve">Irrevocable back-to-back (para 112)</w:t>
            </w:r>
          </w:p>
        </w:tc>
        <w:tc>
          <w:tcPr>
            <w:tcW w:w="935" w:type="dxa"/>
          </w:tcPr>
          <w:p>
            <w:pPr>
              <w:pStyle w:val="Compact"/>
              <w:spacing w:after="40"/>
              <w:jc w:val="left"/>
            </w:pPr>
            <w:r>
              <w:rPr>
                <w:sz w:val="18"/>
              </w:rPr>
              <w:t xml:space="preserve">Joint security</w:t>
            </w:r>
          </w:p>
        </w:tc>
        <w:tc>
          <w:tcPr>
            <w:tcW w:w="902" w:type="dxa"/>
          </w:tcPr>
          <w:p>
            <w:pPr>
              <w:pStyle w:val="Compact"/>
              <w:spacing w:after="40"/>
              <w:jc w:val="left"/>
            </w:pPr>
            <w:r>
              <w:rPr>
                <w:sz w:val="18"/>
              </w:rPr>
              <w:t xml:space="preserve">Escrow only (para 117); split ≤ 15 days</w:t>
            </w:r>
          </w:p>
        </w:tc>
        <w:tc>
          <w:tcPr>
            <w:tcW w:w="997" w:type="dxa"/>
          </w:tcPr>
          <w:p>
            <w:pPr>
              <w:pStyle w:val="Compact"/>
              <w:spacing w:after="40"/>
              <w:jc w:val="left"/>
            </w:pPr>
            <w:r>
              <w:rPr>
                <w:sz w:val="18"/>
              </w:rPr>
              <w:t xml:space="preserve">Receipt allocation; classification T+1; own-share CIC reporting (para 122)</w:t>
            </w:r>
          </w:p>
        </w:tc>
        <w:tc>
          <w:tcPr>
            <w:tcW w:w="1443" w:type="dxa"/>
          </w:tcPr>
          <w:p>
            <w:pPr>
              <w:pStyle w:val="Compact"/>
              <w:spacing w:after="40"/>
              <w:jc w:val="left"/>
            </w:pPr>
            <w:r>
              <w:rPr>
                <w:sz w:val="18"/>
              </w:rPr>
              <w:t xml:space="preserve">Servicer RE per CLA</w:t>
            </w:r>
          </w:p>
        </w:tc>
        <w:tc>
          <w:tcPr>
            <w:tcW w:w="1388" w:type="dxa"/>
          </w:tcPr>
          <w:p>
            <w:pPr>
              <w:pStyle w:val="Compact"/>
              <w:spacing w:after="40"/>
              <w:jc w:val="left"/>
            </w:pPr>
            <w:r>
              <w:rPr>
                <w:sz w:val="18"/>
              </w:rPr>
              <w:t xml:space="preserve">Each RE settles its share (RSA para 16); SARFAESI 60% by value; transfer only under Part A with mutual consent (para 125); no LSP escrow role</w:t>
            </w:r>
          </w:p>
        </w:tc>
        <w:tc>
          <w:tcPr>
            <w:tcW w:w="997" w:type="dxa"/>
          </w:tcPr>
          <w:p>
            <w:pPr>
              <w:pStyle w:val="Compact"/>
              <w:spacing w:after="40"/>
              <w:jc w:val="left"/>
            </w:pPr>
            <w:r>
              <w:rPr>
                <w:sz w:val="18"/>
              </w:rPr>
              <w:t xml:space="preserve">Escrow three-way daily</w:t>
            </w:r>
          </w:p>
        </w:tc>
      </w:tr>
      <w:tr>
        <w:tc>
          <w:tcPr>
            <w:tcW w:w="641" w:type="dxa"/>
          </w:tcPr>
          <w:p>
            <w:pPr>
              <w:pStyle w:val="Compact"/>
              <w:spacing w:after="40"/>
              <w:jc w:val="left"/>
            </w:pPr>
            <w:r>
              <w:rPr>
                <w:sz w:val="18"/>
              </w:rPr>
              <w:t xml:space="preserve">Co-operative society member loan (non-RE lender)</w:t>
            </w:r>
          </w:p>
        </w:tc>
        <w:tc>
          <w:tcPr>
            <w:tcW w:w="1338" w:type="dxa"/>
          </w:tcPr>
          <w:p>
            <w:pPr>
              <w:pStyle w:val="Compact"/>
              <w:spacing w:after="40"/>
              <w:jc w:val="left"/>
            </w:pPr>
            <w:r>
              <w:rPr>
                <w:sz w:val="18"/>
              </w:rPr>
              <w:t xml:space="preserve">Membership verified (</w:t>
            </w:r>
            <w:r>
              <w:rPr>
                <w:rStyle w:val="VerbatimChar"/>
                <w:sz w:val="18"/>
              </w:rPr>
              <w:t xml:space="preserve">GET /v1/societies/{id}/members/{ref}</w:t>
            </w:r>
            <w:r>
              <w:rPr>
                <w:sz w:val="18"/>
              </w:rPr>
              <w:t xml:space="preserve">) or applied for;</w:t>
            </w:r>
            <w:r>
              <w:rPr>
                <w:sz w:val="18"/>
              </w:rPr>
              <w:t xml:space="preserve"> </w:t>
            </w:r>
            <w:r>
              <w:rPr>
                <w:rStyle w:val="VerbatimChar"/>
                <w:sz w:val="18"/>
              </w:rPr>
              <w:t xml:space="preserve">MemberAdmitted</w:t>
            </w:r>
            <w:r>
              <w:rPr>
                <w:sz w:val="18"/>
              </w:rPr>
              <w:t xml:space="preserve"> </w:t>
            </w:r>
            <w:r>
              <w:rPr>
                <w:sz w:val="18"/>
              </w:rPr>
              <w:t xml:space="preserve">gate;</w:t>
            </w:r>
            <w:r>
              <w:rPr>
                <w:sz w:val="18"/>
              </w:rPr>
              <w:t xml:space="preserve"> </w:t>
            </w:r>
            <w:r>
              <w:rPr>
                <w:rStyle w:val="VerbatimChar"/>
                <w:sz w:val="18"/>
              </w:rPr>
              <w:t xml:space="preserve">ApplicationSubmitted</w:t>
            </w:r>
            <w:r>
              <w:rPr>
                <w:sz w:val="18"/>
              </w:rPr>
              <w:t xml:space="preserve"> </w:t>
            </w:r>
            <w:r>
              <w:rPr>
                <w:sz w:val="18"/>
              </w:rPr>
              <w:t xml:space="preserve">with</w:t>
            </w:r>
            <w:r>
              <w:rPr>
                <w:sz w:val="18"/>
              </w:rPr>
              <w:t xml:space="preserve"> </w:t>
            </w:r>
            <w:r>
              <w:rPr>
                <w:rStyle w:val="VerbatimChar"/>
                <w:sz w:val="18"/>
              </w:rPr>
              <w:t xml:space="preserve">lender_type = NON_RE_SOCIETY</w:t>
            </w:r>
            <w:r>
              <w:rPr>
                <w:sz w:val="18"/>
              </w:rPr>
              <w:t xml:space="preserve">; web and assisted channels only [VERIFY: app-store policy]</w:t>
            </w:r>
          </w:p>
        </w:tc>
        <w:tc>
          <w:tcPr>
            <w:tcW w:w="997" w:type="dxa"/>
          </w:tcPr>
          <w:p>
            <w:pPr>
              <w:pStyle w:val="Compact"/>
              <w:spacing w:after="40"/>
              <w:jc w:val="left"/>
            </w:pPr>
            <w:r>
              <w:rPr>
                <w:sz w:val="18"/>
              </w:rPr>
              <w:t xml:space="preserve">Society credit committee under its bye-laws; sanction letter and KFS-equivalent disclosures by contract (Udofin UP4)</w:t>
            </w:r>
          </w:p>
        </w:tc>
        <w:tc>
          <w:tcPr>
            <w:tcW w:w="935" w:type="dxa"/>
          </w:tcPr>
          <w:p>
            <w:pPr>
              <w:pStyle w:val="Compact"/>
              <w:spacing w:after="40"/>
              <w:jc w:val="left"/>
            </w:pPr>
            <w:r>
              <w:rPr>
                <w:sz w:val="18"/>
              </w:rPr>
              <w:t xml:space="preserve">Share lien and sureties per bye-laws; never on the security of the society’s own shares (MSCS s.66(1))</w:t>
            </w:r>
          </w:p>
        </w:tc>
        <w:tc>
          <w:tcPr>
            <w:tcW w:w="902" w:type="dxa"/>
          </w:tcPr>
          <w:p>
            <w:pPr>
              <w:pStyle w:val="Compact"/>
              <w:spacing w:after="40"/>
              <w:jc w:val="left"/>
            </w:pPr>
            <w:r>
              <w:rPr>
                <w:sz w:val="18"/>
              </w:rPr>
              <w:t xml:space="preserve">Society account to the member’s own account; share top-up before disbursal (</w:t>
            </w:r>
            <w:r>
              <w:rPr>
                <w:rStyle w:val="VerbatimChar"/>
                <w:sz w:val="18"/>
              </w:rPr>
              <w:t xml:space="preserve">ShareCapitalPosted</w:t>
            </w:r>
            <w:r>
              <w:rPr>
                <w:sz w:val="18"/>
              </w:rPr>
              <w:t xml:space="preserve">)</w:t>
            </w:r>
          </w:p>
        </w:tc>
        <w:tc>
          <w:tcPr>
            <w:tcW w:w="997" w:type="dxa"/>
          </w:tcPr>
          <w:p>
            <w:pPr>
              <w:pStyle w:val="Compact"/>
              <w:spacing w:after="40"/>
              <w:jc w:val="left"/>
            </w:pPr>
            <w:r>
              <w:rPr>
                <w:sz w:val="18"/>
              </w:rPr>
              <w:t xml:space="preserve">Standard; deposit balances only as opt-in read-only display</w:t>
            </w:r>
          </w:p>
        </w:tc>
        <w:tc>
          <w:tcPr>
            <w:tcW w:w="1443" w:type="dxa"/>
          </w:tcPr>
          <w:p>
            <w:pPr>
              <w:pStyle w:val="Compact"/>
              <w:spacing w:after="40"/>
              <w:jc w:val="left"/>
            </w:pPr>
            <w:r>
              <w:rPr>
                <w:sz w:val="18"/>
              </w:rPr>
              <w:t xml:space="preserve">Society staff or contracted agents under RE-equivalent conduct rules; 08:00–19:00, or 09:00–18:00 for collateral-free loans to households with income up to ₹3 lakh [REC]</w:t>
            </w:r>
          </w:p>
        </w:tc>
        <w:tc>
          <w:tcPr>
            <w:tcW w:w="1388" w:type="dxa"/>
          </w:tcPr>
          <w:p>
            <w:pPr>
              <w:pStyle w:val="Compact"/>
              <w:spacing w:after="40"/>
              <w:jc w:val="left"/>
            </w:pPr>
            <w:r>
              <w:rPr>
                <w:sz w:val="18"/>
              </w:rPr>
              <w:t xml:space="preserve">Statutory forum under the society’s Act (MSCS s.84; MH MCS Act ss.91, 101); Equator conciliation only on the society’s referral with post-dispute consent and counsel’s confirmation; no RB-IOS</w:t>
            </w:r>
          </w:p>
        </w:tc>
        <w:tc>
          <w:tcPr>
            <w:tcW w:w="997" w:type="dxa"/>
          </w:tcPr>
          <w:p>
            <w:pPr>
              <w:pStyle w:val="Compact"/>
              <w:spacing w:after="40"/>
              <w:jc w:val="left"/>
            </w:pPr>
            <w:r>
              <w:rPr>
                <w:sz w:val="18"/>
              </w:rPr>
              <w:t xml:space="preserve">Share capital and receipts vs society ledger; co-lending, transfer or DLG with any NBFC rejected (</w:t>
            </w:r>
            <w:r>
              <w:rPr>
                <w:rStyle w:val="VerbatimChar"/>
                <w:sz w:val="18"/>
              </w:rPr>
              <w:t xml:space="preserve">regulatory-guard</w:t>
            </w:r>
            <w:r>
              <w:rPr>
                <w:sz w:val="18"/>
              </w:rPr>
              <w:t xml:space="preserve">)</w:t>
            </w:r>
          </w:p>
        </w:tc>
      </w:tr>
    </w:tbl>
    <w:bookmarkEnd w:id="80"/>
    <w:bookmarkStart w:id="81" w:name="las-and-lamf-lifecycle"/>
    <w:p>
      <w:pPr>
        <w:pStyle w:val="Heading2"/>
      </w:pPr>
      <w:r>
        <w:t xml:space="preserve">7.3 LAS and LAMF lifecycle</w:t>
      </w:r>
    </w:p>
    <w:p>
      <w:pPr>
        <w:pStyle w:val="FirstParagraph"/>
      </w:pPr>
      <w:r>
        <w:rPr>
          <w:bCs/>
          <w:b/>
        </w:rPr>
        <w:t xml:space="preserve">Authority.</w:t>
      </w:r>
      <w:r>
        <w:t xml:space="preserve"> </w:t>
      </w:r>
      <w:r>
        <w:t xml:space="preserve">Finbyx (or the RE’s certified LMS) owns the security master, haircuts, DP, LTV, margin calls, freezes, invocation and release; the depository or RTA is external truth for the encumbrance. Udofin shows indicative eligibility, orchestrates consent and OTP, displays RE values and captures cure intents. The RE (pledgee) contracts with the DPs, CDSL LAS API, NSDL e-pledge and the RTA or MF Central [VERIFY: direct or via aggregator]; Udofin runs borrower steps under the RE’s credentials.</w:t>
      </w:r>
    </w:p>
    <w:p>
      <w:pPr>
        <w:pStyle w:val="BodyText"/>
      </w:pPr>
      <w:r>
        <w:rPr>
          <w:bCs/>
          <w:b/>
        </w:rPr>
        <w:t xml:space="preserve">Correction to</w:t>
      </w:r>
      <w:r>
        <w:rPr>
          <w:bCs/>
          <w:b/>
        </w:rPr>
        <w:t xml:space="preserve"> </w:t>
      </w:r>
      <w:r>
        <w:rPr>
          <w:rStyle w:val="VerbatimChar"/>
          <w:bCs/>
          <w:b/>
        </w:rPr>
        <w:t xml:space="preserve">las.txt</w:t>
      </w:r>
      <w:r>
        <w:rPr>
          <w:bCs/>
          <w:b/>
        </w:rPr>
        <w:t xml:space="preserve"> </w:t>
      </w:r>
      <w:r>
        <w:rPr>
          <w:bCs/>
          <w:b/>
        </w:rPr>
        <w:t xml:space="preserve">(15 Oct 2026).</w:t>
      </w:r>
      <w:r>
        <w:t xml:space="preserve"> </w:t>
      </w:r>
      <w:r>
        <w:t xml:space="preserve">The proposal puts an</w:t>
      </w:r>
      <w:r>
        <w:t xml:space="preserve"> </w:t>
      </w:r>
      <w:r>
        <w:t xml:space="preserve">“</w:t>
      </w:r>
      <w:r>
        <w:t xml:space="preserve">LAS risk / DP engine</w:t>
      </w:r>
      <w:r>
        <w:t xml:space="preserve">”</w:t>
      </w:r>
      <w:r>
        <w:t xml:space="preserve"> </w:t>
      </w:r>
      <w:r>
        <w:t xml:space="preserve">(BE-11) in Udofin to compute eligible collateral, DP, shortfalls and the drawable amount. Not adopted: DP, LTV and margin actions are RE credit-risk decisions that cannot be outsourced to an LSP (OUT para 15; CF para 6(7)), so the engine runs in Finbyx; Udofin’s BE-09 to BE-11 become a cached RE haircut table, a pledge-OTP orchestrator and a margin-call presenter, and the drawable amount comes from</w:t>
      </w:r>
      <w:r>
        <w:t xml:space="preserve"> </w:t>
      </w:r>
      <w:r>
        <w:rPr>
          <w:rStyle w:val="VerbatimChar"/>
        </w:rPr>
        <w:t xml:space="preserve">GET /v1/facilities/{loan_id}/summary</w:t>
      </w:r>
      <w:r>
        <w:t xml:space="preserve">. Its other controls (no shadow ledger, settlement proof before posting, idempotent money commands, three-way reconciliation) are adopted.</w:t>
      </w:r>
    </w:p>
    <w:p>
      <w:pPr>
        <w:pStyle w:val="BodyText"/>
      </w:pPr>
      <w:r>
        <w:rPr>
          <w:bCs/>
          <w:b/>
        </w:rPr>
        <w:t xml:space="preserve">States.</w:t>
      </w:r>
      <w:r>
        <w:t xml:space="preserve"> </w:t>
      </w:r>
      <w:r>
        <w:t xml:space="preserve">Pledge:</w:t>
      </w:r>
      <w:r>
        <w:t xml:space="preserve"> </w:t>
      </w:r>
      <w:r>
        <w:rPr>
          <w:rStyle w:val="VerbatimChar"/>
        </w:rPr>
        <w:t xml:space="preserve">REQUESTED → PENDING_BORROWER_OTP → PENDING_DP_APPROVAL → ACCEPTED → CONFIRMED</w:t>
      </w:r>
      <w:r>
        <w:t xml:space="preserve">, then</w:t>
      </w:r>
      <w:r>
        <w:t xml:space="preserve"> </w:t>
      </w:r>
      <w:r>
        <w:rPr>
          <w:rStyle w:val="VerbatimChar"/>
        </w:rPr>
        <w:t xml:space="preserve">CLOSURE_REQUESTED → CLOSED</w:t>
      </w:r>
      <w:r>
        <w:t xml:space="preserve"> </w:t>
      </w:r>
      <w:r>
        <w:t xml:space="preserve">or</w:t>
      </w:r>
      <w:r>
        <w:t xml:space="preserve"> </w:t>
      </w:r>
      <w:r>
        <w:rPr>
          <w:rStyle w:val="VerbatimChar"/>
        </w:rPr>
        <w:t xml:space="preserve">INVOCATION_REQUESTED → INVOKED</w:t>
      </w:r>
      <w:r>
        <w:t xml:space="preserve">; failures</w:t>
      </w:r>
      <w:r>
        <w:t xml:space="preserve"> </w:t>
      </w:r>
      <w:r>
        <w:rPr>
          <w:rStyle w:val="VerbatimChar"/>
        </w:rPr>
        <w:t xml:space="preserve">REJECTED</w:t>
      </w:r>
      <w:r>
        <w:t xml:space="preserve">,</w:t>
      </w:r>
      <w:r>
        <w:t xml:space="preserve"> </w:t>
      </w:r>
      <w:r>
        <w:rPr>
          <w:rStyle w:val="VerbatimChar"/>
        </w:rPr>
        <w:t xml:space="preserve">EXPIRED</w:t>
      </w:r>
      <w:r>
        <w:t xml:space="preserve">,</w:t>
      </w:r>
      <w:r>
        <w:t xml:space="preserve"> </w:t>
      </w:r>
      <w:r>
        <w:rPr>
          <w:rStyle w:val="VerbatimChar"/>
        </w:rPr>
        <w:t xml:space="preserve">FAILED</w:t>
      </w:r>
      <w:r>
        <w:t xml:space="preserve">. Margin call:</w:t>
      </w:r>
      <w:r>
        <w:t xml:space="preserve"> </w:t>
      </w:r>
      <w:r>
        <w:rPr>
          <w:rStyle w:val="VerbatimChar"/>
        </w:rPr>
        <w:t xml:space="preserve">OPEN → CURED</w:t>
      </w:r>
      <w:r>
        <w:t xml:space="preserve">, or</w:t>
      </w:r>
      <w:r>
        <w:t xml:space="preserve"> </w:t>
      </w:r>
      <w:r>
        <w:rPr>
          <w:rStyle w:val="VerbatimChar"/>
        </w:rPr>
        <w:t xml:space="preserve">OPEN → LAPSED → INVOCATION_REVIEW → INVOKED or WAIVED_BY_RE_AUTHORITY</w:t>
      </w:r>
      <w: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4267"/>
        <w:gridCol w:w="2148"/>
        <w:gridCol w:w="3223"/>
      </w:tblGrid>
      <w:tr>
        <w:trPr>
          <w:tblHeader w:val="true"/>
          <w:tblHeader w:val="true"/>
        </w:trPr>
        <w:tc>
          <w:tcPr>
            <w:tcW w:w="4267" w:type="dxa"/>
            <w:shd w:val="clear" w:color="auto" w:fill="1F3A5F"/>
          </w:tcPr>
          <w:p>
            <w:pPr>
              <w:pStyle w:val="Compact"/>
              <w:spacing w:after="40"/>
              <w:jc w:val="left"/>
            </w:pPr>
            <w:r>
              <w:rPr>
                <w:b/>
                <w:color w:val="FFFFFF"/>
                <w:sz w:val="18"/>
              </w:rPr>
              <w:t xml:space="preserve">Step</w:t>
            </w:r>
          </w:p>
        </w:tc>
        <w:tc>
          <w:tcPr>
            <w:tcW w:w="2148" w:type="dxa"/>
            <w:shd w:val="clear" w:color="auto" w:fill="1F3A5F"/>
          </w:tcPr>
          <w:p>
            <w:pPr>
              <w:pStyle w:val="Compact"/>
              <w:spacing w:after="40"/>
              <w:jc w:val="left"/>
            </w:pPr>
            <w:r>
              <w:rPr>
                <w:b/>
                <w:color w:val="FFFFFF"/>
                <w:sz w:val="18"/>
              </w:rPr>
              <w:t xml:space="preserve">Events and APIs</w:t>
            </w:r>
          </w:p>
        </w:tc>
        <w:tc>
          <w:tcPr>
            <w:tcW w:w="3223" w:type="dxa"/>
            <w:shd w:val="clear" w:color="auto" w:fill="1F3A5F"/>
          </w:tcPr>
          <w:p>
            <w:pPr>
              <w:pStyle w:val="Compact"/>
              <w:spacing w:after="40"/>
              <w:jc w:val="left"/>
            </w:pPr>
            <w:r>
              <w:rPr>
                <w:b/>
                <w:color w:val="FFFFFF"/>
                <w:sz w:val="18"/>
              </w:rPr>
              <w:t xml:space="preserve">Rule and clock</w:t>
            </w:r>
          </w:p>
        </w:tc>
      </w:tr>
      <w:tr>
        <w:tc>
          <w:tcPr>
            <w:tcW w:w="4267" w:type="dxa"/>
          </w:tcPr>
          <w:p>
            <w:pPr>
              <w:pStyle w:val="Compact"/>
              <w:spacing w:after="40"/>
              <w:jc w:val="left"/>
            </w:pPr>
            <w:r>
              <w:rPr>
                <w:sz w:val="18"/>
              </w:rPr>
              <w:t xml:space="preserve">1. Holdings from CDSL LAS (eSign consent), NSDL statement, RTA or MF Central (OTP)</w:t>
            </w:r>
          </w:p>
        </w:tc>
        <w:tc>
          <w:tcPr>
            <w:tcW w:w="2148" w:type="dxa"/>
          </w:tcPr>
          <w:p>
            <w:pPr>
              <w:pStyle w:val="Compact"/>
              <w:spacing w:after="40"/>
              <w:jc w:val="left"/>
            </w:pPr>
            <w:r>
              <w:rPr>
                <w:rStyle w:val="VerbatimChar"/>
                <w:sz w:val="18"/>
              </w:rPr>
              <w:t xml:space="preserve">ConsentRecorded</w:t>
            </w:r>
            <w:r>
              <w:rPr>
                <w:sz w:val="18"/>
              </w:rPr>
              <w:t xml:space="preserve">,</w:t>
            </w:r>
            <w:r>
              <w:rPr>
                <w:sz w:val="18"/>
              </w:rPr>
              <w:t xml:space="preserve"> </w:t>
            </w:r>
            <w:r>
              <w:rPr>
                <w:rStyle w:val="VerbatimChar"/>
                <w:sz w:val="18"/>
              </w:rPr>
              <w:t xml:space="preserve">CollateralHoldingsShared</w:t>
            </w:r>
          </w:p>
        </w:tc>
        <w:tc>
          <w:tcPr>
            <w:tcW w:w="3223" w:type="dxa"/>
          </w:tcPr>
          <w:p>
            <w:pPr>
              <w:pStyle w:val="Compact"/>
              <w:spacing w:after="40"/>
              <w:jc w:val="left"/>
            </w:pPr>
            <w:r>
              <w:rPr>
                <w:sz w:val="18"/>
              </w:rPr>
              <w:t xml:space="preserve">Consent names RE and purpose (CF para 13)</w:t>
            </w:r>
          </w:p>
        </w:tc>
      </w:tr>
      <w:tr>
        <w:tc>
          <w:tcPr>
            <w:tcW w:w="4267" w:type="dxa"/>
          </w:tcPr>
          <w:p>
            <w:pPr>
              <w:pStyle w:val="Compact"/>
              <w:spacing w:after="40"/>
              <w:jc w:val="left"/>
            </w:pPr>
            <w:r>
              <w:rPr>
                <w:sz w:val="18"/>
              </w:rPr>
              <w:t xml:space="preserve">2. Indicative value = Σ units × price × (1 − haircut), capped</w:t>
            </w:r>
          </w:p>
        </w:tc>
        <w:tc>
          <w:tcPr>
            <w:tcW w:w="2148" w:type="dxa"/>
          </w:tcPr>
          <w:p>
            <w:pPr>
              <w:pStyle w:val="Compact"/>
              <w:spacing w:after="40"/>
              <w:jc w:val="left"/>
            </w:pPr>
            <w:r>
              <w:rPr>
                <w:sz w:val="18"/>
              </w:rPr>
              <w:t xml:space="preserve">Haircut version in</w:t>
            </w:r>
            <w:r>
              <w:rPr>
                <w:sz w:val="18"/>
              </w:rPr>
              <w:t xml:space="preserve"> </w:t>
            </w:r>
            <w:r>
              <w:rPr>
                <w:rStyle w:val="VerbatimChar"/>
                <w:sz w:val="18"/>
              </w:rPr>
              <w:t xml:space="preserve">ProductCatalogPublished</w:t>
            </w:r>
            <w:r>
              <w:rPr>
                <w:sz w:val="18"/>
              </w:rPr>
              <w:t xml:space="preserve">; eligibility-quote API</w:t>
            </w:r>
          </w:p>
        </w:tc>
        <w:tc>
          <w:tcPr>
            <w:tcW w:w="3223" w:type="dxa"/>
          </w:tcPr>
          <w:p>
            <w:pPr>
              <w:pStyle w:val="Compact"/>
              <w:spacing w:after="40"/>
              <w:jc w:val="left"/>
            </w:pPr>
            <w:r>
              <w:rPr>
                <w:sz w:val="18"/>
              </w:rPr>
              <w:t xml:space="preserve">Labelled indicative; Group 1 only for capital-market loans above ₹5 lakh; no own shares; IPO ≤ ₹1 crore; no primary-gold-backed units (CF paras 104, 105, 106(2)(i), 35(2))</w:t>
            </w:r>
          </w:p>
        </w:tc>
      </w:tr>
      <w:tr>
        <w:tc>
          <w:tcPr>
            <w:tcW w:w="4267" w:type="dxa"/>
          </w:tcPr>
          <w:p>
            <w:pPr>
              <w:pStyle w:val="Compact"/>
              <w:spacing w:after="40"/>
              <w:jc w:val="left"/>
            </w:pPr>
            <w:r>
              <w:rPr>
                <w:sz w:val="18"/>
              </w:rPr>
              <w:t xml:space="preserve">3. Application, sanction, KFS, signing</w:t>
            </w:r>
          </w:p>
        </w:tc>
        <w:tc>
          <w:tcPr>
            <w:tcW w:w="2148" w:type="dxa"/>
          </w:tcPr>
          <w:p>
            <w:pPr>
              <w:pStyle w:val="Compact"/>
              <w:spacing w:after="40"/>
              <w:jc w:val="left"/>
            </w:pPr>
            <w:r>
              <w:rPr>
                <w:rStyle w:val="VerbatimChar"/>
                <w:sz w:val="18"/>
              </w:rPr>
              <w:t xml:space="preserve">ApplicationSubmitted</w:t>
            </w:r>
            <w:r>
              <w:rPr>
                <w:sz w:val="18"/>
              </w:rPr>
              <w:t xml:space="preserve">,</w:t>
            </w:r>
            <w:r>
              <w:rPr>
                <w:sz w:val="18"/>
              </w:rPr>
              <w:t xml:space="preserve"> </w:t>
            </w:r>
            <w:r>
              <w:rPr>
                <w:rStyle w:val="VerbatimChar"/>
                <w:sz w:val="18"/>
              </w:rPr>
              <w:t xml:space="preserve">DecisionMade</w:t>
            </w:r>
            <w:r>
              <w:rPr>
                <w:sz w:val="18"/>
              </w:rPr>
              <w:t xml:space="preserve">,</w:t>
            </w:r>
            <w:r>
              <w:rPr>
                <w:sz w:val="18"/>
              </w:rPr>
              <w:t xml:space="preserve"> </w:t>
            </w:r>
            <w:r>
              <w:rPr>
                <w:rStyle w:val="VerbatimChar"/>
                <w:sz w:val="18"/>
              </w:rPr>
              <w:t xml:space="preserve">KFSIssued</w:t>
            </w:r>
            <w:r>
              <w:rPr>
                <w:sz w:val="18"/>
              </w:rPr>
              <w:t xml:space="preserve">,</w:t>
            </w:r>
            <w:r>
              <w:rPr>
                <w:sz w:val="18"/>
              </w:rPr>
              <w:t xml:space="preserve"> </w:t>
            </w:r>
            <w:r>
              <w:rPr>
                <w:rStyle w:val="VerbatimChar"/>
                <w:sz w:val="18"/>
              </w:rPr>
              <w:t xml:space="preserve">ESignCompleted</w:t>
            </w:r>
          </w:p>
        </w:tc>
        <w:tc>
          <w:tcPr>
            <w:tcW w:w="3223" w:type="dxa"/>
          </w:tcPr>
          <w:p>
            <w:pPr>
              <w:pStyle w:val="Compact"/>
              <w:spacing w:after="40"/>
              <w:jc w:val="left"/>
            </w:pPr>
            <w:r>
              <w:rPr>
                <w:sz w:val="18"/>
              </w:rPr>
              <w:t xml:space="preserve">RE decision (OUT para 15)</w:t>
            </w:r>
          </w:p>
        </w:tc>
      </w:tr>
      <w:tr>
        <w:tc>
          <w:tcPr>
            <w:tcW w:w="4267" w:type="dxa"/>
          </w:tcPr>
          <w:p>
            <w:pPr>
              <w:pStyle w:val="Compact"/>
              <w:spacing w:after="40"/>
              <w:jc w:val="left"/>
            </w:pPr>
            <w:r>
              <w:rPr>
                <w:sz w:val="18"/>
              </w:rPr>
              <w:t xml:space="preserve">4. Pledge or lien: borrower OTP; CDSL DP approval same day with reasons for rejection (CDSL/OPS/DP/POLICY/2026/468, 15 Jul 2026); NSDL pledgee acceptance; RTA lien for SOA units; depository pledge for demat units</w:t>
            </w:r>
          </w:p>
        </w:tc>
        <w:tc>
          <w:tcPr>
            <w:tcW w:w="2148" w:type="dxa"/>
          </w:tcPr>
          <w:p>
            <w:pPr>
              <w:pStyle w:val="Compact"/>
              <w:spacing w:after="40"/>
              <w:jc w:val="left"/>
            </w:pPr>
            <w:r>
              <w:rPr>
                <w:rStyle w:val="VerbatimChar"/>
                <w:sz w:val="18"/>
              </w:rPr>
              <w:t xml:space="preserve">CollateralPledgeRequested</w:t>
            </w:r>
            <w:r>
              <w:rPr>
                <w:sz w:val="18"/>
              </w:rPr>
              <w:t xml:space="preserve">,</w:t>
            </w:r>
            <w:r>
              <w:rPr>
                <w:sz w:val="18"/>
              </w:rPr>
              <w:t xml:space="preserve"> </w:t>
            </w:r>
            <w:r>
              <w:rPr>
                <w:rStyle w:val="VerbatimChar"/>
                <w:sz w:val="18"/>
              </w:rPr>
              <w:t xml:space="preserve">CollateralPledgeCreated</w:t>
            </w:r>
            <w:r>
              <w:rPr>
                <w:sz w:val="18"/>
              </w:rPr>
              <w:t xml:space="preserve"> </w:t>
            </w:r>
            <w:r>
              <w:rPr>
                <w:sz w:val="18"/>
              </w:rPr>
              <w:t xml:space="preserve">or</w:t>
            </w:r>
            <w:r>
              <w:rPr>
                <w:sz w:val="18"/>
              </w:rPr>
              <w:t xml:space="preserve"> </w:t>
            </w:r>
            <w:r>
              <w:rPr>
                <w:rStyle w:val="VerbatimChar"/>
                <w:sz w:val="18"/>
              </w:rPr>
              <w:t xml:space="preserve">CollateralPledgeFailed</w:t>
            </w:r>
          </w:p>
        </w:tc>
        <w:tc>
          <w:tcPr>
            <w:tcW w:w="3223" w:type="dxa"/>
          </w:tcPr>
          <w:p>
            <w:pPr>
              <w:pStyle w:val="Compact"/>
              <w:spacing w:after="40"/>
              <w:jc w:val="left"/>
            </w:pPr>
            <w:r>
              <w:rPr>
                <w:sz w:val="18"/>
              </w:rPr>
              <w:t xml:space="preserve">Accepted NSDL pledge cannot be cancelled by pledgor; SEBI margin pledge (25 Feb 2020) is not an LAS rail</w:t>
            </w:r>
          </w:p>
        </w:tc>
      </w:tr>
      <w:tr>
        <w:tc>
          <w:tcPr>
            <w:tcW w:w="4267" w:type="dxa"/>
          </w:tcPr>
          <w:p>
            <w:pPr>
              <w:pStyle w:val="Compact"/>
              <w:spacing w:after="40"/>
              <w:jc w:val="left"/>
            </w:pPr>
            <w:r>
              <w:rPr>
                <w:sz w:val="18"/>
              </w:rPr>
              <w:t xml:space="preserve">5. Disbursement after sanction, documents, verified account, CONFIRMED pledge, sufficient DP</w:t>
            </w:r>
          </w:p>
        </w:tc>
        <w:tc>
          <w:tcPr>
            <w:tcW w:w="2148" w:type="dxa"/>
          </w:tcPr>
          <w:p>
            <w:pPr>
              <w:pStyle w:val="Compact"/>
              <w:spacing w:after="40"/>
              <w:jc w:val="left"/>
            </w:pPr>
            <w:r>
              <w:rPr>
                <w:rStyle w:val="VerbatimChar"/>
                <w:sz w:val="18"/>
              </w:rPr>
              <w:t xml:space="preserve">LoanDisbursed</w:t>
            </w:r>
            <w:r>
              <w:rPr>
                <w:sz w:val="18"/>
              </w:rPr>
              <w:t xml:space="preserve"> </w:t>
            </w:r>
            <w:r>
              <w:rPr>
                <w:sz w:val="18"/>
              </w:rPr>
              <w:t xml:space="preserve">(INITIAL)</w:t>
            </w:r>
          </w:p>
        </w:tc>
        <w:tc>
          <w:tcPr>
            <w:tcW w:w="3223" w:type="dxa"/>
          </w:tcPr>
          <w:p>
            <w:pPr>
              <w:pStyle w:val="Compact"/>
              <w:spacing w:after="40"/>
              <w:jc w:val="left"/>
            </w:pPr>
            <w:r>
              <w:rPr>
                <w:sz w:val="18"/>
              </w:rPr>
              <w:t xml:space="preserve">RE account to borrower (CF para 10(1))</w:t>
            </w:r>
          </w:p>
        </w:tc>
      </w:tr>
      <w:tr>
        <w:tc>
          <w:tcPr>
            <w:tcW w:w="4267" w:type="dxa"/>
          </w:tcPr>
          <w:p>
            <w:pPr>
              <w:pStyle w:val="Compact"/>
              <w:spacing w:after="40"/>
              <w:jc w:val="left"/>
            </w:pPr>
            <w:r>
              <w:rPr>
                <w:sz w:val="18"/>
              </w:rPr>
              <w:t xml:space="preserve">6. Daily valuation on T-1 bhavcopy or AMFI NAV: DP = min(limit, eligible value after haircuts and caps); available = max(0, DP − utilised − reservations − dues); regulatory LTV = outstanding (principal, accrued interest and charges due) ÷ market value of pledged securities, tested separately from DP</w:t>
            </w:r>
          </w:p>
        </w:tc>
        <w:tc>
          <w:tcPr>
            <w:tcW w:w="2148" w:type="dxa"/>
          </w:tcPr>
          <w:p>
            <w:pPr>
              <w:pStyle w:val="Compact"/>
              <w:spacing w:after="40"/>
              <w:jc w:val="left"/>
            </w:pPr>
            <w:r>
              <w:rPr>
                <w:rStyle w:val="VerbatimChar"/>
                <w:sz w:val="18"/>
              </w:rPr>
              <w:t xml:space="preserve">CollateralValuationUpdated</w:t>
            </w:r>
          </w:p>
        </w:tc>
        <w:tc>
          <w:tcPr>
            <w:tcW w:w="3223" w:type="dxa"/>
          </w:tcPr>
          <w:p>
            <w:pPr>
              <w:pStyle w:val="Compact"/>
              <w:spacing w:after="40"/>
              <w:jc w:val="left"/>
            </w:pPr>
            <w:r>
              <w:rPr>
                <w:sz w:val="18"/>
              </w:rPr>
              <w:t xml:space="preserve">Freeze drawdowns if prices &gt; 1 business day old [REC]</w:t>
            </w:r>
          </w:p>
        </w:tc>
      </w:tr>
      <w:tr>
        <w:tc>
          <w:tcPr>
            <w:tcW w:w="4267" w:type="dxa"/>
          </w:tcPr>
          <w:p>
            <w:pPr>
              <w:pStyle w:val="Compact"/>
              <w:spacing w:after="40"/>
              <w:jc w:val="left"/>
            </w:pPr>
            <w:r>
              <w:rPr>
                <w:sz w:val="18"/>
              </w:rPr>
              <w:t xml:space="preserve">7. Drawdown via Udofin (FAPI 2.0)</w:t>
            </w:r>
          </w:p>
        </w:tc>
        <w:tc>
          <w:tcPr>
            <w:tcW w:w="2148" w:type="dxa"/>
          </w:tcPr>
          <w:p>
            <w:pPr>
              <w:pStyle w:val="Compact"/>
              <w:spacing w:after="40"/>
              <w:jc w:val="left"/>
            </w:pPr>
            <w:r>
              <w:rPr>
                <w:rStyle w:val="VerbatimChar"/>
                <w:sz w:val="18"/>
              </w:rPr>
              <w:t xml:space="preserve">DrawdownRequested</w:t>
            </w:r>
            <w:r>
              <w:rPr>
                <w:sz w:val="18"/>
              </w:rPr>
              <w:t xml:space="preserve">,</w:t>
            </w:r>
            <w:r>
              <w:rPr>
                <w:sz w:val="18"/>
              </w:rPr>
              <w:t xml:space="preserve"> </w:t>
            </w:r>
            <w:r>
              <w:rPr>
                <w:rStyle w:val="VerbatimChar"/>
                <w:sz w:val="18"/>
              </w:rPr>
              <w:t xml:space="preserve">LoanDisbursed</w:t>
            </w:r>
            <w:r>
              <w:rPr>
                <w:sz w:val="18"/>
              </w:rPr>
              <w:t xml:space="preserve"> </w:t>
            </w:r>
            <w:r>
              <w:rPr>
                <w:sz w:val="18"/>
              </w:rPr>
              <w:t xml:space="preserve">(DRAWDOWN)</w:t>
            </w:r>
          </w:p>
        </w:tc>
        <w:tc>
          <w:tcPr>
            <w:tcW w:w="3223" w:type="dxa"/>
          </w:tcPr>
          <w:p>
            <w:pPr>
              <w:pStyle w:val="Compact"/>
              <w:spacing w:after="40"/>
              <w:jc w:val="left"/>
            </w:pPr>
            <w:r>
              <w:rPr>
                <w:sz w:val="18"/>
              </w:rPr>
              <w:t xml:space="preserve">Default term loan with DP-capped tranches; OD only behind</w:t>
            </w:r>
            <w:r>
              <w:rPr>
                <w:sz w:val="18"/>
              </w:rPr>
              <w:t xml:space="preserve"> </w:t>
            </w:r>
            <w:r>
              <w:rPr>
                <w:rStyle w:val="VerbatimChar"/>
                <w:sz w:val="18"/>
              </w:rPr>
              <w:t xml:space="preserve">mod.las.revolving</w:t>
            </w:r>
            <w:r>
              <w:rPr>
                <w:sz w:val="18"/>
              </w:rPr>
              <w:t xml:space="preserve"> </w:t>
            </w:r>
            <w:r>
              <w:rPr>
                <w:sz w:val="18"/>
              </w:rPr>
              <w:t xml:space="preserve">pending the August 2026 draft CF amendment [VERIFY]; no automatic limit increase (CF para 8(2))</w:t>
            </w:r>
          </w:p>
        </w:tc>
      </w:tr>
      <w:tr>
        <w:tc>
          <w:tcPr>
            <w:tcW w:w="4267" w:type="dxa"/>
          </w:tcPr>
          <w:p>
            <w:pPr>
              <w:pStyle w:val="Compact"/>
              <w:spacing w:after="40"/>
              <w:jc w:val="left"/>
            </w:pPr>
            <w:r>
              <w:rPr>
                <w:sz w:val="18"/>
              </w:rPr>
              <w:t xml:space="preserve">8. Margin call</w:t>
            </w:r>
          </w:p>
        </w:tc>
        <w:tc>
          <w:tcPr>
            <w:tcW w:w="2148" w:type="dxa"/>
          </w:tcPr>
          <w:p>
            <w:pPr>
              <w:pStyle w:val="Compact"/>
              <w:spacing w:after="40"/>
              <w:jc w:val="left"/>
            </w:pPr>
            <w:r>
              <w:rPr>
                <w:rStyle w:val="VerbatimChar"/>
                <w:sz w:val="18"/>
              </w:rPr>
              <w:t xml:space="preserve">MarginCallRaised</w:t>
            </w:r>
            <w:r>
              <w:rPr>
                <w:sz w:val="18"/>
              </w:rPr>
              <w:t xml:space="preserve">, cure-intent API,</w:t>
            </w:r>
            <w:r>
              <w:rPr>
                <w:sz w:val="18"/>
              </w:rPr>
              <w:t xml:space="preserve"> </w:t>
            </w:r>
            <w:r>
              <w:rPr>
                <w:rStyle w:val="VerbatimChar"/>
                <w:sz w:val="18"/>
              </w:rPr>
              <w:t xml:space="preserve">MarginCallCured</w:t>
            </w:r>
            <w:r>
              <w:rPr>
                <w:sz w:val="18"/>
              </w:rPr>
              <w:t xml:space="preserve"> </w:t>
            </w:r>
            <w:r>
              <w:rPr>
                <w:sz w:val="18"/>
              </w:rPr>
              <w:t xml:space="preserve">or</w:t>
            </w:r>
            <w:r>
              <w:rPr>
                <w:sz w:val="18"/>
              </w:rPr>
              <w:t xml:space="preserve"> </w:t>
            </w:r>
            <w:r>
              <w:rPr>
                <w:rStyle w:val="VerbatimChar"/>
                <w:sz w:val="18"/>
              </w:rPr>
              <w:t xml:space="preserve">MarginCallLapsed</w:t>
            </w:r>
          </w:p>
        </w:tc>
        <w:tc>
          <w:tcPr>
            <w:tcW w:w="3223" w:type="dxa"/>
          </w:tcPr>
          <w:p>
            <w:pPr>
              <w:pStyle w:val="Compact"/>
              <w:spacing w:after="40"/>
              <w:jc w:val="left"/>
            </w:pPr>
            <w:r>
              <w:rPr>
                <w:sz w:val="18"/>
              </w:rPr>
              <w:t xml:space="preserve">Listed shares, NBFC assets ≥ ₹100 crore: 50% LTV at all times, cure in 7 working days (CF para 106(1)); others Board policy</w:t>
            </w:r>
          </w:p>
        </w:tc>
      </w:tr>
      <w:tr>
        <w:tc>
          <w:tcPr>
            <w:tcW w:w="4267" w:type="dxa"/>
          </w:tcPr>
          <w:p>
            <w:pPr>
              <w:pStyle w:val="Compact"/>
              <w:spacing w:after="40"/>
              <w:jc w:val="left"/>
            </w:pPr>
            <w:r>
              <w:rPr>
                <w:sz w:val="18"/>
              </w:rPr>
              <w:t xml:space="preserve">9. Invocation by RE after pre-invocation notice (ICA ss.176–177; SEBI circular 5 Feb 2026 [VERIFY]); DP invokes or RTA redeems to RE</w:t>
            </w:r>
          </w:p>
        </w:tc>
        <w:tc>
          <w:tcPr>
            <w:tcW w:w="2148" w:type="dxa"/>
          </w:tcPr>
          <w:p>
            <w:pPr>
              <w:pStyle w:val="Compact"/>
              <w:spacing w:after="40"/>
              <w:jc w:val="left"/>
            </w:pPr>
            <w:r>
              <w:rPr>
                <w:rStyle w:val="VerbatimChar"/>
                <w:sz w:val="18"/>
              </w:rPr>
              <w:t xml:space="preserve">LegalNoticeIssued</w:t>
            </w:r>
            <w:r>
              <w:rPr>
                <w:sz w:val="18"/>
              </w:rPr>
              <w:t xml:space="preserve">,</w:t>
            </w:r>
            <w:r>
              <w:rPr>
                <w:sz w:val="18"/>
              </w:rPr>
              <w:t xml:space="preserve"> </w:t>
            </w:r>
            <w:r>
              <w:rPr>
                <w:rStyle w:val="VerbatimChar"/>
                <w:sz w:val="18"/>
              </w:rPr>
              <w:t xml:space="preserve">CollateralInvoked</w:t>
            </w:r>
            <w:r>
              <w:rPr>
                <w:sz w:val="18"/>
              </w:rPr>
              <w:t xml:space="preserve">,</w:t>
            </w:r>
            <w:r>
              <w:rPr>
                <w:sz w:val="18"/>
              </w:rPr>
              <w:t xml:space="preserve"> </w:t>
            </w:r>
            <w:r>
              <w:rPr>
                <w:rStyle w:val="VerbatimChar"/>
                <w:sz w:val="18"/>
              </w:rPr>
              <w:t xml:space="preserve">RecoveryReceiptPosted</w:t>
            </w:r>
            <w:r>
              <w:rPr>
                <w:sz w:val="18"/>
              </w:rPr>
              <w:t xml:space="preserve">,</w:t>
            </w:r>
            <w:r>
              <w:rPr>
                <w:sz w:val="18"/>
              </w:rPr>
              <w:t xml:space="preserve"> </w:t>
            </w:r>
            <w:r>
              <w:rPr>
                <w:rStyle w:val="VerbatimChar"/>
                <w:sz w:val="18"/>
              </w:rPr>
              <w:t xml:space="preserve">SurplusRefunded</w:t>
            </w:r>
          </w:p>
        </w:tc>
        <w:tc>
          <w:tcPr>
            <w:tcW w:w="3223" w:type="dxa"/>
          </w:tcPr>
          <w:p>
            <w:pPr>
              <w:pStyle w:val="Compact"/>
              <w:spacing w:after="40"/>
              <w:jc w:val="left"/>
            </w:pPr>
            <w:r>
              <w:rPr>
                <w:sz w:val="18"/>
              </w:rPr>
              <w:t xml:space="preserve">Locked-in securities excluded; takeover and insider disclosures where triggered [VERIFY]; surplus to borrower</w:t>
            </w:r>
          </w:p>
        </w:tc>
      </w:tr>
      <w:tr>
        <w:tc>
          <w:tcPr>
            <w:tcW w:w="4267" w:type="dxa"/>
          </w:tcPr>
          <w:p>
            <w:pPr>
              <w:pStyle w:val="Compact"/>
              <w:spacing w:after="40"/>
              <w:jc w:val="left"/>
            </w:pPr>
            <w:r>
              <w:rPr>
                <w:sz w:val="18"/>
              </w:rPr>
              <w:t xml:space="preserve">10. Release on zero dues, no hold</w:t>
            </w:r>
          </w:p>
        </w:tc>
        <w:tc>
          <w:tcPr>
            <w:tcW w:w="2148" w:type="dxa"/>
          </w:tcPr>
          <w:p>
            <w:pPr>
              <w:pStyle w:val="Compact"/>
              <w:spacing w:after="40"/>
              <w:jc w:val="left"/>
            </w:pPr>
            <w:r>
              <w:rPr>
                <w:rStyle w:val="VerbatimChar"/>
                <w:sz w:val="18"/>
              </w:rPr>
              <w:t xml:space="preserve">CollateralReleased</w:t>
            </w:r>
            <w:r>
              <w:rPr>
                <w:sz w:val="18"/>
              </w:rPr>
              <w:t xml:space="preserve">,</w:t>
            </w:r>
            <w:r>
              <w:rPr>
                <w:sz w:val="18"/>
              </w:rPr>
              <w:t xml:space="preserve"> </w:t>
            </w:r>
            <w:r>
              <w:rPr>
                <w:rStyle w:val="VerbatimChar"/>
                <w:sz w:val="18"/>
              </w:rPr>
              <w:t xml:space="preserve">NOCIssued</w:t>
            </w:r>
            <w:r>
              <w:rPr>
                <w:sz w:val="18"/>
              </w:rPr>
              <w:t xml:space="preserve">,</w:t>
            </w:r>
            <w:r>
              <w:rPr>
                <w:sz w:val="18"/>
              </w:rPr>
              <w:t xml:space="preserve"> </w:t>
            </w:r>
            <w:r>
              <w:rPr>
                <w:rStyle w:val="VerbatimChar"/>
                <w:sz w:val="18"/>
              </w:rPr>
              <w:t xml:space="preserve">LoanClosed</w:t>
            </w:r>
          </w:p>
        </w:tc>
        <w:tc>
          <w:tcPr>
            <w:tcW w:w="3223" w:type="dxa"/>
          </w:tcPr>
          <w:p>
            <w:pPr>
              <w:pStyle w:val="Compact"/>
              <w:spacing w:after="40"/>
              <w:jc w:val="left"/>
            </w:pPr>
            <w:r>
              <w:rPr>
                <w:sz w:val="18"/>
              </w:rPr>
              <w:t xml:space="preserve">≤ 2 working days [REC]</w:t>
            </w:r>
          </w:p>
        </w:tc>
      </w:tr>
      <w:tr>
        <w:tc>
          <w:tcPr>
            <w:tcW w:w="4267" w:type="dxa"/>
          </w:tcPr>
          <w:p>
            <w:pPr>
              <w:pStyle w:val="Compact"/>
              <w:spacing w:after="40"/>
              <w:jc w:val="left"/>
            </w:pPr>
            <w:r>
              <w:rPr>
                <w:sz w:val="18"/>
              </w:rPr>
              <w:t xml:space="preserve">11. Corporate actions; quarterly pledged-share report to exchanges (CF para 106(2)(ii)); daily pledge reconciliation</w:t>
            </w:r>
          </w:p>
        </w:tc>
        <w:tc>
          <w:tcPr>
            <w:tcW w:w="2148" w:type="dxa"/>
          </w:tcPr>
          <w:p>
            <w:pPr>
              <w:pStyle w:val="Compact"/>
              <w:spacing w:after="40"/>
              <w:jc w:val="left"/>
            </w:pPr>
            <w:r>
              <w:rPr>
                <w:rStyle w:val="VerbatimChar"/>
                <w:sz w:val="18"/>
              </w:rPr>
              <w:t xml:space="preserve">ReconciliationBreakRaised</w:t>
            </w:r>
          </w:p>
        </w:tc>
        <w:tc>
          <w:tcPr>
            <w:tcW w:w="3223" w:type="dxa"/>
          </w:tcPr>
          <w:p>
            <w:pPr>
              <w:pStyle w:val="Compact"/>
              <w:spacing w:after="40"/>
              <w:jc w:val="left"/>
            </w:pPr>
            <w:r>
              <w:rPr>
                <w:sz w:val="18"/>
              </w:rPr>
              <w:t xml:space="preserve">Quarterly; daily</w:t>
            </w:r>
          </w:p>
        </w:tc>
      </w:tr>
    </w:tbl>
    <w:bookmarkEnd w:id="81"/>
    <w:bookmarkStart w:id="82" w:name="daily-reconciliation-points"/>
    <w:p>
      <w:pPr>
        <w:pStyle w:val="Heading2"/>
      </w:pPr>
      <w:r>
        <w:t xml:space="preserve">7.4 Daily reconciliation points</w:t>
      </w:r>
    </w:p>
    <w:p>
      <w:pPr>
        <w:pStyle w:val="FirstParagraph"/>
      </w:pPr>
      <w:r>
        <w:t xml:space="preserve">Applications sent vs acknowledged; KFS issued vs accepted in validity; disbursement UTRs (bank, Finbyx, mirror); RE collections vs allocation vs Udofin and agency receipts; collateral registers vs depository, RTA, Vahan, CERSAI, TReDS, vault; co-lending escrow three-way; DLG cover, invocations, shares and disclosure (CF para 28); LSP fees paid by the RE (CF para 10(4)); classification-sync timestamps; servicer remittances per transferee (TDCR paras 29–30, 41); legal status vs Equator and court feeds; settlements vs consent decrees (RSA para 100); from v1.1: centre-meeting receipts vs</w:t>
      </w:r>
      <w:r>
        <w:t xml:space="preserve"> </w:t>
      </w:r>
      <w:r>
        <w:rPr>
          <w:rStyle w:val="VerbatimChar"/>
        </w:rPr>
        <w:t xml:space="preserve">GroupCollectionPosted</w:t>
      </w:r>
      <w:r>
        <w:t xml:space="preserve"> </w:t>
      </w:r>
      <w:r>
        <w:t xml:space="preserve">vs bank; share capital vs society ledger; deal state vs the RE’s LSP register (OUT para 36); servicer collections held in trust vs remittances (SEC para 95); usage statements vs source events before invoicing; entitlements and module states as applied in each product vs those issued by OH8 (daily,</w:t>
      </w:r>
      <w:r>
        <w:t xml:space="preserve"> </w:t>
      </w:r>
      <w:r>
        <w:rPr>
          <w:rStyle w:val="VerbatimChar"/>
        </w:rPr>
        <w:t xml:space="preserve">GET /v1/entitlements</w:t>
      </w:r>
      <w:r>
        <w:t xml:space="preserve">); provisioning requests vs acknowledged tenants; bureau files submitted vs acknowledgements and rejections; return instances due vs filed.</w:t>
      </w:r>
    </w:p>
    <w:p>
      <w:r>
        <w:pict>
          <v:rect style="width:0;height:1.5pt" o:hralign="center" o:hrstd="t" o:hr="t"/>
        </w:pict>
      </w:r>
    </w:p>
    <w:bookmarkEnd w:id="82"/>
    <w:bookmarkEnd w:id="83"/>
    <w:bookmarkStart w:id="93" w:name="X23ebe552c78cc482f8b3597637fb9b0d02c7201"/>
    <w:p>
      <w:pPr>
        <w:pStyle w:val="Heading1"/>
      </w:pPr>
      <w:r>
        <w:t xml:space="preserve">8 — EQUATOR RESOLUTION (AND OTHER ODR/ADR PROVIDERS) INTEGRATION</w:t>
      </w:r>
    </w:p>
    <w:bookmarkStart w:id="84" w:name="role-and-principles"/>
    <w:p>
      <w:pPr>
        <w:pStyle w:val="Heading2"/>
      </w:pPr>
      <w:r>
        <w:t xml:space="preserve">8.1 Role and principles</w:t>
      </w:r>
    </w:p>
    <w:p>
      <w:pPr>
        <w:pStyle w:val="FirstParagraph"/>
      </w:pPr>
      <w:r>
        <w:t xml:space="preserve">Equator is an</w:t>
      </w:r>
      <w:r>
        <w:t xml:space="preserve"> </w:t>
      </w:r>
      <w:r>
        <w:rPr>
          <w:bCs/>
          <w:b/>
        </w:rPr>
        <w:t xml:space="preserve">independent ODR institution</w:t>
      </w:r>
      <w:r>
        <w:t xml:space="preserve">, not an agent of the RE or Udofin; common Infrabyx ownership is disclosed in every case and Equator is structurally separate (company, staff, panel, database, fee ledger) [VERIFY: legal opinion on Fifth Schedule justifiable doubts]. The integration is</w:t>
      </w:r>
      <w:r>
        <w:t xml:space="preserve"> </w:t>
      </w:r>
      <w:r>
        <w:rPr>
          <w:bCs/>
          <w:b/>
        </w:rPr>
        <w:t xml:space="preserve">provider-neutral</w:t>
      </w:r>
      <w:r>
        <w:t xml:space="preserve"> </w:t>
      </w:r>
      <w:r>
        <w:t xml:space="preserve">through</w:t>
      </w:r>
      <w:r>
        <w:t xml:space="preserve"> </w:t>
      </w:r>
      <w:r>
        <w:rPr>
          <w:rStyle w:val="VerbatimChar"/>
        </w:rPr>
        <w:t xml:space="preserve">OdrProvider</w:t>
      </w:r>
      <w:r>
        <w:t xml:space="preserve"> </w:t>
      </w:r>
      <w:r>
        <w:t xml:space="preserve">(8.9); no other surveyed provider publishes a lender API or webhook specification (public documentation reviewed October 2026), so file and portal fallbacks exist.</w:t>
      </w:r>
      <w:r>
        <w:t xml:space="preserve"> </w:t>
      </w:r>
      <w:r>
        <w:rPr>
          <w:bCs/>
          <w:b/>
        </w:rPr>
        <w:t xml:space="preserve">Only the RE refers:</w:t>
      </w:r>
      <w:r>
        <w:t xml:space="preserve"> </w:t>
      </w:r>
      <w:r>
        <w:rPr>
          <w:rStyle w:val="VerbatimChar"/>
        </w:rPr>
        <w:t xml:space="preserve">adr.referral:create</w:t>
      </w:r>
      <w:r>
        <w:t xml:space="preserve"> </w:t>
      </w:r>
      <w:r>
        <w:t xml:space="preserve">is never issued to an LSP, agency or borrower product; Udofin may suggest ADR and relay requests.</w:t>
      </w:r>
    </w:p>
    <w:bookmarkEnd w:id="84"/>
    <w:bookmarkStart w:id="85" w:name="referral-rules-and-gates"/>
    <w:p>
      <w:pPr>
        <w:pStyle w:val="Heading2"/>
      </w:pPr>
      <w:r>
        <w:t xml:space="preserve">8.2 Referral rules and gates</w:t>
      </w:r>
    </w:p>
    <w:p>
      <w:pPr>
        <w:pStyle w:val="FirstParagraph"/>
      </w:pPr>
      <w:r>
        <w:rPr>
          <w:bCs/>
          <w:b/>
        </w:rPr>
        <w:t xml:space="preserve">[LAW] Arbitration basis.</w:t>
      </w:r>
      <w:r>
        <w:t xml:space="preserve"> </w:t>
      </w:r>
      <w:r>
        <w:t xml:space="preserve">Refer only where the loan agreement names Equator or another independent institution, or the borrower gives written post-dispute consent (A&amp;C Act s.7; electronic form, s.7(4)(b)). The RE never appoints, nominates or offers a curated list (</w:t>
      </w:r>
      <w:r>
        <w:rPr>
          <w:iCs/>
          <w:i/>
        </w:rPr>
        <w:t xml:space="preserve">Perkins Eastman v HSCC</w:t>
      </w:r>
      <w:r>
        <w:t xml:space="preserve"> </w:t>
      </w:r>
      <w:r>
        <w:t xml:space="preserve">(2020) 20 SCC 760;</w:t>
      </w:r>
      <w:r>
        <w:t xml:space="preserve"> </w:t>
      </w:r>
      <w:r>
        <w:rPr>
          <w:iCs/>
          <w:i/>
        </w:rPr>
        <w:t xml:space="preserve">CORE v ECI-SPIC-SMO-MCML (JV)</w:t>
      </w:r>
      <w:r>
        <w:t xml:space="preserve">, SC Constitution Bench, 8 Nov 2024). Referral to a non-agreed ODR institution with the borrower silent made the award a nullity (</w:t>
      </w:r>
      <w:r>
        <w:rPr>
          <w:iCs/>
          <w:i/>
        </w:rPr>
        <w:t xml:space="preserve">L&amp;T Finance v Jai Paras Material Store</w:t>
      </w:r>
      <w:r>
        <w:t xml:space="preserve">, Cal HC, 14 May 2026); a named institution is not unilateral (</w:t>
      </w:r>
      <w:r>
        <w:rPr>
          <w:iCs/>
          <w:i/>
        </w:rPr>
        <w:t xml:space="preserve">Sundaram Finance v Hanuman Prasad</w:t>
      </w:r>
      <w:r>
        <w:t xml:space="preserve">, Raj HC, 2026); repeated appointment of one arbitrator breached s.12 and Fifth Schedule items 22 and 24 (</w:t>
      </w:r>
      <w:r>
        <w:rPr>
          <w:iCs/>
          <w:i/>
        </w:rPr>
        <w:t xml:space="preserve">Shikha Ghosh v Axis Bank</w:t>
      </w:r>
      <w:r>
        <w:t xml:space="preserve">, Del HC DB, 30 Sep 2026; next date 17 Nov 2026) [VERIFY: outcome and any RBI direction].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3230"/>
        <w:gridCol w:w="3255"/>
        <w:gridCol w:w="3153"/>
      </w:tblGrid>
      <w:tr>
        <w:trPr>
          <w:tblHeader w:val="true"/>
          <w:tblHeader w:val="true"/>
        </w:trPr>
        <w:tc>
          <w:tcPr>
            <w:tcW w:w="3230" w:type="dxa"/>
            <w:shd w:val="clear" w:color="auto" w:fill="1F3A5F"/>
          </w:tcPr>
          <w:p>
            <w:pPr>
              <w:pStyle w:val="Compact"/>
              <w:spacing w:after="40"/>
              <w:jc w:val="left"/>
            </w:pPr>
            <w:r>
              <w:rPr>
                <w:b/>
                <w:color w:val="FFFFFF"/>
                <w:sz w:val="18"/>
              </w:rPr>
              <w:t xml:space="preserve">Gate (RS, before</w:t>
            </w:r>
            <w:r>
              <w:rPr>
                <w:b/>
                <w:color w:val="FFFFFF"/>
                <w:sz w:val="18"/>
              </w:rPr>
              <w:t xml:space="preserve"> </w:t>
            </w:r>
            <w:r>
              <w:rPr>
                <w:rStyle w:val="VerbatimChar"/>
                <w:b/>
                <w:color w:val="FFFFFF"/>
                <w:sz w:val="18"/>
              </w:rPr>
              <w:t xml:space="preserve">ADRReferralCreated</w:t>
            </w:r>
            <w:r>
              <w:rPr>
                <w:b/>
                <w:color w:val="FFFFFF"/>
                <w:sz w:val="18"/>
              </w:rPr>
              <w:t xml:space="preserve">; logged)</w:t>
            </w:r>
          </w:p>
        </w:tc>
        <w:tc>
          <w:tcPr>
            <w:tcW w:w="3255" w:type="dxa"/>
            <w:shd w:val="clear" w:color="auto" w:fill="1F3A5F"/>
          </w:tcPr>
          <w:p>
            <w:pPr>
              <w:pStyle w:val="Compact"/>
              <w:spacing w:after="40"/>
              <w:jc w:val="left"/>
            </w:pPr>
            <w:r>
              <w:rPr>
                <w:b/>
                <w:color w:val="FFFFFF"/>
                <w:sz w:val="18"/>
              </w:rPr>
              <w:t xml:space="preserve">Result</w:t>
            </w:r>
          </w:p>
        </w:tc>
        <w:tc>
          <w:tcPr>
            <w:tcW w:w="3153" w:type="dxa"/>
            <w:shd w:val="clear" w:color="auto" w:fill="1F3A5F"/>
          </w:tcPr>
          <w:p>
            <w:pPr>
              <w:pStyle w:val="Compact"/>
              <w:spacing w:after="40"/>
              <w:jc w:val="left"/>
            </w:pPr>
            <w:r>
              <w:rPr>
                <w:b/>
                <w:color w:val="FFFFFF"/>
                <w:sz w:val="18"/>
              </w:rPr>
              <w:t xml:space="preserve">Source</w:t>
            </w:r>
          </w:p>
        </w:tc>
      </w:tr>
      <w:tr>
        <w:tc>
          <w:tcPr>
            <w:tcW w:w="3230" w:type="dxa"/>
          </w:tcPr>
          <w:p>
            <w:pPr>
              <w:pStyle w:val="Compact"/>
              <w:spacing w:after="40"/>
              <w:jc w:val="left"/>
            </w:pPr>
            <w:r>
              <w:rPr>
                <w:sz w:val="18"/>
              </w:rPr>
              <w:t xml:space="preserve">Bank or notified FI, claim ≥ ₹20 lakh</w:t>
            </w:r>
          </w:p>
        </w:tc>
        <w:tc>
          <w:tcPr>
            <w:tcW w:w="3255" w:type="dxa"/>
          </w:tcPr>
          <w:p>
            <w:pPr>
              <w:pStyle w:val="Compact"/>
              <w:spacing w:after="40"/>
              <w:jc w:val="left"/>
            </w:pPr>
            <w:r>
              <w:rPr>
                <w:sz w:val="18"/>
              </w:rPr>
              <w:t xml:space="preserve">Arbitration blocked; other ADR allowed</w:t>
            </w:r>
          </w:p>
        </w:tc>
        <w:tc>
          <w:tcPr>
            <w:tcW w:w="3153" w:type="dxa"/>
          </w:tcPr>
          <w:p>
            <w:pPr>
              <w:pStyle w:val="Compact"/>
              <w:spacing w:after="40"/>
              <w:jc w:val="left"/>
            </w:pPr>
            <w:r>
              <w:rPr>
                <w:iCs/>
                <w:i/>
                <w:sz w:val="18"/>
              </w:rPr>
              <w:t xml:space="preserve">Vidya Drolia</w:t>
            </w:r>
            <w:r>
              <w:rPr>
                <w:sz w:val="18"/>
              </w:rPr>
              <w:t xml:space="preserve"> </w:t>
            </w:r>
            <w:r>
              <w:rPr>
                <w:sz w:val="18"/>
              </w:rPr>
              <w:t xml:space="preserve">(SC, 14 Dec 2020)</w:t>
            </w:r>
          </w:p>
        </w:tc>
      </w:tr>
      <w:tr>
        <w:tc>
          <w:tcPr>
            <w:tcW w:w="3230" w:type="dxa"/>
          </w:tcPr>
          <w:p>
            <w:pPr>
              <w:pStyle w:val="Compact"/>
              <w:spacing w:after="40"/>
              <w:jc w:val="left"/>
            </w:pPr>
            <w:r>
              <w:rPr>
                <w:sz w:val="18"/>
              </w:rPr>
              <w:t xml:space="preserve">Mortgage enforcement in rem</w:t>
            </w:r>
          </w:p>
        </w:tc>
        <w:tc>
          <w:tcPr>
            <w:tcW w:w="3255" w:type="dxa"/>
          </w:tcPr>
          <w:p>
            <w:pPr>
              <w:pStyle w:val="Compact"/>
              <w:spacing w:after="40"/>
              <w:jc w:val="left"/>
            </w:pPr>
            <w:r>
              <w:rPr>
                <w:sz w:val="18"/>
              </w:rPr>
              <w:t xml:space="preserve">Arbitration blocked for that relief</w:t>
            </w:r>
          </w:p>
        </w:tc>
        <w:tc>
          <w:tcPr>
            <w:tcW w:w="3153" w:type="dxa"/>
          </w:tcPr>
          <w:p>
            <w:pPr>
              <w:pStyle w:val="Compact"/>
              <w:spacing w:after="40"/>
              <w:jc w:val="left"/>
            </w:pPr>
            <w:r>
              <w:rPr>
                <w:iCs/>
                <w:i/>
                <w:sz w:val="18"/>
              </w:rPr>
              <w:t xml:space="preserve">Booz Allen</w:t>
            </w:r>
            <w:r>
              <w:rPr>
                <w:sz w:val="18"/>
              </w:rPr>
              <w:t xml:space="preserve"> </w:t>
            </w:r>
            <w:r>
              <w:rPr>
                <w:sz w:val="18"/>
              </w:rPr>
              <w:t xml:space="preserve">(2011) 5 SCC 532</w:t>
            </w:r>
          </w:p>
        </w:tc>
      </w:tr>
      <w:tr>
        <w:tc>
          <w:tcPr>
            <w:tcW w:w="3230" w:type="dxa"/>
          </w:tcPr>
          <w:p>
            <w:pPr>
              <w:pStyle w:val="Compact"/>
              <w:spacing w:after="40"/>
              <w:jc w:val="left"/>
            </w:pPr>
            <w:r>
              <w:rPr>
                <w:sz w:val="18"/>
              </w:rPr>
              <w:t xml:space="preserve">IBC moratorium (ss.14, 96, 101)</w:t>
            </w:r>
          </w:p>
        </w:tc>
        <w:tc>
          <w:tcPr>
            <w:tcW w:w="3255" w:type="dxa"/>
          </w:tcPr>
          <w:p>
            <w:pPr>
              <w:pStyle w:val="Compact"/>
              <w:spacing w:after="40"/>
              <w:jc w:val="left"/>
            </w:pPr>
            <w:r>
              <w:rPr>
                <w:sz w:val="18"/>
              </w:rPr>
              <w:t xml:space="preserve">All ADR on hold</w:t>
            </w:r>
          </w:p>
        </w:tc>
        <w:tc>
          <w:tcPr>
            <w:tcW w:w="3153" w:type="dxa"/>
          </w:tcPr>
          <w:p>
            <w:pPr>
              <w:pStyle w:val="Compact"/>
              <w:spacing w:after="40"/>
              <w:jc w:val="left"/>
            </w:pPr>
            <w:r>
              <w:rPr>
                <w:sz w:val="18"/>
              </w:rPr>
              <w:t xml:space="preserve">IBC</w:t>
            </w:r>
          </w:p>
        </w:tc>
      </w:tr>
      <w:tr>
        <w:tc>
          <w:tcPr>
            <w:tcW w:w="3230" w:type="dxa"/>
          </w:tcPr>
          <w:p>
            <w:pPr>
              <w:pStyle w:val="Compact"/>
              <w:spacing w:after="40"/>
              <w:jc w:val="left"/>
            </w:pPr>
            <w:r>
              <w:rPr>
                <w:sz w:val="18"/>
              </w:rPr>
              <w:t xml:space="preserve">Fraud or wilful defaulter</w:t>
            </w:r>
          </w:p>
        </w:tc>
        <w:tc>
          <w:tcPr>
            <w:tcW w:w="3255" w:type="dxa"/>
          </w:tcPr>
          <w:p>
            <w:pPr>
              <w:pStyle w:val="Compact"/>
              <w:spacing w:after="40"/>
              <w:jc w:val="left"/>
            </w:pPr>
            <w:r>
              <w:rPr>
                <w:sz w:val="18"/>
              </w:rPr>
              <w:t xml:space="preserve">Board approval; criminal track continues</w:t>
            </w:r>
          </w:p>
        </w:tc>
        <w:tc>
          <w:tcPr>
            <w:tcW w:w="3153" w:type="dxa"/>
          </w:tcPr>
          <w:p>
            <w:pPr>
              <w:pStyle w:val="Compact"/>
              <w:spacing w:after="40"/>
              <w:jc w:val="left"/>
            </w:pPr>
            <w:r>
              <w:rPr>
                <w:sz w:val="18"/>
              </w:rPr>
              <w:t xml:space="preserve">RSA paras 16(5)(ii), 97</w:t>
            </w:r>
          </w:p>
        </w:tc>
      </w:tr>
      <w:tr>
        <w:tc>
          <w:tcPr>
            <w:tcW w:w="3230" w:type="dxa"/>
          </w:tcPr>
          <w:p>
            <w:pPr>
              <w:pStyle w:val="Compact"/>
              <w:spacing w:after="40"/>
              <w:jc w:val="left"/>
            </w:pPr>
            <w:r>
              <w:rPr>
                <w:sz w:val="18"/>
              </w:rPr>
              <w:t xml:space="preserve">Proceeding pending</w:t>
            </w:r>
          </w:p>
        </w:tc>
        <w:tc>
          <w:tcPr>
            <w:tcW w:w="3255" w:type="dxa"/>
          </w:tcPr>
          <w:p>
            <w:pPr>
              <w:pStyle w:val="Compact"/>
              <w:spacing w:after="40"/>
              <w:jc w:val="left"/>
            </w:pPr>
            <w:r>
              <w:rPr>
                <w:sz w:val="18"/>
              </w:rPr>
              <w:t xml:space="preserve">Settlement needs consent decree</w:t>
            </w:r>
          </w:p>
        </w:tc>
        <w:tc>
          <w:tcPr>
            <w:tcW w:w="3153" w:type="dxa"/>
          </w:tcPr>
          <w:p>
            <w:pPr>
              <w:pStyle w:val="Compact"/>
              <w:spacing w:after="40"/>
              <w:jc w:val="left"/>
            </w:pPr>
            <w:r>
              <w:rPr>
                <w:sz w:val="18"/>
              </w:rPr>
              <w:t xml:space="preserve">RSA para 100</w:t>
            </w:r>
          </w:p>
        </w:tc>
      </w:tr>
      <w:tr>
        <w:tc>
          <w:tcPr>
            <w:tcW w:w="3230" w:type="dxa"/>
          </w:tcPr>
          <w:p>
            <w:pPr>
              <w:pStyle w:val="Compact"/>
              <w:spacing w:after="40"/>
              <w:jc w:val="left"/>
            </w:pPr>
            <w:r>
              <w:rPr>
                <w:sz w:val="18"/>
              </w:rPr>
              <w:t xml:space="preserve">Consumer complaint pending</w:t>
            </w:r>
          </w:p>
        </w:tc>
        <w:tc>
          <w:tcPr>
            <w:tcW w:w="3255" w:type="dxa"/>
          </w:tcPr>
          <w:p>
            <w:pPr>
              <w:pStyle w:val="Compact"/>
              <w:spacing w:after="40"/>
              <w:jc w:val="left"/>
            </w:pPr>
            <w:r>
              <w:rPr>
                <w:sz w:val="18"/>
              </w:rPr>
              <w:t xml:space="preserve">Cannot compel arbitration</w:t>
            </w:r>
          </w:p>
        </w:tc>
        <w:tc>
          <w:tcPr>
            <w:tcW w:w="3153" w:type="dxa"/>
          </w:tcPr>
          <w:p>
            <w:pPr>
              <w:pStyle w:val="Compact"/>
              <w:spacing w:after="40"/>
              <w:jc w:val="left"/>
            </w:pPr>
            <w:r>
              <w:rPr>
                <w:iCs/>
                <w:i/>
                <w:sz w:val="18"/>
              </w:rPr>
              <w:t xml:space="preserve">Emaar MGF v Aftab Singh</w:t>
            </w:r>
            <w:r>
              <w:rPr>
                <w:sz w:val="18"/>
              </w:rPr>
              <w:t xml:space="preserve"> </w:t>
            </w:r>
            <w:r>
              <w:rPr>
                <w:sz w:val="18"/>
              </w:rPr>
              <w:t xml:space="preserve">(2019) 12 SCC 751</w:t>
            </w:r>
          </w:p>
        </w:tc>
      </w:tr>
      <w:tr>
        <w:tc>
          <w:tcPr>
            <w:tcW w:w="3230" w:type="dxa"/>
          </w:tcPr>
          <w:p>
            <w:pPr>
              <w:pStyle w:val="Compact"/>
              <w:spacing w:after="40"/>
              <w:jc w:val="left"/>
            </w:pPr>
            <w:r>
              <w:rPr>
                <w:sz w:val="18"/>
              </w:rPr>
              <w:t xml:space="preserve">Clause absent, unilateral or no institution</w:t>
            </w:r>
          </w:p>
        </w:tc>
        <w:tc>
          <w:tcPr>
            <w:tcW w:w="3255" w:type="dxa"/>
          </w:tcPr>
          <w:p>
            <w:pPr>
              <w:pStyle w:val="Compact"/>
              <w:spacing w:after="40"/>
              <w:jc w:val="left"/>
            </w:pPr>
            <w:r>
              <w:rPr>
                <w:sz w:val="18"/>
              </w:rPr>
              <w:t xml:space="preserve">Post-dispute e-signed consent or s.11 petition; never auto-refer</w:t>
            </w:r>
          </w:p>
        </w:tc>
        <w:tc>
          <w:tcPr>
            <w:tcW w:w="3153" w:type="dxa"/>
          </w:tcPr>
          <w:p>
            <w:pPr>
              <w:pStyle w:val="Compact"/>
              <w:spacing w:after="40"/>
              <w:jc w:val="left"/>
            </w:pPr>
            <w:r>
              <w:rPr>
                <w:iCs/>
                <w:i/>
                <w:sz w:val="18"/>
              </w:rPr>
              <w:t xml:space="preserve">L&amp;T Finance</w:t>
            </w:r>
          </w:p>
        </w:tc>
      </w:tr>
      <w:tr>
        <w:tc>
          <w:tcPr>
            <w:tcW w:w="3230" w:type="dxa"/>
          </w:tcPr>
          <w:p>
            <w:pPr>
              <w:pStyle w:val="Compact"/>
              <w:spacing w:after="40"/>
              <w:jc w:val="left"/>
            </w:pPr>
            <w:r>
              <w:rPr>
                <w:sz w:val="18"/>
              </w:rPr>
              <w:t xml:space="preserve">s.21 notice lacks service evidence at known addresses and email</w:t>
            </w:r>
          </w:p>
        </w:tc>
        <w:tc>
          <w:tcPr>
            <w:tcW w:w="3255" w:type="dxa"/>
          </w:tcPr>
          <w:p>
            <w:pPr>
              <w:pStyle w:val="Compact"/>
              <w:spacing w:after="40"/>
              <w:jc w:val="left"/>
            </w:pPr>
            <w:r>
              <w:rPr>
                <w:sz w:val="18"/>
              </w:rPr>
              <w:t xml:space="preserve">Blocked</w:t>
            </w:r>
          </w:p>
        </w:tc>
        <w:tc>
          <w:tcPr>
            <w:tcW w:w="3153" w:type="dxa"/>
          </w:tcPr>
          <w:p>
            <w:pPr>
              <w:pStyle w:val="Compact"/>
              <w:spacing w:after="40"/>
              <w:jc w:val="left"/>
            </w:pPr>
            <w:r>
              <w:rPr>
                <w:iCs/>
                <w:i/>
                <w:sz w:val="18"/>
              </w:rPr>
              <w:t xml:space="preserve">Sedhram Nilkanth Muglikar v M.R. Makhare</w:t>
            </w:r>
            <w:r>
              <w:rPr>
                <w:sz w:val="18"/>
              </w:rPr>
              <w:t xml:space="preserve"> </w:t>
            </w:r>
            <w:r>
              <w:rPr>
                <w:sz w:val="18"/>
              </w:rPr>
              <w:t xml:space="preserve">(Bom HC, 2026)</w:t>
            </w:r>
          </w:p>
        </w:tc>
      </w:tr>
      <w:tr>
        <w:tc>
          <w:tcPr>
            <w:tcW w:w="3230" w:type="dxa"/>
          </w:tcPr>
          <w:p>
            <w:pPr>
              <w:pStyle w:val="Compact"/>
              <w:spacing w:after="40"/>
              <w:jc w:val="left"/>
            </w:pPr>
            <w:r>
              <w:rPr>
                <w:sz w:val="18"/>
              </w:rPr>
              <w:t xml:space="preserve">Suit route ≥ ₹3 lakh, no urgent relief</w:t>
            </w:r>
          </w:p>
        </w:tc>
        <w:tc>
          <w:tcPr>
            <w:tcW w:w="3255" w:type="dxa"/>
          </w:tcPr>
          <w:p>
            <w:pPr>
              <w:pStyle w:val="Compact"/>
              <w:spacing w:after="40"/>
              <w:jc w:val="left"/>
            </w:pPr>
            <w:r>
              <w:rPr>
                <w:sz w:val="18"/>
              </w:rPr>
              <w:t xml:space="preserve">s.12A mediation (3 + 2 months) first</w:t>
            </w:r>
          </w:p>
        </w:tc>
        <w:tc>
          <w:tcPr>
            <w:tcW w:w="3153" w:type="dxa"/>
          </w:tcPr>
          <w:p>
            <w:pPr>
              <w:pStyle w:val="Compact"/>
              <w:spacing w:after="40"/>
              <w:jc w:val="left"/>
            </w:pPr>
            <w:r>
              <w:rPr>
                <w:sz w:val="18"/>
              </w:rPr>
              <w:t xml:space="preserve">Commercial Courts Act s.12A;</w:t>
            </w:r>
            <w:r>
              <w:rPr>
                <w:sz w:val="18"/>
              </w:rPr>
              <w:t xml:space="preserve"> </w:t>
            </w:r>
            <w:r>
              <w:rPr>
                <w:iCs/>
                <w:i/>
                <w:sz w:val="18"/>
              </w:rPr>
              <w:t xml:space="preserve">Dhanbad Fuels</w:t>
            </w:r>
            <w:r>
              <w:rPr>
                <w:sz w:val="18"/>
              </w:rPr>
              <w:t xml:space="preserve"> </w:t>
            </w:r>
            <w:r>
              <w:rPr>
                <w:sz w:val="18"/>
              </w:rPr>
              <w:t xml:space="preserve">(SC, 15 May 2025)</w:t>
            </w:r>
          </w:p>
        </w:tc>
      </w:tr>
      <w:tr>
        <w:tc>
          <w:tcPr>
            <w:tcW w:w="3230" w:type="dxa"/>
          </w:tcPr>
          <w:p>
            <w:pPr>
              <w:pStyle w:val="Compact"/>
              <w:spacing w:after="40"/>
              <w:jc w:val="left"/>
            </w:pPr>
            <w:r>
              <w:rPr>
                <w:sz w:val="18"/>
              </w:rPr>
              <w:t xml:space="preserve">Retail, contactable</w:t>
            </w:r>
          </w:p>
        </w:tc>
        <w:tc>
          <w:tcPr>
            <w:tcW w:w="3255" w:type="dxa"/>
          </w:tcPr>
          <w:p>
            <w:pPr>
              <w:pStyle w:val="Compact"/>
              <w:spacing w:after="40"/>
              <w:jc w:val="left"/>
            </w:pPr>
            <w:r>
              <w:rPr>
                <w:sz w:val="18"/>
              </w:rPr>
              <w:t xml:space="preserve">Conciliation or Lok Adalat first [REC]</w:t>
            </w:r>
          </w:p>
        </w:tc>
        <w:tc>
          <w:tcPr>
            <w:tcW w:w="3153" w:type="dxa"/>
          </w:tcPr>
          <w:p>
            <w:pPr>
              <w:pStyle w:val="Compact"/>
              <w:spacing w:after="40"/>
              <w:jc w:val="left"/>
            </w:pPr>
            <w:r>
              <w:rPr>
                <w:sz w:val="18"/>
              </w:rPr>
              <w:t xml:space="preserve">A&amp;C Act Part III; LSA Act</w:t>
            </w:r>
          </w:p>
        </w:tc>
      </w:tr>
    </w:tbl>
    <w:p>
      <w:pPr>
        <w:pStyle w:val="BodyText"/>
      </w:pPr>
      <w:r>
        <w:rPr>
          <w:bCs/>
          <w:b/>
        </w:rPr>
        <w:t xml:space="preserve">Process status (19 Oct 2026).</w:t>
      </w:r>
      <w:r>
        <w:t xml:space="preserve"> </w:t>
      </w:r>
      <w:r>
        <w:rPr>
          <w:bCs/>
          <w:b/>
        </w:rPr>
        <w:t xml:space="preserve">Conciliation</w:t>
      </w:r>
      <w:r>
        <w:t xml:space="preserve"> </w:t>
      </w:r>
      <w:r>
        <w:t xml:space="preserve">is the default enforceable route: a s.73 settlement authenticated by the conciliator has arbitral-award status (s.74, s.30), enforceable under s.36; 30 days’ silence rejects an invitation (s.62(4)).</w:t>
      </w:r>
      <w:r>
        <w:t xml:space="preserve"> </w:t>
      </w:r>
      <w:r>
        <w:rPr>
          <w:bCs/>
          <w:b/>
        </w:rPr>
        <w:t xml:space="preserve">Mediation Act 2023:</w:t>
      </w:r>
      <w:r>
        <w:t xml:space="preserve"> </w:t>
      </w:r>
      <w:r>
        <w:t xml:space="preserve">only ss.1, 3, 26, 31–38, 45–47, 50–54, 56–57 in force (S.O. 4384(E), 9 Oct 2023); Mediation Council established 27 Aug 2026; ss.4–25, 27–30 and 39–44 (incl. s.27 enforcement, s.30 online mediation) not in force (s.26 is in force), so a private mediated settlement is only a contract [VERIFY: e-Gazette each release].</w:t>
      </w:r>
      <w:r>
        <w:t xml:space="preserve"> </w:t>
      </w:r>
      <w:r>
        <w:rPr>
          <w:bCs/>
          <w:b/>
        </w:rPr>
        <w:t xml:space="preserve">Lok Adalat</w:t>
      </w:r>
      <w:r>
        <w:t xml:space="preserve"> </w:t>
      </w:r>
      <w:r>
        <w:t xml:space="preserve">awards are deemed decrees, final (LSA Act s.21); Permanent Lok Adalat covers financial services only where notified, up to ₹1 crore [VERIFY: per state]; next National Lok Adalat 12 Dec 2026 [VERIFY].</w:t>
      </w:r>
      <w:r>
        <w:t xml:space="preserve"> </w:t>
      </w:r>
      <w:r>
        <w:rPr>
          <w:bCs/>
          <w:b/>
        </w:rPr>
        <w:t xml:space="preserve">Arbitration:</w:t>
      </w:r>
      <w:r>
        <w:t xml:space="preserve"> </w:t>
      </w:r>
      <w:r>
        <w:t xml:space="preserve">pleadings ≤ 6 months (s.23(4)); award ≤ 12 months from pleadings + 6 by consent (s.29A); fast track 6 months (s.29B).</w:t>
      </w:r>
    </w:p>
    <w:bookmarkEnd w:id="85"/>
    <w:bookmarkStart w:id="86" w:name="case-state-machine"/>
    <w:p>
      <w:pPr>
        <w:pStyle w:val="Heading2"/>
      </w:pPr>
      <w:r>
        <w:t xml:space="preserve">8.3 Case state machine</w:t>
      </w:r>
    </w:p>
    <w:p>
      <w:pPr>
        <w:pStyle w:val="SourceCode"/>
      </w:pPr>
      <w:r>
        <w:rPr>
          <w:rStyle w:val="VerbatimChar"/>
        </w:rPr>
        <w:t xml:space="preserve">DRAFT(RE) → REFERRED → SCREENING → {RETURNED_FOR_INFO | SCREEN_REJECTED | ACCEPTED}</w:t>
      </w:r>
      <w:r>
        <w:br/>
      </w:r>
      <w:r>
        <w:rPr>
          <w:rStyle w:val="VerbatimChar"/>
        </w:rPr>
        <w:t xml:space="preserve">ACCEPTED → NOTICE_ISSUED → {SERVED | SERVICE_FAILED → RE_SERVICE(n) → COURT_SUBSTITUTED_SERVICE}</w:t>
      </w:r>
      <w:r>
        <w:br/>
      </w:r>
      <w:r>
        <w:rPr>
          <w:rStyle w:val="VerbatimChar"/>
        </w:rPr>
        <w:t xml:space="preserve">SERVED → TRACK{NEGOTIATION | CONCILIATION | MEDIATION | ARBITRATION | LOK_ADALAT_HANDOFF}</w:t>
      </w:r>
      <w:r>
        <w:br/>
      </w:r>
      <w:r>
        <w:rPr>
          <w:rStyle w:val="VerbatimChar"/>
        </w:rPr>
        <w:t xml:space="preserve">CONC/MED: INVITED → {CONSENTED | DECLINED | DEEMED_DECLINED(30d)} → NEUTRAL_APPOINTED → SESSIONS</w:t>
      </w:r>
      <w:r>
        <w:br/>
      </w:r>
      <w:r>
        <w:rPr>
          <w:rStyle w:val="VerbatimChar"/>
        </w:rPr>
        <w:t xml:space="preserve">          → {SETTLEMENT_PROPOSED → SETTLED | NON_SETTLEMENT}</w:t>
      </w:r>
      <w:r>
        <w:br/>
      </w:r>
      <w:r>
        <w:rPr>
          <w:rStyle w:val="VerbatimChar"/>
        </w:rPr>
        <w:t xml:space="preserve">ARB: APPOINTMENT_PENDING → DISCLOSURE_FILED → CHALLENGE_WINDOW → CONSTITUTED → PLEADINGS(6m)</w:t>
      </w:r>
      <w:r>
        <w:br/>
      </w:r>
      <w:r>
        <w:rPr>
          <w:rStyle w:val="VerbatimChar"/>
        </w:rPr>
        <w:t xml:space="preserve">     → HEARING | DOCS_ONLY → AWARD_SIGNED → AWARD_STAMPED → AWARD_SERVED → CORRECTION(30d)</w:t>
      </w:r>
      <w:r>
        <w:br/>
      </w:r>
      <w:r>
        <w:rPr>
          <w:rStyle w:val="VerbatimChar"/>
        </w:rPr>
        <w:t xml:space="preserve">     → CHALLENGE_WINDOW(3m+30d) → {FINAL | CHALLENGED}</w:t>
      </w:r>
      <w:r>
        <w:br/>
      </w:r>
      <w:r>
        <w:rPr>
          <w:rStyle w:val="VerbatimChar"/>
        </w:rPr>
        <w:t xml:space="preserve">SETTLED | FINAL → COMPLIANCE → {PAID → CLOSED | BREACH → ENFORCEMENT_REFERRED → CLOSED}</w:t>
      </w:r>
      <w:r>
        <w:br/>
      </w:r>
      <w:r>
        <w:rPr>
          <w:rStyle w:val="VerbatimChar"/>
        </w:rPr>
        <w:t xml:space="preserve">any → WITHDRAWN | TERMINATED | STAYED | MANDATE_EXPIRED → MANDATE_EXTENDED(s.29A)</w:t>
      </w:r>
    </w:p>
    <w:p>
      <w:pPr>
        <w:pStyle w:val="FirstParagraph"/>
      </w:pPr>
      <w:r>
        <w:t xml:space="preserve">Transitions emit</w:t>
      </w:r>
      <w:r>
        <w:t xml:space="preserve"> </w:t>
      </w:r>
      <w:r>
        <w:rPr>
          <w:rStyle w:val="VerbatimChar"/>
        </w:rPr>
        <w:t xml:space="preserve">ADRCaseStatusChanged</w:t>
      </w:r>
      <w:r>
        <w:t xml:space="preserve">; consents</w:t>
      </w:r>
      <w:r>
        <w:t xml:space="preserve"> </w:t>
      </w:r>
      <w:r>
        <w:rPr>
          <w:rStyle w:val="VerbatimChar"/>
        </w:rPr>
        <w:t xml:space="preserve">ADRConsentRecorded</w:t>
      </w:r>
      <w:r>
        <w:t xml:space="preserve">; appointments</w:t>
      </w:r>
      <w:r>
        <w:t xml:space="preserve"> </w:t>
      </w:r>
      <w:r>
        <w:rPr>
          <w:rStyle w:val="VerbatimChar"/>
        </w:rPr>
        <w:t xml:space="preserve">ADRNeutralAppointed</w:t>
      </w:r>
      <w:r>
        <w:t xml:space="preserve">; hearings</w:t>
      </w:r>
      <w:r>
        <w:t xml:space="preserve"> </w:t>
      </w:r>
      <w:r>
        <w:rPr>
          <w:rStyle w:val="VerbatimChar"/>
        </w:rPr>
        <w:t xml:space="preserve">ADRHearingScheduled</w:t>
      </w:r>
      <w:r>
        <w:t xml:space="preserve">; deliveries</w:t>
      </w:r>
      <w:r>
        <w:t xml:space="preserve"> </w:t>
      </w:r>
      <w:r>
        <w:rPr>
          <w:rStyle w:val="VerbatimChar"/>
        </w:rPr>
        <w:t xml:space="preserve">NoticeServiceUpdated</w:t>
      </w:r>
      <w:r>
        <w:t xml:space="preserve">; outcomes</w:t>
      </w:r>
      <w:r>
        <w:t xml:space="preserve"> </w:t>
      </w:r>
      <w:r>
        <w:rPr>
          <w:rStyle w:val="VerbatimChar"/>
        </w:rPr>
        <w:t xml:space="preserve">ADROutcomeRecorded</w:t>
      </w:r>
      <w:r>
        <w:t xml:space="preserve">. A</w:t>
      </w:r>
      <w:r>
        <w:t xml:space="preserve"> </w:t>
      </w:r>
      <w:r>
        <w:rPr>
          <w:rStyle w:val="VerbatimChar"/>
        </w:rPr>
        <w:t xml:space="preserve">SETTLEMENT_PROPOSED</w:t>
      </w:r>
      <w:r>
        <w:t xml:space="preserve"> </w:t>
      </w:r>
      <w:r>
        <w:t xml:space="preserve">outside the RE’s mandate needs</w:t>
      </w:r>
      <w:r>
        <w:t xml:space="preserve"> </w:t>
      </w:r>
      <w:r>
        <w:rPr>
          <w:rStyle w:val="VerbatimChar"/>
        </w:rPr>
        <w:t xml:space="preserve">SettlementApproved</w:t>
      </w:r>
      <w:r>
        <w:t xml:space="preserve"> </w:t>
      </w:r>
      <w:r>
        <w:t xml:space="preserve">before signing.</w:t>
      </w:r>
    </w:p>
    <w:bookmarkEnd w:id="86"/>
    <w:bookmarkStart w:id="87" w:name="data-ownership-and-evidence-pack"/>
    <w:p>
      <w:pPr>
        <w:pStyle w:val="Heading2"/>
      </w:pPr>
      <w:r>
        <w:t xml:space="preserve">8.4 Data ownership and evidence pack</w:t>
      </w:r>
    </w:p>
    <w:p>
      <w:pPr>
        <w:numPr>
          <w:ilvl w:val="0"/>
          <w:numId w:val="1025"/>
        </w:numPr>
        <w:pStyle w:val="Compact"/>
      </w:pPr>
      <w:r>
        <w:rPr>
          <w:bCs/>
          <w:b/>
        </w:rPr>
        <w:t xml:space="preserve">RE (FX, RS):</w:t>
      </w:r>
      <w:r>
        <w:t xml:space="preserve"> </w:t>
      </w:r>
      <w:r>
        <w:t xml:space="preserve">loan, KYC, contacts, statement of account, claim, agreement with clause and stamp proof, recall and s.21 notices, mandate and approvals, accounting, classification, CIC reporting, execution litigation.</w:t>
      </w:r>
      <w:r>
        <w:t xml:space="preserve"> </w:t>
      </w:r>
      <w:r>
        <w:rPr>
          <w:bCs/>
          <w:b/>
        </w:rPr>
        <w:t xml:space="preserve">Equator:</w:t>
      </w:r>
      <w:r>
        <w:t xml:space="preserve"> </w:t>
      </w:r>
      <w:r>
        <w:t xml:space="preserve">docket, panel, selection log, disclosures, orders, hearing records, original instruments and certified copies, service logs, fees.</w:t>
      </w:r>
      <w:r>
        <w:t xml:space="preserve"> </w:t>
      </w:r>
      <w:r>
        <w:rPr>
          <w:bCs/>
          <w:b/>
        </w:rPr>
        <w:t xml:space="preserve">Udofin:</w:t>
      </w:r>
      <w:r>
        <w:t xml:space="preserve"> </w:t>
      </w:r>
      <w:r>
        <w:t xml:space="preserve">presentation, grievance intake, relay only. DPDP: RE is fiduciary for loan data; Equator processes referral data and is fiduciary for case records [INTERP] [VERIFY: s.17(1)(a)].</w:t>
      </w:r>
    </w:p>
    <w:p>
      <w:pPr>
        <w:numPr>
          <w:ilvl w:val="0"/>
          <w:numId w:val="1025"/>
        </w:numPr>
        <w:pStyle w:val="Compact"/>
      </w:pPr>
      <w:r>
        <w:rPr>
          <w:bCs/>
          <w:b/>
        </w:rPr>
        <w:t xml:space="preserve">Referral pack</w:t>
      </w:r>
      <w:r>
        <w:t xml:space="preserve"> </w:t>
      </w:r>
      <w:r>
        <w:t xml:space="preserve">(hash and JWS each): agreement with clause and stamp certificate, KFS, sanction letter, certified statement with electronic-record certificate (Bharatiya Sakshya Adhiniyam 2023 [VERIFY: section]), recall and s.21 notices with proofs, claim, authority letter, sealed settlement band.</w:t>
      </w:r>
      <w:r>
        <w:t xml:space="preserve"> </w:t>
      </w:r>
      <w:r>
        <w:rPr>
          <w:bCs/>
          <w:b/>
        </w:rPr>
        <w:t xml:space="preserve">Outputs:</w:t>
      </w:r>
      <w:r>
        <w:t xml:space="preserve"> </w:t>
      </w:r>
      <w:r>
        <w:t xml:space="preserve">notices, orders (no mediation record), s.73 or s.19 settlement, award (eSigned, e-stamped, PDF/A-2b), certified copies, non-settlement report.</w:t>
      </w:r>
    </w:p>
    <w:bookmarkEnd w:id="87"/>
    <w:bookmarkStart w:id="88" w:name="onboarding-hearings-outcomes-and-payment"/>
    <w:p>
      <w:pPr>
        <w:pStyle w:val="Heading2"/>
      </w:pPr>
      <w:r>
        <w:t xml:space="preserve">8.5 Onboarding, hearings, outcomes and payment</w:t>
      </w:r>
    </w:p>
    <w:p>
      <w:pPr>
        <w:numPr>
          <w:ilvl w:val="0"/>
          <w:numId w:val="1026"/>
        </w:numPr>
        <w:pStyle w:val="Compact"/>
      </w:pPr>
      <w:r>
        <w:t xml:space="preserve">Borrowers enter per Part 4.4; staff and counsel by SCIM. Udofin shows only status, next action, hearing launch, RE payment instructions and outcome summary.</w:t>
      </w:r>
    </w:p>
    <w:p>
      <w:pPr>
        <w:numPr>
          <w:ilvl w:val="0"/>
          <w:numId w:val="1026"/>
        </w:numPr>
        <w:pStyle w:val="Compact"/>
      </w:pPr>
      <w:r>
        <w:t xml:space="preserve">Video, documents-only and witness sessions; venue distinct from seat (s.20(3)) [REC: borrower-proximate seat]; links ≥ 3 days ahead;</w:t>
      </w:r>
      <w:r>
        <w:t xml:space="preserve"> </w:t>
      </w:r>
      <w:r>
        <w:rPr>
          <w:bCs/>
          <w:b/>
        </w:rPr>
        <w:t xml:space="preserve">mediation and conciliation never recorded</w:t>
      </w:r>
      <w:r>
        <w:t xml:space="preserve"> </w:t>
      </w:r>
      <w:r>
        <w:t xml:space="preserve">(A&amp;C Act s.75; Mediation Act ss.22–23 once in force).</w:t>
      </w:r>
    </w:p>
    <w:p>
      <w:pPr>
        <w:numPr>
          <w:ilvl w:val="0"/>
          <w:numId w:val="1026"/>
        </w:numPr>
        <w:pStyle w:val="Compact"/>
      </w:pPr>
      <w:r>
        <w:t xml:space="preserve">Instruments are eSigned and</w:t>
      </w:r>
      <w:r>
        <w:t xml:space="preserve"> </w:t>
      </w:r>
      <w:r>
        <w:rPr>
          <w:bCs/>
          <w:b/>
        </w:rPr>
        <w:t xml:space="preserve">e-stamped at signing</w:t>
      </w:r>
      <w:r>
        <w:t xml:space="preserve">; late stamping needs impounding and penalty (</w:t>
      </w:r>
      <w:r>
        <w:rPr>
          <w:iCs/>
          <w:i/>
        </w:rPr>
        <w:t xml:space="preserve">URC Construction v AAI</w:t>
      </w:r>
      <w:r>
        <w:t xml:space="preserve">, Del HC, 1 Sep 2026) [VERIFY: article per state for s.73 settlements].</w:t>
      </w:r>
    </w:p>
    <w:p>
      <w:pPr>
        <w:numPr>
          <w:ilvl w:val="0"/>
          <w:numId w:val="1026"/>
        </w:numPr>
        <w:pStyle w:val="Compact"/>
      </w:pPr>
      <w:r>
        <w:t xml:space="preserve">RS starts s.33 (30 days) and s.34(3) (3 months + 30 days) clocks from each party’s receipt and maps the outcome to the RE’s settlement record (RSA paras 16(5), 89, 95, 100) or award execution; CIC</w:t>
      </w:r>
      <w:r>
        <w:t xml:space="preserve"> </w:t>
      </w:r>
      <w:r>
        <w:t xml:space="preserve">“</w:t>
      </w:r>
      <w:r>
        <w:t xml:space="preserve">Settled</w:t>
      </w:r>
      <w:r>
        <w:t xml:space="preserve">”</w:t>
      </w:r>
      <w:r>
        <w:t xml:space="preserve"> </w:t>
      </w:r>
      <w:r>
        <w:t xml:space="preserve">only for waivers for financial inability (CIR para 12(4)); Lok Adalat awards import as</w:t>
      </w:r>
      <w:r>
        <w:t xml:space="preserve"> </w:t>
      </w:r>
      <w:r>
        <w:rPr>
          <w:rStyle w:val="VerbatimChar"/>
        </w:rPr>
        <w:t xml:space="preserve">OrderRecorded</w:t>
      </w:r>
      <w:r>
        <w:t xml:space="preserve">.</w:t>
      </w:r>
    </w:p>
    <w:p>
      <w:pPr>
        <w:numPr>
          <w:ilvl w:val="0"/>
          <w:numId w:val="1026"/>
        </w:numPr>
        <w:pStyle w:val="Compact"/>
      </w:pPr>
      <w:r>
        <w:t xml:space="preserve">Payments go only to the RE via RE-issued links (CF para 10); receipts reach Equator as</w:t>
      </w:r>
      <w:r>
        <w:t xml:space="preserve"> </w:t>
      </w:r>
      <w:r>
        <w:rPr>
          <w:rStyle w:val="VerbatimChar"/>
        </w:rPr>
        <w:t xml:space="preserve">RecoveryReceiptPosted</w:t>
      </w:r>
      <w:r>
        <w:t xml:space="preserve">; a provider configuration that collects borrower money fails certification.</w:t>
      </w:r>
    </w:p>
    <w:bookmarkEnd w:id="88"/>
    <w:bookmarkStart w:id="89" w:name="independence-controls"/>
    <w:p>
      <w:pPr>
        <w:pStyle w:val="Heading2"/>
      </w:pPr>
      <w:r>
        <w:t xml:space="preserve">8.6 Independence controls</w:t>
      </w:r>
    </w:p>
    <w:p>
      <w:pPr>
        <w:pStyle w:val="FirstParagraph"/>
      </w:pPr>
      <w:r>
        <w:t xml:space="preserve">Random allocation from the provider’s panel filtered by language, region and conflicts; the RE cannot pick, rank or veto. Per-lender concentration caps with a 3-year count against Fifth Schedule item 22 [VERIFY: defensible cap]; selection log (pool, exclusions, seed, counts). Sixth Schedule disclosure before acceptance; Seventh Schedule conflicts flagged; challenge within 15 days (s.13(2)). No outcome-linked fees, no neutral paid through RE counsel, no Finbyx or Udofin user as neutral; published rules, fees and code; annual independence audit.</w:t>
      </w:r>
    </w:p>
    <w:bookmarkEnd w:id="89"/>
    <w:bookmarkStart w:id="90" w:name="Xc84acda2870602ab2ba5b2b5b577150f41ea51b"/>
    <w:p>
      <w:pPr>
        <w:pStyle w:val="Heading2"/>
      </w:pPr>
      <w:r>
        <w:t xml:space="preserve">8.7 Compliance monitoring, enforcement and fees</w:t>
      </w:r>
    </w:p>
    <w:p>
      <w:pPr>
        <w:pStyle w:val="FirstParagraph"/>
      </w:pPr>
      <w:r>
        <w:t xml:space="preserve">RS emits</w:t>
      </w:r>
      <w:r>
        <w:t xml:space="preserve"> </w:t>
      </w:r>
      <w:r>
        <w:rPr>
          <w:rStyle w:val="VerbatimChar"/>
        </w:rPr>
        <w:t xml:space="preserve">ADROutcomeComplianceUpdated</w:t>
      </w:r>
      <w:r>
        <w:t xml:space="preserve"> </w:t>
      </w:r>
      <w:r>
        <w:t xml:space="preserve">from its ledger; Equator assembles the enforcement pack (certified instrument, stamp and service proofs, s.34 status). On breach RS emits</w:t>
      </w:r>
      <w:r>
        <w:t xml:space="preserve"> </w:t>
      </w:r>
      <w:r>
        <w:rPr>
          <w:rStyle w:val="VerbatimChar"/>
        </w:rPr>
        <w:t xml:space="preserve">SettlementBreached</w:t>
      </w:r>
      <w:r>
        <w:t xml:space="preserve"> </w:t>
      </w:r>
      <w:r>
        <w:t xml:space="preserve">and opens</w:t>
      </w:r>
      <w:r>
        <w:t xml:space="preserve"> </w:t>
      </w:r>
      <w:r>
        <w:rPr>
          <w:rStyle w:val="VerbatimChar"/>
        </w:rPr>
        <w:t xml:space="preserve">LitigationCaseOpened</w:t>
      </w:r>
      <w:r>
        <w:t xml:space="preserve"> </w:t>
      </w:r>
      <w:r>
        <w:t xml:space="preserve">(S36_EXECUTION) where assets lie (</w:t>
      </w:r>
      <w:r>
        <w:rPr>
          <w:iCs/>
          <w:i/>
        </w:rPr>
        <w:t xml:space="preserve">Sundaram Finance v Abdul Samad</w:t>
      </w:r>
      <w:r>
        <w:t xml:space="preserve"> </w:t>
      </w:r>
      <w:r>
        <w:t xml:space="preserve">(2018) 3 SCC 622); High Courts split on executing unilateral-appointment awards, hence the gates. The referring RE pays published fees; debiting costs to the borrower depends on contract and RBC fair-practice rules [VERIFY]; GST on arbitral tribunal services is reverse charge (Notification 13/2017-CT(Rate), Sl. 3) [VERIFY].</w:t>
      </w:r>
    </w:p>
    <w:bookmarkEnd w:id="90"/>
    <w:bookmarkStart w:id="91" w:name="clocks-and-audit-evidence"/>
    <w:p>
      <w:pPr>
        <w:pStyle w:val="Heading2"/>
      </w:pPr>
      <w:r>
        <w:t xml:space="preserve">8.8 Clocks and audit evidence</w:t>
      </w:r>
    </w:p>
    <w:p>
      <w:pPr>
        <w:pStyle w:val="FirstParagraph"/>
      </w:pPr>
      <w:r>
        <w:rPr>
          <w:rStyle w:val="VerbatimChar"/>
        </w:rPr>
        <w:t xml:space="preserve">ADRCaseStatusChanged.clocks</w:t>
      </w:r>
      <w:r>
        <w:t xml:space="preserve"> </w:t>
      </w:r>
      <w:r>
        <w:t xml:space="preserve">carries: s.62(4) 30 days; s.13(2) 15 days; s.23(4) 6 months; s.29A 12 + 6 months; s.29B 6 months; s.33 30/60 days; s.34(3) 3 months + 30 days; s.11 petition 3 years after failure to appoint on a valid s.21 notice (</w:t>
      </w:r>
      <w:r>
        <w:rPr>
          <w:iCs/>
          <w:i/>
        </w:rPr>
        <w:t xml:space="preserve">Arif Azim v Aptech</w:t>
      </w:r>
      <w:r>
        <w:t xml:space="preserve">, 2024); s.12A 3 + 2 months; Mediation Act s.18 120 + 60 days once in force. Evidence kept ≥ 12 years after closure [REC]: notice template hash, address source, per-channel delivery proof, selection log, disclosures, consent artefacts, attendance, eSign and e-stamp ids, fee receipts; no</w:t>
      </w:r>
      <w:r>
        <w:t xml:space="preserve"> </w:t>
      </w:r>
      <w:r>
        <w:t xml:space="preserve">“</w:t>
      </w:r>
      <w:r>
        <w:t xml:space="preserve">deemed served</w:t>
      </w:r>
      <w:r>
        <w:t xml:space="preserve">”</w:t>
      </w:r>
      <w:r>
        <w:t xml:space="preserve"> </w:t>
      </w:r>
      <w:r>
        <w:t xml:space="preserve">without evidence.</w:t>
      </w:r>
    </w:p>
    <w:bookmarkEnd w:id="91"/>
    <w:bookmarkStart w:id="92" w:name="provider-neutral-adapter-odrprovider"/>
    <w:p>
      <w:pPr>
        <w:pStyle w:val="Heading2"/>
      </w:pPr>
      <w:r>
        <w:t xml:space="preserve">8.9 Provider-neutral adapter (</w:t>
      </w:r>
      <w:r>
        <w:rPr>
          <w:rStyle w:val="VerbatimChar"/>
        </w:rPr>
        <w:t xml:space="preserve">OdrProvider</w:t>
      </w:r>
      <w:r>
        <w:t xml:space="preserve">)</w:t>
      </w:r>
    </w:p>
    <w:p>
      <w:pPr>
        <w:pStyle w:val="FirstParagraph"/>
      </w:pPr>
      <w:r>
        <w:t xml:space="preserve">Each capability (referral, withdrawal, mandate, documents, status, delivery, consent, appointment, hearing, outcome, party launch, Lok Adalat lists and awards) is declared as API, WEBHOOK, FILE or PORTAL_MANUAL. Equator native names map: case.refer →</w:t>
      </w:r>
      <w:r>
        <w:t xml:space="preserve"> </w:t>
      </w:r>
      <w:r>
        <w:rPr>
          <w:rStyle w:val="VerbatimChar"/>
        </w:rPr>
        <w:t xml:space="preserve">ADRReferralCreated</w:t>
      </w:r>
      <w:r>
        <w:t xml:space="preserve">; settlement.mandate → mandate API; case.screening_result, notice.dispatched, party.joined, tribunal.constituted, hearing.held, deadline.warning, challenge.notified, case.closed →</w:t>
      </w:r>
      <w:r>
        <w:t xml:space="preserve"> </w:t>
      </w:r>
      <w:r>
        <w:rPr>
          <w:rStyle w:val="VerbatimChar"/>
        </w:rPr>
        <w:t xml:space="preserve">ADRCaseStatusChanged</w:t>
      </w:r>
      <w:r>
        <w:t xml:space="preserve">; notice.delivery →</w:t>
      </w:r>
      <w:r>
        <w:t xml:space="preserve"> </w:t>
      </w:r>
      <w:r>
        <w:rPr>
          <w:rStyle w:val="VerbatimChar"/>
        </w:rPr>
        <w:t xml:space="preserve">NoticeServiceUpdated</w:t>
      </w:r>
      <w:r>
        <w:t xml:space="preserve">; consent.recorded →</w:t>
      </w:r>
      <w:r>
        <w:t xml:space="preserve"> </w:t>
      </w:r>
      <w:r>
        <w:rPr>
          <w:rStyle w:val="VerbatimChar"/>
        </w:rPr>
        <w:t xml:space="preserve">ADRConsentRecorded</w:t>
      </w:r>
      <w:r>
        <w:t xml:space="preserve">; neutral.appointed →</w:t>
      </w:r>
      <w:r>
        <w:t xml:space="preserve"> </w:t>
      </w:r>
      <w:r>
        <w:rPr>
          <w:rStyle w:val="VerbatimChar"/>
        </w:rPr>
        <w:t xml:space="preserve">ADRNeutralAppointed</w:t>
      </w:r>
      <w:r>
        <w:t xml:space="preserve">; hearing.scheduled →</w:t>
      </w:r>
      <w:r>
        <w:t xml:space="preserve"> </w:t>
      </w:r>
      <w:r>
        <w:rPr>
          <w:rStyle w:val="VerbatimChar"/>
        </w:rPr>
        <w:t xml:space="preserve">ADRHearingScheduled</w:t>
      </w:r>
      <w:r>
        <w:t xml:space="preserve">; settlement.proposed →</w:t>
      </w:r>
      <w:r>
        <w:t xml:space="preserve"> </w:t>
      </w:r>
      <w:r>
        <w:rPr>
          <w:rStyle w:val="VerbatimChar"/>
        </w:rPr>
        <w:t xml:space="preserve">ADRCaseStatusChanged</w:t>
      </w:r>
      <w:r>
        <w:t xml:space="preserve"> </w:t>
      </w:r>
      <w:r>
        <w:t xml:space="preserve">(SETTLEMENT_PROPOSED) answered by</w:t>
      </w:r>
      <w:r>
        <w:t xml:space="preserve"> </w:t>
      </w:r>
      <w:r>
        <w:rPr>
          <w:rStyle w:val="VerbatimChar"/>
        </w:rPr>
        <w:t xml:space="preserve">SettlementApproved</w:t>
      </w:r>
      <w:r>
        <w:t xml:space="preserve">; settlement.executed and award.issued, stamped or served →</w:t>
      </w:r>
      <w:r>
        <w:t xml:space="preserve"> </w:t>
      </w:r>
      <w:r>
        <w:rPr>
          <w:rStyle w:val="VerbatimChar"/>
        </w:rPr>
        <w:t xml:space="preserve">ADROutcomeRecorded</w:t>
      </w:r>
      <w:r>
        <w:t xml:space="preserve">; payment.received →</w:t>
      </w:r>
      <w:r>
        <w:t xml:space="preserve"> </w:t>
      </w:r>
      <w:r>
        <w:rPr>
          <w:rStyle w:val="VerbatimChar"/>
        </w:rPr>
        <w:t xml:space="preserve">RecoveryReceiptPosted</w:t>
      </w:r>
      <w:r>
        <w:t xml:space="preserve">. Providers without APIs use</w:t>
      </w:r>
      <w:r>
        <w:t xml:space="preserve"> </w:t>
      </w:r>
      <w:r>
        <w:rPr>
          <w:rStyle w:val="VerbatimChar"/>
        </w:rPr>
        <w:t xml:space="preserve">adr_referral_v1</w:t>
      </w:r>
      <w:r>
        <w:t xml:space="preserve">,</w:t>
      </w:r>
      <w:r>
        <w:t xml:space="preserve"> </w:t>
      </w:r>
      <w:r>
        <w:rPr>
          <w:rStyle w:val="VerbatimChar"/>
        </w:rPr>
        <w:t xml:space="preserve">adr_status_v1</w:t>
      </w:r>
      <w:r>
        <w:t xml:space="preserve">,</w:t>
      </w:r>
      <w:r>
        <w:t xml:space="preserve"> </w:t>
      </w:r>
      <w:r>
        <w:rPr>
          <w:rStyle w:val="VerbatimChar"/>
        </w:rPr>
        <w:t xml:space="preserve">adr_outcome_v1</w:t>
      </w:r>
      <w:r>
        <w:t xml:space="preserve"> </w:t>
      </w:r>
      <w:r>
        <w:t xml:space="preserve">(Part 12); Lok Adalat lists use registered DLSA formats [VERIFY: per DLSA].</w:t>
      </w:r>
    </w:p>
    <w:p>
      <w:r>
        <w:pict>
          <v:rect style="width:0;height:1.5pt" o:hralign="center" o:hrstd="t" o:hr="t"/>
        </w:pict>
      </w:r>
    </w:p>
    <w:bookmarkEnd w:id="92"/>
    <w:bookmarkEnd w:id="93"/>
    <w:bookmarkStart w:id="98" w:name="compliance-and-grc-integration"/>
    <w:p>
      <w:pPr>
        <w:pStyle w:val="Heading1"/>
      </w:pPr>
      <w:r>
        <w:t xml:space="preserve">9 — COMPLIANCE AND GRC INTEGRATION</w:t>
      </w:r>
    </w:p>
    <w:bookmarkStart w:id="94" w:name="compliance-mode-switch"/>
    <w:p>
      <w:pPr>
        <w:pStyle w:val="Heading2"/>
      </w:pPr>
      <w:r>
        <w:t xml:space="preserve">9.1 Compliance-mode switch</w:t>
      </w:r>
    </w:p>
    <w:p>
      <w:pPr>
        <w:pStyle w:val="FirstParagraph"/>
      </w:pPr>
      <w:r>
        <w:t xml:space="preserve">Per RE tenant (and for Udofin’s own compliance), recorded in</w:t>
      </w:r>
      <w:r>
        <w:t xml:space="preserve"> </w:t>
      </w:r>
      <w:r>
        <w:rPr>
          <w:rStyle w:val="VerbatimChar"/>
        </w:rPr>
        <w:t xml:space="preserve">re_grc_link</w:t>
      </w:r>
      <w:r>
        <w:t xml:space="preserve"> </w:t>
      </w:r>
      <w:r>
        <w:t xml:space="preserve">and changed by configuration with maker-checker (Finbyx M14; Udofin Part 2):</w:t>
      </w:r>
      <w:r>
        <w:t xml:space="preserve"> </w:t>
      </w:r>
      <w:r>
        <w:rPr>
          <w:bCs/>
          <w:b/>
        </w:rPr>
        <w:t xml:space="preserve">EMBEDDED</w:t>
      </w:r>
      <w:r>
        <w:t xml:space="preserve"> </w:t>
      </w:r>
      <w:r>
        <w:t xml:space="preserve">(Finbyx compliance module),</w:t>
      </w:r>
      <w:r>
        <w:t xml:space="preserve"> </w:t>
      </w:r>
      <w:r>
        <w:rPr>
          <w:bCs/>
          <w:b/>
        </w:rPr>
        <w:t xml:space="preserve">LDC_EXTERNAL</w:t>
      </w:r>
      <w:r>
        <w:t xml:space="preserve"> </w:t>
      </w:r>
      <w:r>
        <w:t xml:space="preserve">(LawDocsComply; products push evidence and pull obligations),</w:t>
      </w:r>
      <w:r>
        <w:t xml:space="preserve"> </w:t>
      </w:r>
      <w:r>
        <w:rPr>
          <w:bCs/>
          <w:b/>
        </w:rPr>
        <w:t xml:space="preserve">LDC_GROUP</w:t>
      </w:r>
      <w:r>
        <w:t xml:space="preserve"> </w:t>
      </w:r>
      <w:r>
        <w:t xml:space="preserve">(one instance per</w:t>
      </w:r>
      <w:r>
        <w:t xml:space="preserve"> </w:t>
      </w:r>
      <w:r>
        <w:rPr>
          <w:rStyle w:val="VerbatimChar"/>
        </w:rPr>
        <w:t xml:space="preserve">group_id</w:t>
      </w:r>
      <w:r>
        <w:t xml:space="preserve">, every record tagged by</w:t>
      </w:r>
      <w:r>
        <w:t xml:space="preserve"> </w:t>
      </w:r>
      <w:r>
        <w:rPr>
          <w:rStyle w:val="VerbatimChar"/>
        </w:rPr>
        <w:t xml:space="preserve">reid</w:t>
      </w:r>
      <w:r>
        <w:t xml:space="preserve">, group roll-ups),</w:t>
      </w:r>
      <w:r>
        <w:t xml:space="preserve"> </w:t>
      </w:r>
      <w:r>
        <w:rPr>
          <w:bCs/>
          <w:b/>
        </w:rPr>
        <w:t xml:space="preserve">THIRD_PARTY_GRC</w:t>
      </w:r>
      <w:r>
        <w:t xml:space="preserve"> </w:t>
      </w:r>
      <w:r>
        <w:t xml:space="preserve">(RE’s tool via certified adapter),</w:t>
      </w:r>
      <w:r>
        <w:t xml:space="preserve"> </w:t>
      </w:r>
      <w:r>
        <w:rPr>
          <w:bCs/>
          <w:b/>
        </w:rPr>
        <w:t xml:space="preserve">EXPORT_ONLY</w:t>
      </w:r>
      <w:r>
        <w:t xml:space="preserve"> </w:t>
      </w:r>
      <w:r>
        <w:t xml:space="preserve">(evidence packs and OSCAL; Udofin default until a bridge exists). A switch never loses data: the outgoing system exports obligations, controls, open issues and the evidence index with hash-chain heads; the incoming system imports before the effective date; producers dual-publish for one compliance period. The grievance-host switch is separate.</w:t>
      </w:r>
    </w:p>
    <w:bookmarkEnd w:id="94"/>
    <w:bookmarkStart w:id="95" w:name="generic-grc-connector-contract"/>
    <w:p>
      <w:pPr>
        <w:pStyle w:val="Heading2"/>
      </w:pPr>
      <w:r>
        <w:t xml:space="preserve">9.2 Generic GRC connector contract</w:t>
      </w:r>
    </w:p>
    <w:p>
      <w:pPr>
        <w:pStyle w:val="FirstParagraph"/>
      </w:pPr>
      <w:r>
        <w:t xml:space="preserve">REST (JSON Schema 2020-12, cursor pagination) plus event push and periodic OSCAL;</w:t>
      </w:r>
      <w:r>
        <w:t xml:space="preserve"> </w:t>
      </w:r>
      <w:r>
        <w:rPr>
          <w:rStyle w:val="VerbatimChar"/>
        </w:rPr>
        <w:t xml:space="preserve">Idempotency-Key</w:t>
      </w:r>
      <w:r>
        <w:t xml:space="preserve"> </w:t>
      </w:r>
      <w:r>
        <w:t xml:space="preserve">on every POST; users by SCIM with OIDC or SAML; machines by mTLS-bound client credentials. Evidence is hash-chained, stored in India in the producing product, with aggregate counts and masked sample ids, never raw personal data; GRC systems hold references and hashes.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93"/>
        <w:gridCol w:w="3490"/>
        <w:gridCol w:w="2193"/>
        <w:gridCol w:w="1762"/>
      </w:tblGrid>
      <w:tr>
        <w:trPr>
          <w:tblHeader w:val="true"/>
          <w:tblHeader w:val="true"/>
        </w:trPr>
        <w:tc>
          <w:tcPr>
            <w:tcW w:w="2193" w:type="dxa"/>
            <w:shd w:val="clear" w:color="auto" w:fill="1F3A5F"/>
          </w:tcPr>
          <w:p>
            <w:pPr>
              <w:pStyle w:val="Compact"/>
              <w:spacing w:after="40"/>
              <w:jc w:val="left"/>
            </w:pPr>
            <w:r>
              <w:rPr>
                <w:b/>
                <w:color w:val="FFFFFF"/>
                <w:sz w:val="18"/>
              </w:rPr>
              <w:t xml:space="preserve">Resource</w:t>
            </w:r>
          </w:p>
        </w:tc>
        <w:tc>
          <w:tcPr>
            <w:tcW w:w="3490" w:type="dxa"/>
            <w:shd w:val="clear" w:color="auto" w:fill="1F3A5F"/>
          </w:tcPr>
          <w:p>
            <w:pPr>
              <w:pStyle w:val="Compact"/>
              <w:spacing w:after="40"/>
              <w:jc w:val="left"/>
            </w:pPr>
            <w:r>
              <w:rPr>
                <w:b/>
                <w:color w:val="FFFFFF"/>
                <w:sz w:val="18"/>
              </w:rPr>
              <w:t xml:space="preserve">Key fields</w:t>
            </w:r>
          </w:p>
        </w:tc>
        <w:tc>
          <w:tcPr>
            <w:tcW w:w="2193" w:type="dxa"/>
            <w:shd w:val="clear" w:color="auto" w:fill="1F3A5F"/>
          </w:tcPr>
          <w:p>
            <w:pPr>
              <w:pStyle w:val="Compact"/>
              <w:spacing w:after="40"/>
              <w:jc w:val="left"/>
            </w:pPr>
            <w:r>
              <w:rPr>
                <w:b/>
                <w:color w:val="FFFFFF"/>
                <w:sz w:val="18"/>
              </w:rPr>
              <w:t xml:space="preserve">Event</w:t>
            </w:r>
          </w:p>
        </w:tc>
        <w:tc>
          <w:tcPr>
            <w:tcW w:w="1762" w:type="dxa"/>
            <w:shd w:val="clear" w:color="auto" w:fill="1F3A5F"/>
          </w:tcPr>
          <w:p>
            <w:pPr>
              <w:pStyle w:val="Compact"/>
              <w:spacing w:after="40"/>
              <w:jc w:val="left"/>
            </w:pPr>
            <w:r>
              <w:rPr>
                <w:b/>
                <w:color w:val="FFFFFF"/>
                <w:sz w:val="18"/>
              </w:rPr>
              <w:t xml:space="preserve">OSCAL</w:t>
            </w:r>
          </w:p>
        </w:tc>
      </w:tr>
      <w:tr>
        <w:tc>
          <w:tcPr>
            <w:tcW w:w="2193" w:type="dxa"/>
          </w:tcPr>
          <w:p>
            <w:pPr>
              <w:pStyle w:val="Compact"/>
              <w:spacing w:after="40"/>
              <w:jc w:val="left"/>
            </w:pPr>
            <w:r>
              <w:rPr>
                <w:rStyle w:val="VerbatimChar"/>
                <w:sz w:val="18"/>
              </w:rPr>
              <w:t xml:space="preserve">Obligation</w:t>
            </w:r>
          </w:p>
        </w:tc>
        <w:tc>
          <w:tcPr>
            <w:tcW w:w="3490" w:type="dxa"/>
          </w:tcPr>
          <w:p>
            <w:pPr>
              <w:pStyle w:val="Compact"/>
              <w:spacing w:after="40"/>
              <w:jc w:val="left"/>
            </w:pPr>
            <w:r>
              <w:rPr>
                <w:sz w:val="18"/>
              </w:rPr>
              <w:t xml:space="preserve">obligation_ref, paragraph, text hash, applicability, dates, owner, status</w:t>
            </w:r>
          </w:p>
        </w:tc>
        <w:tc>
          <w:tcPr>
            <w:tcW w:w="2193" w:type="dxa"/>
          </w:tcPr>
          <w:p>
            <w:pPr>
              <w:pStyle w:val="Compact"/>
              <w:spacing w:after="40"/>
              <w:jc w:val="left"/>
            </w:pPr>
            <w:r>
              <w:rPr>
                <w:rStyle w:val="VerbatimChar"/>
                <w:sz w:val="18"/>
              </w:rPr>
              <w:t xml:space="preserve">ObligationPublished</w:t>
            </w:r>
          </w:p>
        </w:tc>
        <w:tc>
          <w:tcPr>
            <w:tcW w:w="1762" w:type="dxa"/>
          </w:tcPr>
          <w:p>
            <w:pPr>
              <w:pStyle w:val="Compact"/>
              <w:spacing w:after="40"/>
              <w:jc w:val="left"/>
            </w:pPr>
            <w:r>
              <w:rPr>
                <w:sz w:val="18"/>
              </w:rPr>
              <w:t xml:space="preserve">catalog, profile</w:t>
            </w:r>
          </w:p>
        </w:tc>
      </w:tr>
      <w:tr>
        <w:tc>
          <w:tcPr>
            <w:tcW w:w="2193" w:type="dxa"/>
          </w:tcPr>
          <w:p>
            <w:pPr>
              <w:pStyle w:val="Compact"/>
              <w:spacing w:after="40"/>
              <w:jc w:val="left"/>
            </w:pPr>
            <w:r>
              <w:rPr>
                <w:rStyle w:val="VerbatimChar"/>
                <w:sz w:val="18"/>
              </w:rPr>
              <w:t xml:space="preserve">Control</w:t>
            </w:r>
          </w:p>
        </w:tc>
        <w:tc>
          <w:tcPr>
            <w:tcW w:w="3490" w:type="dxa"/>
          </w:tcPr>
          <w:p>
            <w:pPr>
              <w:pStyle w:val="Compact"/>
              <w:spacing w:after="40"/>
              <w:jc w:val="left"/>
            </w:pPr>
            <w:r>
              <w:rPr>
                <w:sz w:val="18"/>
              </w:rPr>
              <w:t xml:space="preserve">obligation_refs, component, frequency, automated</w:t>
            </w:r>
          </w:p>
        </w:tc>
        <w:tc>
          <w:tcPr>
            <w:tcW w:w="2193" w:type="dxa"/>
          </w:tcPr>
          <w:p>
            <w:pPr>
              <w:pStyle w:val="Compact"/>
              <w:spacing w:after="40"/>
              <w:jc w:val="left"/>
            </w:pPr>
            <w:r>
              <w:rPr>
                <w:sz w:val="18"/>
              </w:rPr>
              <w:t xml:space="preserve">—</w:t>
            </w:r>
          </w:p>
        </w:tc>
        <w:tc>
          <w:tcPr>
            <w:tcW w:w="1762" w:type="dxa"/>
          </w:tcPr>
          <w:p>
            <w:pPr>
              <w:pStyle w:val="Compact"/>
              <w:spacing w:after="40"/>
              <w:jc w:val="left"/>
            </w:pPr>
            <w:r>
              <w:rPr>
                <w:sz w:val="18"/>
              </w:rPr>
              <w:t xml:space="preserve">component-definition</w:t>
            </w:r>
          </w:p>
        </w:tc>
      </w:tr>
      <w:tr>
        <w:tc>
          <w:tcPr>
            <w:tcW w:w="2193" w:type="dxa"/>
          </w:tcPr>
          <w:p>
            <w:pPr>
              <w:pStyle w:val="Compact"/>
              <w:spacing w:after="40"/>
              <w:jc w:val="left"/>
            </w:pPr>
            <w:r>
              <w:rPr>
                <w:rStyle w:val="VerbatimChar"/>
                <w:sz w:val="18"/>
              </w:rPr>
              <w:t xml:space="preserve">ControlTestResult</w:t>
            </w:r>
            <w:r>
              <w:rPr>
                <w:sz w:val="18"/>
              </w:rPr>
              <w:t xml:space="preserve">,</w:t>
            </w:r>
            <w:r>
              <w:rPr>
                <w:sz w:val="18"/>
              </w:rPr>
              <w:t xml:space="preserve"> </w:t>
            </w:r>
            <w:r>
              <w:rPr>
                <w:rStyle w:val="VerbatimChar"/>
                <w:sz w:val="18"/>
              </w:rPr>
              <w:t xml:space="preserve">Evidence</w:t>
            </w:r>
          </w:p>
        </w:tc>
        <w:tc>
          <w:tcPr>
            <w:tcW w:w="3490" w:type="dxa"/>
          </w:tcPr>
          <w:p>
            <w:pPr>
              <w:pStyle w:val="Compact"/>
              <w:spacing w:after="40"/>
              <w:jc w:val="left"/>
            </w:pPr>
            <w:r>
              <w:rPr>
                <w:sz w:val="18"/>
              </w:rPr>
              <w:t xml:space="preserve">run, period, result, population, masked sample, artefact hashes, signer</w:t>
            </w:r>
          </w:p>
        </w:tc>
        <w:tc>
          <w:tcPr>
            <w:tcW w:w="2193" w:type="dxa"/>
          </w:tcPr>
          <w:p>
            <w:pPr>
              <w:pStyle w:val="Compact"/>
              <w:spacing w:after="40"/>
              <w:jc w:val="left"/>
            </w:pPr>
            <w:r>
              <w:rPr>
                <w:rStyle w:val="VerbatimChar"/>
                <w:sz w:val="18"/>
              </w:rPr>
              <w:t xml:space="preserve">ControlTestResultPublished</w:t>
            </w:r>
            <w:r>
              <w:rPr>
                <w:sz w:val="18"/>
              </w:rPr>
              <w:t xml:space="preserve">,</w:t>
            </w:r>
            <w:r>
              <w:rPr>
                <w:sz w:val="18"/>
              </w:rPr>
              <w:t xml:space="preserve"> </w:t>
            </w:r>
            <w:r>
              <w:rPr>
                <w:rStyle w:val="VerbatimChar"/>
                <w:sz w:val="18"/>
              </w:rPr>
              <w:t xml:space="preserve">EvidenceSubmitted</w:t>
            </w:r>
          </w:p>
        </w:tc>
        <w:tc>
          <w:tcPr>
            <w:tcW w:w="1762" w:type="dxa"/>
          </w:tcPr>
          <w:p>
            <w:pPr>
              <w:pStyle w:val="Compact"/>
              <w:spacing w:after="40"/>
              <w:jc w:val="left"/>
            </w:pPr>
            <w:r>
              <w:rPr>
                <w:sz w:val="18"/>
              </w:rPr>
              <w:t xml:space="preserve">assessment-results</w:t>
            </w:r>
          </w:p>
        </w:tc>
      </w:tr>
      <w:tr>
        <w:tc>
          <w:tcPr>
            <w:tcW w:w="2193" w:type="dxa"/>
          </w:tcPr>
          <w:p>
            <w:pPr>
              <w:pStyle w:val="Compact"/>
              <w:spacing w:after="40"/>
              <w:jc w:val="left"/>
            </w:pPr>
            <w:r>
              <w:rPr>
                <w:rStyle w:val="VerbatimChar"/>
                <w:sz w:val="18"/>
              </w:rPr>
              <w:t xml:space="preserve">Issue</w:t>
            </w:r>
          </w:p>
        </w:tc>
        <w:tc>
          <w:tcPr>
            <w:tcW w:w="3490" w:type="dxa"/>
          </w:tcPr>
          <w:p>
            <w:pPr>
              <w:pStyle w:val="Compact"/>
              <w:spacing w:after="40"/>
              <w:jc w:val="left"/>
            </w:pPr>
            <w:r>
              <w:rPr>
                <w:sz w:val="18"/>
              </w:rPr>
              <w:t xml:space="preserve">source (TEST, AUDIT, RBI, INCIDENT), severity, owner, due</w:t>
            </w:r>
          </w:p>
        </w:tc>
        <w:tc>
          <w:tcPr>
            <w:tcW w:w="2193" w:type="dxa"/>
          </w:tcPr>
          <w:p>
            <w:pPr>
              <w:pStyle w:val="Compact"/>
              <w:spacing w:after="40"/>
              <w:jc w:val="left"/>
            </w:pPr>
            <w:r>
              <w:rPr>
                <w:rStyle w:val="VerbatimChar"/>
                <w:sz w:val="18"/>
              </w:rPr>
              <w:t xml:space="preserve">ComplianceIssueRaised</w:t>
            </w:r>
          </w:p>
        </w:tc>
        <w:tc>
          <w:tcPr>
            <w:tcW w:w="1762" w:type="dxa"/>
          </w:tcPr>
          <w:p>
            <w:pPr>
              <w:pStyle w:val="Compact"/>
              <w:spacing w:after="40"/>
              <w:jc w:val="left"/>
            </w:pPr>
            <w:r>
              <w:rPr>
                <w:sz w:val="18"/>
              </w:rPr>
              <w:t xml:space="preserve">plan-of-action-and-milestones</w:t>
            </w:r>
          </w:p>
        </w:tc>
      </w:tr>
      <w:tr>
        <w:tc>
          <w:tcPr>
            <w:tcW w:w="2193" w:type="dxa"/>
          </w:tcPr>
          <w:p>
            <w:pPr>
              <w:pStyle w:val="Compact"/>
              <w:spacing w:after="40"/>
              <w:jc w:val="left"/>
            </w:pPr>
            <w:r>
              <w:rPr>
                <w:rStyle w:val="VerbatimChar"/>
                <w:sz w:val="18"/>
              </w:rPr>
              <w:t xml:space="preserve">Incident</w:t>
            </w:r>
          </w:p>
        </w:tc>
        <w:tc>
          <w:tcPr>
            <w:tcW w:w="3490" w:type="dxa"/>
          </w:tcPr>
          <w:p>
            <w:pPr>
              <w:pStyle w:val="Compact"/>
              <w:spacing w:after="40"/>
              <w:jc w:val="left"/>
            </w:pPr>
            <w:r>
              <w:rPr>
                <w:sz w:val="18"/>
              </w:rPr>
              <w:t xml:space="preserve">detected_at, notified_re_at, rbi_reported_at</w:t>
            </w:r>
          </w:p>
        </w:tc>
        <w:tc>
          <w:tcPr>
            <w:tcW w:w="2193" w:type="dxa"/>
          </w:tcPr>
          <w:p>
            <w:pPr>
              <w:pStyle w:val="Compact"/>
              <w:spacing w:after="40"/>
              <w:jc w:val="left"/>
            </w:pPr>
            <w:r>
              <w:rPr>
                <w:rStyle w:val="VerbatimChar"/>
                <w:sz w:val="18"/>
              </w:rPr>
              <w:t xml:space="preserve">SecurityIncidentNotified</w:t>
            </w:r>
          </w:p>
        </w:tc>
        <w:tc>
          <w:tcPr>
            <w:tcW w:w="1762" w:type="dxa"/>
          </w:tcPr>
          <w:p>
            <w:pPr>
              <w:pStyle w:val="Compact"/>
              <w:spacing w:after="40"/>
              <w:jc w:val="left"/>
            </w:pPr>
            <w:r>
              <w:rPr>
                <w:sz w:val="18"/>
              </w:rPr>
              <w:t xml:space="preserve">—</w:t>
            </w:r>
          </w:p>
        </w:tc>
      </w:tr>
      <w:tr>
        <w:tc>
          <w:tcPr>
            <w:tcW w:w="2193" w:type="dxa"/>
          </w:tcPr>
          <w:p>
            <w:pPr>
              <w:pStyle w:val="Compact"/>
              <w:spacing w:after="40"/>
              <w:jc w:val="left"/>
            </w:pPr>
            <w:r>
              <w:rPr>
                <w:rStyle w:val="VerbatimChar"/>
                <w:sz w:val="18"/>
              </w:rPr>
              <w:t xml:space="preserve">RegulatoryReturn</w:t>
            </w:r>
            <w:r>
              <w:rPr>
                <w:sz w:val="18"/>
              </w:rPr>
              <w:t xml:space="preserve">,</w:t>
            </w:r>
            <w:r>
              <w:rPr>
                <w:sz w:val="18"/>
              </w:rPr>
              <w:t xml:space="preserve"> </w:t>
            </w:r>
            <w:r>
              <w:rPr>
                <w:rStyle w:val="VerbatimChar"/>
                <w:sz w:val="18"/>
              </w:rPr>
              <w:t xml:space="preserve">PolicyAttestation</w:t>
            </w:r>
          </w:p>
        </w:tc>
        <w:tc>
          <w:tcPr>
            <w:tcW w:w="3490" w:type="dxa"/>
          </w:tcPr>
          <w:p>
            <w:pPr>
              <w:pStyle w:val="Compact"/>
              <w:spacing w:after="40"/>
              <w:jc w:val="left"/>
            </w:pPr>
            <w:r>
              <w:rPr>
                <w:sz w:val="18"/>
              </w:rPr>
              <w:t xml:space="preserve">code, period, status, ack; policy, version, Board date, user</w:t>
            </w:r>
          </w:p>
        </w:tc>
        <w:tc>
          <w:tcPr>
            <w:tcW w:w="2193" w:type="dxa"/>
          </w:tcPr>
          <w:p>
            <w:pPr>
              <w:pStyle w:val="Compact"/>
              <w:spacing w:after="40"/>
              <w:jc w:val="left"/>
            </w:pPr>
            <w:r>
              <w:rPr>
                <w:rStyle w:val="VerbatimChar"/>
                <w:sz w:val="18"/>
              </w:rPr>
              <w:t xml:space="preserve">ReturnStatusUpdated</w:t>
            </w:r>
            <w:r>
              <w:rPr>
                <w:sz w:val="18"/>
              </w:rPr>
              <w:t xml:space="preserve">,</w:t>
            </w:r>
            <w:r>
              <w:rPr>
                <w:sz w:val="18"/>
              </w:rPr>
              <w:t xml:space="preserve"> </w:t>
            </w:r>
            <w:r>
              <w:rPr>
                <w:rStyle w:val="VerbatimChar"/>
                <w:sz w:val="18"/>
              </w:rPr>
              <w:t xml:space="preserve">PolicyAttested</w:t>
            </w:r>
          </w:p>
        </w:tc>
        <w:tc>
          <w:tcPr>
            <w:tcW w:w="1762" w:type="dxa"/>
          </w:tcPr>
          <w:p>
            <w:pPr>
              <w:pStyle w:val="Compact"/>
              <w:spacing w:after="40"/>
              <w:jc w:val="left"/>
            </w:pPr>
            <w:r>
              <w:rPr>
                <w:sz w:val="18"/>
              </w:rPr>
              <w:t xml:space="preserve">—</w:t>
            </w:r>
          </w:p>
        </w:tc>
      </w:tr>
      <w:tr>
        <w:tc>
          <w:tcPr>
            <w:tcW w:w="2193" w:type="dxa"/>
          </w:tcPr>
          <w:p>
            <w:pPr>
              <w:pStyle w:val="Compact"/>
              <w:spacing w:after="40"/>
              <w:jc w:val="left"/>
            </w:pPr>
            <w:r>
              <w:rPr>
                <w:rStyle w:val="VerbatimChar"/>
                <w:sz w:val="18"/>
              </w:rPr>
              <w:t xml:space="preserve">OutsourcingArrangement</w:t>
            </w:r>
            <w:r>
              <w:rPr>
                <w:sz w:val="18"/>
              </w:rPr>
              <w:t xml:space="preserve">,</w:t>
            </w:r>
            <w:r>
              <w:rPr>
                <w:sz w:val="18"/>
              </w:rPr>
              <w:t xml:space="preserve"> </w:t>
            </w:r>
            <w:r>
              <w:rPr>
                <w:rStyle w:val="VerbatimChar"/>
                <w:sz w:val="18"/>
              </w:rPr>
              <w:t xml:space="preserve">KRI</w:t>
            </w:r>
            <w:r>
              <w:rPr>
                <w:sz w:val="18"/>
              </w:rPr>
              <w:t xml:space="preserve">,</w:t>
            </w:r>
            <w:r>
              <w:rPr>
                <w:sz w:val="18"/>
              </w:rPr>
              <w:t xml:space="preserve"> </w:t>
            </w:r>
            <w:r>
              <w:rPr>
                <w:rStyle w:val="VerbatimChar"/>
                <w:sz w:val="18"/>
              </w:rPr>
              <w:t xml:space="preserve">RegulatoryChange</w:t>
            </w:r>
          </w:p>
        </w:tc>
        <w:tc>
          <w:tcPr>
            <w:tcW w:w="3490" w:type="dxa"/>
          </w:tcPr>
          <w:p>
            <w:pPr>
              <w:pStyle w:val="Compact"/>
              <w:spacing w:after="40"/>
              <w:jc w:val="left"/>
            </w:pPr>
            <w:r>
              <w:rPr>
                <w:sz w:val="18"/>
              </w:rPr>
              <w:t xml:space="preserve">provider, materiality, group flag (OUT paras 45–51, 90–92), data location; metric, threshold; impacted obligations</w:t>
            </w:r>
          </w:p>
        </w:tc>
        <w:tc>
          <w:tcPr>
            <w:tcW w:w="2193" w:type="dxa"/>
          </w:tcPr>
          <w:p>
            <w:pPr>
              <w:pStyle w:val="Compact"/>
              <w:spacing w:after="40"/>
              <w:jc w:val="left"/>
            </w:pPr>
            <w:r>
              <w:rPr>
                <w:rStyle w:val="VerbatimChar"/>
                <w:sz w:val="18"/>
              </w:rPr>
              <w:t xml:space="preserve">ObligationPublished</w:t>
            </w:r>
            <w:r>
              <w:rPr>
                <w:sz w:val="18"/>
              </w:rPr>
              <w:t xml:space="preserve"> </w:t>
            </w:r>
            <w:r>
              <w:rPr>
                <w:sz w:val="18"/>
              </w:rPr>
              <w:t xml:space="preserve">(changes)</w:t>
            </w:r>
          </w:p>
        </w:tc>
        <w:tc>
          <w:tcPr>
            <w:tcW w:w="1762" w:type="dxa"/>
          </w:tcPr>
          <w:p>
            <w:pPr>
              <w:pStyle w:val="Compact"/>
              <w:spacing w:after="40"/>
              <w:jc w:val="left"/>
            </w:pPr>
            <w:r>
              <w:rPr>
                <w:sz w:val="18"/>
              </w:rPr>
              <w:t xml:space="preserve">—</w:t>
            </w:r>
          </w:p>
        </w:tc>
      </w:tr>
    </w:tbl>
    <w:p>
      <w:pPr>
        <w:pStyle w:val="BodyText"/>
      </w:pPr>
      <w:r>
        <w:rPr>
          <w:bCs/>
          <w:b/>
        </w:rPr>
        <w:t xml:space="preserve">Minimum control feed:</w:t>
      </w:r>
      <w:r>
        <w:t xml:space="preserve"> </w:t>
      </w:r>
      <w:r>
        <w:t xml:space="preserve">classification sync T+1 (TDCR para 124); agent notice before contact (CF para 9(6)); contact windows (RBC paras 90, 91(2), 100); same-day agent cash posting (CF para 10(5)); no LSP-controlled account (CF para 10); KFS before execution (RBC para 29); DLG cap, window and disclosure (CF paras 24, 27, 28); release timelines (RBC paras 35, 58, 69); settlement approval and cooling (RSA paras 16(5), 95); ADR basis (A&amp;C Act ss.7, 12); consentref (CF para 13); incident notice (OUT para 61).</w:t>
      </w:r>
    </w:p>
    <w:bookmarkEnd w:id="95"/>
    <w:bookmarkStart w:id="96" w:name="lawdocscomply-native-connector"/>
    <w:p>
      <w:pPr>
        <w:pStyle w:val="Heading2"/>
      </w:pPr>
      <w:r>
        <w:t xml:space="preserve">9.3 LawDocsComply native connector</w:t>
      </w:r>
    </w:p>
    <w:p>
      <w:pPr>
        <w:pStyle w:val="FirstParagraph"/>
      </w:pPr>
      <w:r>
        <w:t xml:space="preserve">Checkpoint banks →</w:t>
      </w:r>
      <w:r>
        <w:t xml:space="preserve"> </w:t>
      </w:r>
      <w:r>
        <w:rPr>
          <w:rStyle w:val="VerbatimChar"/>
        </w:rPr>
        <w:t xml:space="preserve">Obligation</w:t>
      </w:r>
      <w:r>
        <w:t xml:space="preserve"> </w:t>
      </w:r>
      <w:r>
        <w:t xml:space="preserve">(each checkpoint carries the canonical</w:t>
      </w:r>
      <w:r>
        <w:t xml:space="preserve"> </w:t>
      </w:r>
      <w:r>
        <w:rPr>
          <w:rStyle w:val="VerbatimChar"/>
        </w:rPr>
        <w:t xml:space="preserve">obligation_ref</w:t>
      </w:r>
      <w:r>
        <w:t xml:space="preserve">); questionnaire responses and product tests →</w:t>
      </w:r>
      <w:r>
        <w:t xml:space="preserve"> </w:t>
      </w:r>
      <w:r>
        <w:rPr>
          <w:rStyle w:val="VerbatimChar"/>
        </w:rPr>
        <w:t xml:space="preserve">ControlTestResult</w:t>
      </w:r>
      <w:r>
        <w:t xml:space="preserve">; calendar → returns and policy reviews; litigation module → consumer of the five litigation events. LawDocsComply (Node, TypeScript, MongoDB) builds the connector in its own repository against this specification and certifies it like any other [VERIFY: public API; one-to-one mapping of questionnaire rows to OSCAL controls].</w:t>
      </w:r>
    </w:p>
    <w:bookmarkEnd w:id="96"/>
    <w:bookmarkStart w:id="97" w:name="oscal-and-third-party-grc-adapters"/>
    <w:p>
      <w:pPr>
        <w:pStyle w:val="Heading2"/>
      </w:pPr>
      <w:r>
        <w:t xml:space="preserve">9.4 OSCAL and third-party GRC adapters</w:t>
      </w:r>
    </w:p>
    <w:p>
      <w:pPr>
        <w:pStyle w:val="FirstParagraph"/>
      </w:pPr>
      <w:r>
        <w:t xml:space="preserve">On request, a JWS-signed OSCAL JSON package (NIST OSCAL v1.2.x: catalog, profile, component-definition, system-security-plan, assessment-results, plan-of-action-and-milestones). Adapters are versioned mapping packs (10.3):</w:t>
      </w:r>
      <w:r>
        <w:t xml:space="preserve"> </w:t>
      </w:r>
      <w:r>
        <w:rPr>
          <w:bCs/>
          <w:b/>
        </w:rPr>
        <w:t xml:space="preserve">MetricStream</w:t>
      </w:r>
      <w:r>
        <w:t xml:space="preserve"> </w:t>
      </w:r>
      <w:r>
        <w:t xml:space="preserve">(OpenAPI REST, REST or Kafka connectors, bulk loads);</w:t>
      </w:r>
      <w:r>
        <w:t xml:space="preserve"> </w:t>
      </w:r>
      <w:r>
        <w:rPr>
          <w:bCs/>
          <w:b/>
        </w:rPr>
        <w:t xml:space="preserve">ServiceNow IRM</w:t>
      </w:r>
      <w:r>
        <w:t xml:space="preserve"> </w:t>
      </w:r>
      <w:r>
        <w:t xml:space="preserve">(Policy and Compliance staging tables; roles</w:t>
      </w:r>
      <w:r>
        <w:t xml:space="preserve"> </w:t>
      </w:r>
      <w:r>
        <w:rPr>
          <w:rStyle w:val="VerbatimChar"/>
        </w:rPr>
        <w:t xml:space="preserve">sn_compliance.admin</w:t>
      </w:r>
      <w:r>
        <w:t xml:space="preserve">,</w:t>
      </w:r>
      <w:r>
        <w:t xml:space="preserve"> </w:t>
      </w:r>
      <w:r>
        <w:rPr>
          <w:rStyle w:val="VerbatimChar"/>
        </w:rPr>
        <w:t xml:space="preserve">sn_grc_cim.admin</w:t>
      </w:r>
      <w:r>
        <w:t xml:space="preserve">; never core tables);</w:t>
      </w:r>
      <w:r>
        <w:t xml:space="preserve"> </w:t>
      </w:r>
      <w:r>
        <w:rPr>
          <w:bCs/>
          <w:b/>
        </w:rPr>
        <w:t xml:space="preserve">Archer</w:t>
      </w:r>
      <w:r>
        <w:t xml:space="preserve"> </w:t>
      </w:r>
      <w:r>
        <w:t xml:space="preserve">(REST, Content and GRC APIs);</w:t>
      </w:r>
      <w:r>
        <w:t xml:space="preserve"> </w:t>
      </w:r>
      <w:r>
        <w:rPr>
          <w:bCs/>
          <w:b/>
        </w:rPr>
        <w:t xml:space="preserve">IBM OpenPages</w:t>
      </w:r>
      <w:r>
        <w:t xml:space="preserve"> </w:t>
      </w:r>
      <w:r>
        <w:t xml:space="preserve">(GRC REST, App Connect, regulatory-content connectors);</w:t>
      </w:r>
      <w:r>
        <w:t xml:space="preserve"> </w:t>
      </w:r>
      <w:r>
        <w:rPr>
          <w:bCs/>
          <w:b/>
        </w:rPr>
        <w:t xml:space="preserve">Komrisk, Komply360, Compfie, TeamLease RegTech, Lawrbit, OnFinance</w:t>
      </w:r>
      <w:r>
        <w:t xml:space="preserve"> </w:t>
      </w:r>
      <w:r>
        <w:t xml:space="preserve">(REST where available, else CSV or OSCAL) [VERIFY: APIs per tool]; others through 9.2.</w:t>
      </w:r>
    </w:p>
    <w:p>
      <w:r>
        <w:pict>
          <v:rect style="width:0;height:1.5pt" o:hralign="center" o:hrstd="t" o:hr="t"/>
        </w:pict>
      </w:r>
    </w:p>
    <w:bookmarkEnd w:id="97"/>
    <w:bookmarkEnd w:id="98"/>
    <w:bookmarkStart w:id="102" w:name="third-party-integration-framework"/>
    <w:p>
      <w:pPr>
        <w:pStyle w:val="Heading1"/>
      </w:pPr>
      <w:r>
        <w:t xml:space="preserve">10 — THIRD-PARTY INTEGRATION FRAMEWORK</w:t>
      </w:r>
    </w:p>
    <w:bookmarkStart w:id="99" w:name="connector-spi-and-certification"/>
    <w:p>
      <w:pPr>
        <w:pStyle w:val="Heading2"/>
      </w:pPr>
      <w:r>
        <w:t xml:space="preserve">10.1 Connector SPI and certification</w:t>
      </w:r>
    </w:p>
    <w:p>
      <w:pPr>
        <w:pStyle w:val="FirstParagraph"/>
      </w:pPr>
      <w:r>
        <w:t xml:space="preserve">Every connector implements</w:t>
      </w:r>
      <w:r>
        <w:t xml:space="preserve"> </w:t>
      </w:r>
      <w:r>
        <w:rPr>
          <w:rStyle w:val="VerbatimChar"/>
        </w:rPr>
        <w:t xml:space="preserve">@infrabyx/connector-sdk</w:t>
      </w:r>
      <w:r>
        <w:t xml:space="preserve"> </w:t>
      </w:r>
      <w:r>
        <w:t xml:space="preserve">and runs out of process with APIs and events only:</w:t>
      </w:r>
    </w:p>
    <w:p>
      <w:pPr>
        <w:pStyle w:val="SourceCode"/>
      </w:pPr>
      <w:r>
        <w:rPr>
          <w:rStyle w:val="KeywordTok"/>
        </w:rPr>
        <w:t xml:space="preserve">interface</w:t>
      </w:r>
      <w:r>
        <w:rPr>
          <w:rStyle w:val="NormalTok"/>
        </w:rPr>
        <w:t xml:space="preserve"> Connector {</w:t>
      </w:r>
      <w:r>
        <w:br/>
      </w:r>
      <w:r>
        <w:rPr>
          <w:rStyle w:val="NormalTok"/>
        </w:rPr>
        <w:t xml:space="preserve">  </w:t>
      </w:r>
      <w:r>
        <w:rPr>
          <w:rStyle w:val="FunctionTok"/>
        </w:rPr>
        <w:t xml:space="preserve">manifest</w:t>
      </w:r>
      <w:r>
        <w:rPr>
          <w:rStyle w:val="NormalTok"/>
        </w:rPr>
        <w:t xml:space="preserve">()</w:t>
      </w:r>
      <w:r>
        <w:rPr>
          <w:rStyle w:val="OperatorTok"/>
        </w:rPr>
        <w:t xml:space="preserve">:</w:t>
      </w:r>
      <w:r>
        <w:rPr>
          <w:rStyle w:val="NormalTok"/>
        </w:rPr>
        <w:t xml:space="preserve"> ConnectorManifest</w:t>
      </w:r>
      <w:r>
        <w:rPr>
          <w:rStyle w:val="OperatorTok"/>
        </w:rPr>
        <w:t xml:space="preserve">;</w:t>
      </w:r>
      <w:r>
        <w:rPr>
          <w:rStyle w:val="NormalTok"/>
        </w:rPr>
        <w:t xml:space="preserve">            </w:t>
      </w:r>
      <w:r>
        <w:rPr>
          <w:rStyle w:val="CommentTok"/>
        </w:rPr>
        <w:t xml:space="preserve">// id, version, counterparty, capabilities, schemas, scopes, residency</w:t>
      </w:r>
      <w:r>
        <w:br/>
      </w:r>
      <w:r>
        <w:rPr>
          <w:rStyle w:val="NormalTok"/>
        </w:rPr>
        <w:t xml:space="preserve">  </w:t>
      </w:r>
      <w:r>
        <w:rPr>
          <w:rStyle w:val="FunctionTok"/>
        </w:rPr>
        <w:t xml:space="preserve">capabilities</w:t>
      </w:r>
      <w:r>
        <w:rPr>
          <w:rStyle w:val="NormalTok"/>
        </w:rPr>
        <w:t xml:space="preserve">()</w:t>
      </w:r>
      <w:r>
        <w:rPr>
          <w:rStyle w:val="OperatorTok"/>
        </w:rPr>
        <w:t xml:space="preserve">:</w:t>
      </w:r>
      <w:r>
        <w:rPr>
          <w:rStyle w:val="NormalTok"/>
        </w:rPr>
        <w:t xml:space="preserve"> CapabilityDeclaration[]</w:t>
      </w:r>
      <w:r>
        <w:rPr>
          <w:rStyle w:val="OperatorTok"/>
        </w:rPr>
        <w:t xml:space="preserve">;</w:t>
      </w:r>
      <w:r>
        <w:rPr>
          <w:rStyle w:val="NormalTok"/>
        </w:rPr>
        <w:t xml:space="preserve">  </w:t>
      </w:r>
      <w:r>
        <w:rPr>
          <w:rStyle w:val="CommentTok"/>
        </w:rPr>
        <w:t xml:space="preserve">// API, WEBHOOK, POLL, FILE or PORTAL_MANUAL per capability</w:t>
      </w:r>
      <w:r>
        <w:br/>
      </w:r>
      <w:r>
        <w:rPr>
          <w:rStyle w:val="NormalTok"/>
        </w:rPr>
        <w:t xml:space="preserve">  </w:t>
      </w:r>
      <w:r>
        <w:rPr>
          <w:rStyle w:val="FunctionTok"/>
        </w:rPr>
        <w:t xml:space="preserve">healthCheck</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w:t>
      </w:r>
      <w:r>
        <w:rPr>
          <w:rStyle w:val="OperatorTok"/>
        </w:rPr>
        <w:t xml:space="preserve">&gt;;</w:t>
      </w:r>
      <w:r>
        <w:br/>
      </w:r>
      <w:r>
        <w:rPr>
          <w:rStyle w:val="NormalTok"/>
        </w:rPr>
        <w:t xml:space="preserve">  </w:t>
      </w:r>
      <w:r>
        <w:rPr>
          <w:rStyle w:val="FunctionTok"/>
        </w:rPr>
        <w:t xml:space="preserve">send</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event</w:t>
      </w:r>
      <w:r>
        <w:rPr>
          <w:rStyle w:val="OperatorTok"/>
        </w:rPr>
        <w:t xml:space="preserve">:</w:t>
      </w:r>
      <w:r>
        <w:rPr>
          <w:rStyle w:val="NormalTok"/>
        </w:rPr>
        <w:t xml:space="preserve"> CloudEvent)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DeliveryResult</w:t>
      </w:r>
      <w:r>
        <w:rPr>
          <w:rStyle w:val="OperatorTok"/>
        </w:rPr>
        <w:t xml:space="preserve">&gt;;</w:t>
      </w:r>
      <w:r>
        <w:rPr>
          <w:rStyle w:val="NormalTok"/>
        </w:rPr>
        <w:t xml:space="preserve">     </w:t>
      </w:r>
      <w:r>
        <w:rPr>
          <w:rStyle w:val="CommentTok"/>
        </w:rPr>
        <w:t xml:space="preserve">// canonical → counterparty</w:t>
      </w:r>
      <w:r>
        <w:br/>
      </w:r>
      <w:r>
        <w:rPr>
          <w:rStyle w:val="NormalTok"/>
        </w:rPr>
        <w:t xml:space="preserve">  </w:t>
      </w:r>
      <w:r>
        <w:rPr>
          <w:rStyle w:val="FunctionTok"/>
        </w:rPr>
        <w:t xml:space="preserve">receive</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raw</w:t>
      </w:r>
      <w:r>
        <w:rPr>
          <w:rStyle w:val="OperatorTok"/>
        </w:rPr>
        <w:t xml:space="preserve">:</w:t>
      </w:r>
      <w:r>
        <w:rPr>
          <w:rStyle w:val="NormalTok"/>
        </w:rPr>
        <w:t xml:space="preserve"> InboundMessage)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CloudEvent[]</w:t>
      </w:r>
      <w:r>
        <w:rPr>
          <w:rStyle w:val="OperatorTok"/>
        </w:rPr>
        <w:t xml:space="preserve">&gt;;</w:t>
      </w:r>
      <w:r>
        <w:rPr>
          <w:rStyle w:val="NormalTok"/>
        </w:rPr>
        <w:t xml:space="preserve">  </w:t>
      </w:r>
      <w:r>
        <w:rPr>
          <w:rStyle w:val="CommentTok"/>
        </w:rPr>
        <w:t xml:space="preserve">// counterparty → canonical</w:t>
      </w:r>
      <w:r>
        <w:br/>
      </w:r>
      <w:r>
        <w:rPr>
          <w:rStyle w:val="NormalTok"/>
        </w:rPr>
        <w:t xml:space="preserve">  </w:t>
      </w:r>
      <w:r>
        <w:rPr>
          <w:rStyle w:val="FunctionTok"/>
        </w:rPr>
        <w:t xml:space="preserve">call</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op</w:t>
      </w:r>
      <w:r>
        <w:rPr>
          <w:rStyle w:val="OperatorTok"/>
        </w:rPr>
        <w:t xml:space="preserve">:</w:t>
      </w:r>
      <w:r>
        <w:rPr>
          <w:rStyle w:val="NormalTok"/>
        </w:rPr>
        <w:t xml:space="preserve"> OperationId</w:t>
      </w:r>
      <w:r>
        <w:rPr>
          <w:rStyle w:val="OperatorTok"/>
        </w:rPr>
        <w:t xml:space="preserve">,</w:t>
      </w:r>
      <w:r>
        <w:rPr>
          <w:rStyle w:val="NormalTok"/>
        </w:rPr>
        <w:t xml:space="preserve"> body</w:t>
      </w:r>
      <w:r>
        <w:rPr>
          <w:rStyle w:val="OperatorTok"/>
        </w:rPr>
        <w:t xml:space="preserve">:</w:t>
      </w:r>
      <w:r>
        <w:rPr>
          <w:rStyle w:val="NormalTok"/>
        </w:rPr>
        <w:t xml:space="preserve"> </w:t>
      </w:r>
      <w:r>
        <w:rPr>
          <w:rStyle w:val="DataTypeTok"/>
        </w:rPr>
        <w:t xml:space="preserve">unknown</w:t>
      </w:r>
      <w:r>
        <w:rPr>
          <w:rStyle w:val="OperatorTok"/>
        </w:rPr>
        <w:t xml:space="preserve">,</w:t>
      </w:r>
      <w:r>
        <w:rPr>
          <w:rStyle w:val="NormalTok"/>
        </w:rPr>
        <w:t xml:space="preserve"> idemKey</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OperationResult</w:t>
      </w:r>
      <w:r>
        <w:rPr>
          <w:rStyle w:val="OperatorTok"/>
        </w:rPr>
        <w:t xml:space="preserve">&gt;;</w:t>
      </w:r>
      <w:r>
        <w:br/>
      </w:r>
      <w:r>
        <w:rPr>
          <w:rStyle w:val="NormalTok"/>
        </w:rPr>
        <w:t xml:space="preserve">  </w:t>
      </w:r>
      <w:r>
        <w:rPr>
          <w:rStyle w:val="FunctionTok"/>
        </w:rPr>
        <w:t xml:space="preserve">reconcile</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businessDate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ReconciliationReport</w:t>
      </w:r>
      <w:r>
        <w:rPr>
          <w:rStyle w:val="OperatorTok"/>
        </w:rPr>
        <w:t xml:space="preserve">&gt;;</w:t>
      </w:r>
      <w:r>
        <w:br/>
      </w:r>
      <w:r>
        <w:rPr>
          <w:rStyle w:val="NormalTok"/>
        </w:rPr>
        <w:t xml:space="preserve">}</w:t>
      </w:r>
    </w:p>
    <w:p>
      <w:pPr>
        <w:pStyle w:val="FirstParagraph"/>
      </w:pPr>
      <w:r>
        <w:rPr>
          <w:rStyle w:val="VerbatimChar"/>
        </w:rPr>
        <w:t xml:space="preserve">TenantContext</w:t>
      </w:r>
      <w:r>
        <w:t xml:space="preserve"> </w:t>
      </w:r>
      <w:r>
        <w:t xml:space="preserve">carries</w:t>
      </w:r>
      <w:r>
        <w:t xml:space="preserve"> </w:t>
      </w:r>
      <w:r>
        <w:rPr>
          <w:rStyle w:val="VerbatimChar"/>
        </w:rPr>
        <w:t xml:space="preserve">tenantid</w:t>
      </w:r>
      <w:r>
        <w:t xml:space="preserve">,</w:t>
      </w:r>
      <w:r>
        <w:t xml:space="preserve"> </w:t>
      </w:r>
      <w:r>
        <w:rPr>
          <w:rStyle w:val="VerbatimChar"/>
        </w:rPr>
        <w:t xml:space="preserve">reid</w:t>
      </w:r>
      <w:r>
        <w:t xml:space="preserve">, a vault handle, mapping version and environment; calls without RE context fail. Third-party connectors also need residency and sub-processor review, VAPT ≤ 12 months old, and the outsourcing clauses in the counterparty contract (OUT paras 33–34, 74).</w:t>
      </w:r>
    </w:p>
    <w:bookmarkEnd w:id="99"/>
    <w:bookmarkStart w:id="100" w:name="adapter-catalogue"/>
    <w:p>
      <w:pPr>
        <w:pStyle w:val="Heading2"/>
      </w:pPr>
      <w:r>
        <w:t xml:space="preserve">10.2 Adapter catalogue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066"/>
        <w:gridCol w:w="3262"/>
        <w:gridCol w:w="4310"/>
      </w:tblGrid>
      <w:tr>
        <w:trPr>
          <w:tblHeader w:val="true"/>
          <w:tblHeader w:val="true"/>
        </w:trPr>
        <w:tc>
          <w:tcPr>
            <w:tcW w:w="2066" w:type="dxa"/>
            <w:shd w:val="clear" w:color="auto" w:fill="1F3A5F"/>
          </w:tcPr>
          <w:p>
            <w:pPr>
              <w:pStyle w:val="Compact"/>
              <w:spacing w:after="40"/>
              <w:jc w:val="left"/>
            </w:pPr>
            <w:r>
              <w:rPr>
                <w:b/>
                <w:color w:val="FFFFFF"/>
                <w:sz w:val="18"/>
              </w:rPr>
              <w:t xml:space="preserve">Category</w:t>
            </w:r>
          </w:p>
        </w:tc>
        <w:tc>
          <w:tcPr>
            <w:tcW w:w="3262" w:type="dxa"/>
            <w:shd w:val="clear" w:color="auto" w:fill="1F3A5F"/>
          </w:tcPr>
          <w:p>
            <w:pPr>
              <w:pStyle w:val="Compact"/>
              <w:spacing w:after="40"/>
              <w:jc w:val="left"/>
            </w:pPr>
            <w:r>
              <w:rPr>
                <w:b/>
                <w:color w:val="FFFFFF"/>
                <w:sz w:val="18"/>
              </w:rPr>
              <w:t xml:space="preserve">Examples</w:t>
            </w:r>
          </w:p>
        </w:tc>
        <w:tc>
          <w:tcPr>
            <w:tcW w:w="4310" w:type="dxa"/>
            <w:shd w:val="clear" w:color="auto" w:fill="1F3A5F"/>
          </w:tcPr>
          <w:p>
            <w:pPr>
              <w:pStyle w:val="Compact"/>
              <w:spacing w:after="40"/>
              <w:jc w:val="left"/>
            </w:pPr>
            <w:r>
              <w:rPr>
                <w:b/>
                <w:color w:val="FFFFFF"/>
                <w:sz w:val="18"/>
              </w:rPr>
              <w:t xml:space="preserve">Pattern and rules</w:t>
            </w:r>
          </w:p>
        </w:tc>
      </w:tr>
      <w:tr>
        <w:tc>
          <w:tcPr>
            <w:tcW w:w="2066" w:type="dxa"/>
          </w:tcPr>
          <w:p>
            <w:pPr>
              <w:pStyle w:val="Compact"/>
              <w:spacing w:after="40"/>
              <w:jc w:val="left"/>
            </w:pPr>
            <w:r>
              <w:rPr>
                <w:sz w:val="18"/>
              </w:rPr>
              <w:t xml:space="preserve">LOS/LMS in place of Finbyx</w:t>
            </w:r>
          </w:p>
        </w:tc>
        <w:tc>
          <w:tcPr>
            <w:tcW w:w="3262" w:type="dxa"/>
          </w:tcPr>
          <w:p>
            <w:pPr>
              <w:pStyle w:val="Compact"/>
              <w:spacing w:after="40"/>
              <w:jc w:val="left"/>
            </w:pPr>
            <w:r>
              <w:rPr>
                <w:sz w:val="18"/>
              </w:rPr>
              <w:t xml:space="preserve">Apache Fineract and Fineract-based cores (</w:t>
            </w:r>
            <w:r>
              <w:rPr>
                <w:rStyle w:val="VerbatimChar"/>
                <w:sz w:val="18"/>
              </w:rPr>
              <w:t xml:space="preserve">/fineract-provider/api/v1/</w:t>
            </w:r>
            <w:r>
              <w:rPr>
                <w:sz w:val="18"/>
              </w:rPr>
              <w:t xml:space="preserve">), vendor cores</w:t>
            </w:r>
          </w:p>
        </w:tc>
        <w:tc>
          <w:tcPr>
            <w:tcW w:w="4310" w:type="dxa"/>
          </w:tcPr>
          <w:p>
            <w:pPr>
              <w:pStyle w:val="Compact"/>
              <w:spacing w:after="40"/>
              <w:jc w:val="left"/>
            </w:pPr>
            <w:r>
              <w:rPr>
                <w:sz w:val="18"/>
              </w:rPr>
              <w:t xml:space="preserve">Certified lender connector, generic REST or webhook, or SFTP; that LMS becomes system of record [VERIFY: Fineract external events in deployed version]</w:t>
            </w:r>
          </w:p>
        </w:tc>
      </w:tr>
      <w:tr>
        <w:tc>
          <w:tcPr>
            <w:tcW w:w="2066" w:type="dxa"/>
          </w:tcPr>
          <w:p>
            <w:pPr>
              <w:pStyle w:val="Compact"/>
              <w:spacing w:after="40"/>
              <w:jc w:val="left"/>
            </w:pPr>
            <w:r>
              <w:rPr>
                <w:sz w:val="18"/>
              </w:rPr>
              <w:t xml:space="preserve">Accounting</w:t>
            </w:r>
          </w:p>
        </w:tc>
        <w:tc>
          <w:tcPr>
            <w:tcW w:w="3262" w:type="dxa"/>
          </w:tcPr>
          <w:p>
            <w:pPr>
              <w:pStyle w:val="Compact"/>
              <w:spacing w:after="40"/>
              <w:jc w:val="left"/>
            </w:pPr>
            <w:r>
              <w:rPr>
                <w:sz w:val="18"/>
              </w:rPr>
              <w:t xml:space="preserve">TallyPrime (XML over HTTP port 9000 or file), SAP S/4HANA (OData, BAPI_ACC_DOCUMENT_POST, ACC_DOCUMENT IDoc), SAP Business One, Zoho Books, CSV</w:t>
            </w:r>
          </w:p>
        </w:tc>
        <w:tc>
          <w:tcPr>
            <w:tcW w:w="4310" w:type="dxa"/>
          </w:tcPr>
          <w:p>
            <w:pPr>
              <w:pStyle w:val="Compact"/>
              <w:spacing w:after="40"/>
              <w:jc w:val="left"/>
            </w:pPr>
            <w:r>
              <w:rPr>
                <w:rStyle w:val="VerbatimChar"/>
                <w:sz w:val="18"/>
              </w:rPr>
              <w:t xml:space="preserve">AccountingSink</w:t>
            </w:r>
            <w:r>
              <w:rPr>
                <w:sz w:val="18"/>
              </w:rPr>
              <w:t xml:space="preserve"> </w:t>
            </w:r>
            <w:r>
              <w:rPr>
                <w:sz w:val="18"/>
              </w:rPr>
              <w:t xml:space="preserve">from the RE ledger; hashed, signed, no manual edits (CYB paras 119–120) [VERIFY: SAP per release]</w:t>
            </w:r>
          </w:p>
        </w:tc>
      </w:tr>
      <w:tr>
        <w:tc>
          <w:tcPr>
            <w:tcW w:w="2066" w:type="dxa"/>
          </w:tcPr>
          <w:p>
            <w:pPr>
              <w:pStyle w:val="Compact"/>
              <w:spacing w:after="40"/>
              <w:jc w:val="left"/>
            </w:pPr>
            <w:r>
              <w:rPr>
                <w:sz w:val="18"/>
              </w:rPr>
              <w:t xml:space="preserve">Legal-tech, court data</w:t>
            </w:r>
          </w:p>
        </w:tc>
        <w:tc>
          <w:tcPr>
            <w:tcW w:w="3262" w:type="dxa"/>
          </w:tcPr>
          <w:p>
            <w:pPr>
              <w:pStyle w:val="Compact"/>
              <w:spacing w:after="40"/>
              <w:jc w:val="left"/>
            </w:pPr>
            <w:r>
              <w:rPr>
                <w:sz w:val="18"/>
              </w:rPr>
              <w:t xml:space="preserve">eCourts CNR [VERIFY: NBFC API eligibility], aggregators, e-DRT (no API found), NCLT, e-Jagriti, LawDocs</w:t>
            </w:r>
          </w:p>
        </w:tc>
        <w:tc>
          <w:tcPr>
            <w:tcW w:w="4310" w:type="dxa"/>
          </w:tcPr>
          <w:p>
            <w:pPr>
              <w:pStyle w:val="Compact"/>
              <w:spacing w:after="40"/>
              <w:jc w:val="left"/>
            </w:pPr>
            <w:r>
              <w:rPr>
                <w:sz w:val="18"/>
              </w:rPr>
              <w:t xml:space="preserve">CNR polling, cause-list match, orders; counsel updates prevail</w:t>
            </w:r>
          </w:p>
        </w:tc>
      </w:tr>
      <w:tr>
        <w:tc>
          <w:tcPr>
            <w:tcW w:w="2066" w:type="dxa"/>
          </w:tcPr>
          <w:p>
            <w:pPr>
              <w:pStyle w:val="Compact"/>
              <w:spacing w:after="40"/>
              <w:jc w:val="left"/>
            </w:pPr>
            <w:r>
              <w:rPr>
                <w:sz w:val="18"/>
              </w:rPr>
              <w:t xml:space="preserve">E-auction</w:t>
            </w:r>
          </w:p>
        </w:tc>
        <w:tc>
          <w:tcPr>
            <w:tcW w:w="3262" w:type="dxa"/>
          </w:tcPr>
          <w:p>
            <w:pPr>
              <w:pStyle w:val="Compact"/>
              <w:spacing w:after="40"/>
              <w:jc w:val="left"/>
            </w:pPr>
            <w:r>
              <w:rPr>
                <w:sz w:val="18"/>
              </w:rPr>
              <w:t xml:space="preserve">BAANKNET (mandatory for IBC liquidation auctions noticed from 1 Apr 2025), C1 India, auctiontiger, MSTC, Shriram Automall</w:t>
            </w:r>
          </w:p>
        </w:tc>
        <w:tc>
          <w:tcPr>
            <w:tcW w:w="4310" w:type="dxa"/>
          </w:tcPr>
          <w:p>
            <w:pPr>
              <w:pStyle w:val="Compact"/>
              <w:spacing w:after="40"/>
              <w:jc w:val="left"/>
            </w:pPr>
            <w:r>
              <w:rPr>
                <w:rStyle w:val="VerbatimChar"/>
                <w:sz w:val="18"/>
              </w:rPr>
              <w:t xml:space="preserve">AuctionPlatformAdapter</w:t>
            </w:r>
            <w:r>
              <w:rPr>
                <w:sz w:val="18"/>
              </w:rPr>
              <w:t xml:space="preserve">: listing, EMD and bidder KYC, bid log, result [VERIFY: NBFC access and APIs]</w:t>
            </w:r>
          </w:p>
        </w:tc>
      </w:tr>
      <w:tr>
        <w:tc>
          <w:tcPr>
            <w:tcW w:w="2066" w:type="dxa"/>
          </w:tcPr>
          <w:p>
            <w:pPr>
              <w:pStyle w:val="Compact"/>
              <w:spacing w:after="40"/>
              <w:jc w:val="left"/>
            </w:pPr>
            <w:r>
              <w:rPr>
                <w:sz w:val="18"/>
              </w:rPr>
              <w:t xml:space="preserve">Agencies, diallers</w:t>
            </w:r>
          </w:p>
        </w:tc>
        <w:tc>
          <w:tcPr>
            <w:tcW w:w="3262" w:type="dxa"/>
          </w:tcPr>
          <w:p>
            <w:pPr>
              <w:pStyle w:val="Compact"/>
              <w:spacing w:after="40"/>
              <w:jc w:val="left"/>
            </w:pPr>
            <w:r>
              <w:rPr>
                <w:sz w:val="18"/>
              </w:rPr>
              <w:t xml:space="preserve">Agency portals, Credgenics, Spocto, 1600-series voice vendors</w:t>
            </w:r>
          </w:p>
        </w:tc>
        <w:tc>
          <w:tcPr>
            <w:tcW w:w="4310" w:type="dxa"/>
          </w:tcPr>
          <w:p>
            <w:pPr>
              <w:pStyle w:val="Compact"/>
              <w:spacing w:after="40"/>
              <w:jc w:val="left"/>
            </w:pPr>
            <w:r>
              <w:rPr>
                <w:sz w:val="18"/>
              </w:rPr>
              <w:t xml:space="preserve">Allocations in, activity out; police verification (RBC paras 93–99); IIBF from 1 Jan 2027 [VERIFY]</w:t>
            </w:r>
          </w:p>
        </w:tc>
      </w:tr>
      <w:tr>
        <w:tc>
          <w:tcPr>
            <w:tcW w:w="2066" w:type="dxa"/>
          </w:tcPr>
          <w:p>
            <w:pPr>
              <w:pStyle w:val="Compact"/>
              <w:spacing w:after="40"/>
              <w:jc w:val="left"/>
            </w:pPr>
            <w:r>
              <w:rPr>
                <w:sz w:val="18"/>
              </w:rPr>
              <w:t xml:space="preserve">Notice dispatch</w:t>
            </w:r>
          </w:p>
        </w:tc>
        <w:tc>
          <w:tcPr>
            <w:tcW w:w="3262" w:type="dxa"/>
          </w:tcPr>
          <w:p>
            <w:pPr>
              <w:pStyle w:val="Compact"/>
              <w:spacing w:after="40"/>
              <w:jc w:val="left"/>
            </w:pPr>
            <w:r>
              <w:rPr>
                <w:sz w:val="18"/>
              </w:rPr>
              <w:t xml:space="preserve">India Post bulk API (CEPT onboarding), couriers, DLT SMS, email, print-to-post</w:t>
            </w:r>
          </w:p>
        </w:tc>
        <w:tc>
          <w:tcPr>
            <w:tcW w:w="4310" w:type="dxa"/>
          </w:tcPr>
          <w:p>
            <w:pPr>
              <w:pStyle w:val="Compact"/>
              <w:spacing w:after="40"/>
              <w:jc w:val="left"/>
            </w:pPr>
            <w:r>
              <w:rPr>
                <w:sz w:val="18"/>
              </w:rPr>
              <w:t xml:space="preserve">→</w:t>
            </w:r>
            <w:r>
              <w:rPr>
                <w:sz w:val="18"/>
              </w:rPr>
              <w:t xml:space="preserve"> </w:t>
            </w:r>
            <w:r>
              <w:rPr>
                <w:rStyle w:val="VerbatimChar"/>
                <w:sz w:val="18"/>
              </w:rPr>
              <w:t xml:space="preserve">NoticeServiceUpdated</w:t>
            </w:r>
            <w:r>
              <w:rPr>
                <w:sz w:val="18"/>
              </w:rPr>
              <w:t xml:space="preserve">; Registered Post merged into Speed Post (1 Sep 2025); WhatsApp never used for collection, recovery or legal notices (WhatsApp Business Messaging Policy bars debt collection; Finbyx 7A.0.6 guard-rail, Udofin UR3)</w:t>
            </w:r>
          </w:p>
        </w:tc>
      </w:tr>
      <w:tr>
        <w:tc>
          <w:tcPr>
            <w:tcW w:w="2066" w:type="dxa"/>
          </w:tcPr>
          <w:p>
            <w:pPr>
              <w:pStyle w:val="Compact"/>
              <w:spacing w:after="40"/>
              <w:jc w:val="left"/>
            </w:pPr>
            <w:r>
              <w:rPr>
                <w:sz w:val="18"/>
              </w:rPr>
              <w:t xml:space="preserve">ODR providers</w:t>
            </w:r>
          </w:p>
        </w:tc>
        <w:tc>
          <w:tcPr>
            <w:tcW w:w="3262" w:type="dxa"/>
          </w:tcPr>
          <w:p>
            <w:pPr>
              <w:pStyle w:val="Compact"/>
              <w:spacing w:after="40"/>
              <w:jc w:val="left"/>
            </w:pPr>
            <w:r>
              <w:rPr>
                <w:sz w:val="18"/>
              </w:rPr>
              <w:t xml:space="preserve">Equator, Presolv360, Sama, Jupitice, CADRE, Webnyay</w:t>
            </w:r>
          </w:p>
        </w:tc>
        <w:tc>
          <w:tcPr>
            <w:tcW w:w="4310" w:type="dxa"/>
          </w:tcPr>
          <w:p>
            <w:pPr>
              <w:pStyle w:val="Compact"/>
              <w:spacing w:after="40"/>
              <w:jc w:val="left"/>
            </w:pPr>
            <w:r>
              <w:rPr>
                <w:rStyle w:val="VerbatimChar"/>
                <w:sz w:val="18"/>
              </w:rPr>
              <w:t xml:space="preserve">OdrProvider</w:t>
            </w:r>
            <w:r>
              <w:rPr>
                <w:sz w:val="18"/>
              </w:rPr>
              <w:t xml:space="preserve"> </w:t>
            </w:r>
            <w:r>
              <w:rPr>
                <w:sz w:val="18"/>
              </w:rPr>
              <w:t xml:space="preserve">(8.9)</w:t>
            </w:r>
          </w:p>
        </w:tc>
      </w:tr>
      <w:tr>
        <w:tc>
          <w:tcPr>
            <w:tcW w:w="2066" w:type="dxa"/>
          </w:tcPr>
          <w:p>
            <w:pPr>
              <w:pStyle w:val="Compact"/>
              <w:spacing w:after="40"/>
              <w:jc w:val="left"/>
            </w:pPr>
            <w:r>
              <w:rPr>
                <w:sz w:val="18"/>
              </w:rPr>
              <w:t xml:space="preserve">Depository, RTA, registries, KYC, bureau, AA, eSign, payments</w:t>
            </w:r>
          </w:p>
        </w:tc>
        <w:tc>
          <w:tcPr>
            <w:tcW w:w="3262" w:type="dxa"/>
          </w:tcPr>
          <w:p>
            <w:pPr>
              <w:pStyle w:val="Compact"/>
              <w:spacing w:after="40"/>
              <w:jc w:val="left"/>
            </w:pPr>
            <w:r>
              <w:rPr>
                <w:sz w:val="18"/>
              </w:rPr>
              <w:t xml:space="preserve">NSDL, CDSL, CAMS, KFintech, MF Central, CERSAI, Vahan, TReDS, CGTMSE; Finbyx and Udofin Part 9.2</w:t>
            </w:r>
          </w:p>
        </w:tc>
        <w:tc>
          <w:tcPr>
            <w:tcW w:w="4310" w:type="dxa"/>
          </w:tcPr>
          <w:p>
            <w:pPr>
              <w:pStyle w:val="Compact"/>
              <w:spacing w:after="40"/>
              <w:jc w:val="left"/>
            </w:pPr>
            <w:r>
              <w:rPr>
                <w:sz w:val="18"/>
              </w:rPr>
              <w:t xml:space="preserve">RE contracts where law requires; no LSP account in money flows [VERIFY: Vahan financier API]</w:t>
            </w:r>
          </w:p>
        </w:tc>
      </w:tr>
      <w:tr>
        <w:tc>
          <w:tcPr>
            <w:tcW w:w="2066" w:type="dxa"/>
          </w:tcPr>
          <w:p>
            <w:pPr>
              <w:pStyle w:val="Compact"/>
              <w:spacing w:after="40"/>
              <w:jc w:val="left"/>
            </w:pPr>
            <w:r>
              <w:rPr>
                <w:sz w:val="18"/>
              </w:rPr>
              <w:t xml:space="preserve">Credit information companies</w:t>
            </w:r>
          </w:p>
        </w:tc>
        <w:tc>
          <w:tcPr>
            <w:tcW w:w="3262" w:type="dxa"/>
          </w:tcPr>
          <w:p>
            <w:pPr>
              <w:pStyle w:val="Compact"/>
              <w:spacing w:after="40"/>
              <w:jc w:val="left"/>
            </w:pPr>
            <w:r>
              <w:rPr>
                <w:sz w:val="18"/>
              </w:rPr>
              <w:t xml:space="preserve">TransUnion CIBIL, CRIF High Mark, Experian, Equifax</w:t>
            </w:r>
          </w:p>
        </w:tc>
        <w:tc>
          <w:tcPr>
            <w:tcW w:w="4310" w:type="dxa"/>
          </w:tcPr>
          <w:p>
            <w:pPr>
              <w:pStyle w:val="Compact"/>
              <w:spacing w:after="40"/>
              <w:jc w:val="left"/>
            </w:pPr>
            <w:r>
              <w:rPr>
                <w:rStyle w:val="VerbatimChar"/>
                <w:sz w:val="18"/>
              </w:rPr>
              <w:t xml:space="preserve">BureauSubmitter</w:t>
            </w:r>
            <w:r>
              <w:rPr>
                <w:sz w:val="18"/>
              </w:rPr>
              <w:t xml:space="preserve">: SFTP from a tenant-controlled host or the on-premises agent, keys in the tenant vault, rejection and DQI ingestion; UCRF formats as data packs (12.4); never another lender’s membership (6.19)</w:t>
            </w:r>
          </w:p>
        </w:tc>
      </w:tr>
      <w:tr>
        <w:tc>
          <w:tcPr>
            <w:tcW w:w="2066" w:type="dxa"/>
          </w:tcPr>
          <w:p>
            <w:pPr>
              <w:pStyle w:val="Compact"/>
              <w:spacing w:after="40"/>
              <w:jc w:val="left"/>
            </w:pPr>
            <w:r>
              <w:rPr>
                <w:sz w:val="18"/>
              </w:rPr>
              <w:t xml:space="preserve">Regulator portals</w:t>
            </w:r>
          </w:p>
        </w:tc>
        <w:tc>
          <w:tcPr>
            <w:tcW w:w="3262" w:type="dxa"/>
          </w:tcPr>
          <w:p>
            <w:pPr>
              <w:pStyle w:val="Compact"/>
              <w:spacing w:after="40"/>
              <w:jc w:val="left"/>
            </w:pPr>
            <w:r>
              <w:rPr>
                <w:sz w:val="18"/>
              </w:rPr>
              <w:t xml:space="preserve">RBI CIMS, DAKSH and PRAVAAH; NABARD ENSURE; IFSCA; FIU-IND FINGate 2.0; CKYCR; CERSAI; income-tax reporting portal; MCA; GST; EPFO and ESIC</w:t>
            </w:r>
          </w:p>
        </w:tc>
        <w:tc>
          <w:tcPr>
            <w:tcW w:w="4310" w:type="dxa"/>
          </w:tcPr>
          <w:p>
            <w:pPr>
              <w:pStyle w:val="Compact"/>
              <w:spacing w:after="40"/>
              <w:jc w:val="left"/>
            </w:pPr>
            <w:r>
              <w:rPr>
                <w:rStyle w:val="VerbatimChar"/>
                <w:sz w:val="18"/>
              </w:rPr>
              <w:t xml:space="preserve">PORTAL_MANUAL</w:t>
            </w:r>
            <w:r>
              <w:rPr>
                <w:sz w:val="18"/>
              </w:rPr>
              <w:t xml:space="preserve"> </w:t>
            </w:r>
            <w:r>
              <w:rPr>
                <w:sz w:val="18"/>
              </w:rPr>
              <w:t xml:space="preserve">only: validated upload file, guided checklist and acknowledgement capture; no credentials, OTPs, cookies, RPA or scraping; a machine channel only where the regulator documents it for that entity class (CIMS ADF is documented for banks) [VERIFY] (6.18)</w:t>
            </w:r>
          </w:p>
        </w:tc>
      </w:tr>
      <w:tr>
        <w:tc>
          <w:tcPr>
            <w:tcW w:w="2066" w:type="dxa"/>
          </w:tcPr>
          <w:p>
            <w:pPr>
              <w:pStyle w:val="Compact"/>
              <w:spacing w:after="40"/>
              <w:jc w:val="left"/>
            </w:pPr>
            <w:r>
              <w:rPr>
                <w:sz w:val="18"/>
              </w:rPr>
              <w:t xml:space="preserve">Tax utilities</w:t>
            </w:r>
          </w:p>
        </w:tc>
        <w:tc>
          <w:tcPr>
            <w:tcW w:w="3262" w:type="dxa"/>
          </w:tcPr>
          <w:p>
            <w:pPr>
              <w:pStyle w:val="Compact"/>
              <w:spacing w:after="40"/>
              <w:jc w:val="left"/>
            </w:pPr>
            <w:r>
              <w:rPr>
                <w:sz w:val="18"/>
              </w:rPr>
              <w:t xml:space="preserve">GSTN offline-tool JSON, Form 140 validation utility, TRACES downloads</w:t>
            </w:r>
          </w:p>
        </w:tc>
        <w:tc>
          <w:tcPr>
            <w:tcW w:w="4310" w:type="dxa"/>
          </w:tcPr>
          <w:p>
            <w:pPr>
              <w:pStyle w:val="Compact"/>
              <w:spacing w:after="40"/>
              <w:jc w:val="left"/>
            </w:pPr>
            <w:r>
              <w:rPr>
                <w:sz w:val="18"/>
              </w:rPr>
              <w:t xml:space="preserve">Files only; an authorised user files (6.20)</w:t>
            </w:r>
          </w:p>
        </w:tc>
      </w:tr>
      <w:tr>
        <w:tc>
          <w:tcPr>
            <w:tcW w:w="2066" w:type="dxa"/>
          </w:tcPr>
          <w:p>
            <w:pPr>
              <w:pStyle w:val="Compact"/>
              <w:spacing w:after="40"/>
              <w:jc w:val="left"/>
            </w:pPr>
            <w:r>
              <w:rPr>
                <w:sz w:val="18"/>
              </w:rPr>
              <w:t xml:space="preserve">Customer storage</w:t>
            </w:r>
          </w:p>
        </w:tc>
        <w:tc>
          <w:tcPr>
            <w:tcW w:w="3262" w:type="dxa"/>
          </w:tcPr>
          <w:p>
            <w:pPr>
              <w:pStyle w:val="Compact"/>
              <w:spacing w:after="40"/>
              <w:jc w:val="left"/>
            </w:pPr>
            <w:r>
              <w:rPr>
                <w:sz w:val="18"/>
              </w:rPr>
              <w:t xml:space="preserve">S3-compatible stores, Azure Blob, Google Cloud Storage, SharePoint and OneDrive (Graph), Google Drive (non-regulated data only), SFTP, on-premises agent</w:t>
            </w:r>
          </w:p>
        </w:tc>
        <w:tc>
          <w:tcPr>
            <w:tcW w:w="4310" w:type="dxa"/>
          </w:tcPr>
          <w:p>
            <w:pPr>
              <w:pStyle w:val="Compact"/>
              <w:spacing w:after="40"/>
              <w:jc w:val="left"/>
            </w:pPr>
            <w:r>
              <w:rPr>
                <w:rStyle w:val="VerbatimChar"/>
                <w:sz w:val="18"/>
              </w:rPr>
              <w:t xml:space="preserve">StorageTarget</w:t>
            </w:r>
            <w:r>
              <w:rPr>
                <w:sz w:val="18"/>
              </w:rPr>
              <w:t xml:space="preserve"> </w:t>
            </w:r>
            <w:r>
              <w:rPr>
                <w:sz w:val="18"/>
              </w:rPr>
              <w:t xml:space="preserve">(12.2)</w:t>
            </w:r>
          </w:p>
        </w:tc>
      </w:tr>
      <w:tr>
        <w:tc>
          <w:tcPr>
            <w:tcW w:w="2066" w:type="dxa"/>
          </w:tcPr>
          <w:p>
            <w:pPr>
              <w:pStyle w:val="Compact"/>
              <w:spacing w:after="40"/>
              <w:jc w:val="left"/>
            </w:pPr>
            <w:r>
              <w:rPr>
                <w:sz w:val="18"/>
              </w:rPr>
              <w:t xml:space="preserve">Workplace suites</w:t>
            </w:r>
          </w:p>
        </w:tc>
        <w:tc>
          <w:tcPr>
            <w:tcW w:w="3262" w:type="dxa"/>
          </w:tcPr>
          <w:p>
            <w:pPr>
              <w:pStyle w:val="Compact"/>
              <w:spacing w:after="40"/>
              <w:jc w:val="left"/>
            </w:pPr>
            <w:r>
              <w:rPr>
                <w:sz w:val="18"/>
              </w:rPr>
              <w:t xml:space="preserve">Microsoft 365 (Graph, Entra ID, SCIM), Google Workspace (Admin SDK, Directory API), client data centre</w:t>
            </w:r>
          </w:p>
        </w:tc>
        <w:tc>
          <w:tcPr>
            <w:tcW w:w="4310" w:type="dxa"/>
          </w:tcPr>
          <w:p>
            <w:pPr>
              <w:pStyle w:val="Compact"/>
              <w:spacing w:after="40"/>
              <w:jc w:val="left"/>
            </w:pPr>
            <w:r>
              <w:rPr>
                <w:rStyle w:val="VerbatimChar"/>
                <w:sz w:val="18"/>
              </w:rPr>
              <w:t xml:space="preserve">WorkplaceProvider</w:t>
            </w:r>
            <w:r>
              <w:rPr>
                <w:sz w:val="18"/>
              </w:rPr>
              <w:t xml:space="preserve">: identities, mailboxes, licences and document libraries; no borrower or member data in Google Workspace (no India data region)</w:t>
            </w:r>
          </w:p>
        </w:tc>
      </w:tr>
      <w:tr>
        <w:tc>
          <w:tcPr>
            <w:tcW w:w="2066" w:type="dxa"/>
          </w:tcPr>
          <w:p>
            <w:pPr>
              <w:pStyle w:val="Compact"/>
              <w:spacing w:after="40"/>
              <w:jc w:val="left"/>
            </w:pPr>
            <w:r>
              <w:rPr>
                <w:sz w:val="18"/>
              </w:rPr>
              <w:t xml:space="preserve">CRM and marketing</w:t>
            </w:r>
          </w:p>
        </w:tc>
        <w:tc>
          <w:tcPr>
            <w:tcW w:w="3262" w:type="dxa"/>
          </w:tcPr>
          <w:p>
            <w:pPr>
              <w:pStyle w:val="Compact"/>
              <w:spacing w:after="40"/>
              <w:jc w:val="left"/>
            </w:pPr>
            <w:r>
              <w:rPr>
                <w:sz w:val="18"/>
              </w:rPr>
              <w:t xml:space="preserve">Operations Hub open CRM; Brevo</w:t>
            </w:r>
          </w:p>
        </w:tc>
        <w:tc>
          <w:tcPr>
            <w:tcW w:w="4310" w:type="dxa"/>
          </w:tcPr>
          <w:p>
            <w:pPr>
              <w:pStyle w:val="Compact"/>
              <w:spacing w:after="40"/>
              <w:jc w:val="left"/>
            </w:pPr>
            <w:r>
              <w:rPr>
                <w:rStyle w:val="VerbatimChar"/>
                <w:sz w:val="18"/>
              </w:rPr>
              <w:t xml:space="preserve">CrmSink</w:t>
            </w:r>
            <w:r>
              <w:rPr>
                <w:sz w:val="18"/>
              </w:rPr>
              <w:t xml:space="preserve"> </w:t>
            </w:r>
            <w:r>
              <w:rPr>
                <w:sz w:val="18"/>
              </w:rPr>
              <w:t xml:space="preserve">from OH3 only; consent and DLT registration (TRAI TCCCPR 2018; 140-series for promotional calls); never RE borrower data (CF para 13)</w:t>
            </w:r>
          </w:p>
        </w:tc>
      </w:tr>
      <w:tr>
        <w:tc>
          <w:tcPr>
            <w:tcW w:w="2066" w:type="dxa"/>
          </w:tcPr>
          <w:p>
            <w:pPr>
              <w:pStyle w:val="Compact"/>
              <w:spacing w:after="40"/>
              <w:jc w:val="left"/>
            </w:pPr>
            <w:r>
              <w:rPr>
                <w:sz w:val="18"/>
              </w:rPr>
              <w:t xml:space="preserve">Subscription billing</w:t>
            </w:r>
          </w:p>
        </w:tc>
        <w:tc>
          <w:tcPr>
            <w:tcW w:w="3262" w:type="dxa"/>
          </w:tcPr>
          <w:p>
            <w:pPr>
              <w:pStyle w:val="Compact"/>
              <w:spacing w:after="40"/>
              <w:jc w:val="left"/>
            </w:pPr>
            <w:r>
              <w:rPr>
                <w:sz w:val="18"/>
              </w:rPr>
              <w:t xml:space="preserve">Razorpay orders, payment links, subscriptions, e-mandates and webhooks</w:t>
            </w:r>
          </w:p>
        </w:tc>
        <w:tc>
          <w:tcPr>
            <w:tcW w:w="4310" w:type="dxa"/>
          </w:tcPr>
          <w:p>
            <w:pPr>
              <w:pStyle w:val="Compact"/>
              <w:spacing w:after="40"/>
              <w:jc w:val="left"/>
            </w:pPr>
            <w:r>
              <w:rPr>
                <w:sz w:val="18"/>
              </w:rPr>
              <w:t xml:space="preserve">Operations Hub (OH8) and Udofin’s B2C billing service only; webhook signature verified and status fetched server-side; never used for loan money (CF para 10) (6.27)</w:t>
            </w:r>
          </w:p>
        </w:tc>
      </w:tr>
      <w:tr>
        <w:tc>
          <w:tcPr>
            <w:tcW w:w="2066" w:type="dxa"/>
          </w:tcPr>
          <w:p>
            <w:pPr>
              <w:pStyle w:val="Compact"/>
              <w:spacing w:after="40"/>
              <w:jc w:val="left"/>
            </w:pPr>
            <w:r>
              <w:rPr>
                <w:sz w:val="18"/>
              </w:rPr>
              <w:t xml:space="preserve">Voice and contact centre</w:t>
            </w:r>
          </w:p>
        </w:tc>
        <w:tc>
          <w:tcPr>
            <w:tcW w:w="3262" w:type="dxa"/>
          </w:tcPr>
          <w:p>
            <w:pPr>
              <w:pStyle w:val="Compact"/>
              <w:spacing w:after="40"/>
              <w:jc w:val="left"/>
            </w:pPr>
            <w:r>
              <w:rPr>
                <w:sz w:val="18"/>
              </w:rPr>
              <w:t xml:space="preserve">JioCX, Jio Business SIP trunks, other CPaaS and AI contact-centre providers</w:t>
            </w:r>
          </w:p>
        </w:tc>
        <w:tc>
          <w:tcPr>
            <w:tcW w:w="4310" w:type="dxa"/>
          </w:tcPr>
          <w:p>
            <w:pPr>
              <w:pStyle w:val="Compact"/>
              <w:spacing w:after="40"/>
              <w:jc w:val="left"/>
            </w:pPr>
            <w:r>
              <w:rPr>
                <w:rStyle w:val="VerbatimChar"/>
                <w:sz w:val="18"/>
              </w:rPr>
              <w:t xml:space="preserve">VoiceProvider</w:t>
            </w:r>
            <w:r>
              <w:rPr>
                <w:sz w:val="18"/>
              </w:rPr>
              <w:t xml:space="preserve">: DLT; 1600-series for RE service and transactional calls (TRAI Direction, 19 Nov 2025), 140-series for promotional calls; recording consent; Udofin’s own outbound service calls stay disabled until 1600-series eligibility is confirmed [VERIFY]</w:t>
            </w:r>
          </w:p>
        </w:tc>
      </w:tr>
      <w:tr>
        <w:tc>
          <w:tcPr>
            <w:tcW w:w="2066" w:type="dxa"/>
          </w:tcPr>
          <w:p>
            <w:pPr>
              <w:pStyle w:val="Compact"/>
              <w:spacing w:after="40"/>
              <w:jc w:val="left"/>
            </w:pPr>
            <w:r>
              <w:rPr>
                <w:sz w:val="18"/>
              </w:rPr>
              <w:t xml:space="preserve">Market data and custody</w:t>
            </w:r>
          </w:p>
        </w:tc>
        <w:tc>
          <w:tcPr>
            <w:tcW w:w="3262" w:type="dxa"/>
          </w:tcPr>
          <w:p>
            <w:pPr>
              <w:pStyle w:val="Compact"/>
              <w:spacing w:after="40"/>
              <w:jc w:val="left"/>
            </w:pPr>
            <w:r>
              <w:rPr>
                <w:sz w:val="18"/>
              </w:rPr>
              <w:t xml:space="preserve">Exchange-licensed feeds, depositories, custodians, RTAs, AMFI NAV</w:t>
            </w:r>
          </w:p>
        </w:tc>
        <w:tc>
          <w:tcPr>
            <w:tcW w:w="4310" w:type="dxa"/>
          </w:tcPr>
          <w:p>
            <w:pPr>
              <w:pStyle w:val="Compact"/>
              <w:spacing w:after="40"/>
              <w:jc w:val="left"/>
            </w:pPr>
            <w:r>
              <w:rPr>
                <w:sz w:val="18"/>
              </w:rPr>
              <w:t xml:space="preserve">Licensed data only; trade capture records and never executes orders (6.25)</w:t>
            </w:r>
          </w:p>
        </w:tc>
      </w:tr>
      <w:tr>
        <w:tc>
          <w:tcPr>
            <w:tcW w:w="2066" w:type="dxa"/>
          </w:tcPr>
          <w:p>
            <w:pPr>
              <w:pStyle w:val="Compact"/>
              <w:spacing w:after="40"/>
              <w:jc w:val="left"/>
            </w:pPr>
            <w:r>
              <w:rPr>
                <w:sz w:val="18"/>
              </w:rPr>
              <w:t xml:space="preserve">Insurers and intermediaries</w:t>
            </w:r>
          </w:p>
        </w:tc>
        <w:tc>
          <w:tcPr>
            <w:tcW w:w="3262" w:type="dxa"/>
          </w:tcPr>
          <w:p>
            <w:pPr>
              <w:pStyle w:val="Compact"/>
              <w:spacing w:after="40"/>
              <w:jc w:val="left"/>
            </w:pPr>
            <w:r>
              <w:rPr>
                <w:sz w:val="18"/>
              </w:rPr>
              <w:t xml:space="preserve">Insurer APIs and IRDAI-registered partners</w:t>
            </w:r>
          </w:p>
        </w:tc>
        <w:tc>
          <w:tcPr>
            <w:tcW w:w="4310" w:type="dxa"/>
          </w:tcPr>
          <w:p>
            <w:pPr>
              <w:pStyle w:val="Compact"/>
              <w:spacing w:after="40"/>
              <w:jc w:val="left"/>
            </w:pPr>
            <w:r>
              <w:rPr>
                <w:sz w:val="18"/>
              </w:rPr>
              <w:t xml:space="preserve">Udofin only, under its own registration or as an unpaid technology provider to an RE that holds one; separate consent; premium paid directly to the insurer (6.30)</w:t>
            </w:r>
          </w:p>
        </w:tc>
      </w:tr>
    </w:tbl>
    <w:bookmarkEnd w:id="100"/>
    <w:bookmarkStart w:id="101" w:name="data-mapping-configuration"/>
    <w:p>
      <w:pPr>
        <w:pStyle w:val="Heading2"/>
      </w:pPr>
      <w:r>
        <w:t xml:space="preserve">10.3 Data-mapping configuration</w:t>
      </w:r>
    </w:p>
    <w:p>
      <w:pPr>
        <w:pStyle w:val="FirstParagraph"/>
      </w:pPr>
      <w:r>
        <w:t xml:space="preserve">Each adapter ships a semantically versioned mapping pack (</w:t>
      </w:r>
      <w:r>
        <w:rPr>
          <w:rStyle w:val="VerbatimChar"/>
        </w:rPr>
        <w:t xml:space="preserve">infrabyx-contracts/mappings/[connector-id]/[version]/mapping.yaml</w:t>
      </w:r>
      <w:r>
        <w:t xml:space="preserve">): canonical JSON Pointer ↔ counterparty field maps, code-table maps, approved transformations, defaults, validation rules and golden fixtures run in CI. Tenants override only</w:t>
      </w:r>
      <w:r>
        <w:t xml:space="preserve"> </w:t>
      </w:r>
      <w:r>
        <w:rPr>
          <w:rStyle w:val="VerbatimChar"/>
        </w:rPr>
        <w:t xml:space="preserve">x-tenant-overridable</w:t>
      </w:r>
      <w:r>
        <w:t xml:space="preserve"> </w:t>
      </w:r>
      <w:r>
        <w:t xml:space="preserve">fields by maker-checker, creating a patch version (</w:t>
      </w:r>
      <w:r>
        <w:rPr>
          <w:rStyle w:val="VerbatimChar"/>
        </w:rPr>
        <w:t xml:space="preserve">1.4.0+re_01J…</w:t>
      </w:r>
      <w:r>
        <w:t xml:space="preserve">); meaning-changing edits need recertification.</w:t>
      </w:r>
    </w:p>
    <w:p>
      <w:r>
        <w:pict>
          <v:rect style="width:0;height:1.5pt" o:hralign="center" o:hrstd="t" o:hr="t"/>
        </w:pict>
      </w:r>
    </w:p>
    <w:bookmarkEnd w:id="101"/>
    <w:bookmarkEnd w:id="102"/>
    <w:bookmarkStart w:id="107" w:name="extensibility-and-new-products"/>
    <w:p>
      <w:pPr>
        <w:pStyle w:val="Heading1"/>
      </w:pPr>
      <w:r>
        <w:t xml:space="preserve">11 — EXTENSIBILITY AND NEW PRODUCTS</w:t>
      </w:r>
    </w:p>
    <w:bookmarkStart w:id="103" w:name="X733a55cba2388b682c837cb8a6af15d8ade57d8"/>
    <w:p>
      <w:pPr>
        <w:pStyle w:val="Heading2"/>
      </w:pPr>
      <w:r>
        <w:t xml:space="preserve">11.1 Module registry, entitlement and lifecycle</w:t>
      </w:r>
    </w:p>
    <w:p>
      <w:pPr>
        <w:numPr>
          <w:ilvl w:val="0"/>
          <w:numId w:val="1027"/>
        </w:numPr>
        <w:pStyle w:val="Compact"/>
      </w:pPr>
      <w:r>
        <w:rPr>
          <w:rStyle w:val="VerbatimChar"/>
          <w:bCs/>
          <w:b/>
        </w:rPr>
        <w:t xml:space="preserve">module.yaml</w:t>
      </w:r>
      <w:r>
        <w:t xml:space="preserve"> </w:t>
      </w:r>
      <w:r>
        <w:t xml:space="preserve">per attachable module (Recovery Suite modules, product templates, connectors, apps):</w:t>
      </w:r>
      <w:r>
        <w:t xml:space="preserve"> </w:t>
      </w:r>
      <w:r>
        <w:rPr>
          <w:rStyle w:val="VerbatimChar"/>
        </w:rPr>
        <w:t xml:space="preserve">id</w:t>
      </w:r>
      <w:r>
        <w:t xml:space="preserve"> </w:t>
      </w:r>
      <w:r>
        <w:t xml:space="preserve">(</w:t>
      </w:r>
      <w:r>
        <w:rPr>
          <w:rStyle w:val="VerbatimChar"/>
        </w:rPr>
        <w:t xml:space="preserve">namespace.module</w:t>
      </w:r>
      <w:r>
        <w:t xml:space="preserve">),</w:t>
      </w:r>
      <w:r>
        <w:t xml:space="preserve"> </w:t>
      </w:r>
      <w:r>
        <w:rPr>
          <w:rStyle w:val="VerbatimChar"/>
        </w:rPr>
        <w:t xml:space="preserve">version</w:t>
      </w:r>
      <w:r>
        <w:t xml:space="preserve">,</w:t>
      </w:r>
      <w:r>
        <w:t xml:space="preserve"> </w:t>
      </w:r>
      <w:r>
        <w:rPr>
          <w:rStyle w:val="VerbatimChar"/>
        </w:rPr>
        <w:t xml:space="preserve">product</w:t>
      </w:r>
      <w:r>
        <w:t xml:space="preserve">,</w:t>
      </w:r>
      <w:r>
        <w:t xml:space="preserve"> </w:t>
      </w:r>
      <w:r>
        <w:rPr>
          <w:rStyle w:val="VerbatimChar"/>
        </w:rPr>
        <w:t xml:space="preserve">requires</w:t>
      </w:r>
      <w:r>
        <w:t xml:space="preserve">,</w:t>
      </w:r>
      <w:r>
        <w:t xml:space="preserve"> </w:t>
      </w:r>
      <w:r>
        <w:rPr>
          <w:rStyle w:val="VerbatimChar"/>
        </w:rPr>
        <w:t xml:space="preserve">capabilities</w:t>
      </w:r>
      <w:r>
        <w:t xml:space="preserve">,</w:t>
      </w:r>
      <w:r>
        <w:t xml:space="preserve"> </w:t>
      </w:r>
      <w:r>
        <w:rPr>
          <w:rStyle w:val="VerbatimChar"/>
        </w:rPr>
        <w:t xml:space="preserve">events_produced</w:t>
      </w:r>
      <w:r>
        <w:t xml:space="preserve">,</w:t>
      </w:r>
      <w:r>
        <w:t xml:space="preserve"> </w:t>
      </w:r>
      <w:r>
        <w:rPr>
          <w:rStyle w:val="VerbatimChar"/>
        </w:rPr>
        <w:t xml:space="preserve">events_consumed</w:t>
      </w:r>
      <w:r>
        <w:t xml:space="preserve">,</w:t>
      </w:r>
      <w:r>
        <w:t xml:space="preserve"> </w:t>
      </w:r>
      <w:r>
        <w:rPr>
          <w:rStyle w:val="VerbatimChar"/>
        </w:rPr>
        <w:t xml:space="preserve">apis</w:t>
      </w:r>
      <w:r>
        <w:t xml:space="preserve">,</w:t>
      </w:r>
      <w:r>
        <w:t xml:space="preserve"> </w:t>
      </w:r>
      <w:r>
        <w:rPr>
          <w:rStyle w:val="VerbatimChar"/>
        </w:rPr>
        <w:t xml:space="preserve">permissions</w:t>
      </w:r>
      <w:r>
        <w:t xml:space="preserve">,</w:t>
      </w:r>
      <w:r>
        <w:t xml:space="preserve"> </w:t>
      </w:r>
      <w:r>
        <w:rPr>
          <w:rStyle w:val="VerbatimChar"/>
        </w:rPr>
        <w:t xml:space="preserve">data_categories</w:t>
      </w:r>
      <w:r>
        <w:t xml:space="preserve">,</w:t>
      </w:r>
      <w:r>
        <w:t xml:space="preserve"> </w:t>
      </w:r>
      <w:r>
        <w:rPr>
          <w:rStyle w:val="VerbatimChar"/>
        </w:rPr>
        <w:t xml:space="preserve">regulatory_refs</w:t>
      </w:r>
      <w:r>
        <w:t xml:space="preserve">,</w:t>
      </w:r>
      <w:r>
        <w:t xml:space="preserve"> </w:t>
      </w:r>
      <w:r>
        <w:rPr>
          <w:rStyle w:val="VerbatimChar"/>
        </w:rPr>
        <w:t xml:space="preserve">retention_class</w:t>
      </w:r>
      <w:r>
        <w:t xml:space="preserve">,</w:t>
      </w:r>
      <w:r>
        <w:t xml:space="preserve"> </w:t>
      </w:r>
      <w:r>
        <w:rPr>
          <w:rStyle w:val="VerbatimChar"/>
        </w:rPr>
        <w:t xml:space="preserve">licence_sku</w:t>
      </w:r>
      <w:r>
        <w:t xml:space="preserve">,</w:t>
      </w:r>
      <w:r>
        <w:t xml:space="preserve"> </w:t>
      </w:r>
      <w:r>
        <w:rPr>
          <w:rStyle w:val="VerbatimChar"/>
        </w:rPr>
        <w:t xml:space="preserve">ui_slots</w:t>
      </w:r>
      <w:r>
        <w:t xml:space="preserve">,</w:t>
      </w:r>
      <w:r>
        <w:t xml:space="preserve"> </w:t>
      </w:r>
      <w:r>
        <w:rPr>
          <w:rStyle w:val="VerbatimChar"/>
        </w:rPr>
        <w:t xml:space="preserve">migrations</w:t>
      </w:r>
      <w:r>
        <w:t xml:space="preserve">.</w:t>
      </w:r>
    </w:p>
    <w:p>
      <w:pPr>
        <w:numPr>
          <w:ilvl w:val="0"/>
          <w:numId w:val="1027"/>
        </w:numPr>
        <w:pStyle w:val="Compact"/>
      </w:pPr>
      <w:r>
        <w:rPr>
          <w:bCs/>
          <w:b/>
        </w:rPr>
        <w:t xml:space="preserve">Entitlement</w:t>
      </w:r>
      <w:r>
        <w:t xml:space="preserve"> </w:t>
      </w:r>
      <w:r>
        <w:t xml:space="preserve">is checked server-side on every call and handler through an OpenFeature-compatible provider (SKU, tenant, entity, product family, branch, role); flag keys</w:t>
      </w:r>
      <w:r>
        <w:t xml:space="preserve"> </w:t>
      </w:r>
      <w:r>
        <w:rPr>
          <w:rStyle w:val="VerbatimChar"/>
        </w:rPr>
        <w:t xml:space="preserve">mod.[id].[capability]</w:t>
      </w:r>
      <w:r>
        <w:t xml:space="preserve"> </w:t>
      </w:r>
      <w:r>
        <w:t xml:space="preserve">(e.g. </w:t>
      </w:r>
      <w:r>
        <w:rPr>
          <w:rStyle w:val="VerbatimChar"/>
        </w:rPr>
        <w:t xml:space="preserve">mod.recovery.adr.referral</w:t>
      </w:r>
      <w:r>
        <w:t xml:space="preserve">,</w:t>
      </w:r>
      <w:r>
        <w:t xml:space="preserve"> </w:t>
      </w:r>
      <w:r>
        <w:rPr>
          <w:rStyle w:val="VerbatimChar"/>
        </w:rPr>
        <w:t xml:space="preserve">mod.las.revolving</w:t>
      </w:r>
      <w:r>
        <w:t xml:space="preserve">).</w:t>
      </w:r>
    </w:p>
    <w:p>
      <w:pPr>
        <w:numPr>
          <w:ilvl w:val="0"/>
          <w:numId w:val="1027"/>
        </w:numPr>
        <w:pStyle w:val="Compact"/>
      </w:pPr>
      <w:r>
        <w:rPr>
          <w:bCs/>
          <w:b/>
        </w:rPr>
        <w:t xml:space="preserve">Lifecycle:</w:t>
      </w:r>
      <w:r>
        <w:t xml:space="preserve"> </w:t>
      </w:r>
      <w:r>
        <w:rPr>
          <w:rStyle w:val="VerbatimChar"/>
        </w:rPr>
        <w:t xml:space="preserve">AVAILABLE → LICENSED → INSTALLED → CONFIGURED (maker-checker) → CERTIFIED → ENABLED → READ_ONLY → DETACHED</w:t>
      </w:r>
      <w:r>
        <w:t xml:space="preserve">;</w:t>
      </w:r>
      <w:r>
        <w:t xml:space="preserve"> </w:t>
      </w:r>
      <w:r>
        <w:rPr>
          <w:rStyle w:val="VerbatimChar"/>
        </w:rPr>
        <w:t xml:space="preserve">ModuleAttached</w:t>
      </w:r>
      <w:r>
        <w:t xml:space="preserve"> </w:t>
      </w:r>
      <w:r>
        <w:t xml:space="preserve">on ENABLED,</w:t>
      </w:r>
      <w:r>
        <w:t xml:space="preserve"> </w:t>
      </w:r>
      <w:r>
        <w:rPr>
          <w:rStyle w:val="VerbatimChar"/>
        </w:rPr>
        <w:t xml:space="preserve">ModuleDetached</w:t>
      </w:r>
      <w:r>
        <w:t xml:space="preserve"> </w:t>
      </w:r>
      <w:r>
        <w:t xml:space="preserve">on entering READ_ONLY (writes stop), both emitted by the product’s entitlement service and reconciled daily by OH8 (</w:t>
      </w:r>
      <w:r>
        <w:rPr>
          <w:rStyle w:val="VerbatimChar"/>
        </w:rPr>
        <w:t xml:space="preserve">GET /v1/entitlements</w:t>
      </w:r>
      <w:r>
        <w:t xml:space="preserve">, 6.27); the export pack is produced before DETACHED.</w:t>
      </w:r>
      <w:r>
        <w:t xml:space="preserve"> </w:t>
      </w:r>
      <w:r>
        <w:rPr>
          <w:bCs/>
          <w:b/>
        </w:rPr>
        <w:t xml:space="preserve">Detaching never deletes regulated records:</w:t>
      </w:r>
      <w:r>
        <w:t xml:space="preserve"> </w:t>
      </w:r>
      <w:r>
        <w:t xml:space="preserve">recovery, litigation and ADR files stay on legal hold until closure plus retention; KYC and transaction records follow PMLA and the KYC Directions [VERIFY: periods]. Detachment is blocked while statutory clocks are open (s.34 window, SARFAESI balance deadline, s.138 complaint deadline) unless each is transferred with acknowledgement.</w:t>
      </w:r>
    </w:p>
    <w:bookmarkEnd w:id="103"/>
    <w:bookmarkStart w:id="104" w:name="extension-points-and-sdk"/>
    <w:p>
      <w:pPr>
        <w:pStyle w:val="Heading2"/>
      </w:pPr>
      <w:r>
        <w:t xml:space="preserve">11.2 Extension points and SDK</w:t>
      </w:r>
    </w:p>
    <w:p>
      <w:pPr>
        <w:pStyle w:val="FirstParagraph"/>
      </w:pPr>
      <w:r>
        <w:t xml:space="preserve">Extension points: event subscriptions, gateway APIs, external task workers claiming named queues (</w:t>
      </w:r>
      <w:r>
        <w:rPr>
          <w:rStyle w:val="VerbatimChar"/>
        </w:rPr>
        <w:t xml:space="preserve">fi.visit</w:t>
      </w:r>
      <w:r>
        <w:t xml:space="preserve">,</w:t>
      </w:r>
      <w:r>
        <w:t xml:space="preserve"> </w:t>
      </w:r>
      <w:r>
        <w:rPr>
          <w:rStyle w:val="VerbatimChar"/>
        </w:rPr>
        <w:t xml:space="preserve">notice.print</w:t>
      </w:r>
      <w:r>
        <w:t xml:space="preserve">,</w:t>
      </w:r>
      <w:r>
        <w:t xml:space="preserve"> </w:t>
      </w:r>
      <w:r>
        <w:rPr>
          <w:rStyle w:val="VerbatimChar"/>
        </w:rPr>
        <w:t xml:space="preserve">valuation.report</w:t>
      </w:r>
      <w:r>
        <w:t xml:space="preserve">,</w:t>
      </w:r>
      <w:r>
        <w:t xml:space="preserve"> </w:t>
      </w:r>
      <w:r>
        <w:rPr>
          <w:rStyle w:val="VerbatimChar"/>
        </w:rPr>
        <w:t xml:space="preserve">counsel.update</w:t>
      </w:r>
      <w:r>
        <w:t xml:space="preserve">) through a task API with tenant-scoped tokens (Finbyx 7A.0.7), GoRules JDM rule tables per tenant and product, document template packs, Temporal workflow hooks, UI slots, mapping packs, export layouts. The SDK provides envelope validation, registry client, Standard Webhooks and RFC 9421 signing, idempotency, outbox and inbox helpers, mapping runtime, simulators and the certification runner.</w:t>
      </w:r>
    </w:p>
    <w:bookmarkEnd w:id="104"/>
    <w:bookmarkStart w:id="105" w:name="onboarding-a-new-ecosystem-app"/>
    <w:p>
      <w:pPr>
        <w:pStyle w:val="Heading2"/>
      </w:pPr>
      <w:r>
        <w:t xml:space="preserve">11.3 Onboarding a new ecosystem app</w:t>
      </w:r>
    </w:p>
    <w:p>
      <w:pPr>
        <w:pStyle w:val="FirstParagraph"/>
      </w:pPr>
      <w:r>
        <w:t xml:space="preserve">Checklist: (1) legal role per RE (OUT Ch III or IV), materiality, group policy (OUT paras 45–51, 90–92), OUT paras 34 and 74 clauses; (2) DPIA, India-only, need-to-know (OUT para 24),</w:t>
      </w:r>
      <w:r>
        <w:t xml:space="preserve"> </w:t>
      </w:r>
      <w:r>
        <w:rPr>
          <w:rStyle w:val="VerbatimChar"/>
        </w:rPr>
        <w:t xml:space="preserve">x-dataclass</w:t>
      </w:r>
      <w:r>
        <w:t xml:space="preserve"> </w:t>
      </w:r>
      <w:r>
        <w:t xml:space="preserve">per field, no phone-resource access in borrower components (CF para 13(1)); (3) OIDC, SCIM, product roles, MFA; (4) registered events, APIs and files with AsyncAPI, OpenAPI and Pact; (5) mTLS, RFC 9421 keys, VAPT, SBOM, SIEM feed, incident notice enabling the RE’s 6-hour report (OUT para 61); (6) manifest, SKU, flags; (7) BCP and DR tests, exit plan, RE outsourcing-register entry; (8) for recovery use, agent authorisation and ID, contact-policy engine, grievance routing; (9) certification,</w:t>
      </w:r>
      <w:r>
        <w:t xml:space="preserve"> </w:t>
      </w:r>
      <w:r>
        <w:rPr>
          <w:rStyle w:val="VerbatimChar"/>
        </w:rPr>
        <w:t xml:space="preserve">ConnectorCertified</w:t>
      </w:r>
      <w:r>
        <w:t xml:space="preserve">, evidence to GRC; (10) from v1.1, the data-class ceiling of every subject the app consumes (Operations Hub subjects accept at most</w:t>
      </w:r>
      <w:r>
        <w:t xml:space="preserve"> </w:t>
      </w:r>
      <w:r>
        <w:rPr>
          <w:rStyle w:val="VerbatimChar"/>
        </w:rPr>
        <w:t xml:space="preserve">INTERNAL</w:t>
      </w:r>
      <w:r>
        <w:t xml:space="preserve"> </w:t>
      </w:r>
      <w:r>
        <w:t xml:space="preserve">from product sources), group grants under Part 4.6 and the Equator wall wherever the app touches Equator.</w:t>
      </w:r>
    </w:p>
    <w:p>
      <w:pPr>
        <w:pStyle w:val="BodyText"/>
      </w:pPr>
      <w:r>
        <w:rPr>
          <w:bCs/>
          <w:b/>
        </w:rPr>
        <w:t xml:space="preserve">Worked example — field-investigation app:</w:t>
      </w:r>
      <w:r>
        <w:t xml:space="preserve"> </w:t>
      </w:r>
      <w:r>
        <w:t xml:space="preserve">service provider to the RE (OUT Ch III), not an LSP unless it performs digital lending functions. Consumes</w:t>
      </w:r>
      <w:r>
        <w:t xml:space="preserve"> </w:t>
      </w:r>
      <w:r>
        <w:rPr>
          <w:rStyle w:val="VerbatimChar"/>
        </w:rPr>
        <w:t xml:space="preserve">VerificationRequested</w:t>
      </w:r>
      <w:r>
        <w:t xml:space="preserve">,</w:t>
      </w:r>
      <w:r>
        <w:t xml:space="preserve"> </w:t>
      </w:r>
      <w:r>
        <w:rPr>
          <w:rStyle w:val="VerbatimChar"/>
        </w:rPr>
        <w:t xml:space="preserve">CollectionAllocated</w:t>
      </w:r>
      <w:r>
        <w:t xml:space="preserve"> </w:t>
      </w:r>
      <w:r>
        <w:t xml:space="preserve">and</w:t>
      </w:r>
      <w:r>
        <w:t xml:space="preserve"> </w:t>
      </w:r>
      <w:r>
        <w:rPr>
          <w:rStyle w:val="VerbatimChar"/>
        </w:rPr>
        <w:t xml:space="preserve">CollectionDeallocated</w:t>
      </w:r>
      <w:r>
        <w:t xml:space="preserve"> </w:t>
      </w:r>
      <w:r>
        <w:t xml:space="preserve">(where the RE appoints its agents),</w:t>
      </w:r>
      <w:r>
        <w:t xml:space="preserve"> </w:t>
      </w:r>
      <w:r>
        <w:rPr>
          <w:rStyle w:val="VerbatimChar"/>
        </w:rPr>
        <w:t xml:space="preserve">LegalHoldChanged</w:t>
      </w:r>
      <w:r>
        <w:t xml:space="preserve">,</w:t>
      </w:r>
      <w:r>
        <w:t xml:space="preserve"> </w:t>
      </w:r>
      <w:r>
        <w:rPr>
          <w:rStyle w:val="VerbatimChar"/>
        </w:rPr>
        <w:t xml:space="preserve">ConsentWithdrawn</w:t>
      </w:r>
      <w:r>
        <w:t xml:space="preserve">. Produces</w:t>
      </w:r>
      <w:r>
        <w:t xml:space="preserve"> </w:t>
      </w:r>
      <w:r>
        <w:rPr>
          <w:rStyle w:val="VerbatimChar"/>
        </w:rPr>
        <w:t xml:space="preserve">VerificationCompleted</w:t>
      </w:r>
      <w:r>
        <w:t xml:space="preserve">,</w:t>
      </w:r>
      <w:r>
        <w:t xml:space="preserve"> </w:t>
      </w:r>
      <w:r>
        <w:rPr>
          <w:rStyle w:val="VerbatimChar"/>
        </w:rPr>
        <w:t xml:space="preserve">FieldVisitLogged</w:t>
      </w:r>
      <w:r>
        <w:t xml:space="preserve">,</w:t>
      </w:r>
      <w:r>
        <w:t xml:space="preserve"> </w:t>
      </w:r>
      <w:r>
        <w:rPr>
          <w:rStyle w:val="VerbatimChar"/>
        </w:rPr>
        <w:t xml:space="preserve">CollectionActivityLogged</w:t>
      </w:r>
      <w:r>
        <w:t xml:space="preserve">,</w:t>
      </w:r>
      <w:r>
        <w:t xml:space="preserve"> </w:t>
      </w:r>
      <w:r>
        <w:rPr>
          <w:rStyle w:val="VerbatimChar"/>
        </w:rPr>
        <w:t xml:space="preserve">PTPCaptured</w:t>
      </w:r>
      <w:r>
        <w:t xml:space="preserve">,</w:t>
      </w:r>
      <w:r>
        <w:t xml:space="preserve"> </w:t>
      </w:r>
      <w:r>
        <w:rPr>
          <w:rStyle w:val="VerbatimChar"/>
        </w:rPr>
        <w:t xml:space="preserve">ReceiptIssued</w:t>
      </w:r>
      <w:r>
        <w:t xml:space="preserve">,</w:t>
      </w:r>
      <w:r>
        <w:t xml:space="preserve"> </w:t>
      </w:r>
      <w:r>
        <w:rPr>
          <w:rStyle w:val="VerbatimChar"/>
        </w:rPr>
        <w:t xml:space="preserve">RiskSignalRaised</w:t>
      </w:r>
      <w:r>
        <w:t xml:space="preserve">,</w:t>
      </w:r>
      <w:r>
        <w:t xml:space="preserve"> </w:t>
      </w:r>
      <w:r>
        <w:rPr>
          <w:rStyle w:val="VerbatimChar"/>
        </w:rPr>
        <w:t xml:space="preserve">SecurityIncidentNotified</w:t>
      </w:r>
      <w:r>
        <w:t xml:space="preserve">. Address token resolved only at visit time; premises photos only; geo, time and evidence hashes; scopes</w:t>
      </w:r>
      <w:r>
        <w:t xml:space="preserve"> </w:t>
      </w:r>
      <w:r>
        <w:rPr>
          <w:rStyle w:val="VerbatimChar"/>
        </w:rPr>
        <w:t xml:space="preserve">collections.allocation:read</w:t>
      </w:r>
      <w:r>
        <w:t xml:space="preserve">,</w:t>
      </w:r>
      <w:r>
        <w:t xml:space="preserve"> </w:t>
      </w:r>
      <w:r>
        <w:rPr>
          <w:rStyle w:val="VerbatimChar"/>
        </w:rPr>
        <w:t xml:space="preserve">collections.activity:write</w:t>
      </w:r>
      <w:r>
        <w:t xml:space="preserve">; contact-policy check before each visit; findings feed Finbyx R2 and the service-proof register (affixation, hand delivery); certification adds offline-sync idempotency tests.</w:t>
      </w:r>
    </w:p>
    <w:p>
      <w:pPr>
        <w:pStyle w:val="BodyText"/>
      </w:pPr>
      <w:r>
        <w:rPr>
          <w:bCs/>
          <w:b/>
        </w:rPr>
        <w:t xml:space="preserve">Worked example — Infrabyx Operations Hub (v1.1):</w:t>
      </w:r>
      <w:r>
        <w:t xml:space="preserve"> </w:t>
      </w:r>
      <w:r>
        <w:t xml:space="preserve">Infrabyx’s own system (product code</w:t>
      </w:r>
      <w:r>
        <w:t xml:space="preserve"> </w:t>
      </w:r>
      <w:r>
        <w:rPr>
          <w:rStyle w:val="VerbatimChar"/>
        </w:rPr>
        <w:t xml:space="preserve">OH</w:t>
      </w:r>
      <w:r>
        <w:t xml:space="preserve">), not an LSP and not an outsourced service for any RE’s lending because it holds no RE customer data [INTERP]; group-outsourcing controls apply where a group company serves an RE (OUT paras 45–51, 90–92). Produces</w:t>
      </w:r>
      <w:r>
        <w:t xml:space="preserve"> </w:t>
      </w:r>
      <w:r>
        <w:rPr>
          <w:rStyle w:val="VerbatimChar"/>
        </w:rPr>
        <w:t xml:space="preserve">TenantProvisioned</w:t>
      </w:r>
      <w:r>
        <w:t xml:space="preserve">,</w:t>
      </w:r>
      <w:r>
        <w:t xml:space="preserve"> </w:t>
      </w:r>
      <w:r>
        <w:rPr>
          <w:rStyle w:val="VerbatimChar"/>
        </w:rPr>
        <w:t xml:space="preserve">ImplementationMilestoneReached</w:t>
      </w:r>
      <w:r>
        <w:t xml:space="preserve">,</w:t>
      </w:r>
      <w:r>
        <w:t xml:space="preserve"> </w:t>
      </w:r>
      <w:r>
        <w:rPr>
          <w:rStyle w:val="VerbatimChar"/>
        </w:rPr>
        <w:t xml:space="preserve">SupportTicketOpened</w:t>
      </w:r>
      <w:r>
        <w:t xml:space="preserve">,</w:t>
      </w:r>
      <w:r>
        <w:t xml:space="preserve"> </w:t>
      </w:r>
      <w:r>
        <w:rPr>
          <w:rStyle w:val="VerbatimChar"/>
        </w:rPr>
        <w:t xml:space="preserve">SupportTicketResolved</w:t>
      </w:r>
      <w:r>
        <w:t xml:space="preserve">,</w:t>
      </w:r>
      <w:r>
        <w:t xml:space="preserve"> </w:t>
      </w:r>
      <w:r>
        <w:rPr>
          <w:rStyle w:val="VerbatimChar"/>
        </w:rPr>
        <w:t xml:space="preserve">ChangeApproved</w:t>
      </w:r>
      <w:r>
        <w:t xml:space="preserve">,</w:t>
      </w:r>
      <w:r>
        <w:t xml:space="preserve"> </w:t>
      </w:r>
      <w:r>
        <w:rPr>
          <w:rStyle w:val="VerbatimChar"/>
        </w:rPr>
        <w:t xml:space="preserve">PlanChanged</w:t>
      </w:r>
      <w:r>
        <w:t xml:space="preserve">,</w:t>
      </w:r>
      <w:r>
        <w:t xml:space="preserve"> </w:t>
      </w:r>
      <w:r>
        <w:rPr>
          <w:rStyle w:val="VerbatimChar"/>
        </w:rPr>
        <w:t xml:space="preserve">EntitlementChanged</w:t>
      </w:r>
      <w:r>
        <w:t xml:space="preserve">,</w:t>
      </w:r>
      <w:r>
        <w:t xml:space="preserve"> </w:t>
      </w:r>
      <w:r>
        <w:rPr>
          <w:rStyle w:val="VerbatimChar"/>
        </w:rPr>
        <w:t xml:space="preserve">InvoiceIssued</w:t>
      </w:r>
      <w:r>
        <w:t xml:space="preserve">,</w:t>
      </w:r>
      <w:r>
        <w:t xml:space="preserve"> </w:t>
      </w:r>
      <w:r>
        <w:rPr>
          <w:rStyle w:val="VerbatimChar"/>
        </w:rPr>
        <w:t xml:space="preserve">SubscriptionPaymentReceived</w:t>
      </w:r>
      <w:r>
        <w:t xml:space="preserve">,</w:t>
      </w:r>
      <w:r>
        <w:t xml:space="preserve"> </w:t>
      </w:r>
      <w:r>
        <w:rPr>
          <w:rStyle w:val="VerbatimChar"/>
        </w:rPr>
        <w:t xml:space="preserve">SubscriptionPaymentFailed</w:t>
      </w:r>
      <w:r>
        <w:t xml:space="preserve">,</w:t>
      </w:r>
      <w:r>
        <w:t xml:space="preserve"> </w:t>
      </w:r>
      <w:r>
        <w:rPr>
          <w:rStyle w:val="VerbatimChar"/>
        </w:rPr>
        <w:t xml:space="preserve">SubscriptionCancelled</w:t>
      </w:r>
      <w:r>
        <w:t xml:space="preserve">,</w:t>
      </w:r>
      <w:r>
        <w:t xml:space="preserve"> </w:t>
      </w:r>
      <w:r>
        <w:rPr>
          <w:rStyle w:val="VerbatimChar"/>
        </w:rPr>
        <w:t xml:space="preserve">ProfessionalEmpanelled</w:t>
      </w:r>
      <w:r>
        <w:t xml:space="preserve">,</w:t>
      </w:r>
      <w:r>
        <w:t xml:space="preserve"> </w:t>
      </w:r>
      <w:r>
        <w:rPr>
          <w:rStyle w:val="VerbatimChar"/>
        </w:rPr>
        <w:t xml:space="preserve">ProfessionalSuspended</w:t>
      </w:r>
      <w:r>
        <w:t xml:space="preserve">,</w:t>
      </w:r>
      <w:r>
        <w:t xml:space="preserve"> </w:t>
      </w:r>
      <w:r>
        <w:rPr>
          <w:rStyle w:val="VerbatimChar"/>
        </w:rPr>
        <w:t xml:space="preserve">ControlEvidenceCollected</w:t>
      </w:r>
      <w:r>
        <w:t xml:space="preserve">, its own</w:t>
      </w:r>
      <w:r>
        <w:t xml:space="preserve"> </w:t>
      </w:r>
      <w:r>
        <w:rPr>
          <w:rStyle w:val="VerbatimChar"/>
        </w:rPr>
        <w:t xml:space="preserve">BackupCompleted</w:t>
      </w:r>
      <w:r>
        <w:t xml:space="preserve">,</w:t>
      </w:r>
      <w:r>
        <w:t xml:space="preserve"> </w:t>
      </w:r>
      <w:r>
        <w:rPr>
          <w:rStyle w:val="VerbatimChar"/>
        </w:rPr>
        <w:t xml:space="preserve">RestoreTested</w:t>
      </w:r>
      <w:r>
        <w:t xml:space="preserve"> </w:t>
      </w:r>
      <w:r>
        <w:t xml:space="preserve">and</w:t>
      </w:r>
      <w:r>
        <w:t xml:space="preserve"> </w:t>
      </w:r>
      <w:r>
        <w:rPr>
          <w:rStyle w:val="VerbatimChar"/>
        </w:rPr>
        <w:t xml:space="preserve">ReleasePublished</w:t>
      </w:r>
      <w:r>
        <w:t xml:space="preserve">,</w:t>
      </w:r>
      <w:r>
        <w:t xml:space="preserve"> </w:t>
      </w:r>
      <w:r>
        <w:rPr>
          <w:rStyle w:val="VerbatimChar"/>
        </w:rPr>
        <w:t xml:space="preserve">ExternalAccess*</w:t>
      </w:r>
      <w:r>
        <w:t xml:space="preserve"> </w:t>
      </w:r>
      <w:r>
        <w:t xml:space="preserve">for</w:t>
      </w:r>
      <w:r>
        <w:t xml:space="preserve"> </w:t>
      </w:r>
      <w:r>
        <w:rPr>
          <w:rStyle w:val="VerbatimChar"/>
        </w:rPr>
        <w:t xml:space="preserve">PROVIDER_ASSURANCE</w:t>
      </w:r>
      <w:r>
        <w:t xml:space="preserve"> </w:t>
      </w:r>
      <w:r>
        <w:t xml:space="preserve">grants only (4.7) and its own</w:t>
      </w:r>
      <w:r>
        <w:t xml:space="preserve"> </w:t>
      </w:r>
      <w:r>
        <w:rPr>
          <w:rStyle w:val="VerbatimChar"/>
        </w:rPr>
        <w:t xml:space="preserve">workforce</w:t>
      </w:r>
      <w:r>
        <w:t xml:space="preserve"> </w:t>
      </w:r>
      <w:r>
        <w:t xml:space="preserve">events (</w:t>
      </w:r>
      <w:r>
        <w:rPr>
          <w:rStyle w:val="VerbatimChar"/>
        </w:rPr>
        <w:t xml:space="preserve">source</w:t>
      </w:r>
      <w:r>
        <w:t xml:space="preserve"> </w:t>
      </w:r>
      <w:r>
        <w:rPr>
          <w:rStyle w:val="VerbatimChar"/>
        </w:rPr>
        <w:t xml:space="preserve">urn:infrabyx:oh:[legalentityid]</w:t>
      </w:r>
      <w:r>
        <w:t xml:space="preserve">). Consumes</w:t>
      </w:r>
      <w:r>
        <w:t xml:space="preserve"> </w:t>
      </w:r>
      <w:r>
        <w:rPr>
          <w:rStyle w:val="VerbatimChar"/>
        </w:rPr>
        <w:t xml:space="preserve">UsageRecorded</w:t>
      </w:r>
      <w:r>
        <w:t xml:space="preserve">,</w:t>
      </w:r>
      <w:r>
        <w:t xml:space="preserve"> </w:t>
      </w:r>
      <w:r>
        <w:rPr>
          <w:rStyle w:val="VerbatimChar"/>
        </w:rPr>
        <w:t xml:space="preserve">ModuleAttached</w:t>
      </w:r>
      <w:r>
        <w:t xml:space="preserve"> </w:t>
      </w:r>
      <w:r>
        <w:t xml:space="preserve">and</w:t>
      </w:r>
      <w:r>
        <w:t xml:space="preserve"> </w:t>
      </w:r>
      <w:r>
        <w:rPr>
          <w:rStyle w:val="VerbatimChar"/>
        </w:rPr>
        <w:t xml:space="preserve">ModuleDetached</w:t>
      </w:r>
      <w:r>
        <w:t xml:space="preserve"> </w:t>
      </w:r>
      <w:r>
        <w:t xml:space="preserve">(OH8 is the source of truth for issued entitlements; products report modules as applied),</w:t>
      </w:r>
      <w:r>
        <w:t xml:space="preserve"> </w:t>
      </w:r>
      <w:r>
        <w:rPr>
          <w:rStyle w:val="VerbatimChar"/>
        </w:rPr>
        <w:t xml:space="preserve">ReleasePublished</w:t>
      </w:r>
      <w:r>
        <w:t xml:space="preserve">,</w:t>
      </w:r>
      <w:r>
        <w:t xml:space="preserve"> </w:t>
      </w:r>
      <w:r>
        <w:rPr>
          <w:rStyle w:val="VerbatimChar"/>
        </w:rPr>
        <w:t xml:space="preserve">ControlEvidenceCollected</w:t>
      </w:r>
      <w:r>
        <w:t xml:space="preserve">,</w:t>
      </w:r>
      <w:r>
        <w:t xml:space="preserve"> </w:t>
      </w:r>
      <w:r>
        <w:rPr>
          <w:rStyle w:val="VerbatimChar"/>
        </w:rPr>
        <w:t xml:space="preserve">ConnectorCertified</w:t>
      </w:r>
      <w:r>
        <w:t xml:space="preserve">, copies of</w:t>
      </w:r>
      <w:r>
        <w:t xml:space="preserve"> </w:t>
      </w:r>
      <w:r>
        <w:rPr>
          <w:rStyle w:val="VerbatimChar"/>
        </w:rPr>
        <w:t xml:space="preserve">SecurityIncidentNotified</w:t>
      </w:r>
      <w:r>
        <w:t xml:space="preserve">,</w:t>
      </w:r>
      <w:r>
        <w:t xml:space="preserve"> </w:t>
      </w:r>
      <w:r>
        <w:rPr>
          <w:rStyle w:val="VerbatimChar"/>
        </w:rPr>
        <w:t xml:space="preserve">AccessReviewCompleted</w:t>
      </w:r>
      <w:r>
        <w:t xml:space="preserve"> </w:t>
      </w:r>
      <w:r>
        <w:t xml:space="preserve">(PLATFORM scope),</w:t>
      </w:r>
      <w:r>
        <w:t xml:space="preserve"> </w:t>
      </w:r>
      <w:r>
        <w:rPr>
          <w:rStyle w:val="VerbatimChar"/>
        </w:rPr>
        <w:t xml:space="preserve">MatterAllocated</w:t>
      </w:r>
      <w:r>
        <w:t xml:space="preserve">, counts from external-access and portability events and, only with tenant opt-in,</w:t>
      </w:r>
      <w:r>
        <w:t xml:space="preserve"> </w:t>
      </w:r>
      <w:r>
        <w:rPr>
          <w:rStyle w:val="VerbatimChar"/>
        </w:rPr>
        <w:t xml:space="preserve">ReturnDue</w:t>
      </w:r>
      <w:r>
        <w:t xml:space="preserve">,</w:t>
      </w:r>
      <w:r>
        <w:t xml:space="preserve"> </w:t>
      </w:r>
      <w:r>
        <w:rPr>
          <w:rStyle w:val="VerbatimChar"/>
        </w:rPr>
        <w:t xml:space="preserve">ReturnFiled</w:t>
      </w:r>
      <w:r>
        <w:t xml:space="preserve"> </w:t>
      </w:r>
      <w:r>
        <w:t xml:space="preserve">and</w:t>
      </w:r>
      <w:r>
        <w:t xml:space="preserve"> </w:t>
      </w:r>
      <w:r>
        <w:rPr>
          <w:rStyle w:val="VerbatimChar"/>
        </w:rPr>
        <w:t xml:space="preserve">PeriodClosed</w:t>
      </w:r>
      <w:r>
        <w:t xml:space="preserve"> </w:t>
      </w:r>
      <w:r>
        <w:t xml:space="preserve">metadata. Serves the catalogue, quote, order, invoice, usage-dispute, provisioning-acknowledgement, support-ticket, CRM-request, directory, conflict-check and claims-gate APIs and calls each product’s provisioning-status and entitlement APIs (6.27, 6.29). Certification adds aggregates-only schema tests, a seeded borrower identifier that must be rejected with</w:t>
      </w:r>
      <w:r>
        <w:t xml:space="preserve"> </w:t>
      </w:r>
      <w:r>
        <w:rPr>
          <w:rStyle w:val="VerbatimChar"/>
        </w:rPr>
        <w:t xml:space="preserve">dataclass-not-permitted</w:t>
      </w:r>
      <w:r>
        <w:t xml:space="preserve">, the Equator separation-of-duties rule, grant expiry within 60 seconds and Razorpay webhook verification. Client data migration stays inside the client’s product tenant (4.6); Brevo and other CRM processors receive only consented business contacts, never RE borrower data (CF para 13).</w:t>
      </w:r>
    </w:p>
    <w:bookmarkEnd w:id="105"/>
    <w:bookmarkStart w:id="106" w:name="naming-rules-and-standalone-udolex"/>
    <w:p>
      <w:pPr>
        <w:pStyle w:val="Heading2"/>
      </w:pPr>
      <w:r>
        <w:t xml:space="preserve">11.4 Naming rules and standalone Udolex</w:t>
      </w:r>
    </w:p>
    <w:p>
      <w:pPr>
        <w:pStyle w:val="FirstParagraph"/>
      </w:pPr>
      <w:r>
        <w:t xml:space="preserve">Event names PascalCase, past tense, unique, never product-prefixed; API paths plural with action sub-resources; schema subjects</w:t>
      </w:r>
      <w:r>
        <w:t xml:space="preserve"> </w:t>
      </w:r>
      <w:r>
        <w:rPr>
          <w:rStyle w:val="VerbatimChar"/>
        </w:rPr>
        <w:t xml:space="preserve">[domain]/[EventName]</w:t>
      </w:r>
      <w:r>
        <w:t xml:space="preserve"> </w:t>
      </w:r>
      <w:r>
        <w:t xml:space="preserve">and</w:t>
      </w:r>
      <w:r>
        <w:t xml:space="preserve"> </w:t>
      </w:r>
      <w:r>
        <w:rPr>
          <w:rStyle w:val="VerbatimChar"/>
        </w:rPr>
        <w:t xml:space="preserve">.lsp</w:t>
      </w:r>
      <w:r>
        <w:t xml:space="preserve">; connector ids</w:t>
      </w:r>
      <w:r>
        <w:t xml:space="preserve"> </w:t>
      </w:r>
      <w:r>
        <w:rPr>
          <w:rStyle w:val="VerbatimChar"/>
        </w:rPr>
        <w:t xml:space="preserve">[counterparty]-[capability]-[product]</w:t>
      </w:r>
      <w:r>
        <w:t xml:space="preserve">; identifiers prefix + ULID, never reused.</w:t>
      </w:r>
      <w:r>
        <w:t xml:space="preserve"> </w:t>
      </w:r>
      <w:r>
        <w:rPr>
          <w:bCs/>
          <w:b/>
        </w:rPr>
        <w:t xml:space="preserve">Udolex</w:t>
      </w:r>
      <w:r>
        <w:t xml:space="preserve"> </w:t>
      </w:r>
      <w:r>
        <w:t xml:space="preserve">changes only</w:t>
      </w:r>
      <w:r>
        <w:t xml:space="preserve"> </w:t>
      </w:r>
      <w:r>
        <w:rPr>
          <w:rStyle w:val="VerbatimChar"/>
        </w:rPr>
        <w:t xml:space="preserve">source</w:t>
      </w:r>
      <w:r>
        <w:t xml:space="preserve"> </w:t>
      </w:r>
      <w:r>
        <w:t xml:space="preserve">(</w:t>
      </w:r>
      <w:r>
        <w:rPr>
          <w:rStyle w:val="VerbatimChar"/>
        </w:rPr>
        <w:t xml:space="preserve">urn:infrabyx:udolex:[tenantid]</w:t>
      </w:r>
      <w:r>
        <w:t xml:space="preserve">); the ledger stays in the RE’s LMS and</w:t>
      </w:r>
      <w:r>
        <w:t xml:space="preserve"> </w:t>
      </w:r>
      <w:r>
        <w:rPr>
          <w:rStyle w:val="VerbatimChar"/>
        </w:rPr>
        <w:t xml:space="preserve">RecoveryReceiptPosted</w:t>
      </w:r>
      <w:r>
        <w:t xml:space="preserve"> </w:t>
      </w:r>
      <w:r>
        <w:t xml:space="preserve">becomes a posting request confirmed by the LMS’s</w:t>
      </w:r>
      <w:r>
        <w:t xml:space="preserve"> </w:t>
      </w:r>
      <w:r>
        <w:rPr>
          <w:rStyle w:val="VerbatimChar"/>
        </w:rPr>
        <w:t xml:space="preserve">PaymentReceived</w:t>
      </w:r>
      <w:r>
        <w:t xml:space="preserve">.</w:t>
      </w:r>
    </w:p>
    <w:p>
      <w:r>
        <w:pict>
          <v:rect style="width:0;height:1.5pt" o:hralign="center" o:hrstd="t" o:hr="t"/>
        </w:pict>
      </w:r>
    </w:p>
    <w:bookmarkEnd w:id="106"/>
    <w:bookmarkEnd w:id="107"/>
    <w:bookmarkStart w:id="112" w:name="data-export-and-interoperability-formats"/>
    <w:p>
      <w:pPr>
        <w:pStyle w:val="Heading1"/>
      </w:pPr>
      <w:r>
        <w:t xml:space="preserve">12 — DATA EXPORT AND INTEROPERABILITY FORMATS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316"/>
        <w:gridCol w:w="3149"/>
        <w:gridCol w:w="4173"/>
      </w:tblGrid>
      <w:tr>
        <w:trPr>
          <w:tblHeader w:val="true"/>
          <w:tblHeader w:val="true"/>
        </w:trPr>
        <w:tc>
          <w:tcPr>
            <w:tcW w:w="2316" w:type="dxa"/>
            <w:shd w:val="clear" w:color="auto" w:fill="1F3A5F"/>
          </w:tcPr>
          <w:p>
            <w:pPr>
              <w:pStyle w:val="Compact"/>
              <w:spacing w:after="40"/>
              <w:jc w:val="left"/>
            </w:pPr>
            <w:r>
              <w:rPr>
                <w:b/>
                <w:color w:val="FFFFFF"/>
                <w:sz w:val="18"/>
              </w:rPr>
              <w:t xml:space="preserve">Format</w:t>
            </w:r>
          </w:p>
        </w:tc>
        <w:tc>
          <w:tcPr>
            <w:tcW w:w="3149" w:type="dxa"/>
            <w:shd w:val="clear" w:color="auto" w:fill="1F3A5F"/>
          </w:tcPr>
          <w:p>
            <w:pPr>
              <w:pStyle w:val="Compact"/>
              <w:spacing w:after="40"/>
              <w:jc w:val="left"/>
            </w:pPr>
            <w:r>
              <w:rPr>
                <w:b/>
                <w:color w:val="FFFFFF"/>
                <w:sz w:val="18"/>
              </w:rPr>
              <w:t xml:space="preserve">Use</w:t>
            </w:r>
          </w:p>
        </w:tc>
        <w:tc>
          <w:tcPr>
            <w:tcW w:w="4173" w:type="dxa"/>
            <w:shd w:val="clear" w:color="auto" w:fill="1F3A5F"/>
          </w:tcPr>
          <w:p>
            <w:pPr>
              <w:pStyle w:val="Compact"/>
              <w:spacing w:after="40"/>
              <w:jc w:val="left"/>
            </w:pPr>
            <w:r>
              <w:rPr>
                <w:b/>
                <w:color w:val="FFFFFF"/>
                <w:sz w:val="18"/>
              </w:rPr>
              <w:t xml:space="preserve">Specification</w:t>
            </w:r>
          </w:p>
        </w:tc>
      </w:tr>
      <w:tr>
        <w:tc>
          <w:tcPr>
            <w:tcW w:w="2316" w:type="dxa"/>
          </w:tcPr>
          <w:p>
            <w:pPr>
              <w:pStyle w:val="Compact"/>
              <w:spacing w:after="40"/>
              <w:jc w:val="left"/>
            </w:pPr>
            <w:r>
              <w:rPr>
                <w:sz w:val="18"/>
              </w:rPr>
              <w:t xml:space="preserve">CSV, XLSX, JSON, NDJSON, XML</w:t>
            </w:r>
          </w:p>
        </w:tc>
        <w:tc>
          <w:tcPr>
            <w:tcW w:w="3149" w:type="dxa"/>
          </w:tcPr>
          <w:p>
            <w:pPr>
              <w:pStyle w:val="Compact"/>
              <w:spacing w:after="40"/>
              <w:jc w:val="left"/>
            </w:pPr>
            <w:r>
              <w:rPr>
                <w:sz w:val="18"/>
              </w:rPr>
              <w:t xml:space="preserve">Registers, lists, bulk and counterparty layouts</w:t>
            </w:r>
          </w:p>
        </w:tc>
        <w:tc>
          <w:tcPr>
            <w:tcW w:w="4173" w:type="dxa"/>
          </w:tcPr>
          <w:p>
            <w:pPr>
              <w:pStyle w:val="Compact"/>
              <w:spacing w:after="40"/>
              <w:jc w:val="left"/>
            </w:pPr>
            <w:r>
              <w:rPr>
                <w:sz w:val="18"/>
              </w:rPr>
              <w:t xml:space="preserve">RFC 4180 UTF-8 CSV; JSON Schema 2020-12 or XSD per layout</w:t>
            </w:r>
          </w:p>
        </w:tc>
      </w:tr>
      <w:tr>
        <w:tc>
          <w:tcPr>
            <w:tcW w:w="2316" w:type="dxa"/>
          </w:tcPr>
          <w:p>
            <w:pPr>
              <w:pStyle w:val="Compact"/>
              <w:spacing w:after="40"/>
              <w:jc w:val="left"/>
            </w:pPr>
            <w:r>
              <w:rPr>
                <w:sz w:val="18"/>
              </w:rPr>
              <w:t xml:space="preserve">PDF/A</w:t>
            </w:r>
          </w:p>
        </w:tc>
        <w:tc>
          <w:tcPr>
            <w:tcW w:w="3149" w:type="dxa"/>
          </w:tcPr>
          <w:p>
            <w:pPr>
              <w:pStyle w:val="Compact"/>
              <w:spacing w:after="40"/>
              <w:jc w:val="left"/>
            </w:pPr>
            <w:r>
              <w:rPr>
                <w:sz w:val="18"/>
              </w:rPr>
              <w:t xml:space="preserve">Notices, awards, orders, statements, evidence packs</w:t>
            </w:r>
          </w:p>
        </w:tc>
        <w:tc>
          <w:tcPr>
            <w:tcW w:w="4173" w:type="dxa"/>
          </w:tcPr>
          <w:p>
            <w:pPr>
              <w:pStyle w:val="Compact"/>
              <w:spacing w:after="40"/>
              <w:jc w:val="left"/>
            </w:pPr>
            <w:r>
              <w:rPr>
                <w:sz w:val="18"/>
              </w:rPr>
              <w:t xml:space="preserve">PDF/A-2b; XMP block with document_id and source hash; eSign, DSC or PAdES</w:t>
            </w:r>
          </w:p>
        </w:tc>
      </w:tr>
      <w:tr>
        <w:tc>
          <w:tcPr>
            <w:tcW w:w="2316" w:type="dxa"/>
          </w:tcPr>
          <w:p>
            <w:pPr>
              <w:pStyle w:val="Compact"/>
              <w:spacing w:after="40"/>
              <w:jc w:val="left"/>
            </w:pPr>
            <w:r>
              <w:rPr>
                <w:sz w:val="18"/>
              </w:rPr>
              <w:t xml:space="preserve">Tally XML</w:t>
            </w:r>
          </w:p>
        </w:tc>
        <w:tc>
          <w:tcPr>
            <w:tcW w:w="3149" w:type="dxa"/>
          </w:tcPr>
          <w:p>
            <w:pPr>
              <w:pStyle w:val="Compact"/>
              <w:spacing w:after="40"/>
              <w:jc w:val="left"/>
            </w:pPr>
            <w:r>
              <w:rPr>
                <w:sz w:val="18"/>
              </w:rPr>
              <w:t xml:space="preserve">Journals to TallyPrime</w:t>
            </w:r>
          </w:p>
        </w:tc>
        <w:tc>
          <w:tcPr>
            <w:tcW w:w="4173" w:type="dxa"/>
          </w:tcPr>
          <w:p>
            <w:pPr>
              <w:pStyle w:val="Compact"/>
              <w:spacing w:after="40"/>
              <w:jc w:val="left"/>
            </w:pPr>
            <w:r>
              <w:rPr>
                <w:sz w:val="18"/>
              </w:rPr>
              <w:t xml:space="preserve">ENVELOPE, HEADER (Import Data), BODY, IMPORTDATA, REQUESTDESC, REQUESTDATA, TALLYMESSAGE; port 9000 or file</w:t>
            </w:r>
          </w:p>
        </w:tc>
      </w:tr>
      <w:tr>
        <w:tc>
          <w:tcPr>
            <w:tcW w:w="2316" w:type="dxa"/>
          </w:tcPr>
          <w:p>
            <w:pPr>
              <w:pStyle w:val="Compact"/>
              <w:spacing w:after="40"/>
              <w:jc w:val="left"/>
            </w:pPr>
            <w:r>
              <w:rPr>
                <w:sz w:val="18"/>
              </w:rPr>
              <w:t xml:space="preserve">SAP</w:t>
            </w:r>
          </w:p>
        </w:tc>
        <w:tc>
          <w:tcPr>
            <w:tcW w:w="3149" w:type="dxa"/>
          </w:tcPr>
          <w:p>
            <w:pPr>
              <w:pStyle w:val="Compact"/>
              <w:spacing w:after="40"/>
              <w:jc w:val="left"/>
            </w:pPr>
            <w:r>
              <w:rPr>
                <w:sz w:val="18"/>
              </w:rPr>
              <w:t xml:space="preserve">Journals to S/4HANA or ECC</w:t>
            </w:r>
          </w:p>
        </w:tc>
        <w:tc>
          <w:tcPr>
            <w:tcW w:w="4173" w:type="dxa"/>
          </w:tcPr>
          <w:p>
            <w:pPr>
              <w:pStyle w:val="Compact"/>
              <w:spacing w:after="40"/>
              <w:jc w:val="left"/>
            </w:pPr>
            <w:r>
              <w:rPr>
                <w:sz w:val="18"/>
              </w:rPr>
              <w:t xml:space="preserve">ACC_DOCUMENT IDoc, BAPI_ACC_DOCUMENT_POST or OData [VERIFY: per release]</w:t>
            </w:r>
          </w:p>
        </w:tc>
      </w:tr>
      <w:tr>
        <w:tc>
          <w:tcPr>
            <w:tcW w:w="2316" w:type="dxa"/>
          </w:tcPr>
          <w:p>
            <w:pPr>
              <w:pStyle w:val="Compact"/>
              <w:spacing w:after="40"/>
              <w:jc w:val="left"/>
            </w:pPr>
            <w:r>
              <w:rPr>
                <w:sz w:val="18"/>
              </w:rPr>
              <w:t xml:space="preserve">XBRL</w:t>
            </w:r>
          </w:p>
        </w:tc>
        <w:tc>
          <w:tcPr>
            <w:tcW w:w="3149" w:type="dxa"/>
          </w:tcPr>
          <w:p>
            <w:pPr>
              <w:pStyle w:val="Compact"/>
              <w:spacing w:after="40"/>
              <w:jc w:val="left"/>
            </w:pPr>
            <w:r>
              <w:rPr>
                <w:sz w:val="18"/>
              </w:rPr>
              <w:t xml:space="preserve">Where a regulator requires it (e.g. MCA)</w:t>
            </w:r>
          </w:p>
        </w:tc>
        <w:tc>
          <w:tcPr>
            <w:tcW w:w="4173" w:type="dxa"/>
          </w:tcPr>
          <w:p>
            <w:pPr>
              <w:pStyle w:val="Compact"/>
              <w:spacing w:after="40"/>
              <w:jc w:val="left"/>
            </w:pPr>
            <w:r>
              <w:rPr>
                <w:sz w:val="18"/>
              </w:rPr>
              <w:t xml:space="preserve">Filing taxonomy; RBI returns moving to CIMS templates [VERIFY: NBFC returns]</w:t>
            </w:r>
          </w:p>
        </w:tc>
      </w:tr>
      <w:tr>
        <w:tc>
          <w:tcPr>
            <w:tcW w:w="2316" w:type="dxa"/>
          </w:tcPr>
          <w:p>
            <w:pPr>
              <w:pStyle w:val="Compact"/>
              <w:spacing w:after="40"/>
              <w:jc w:val="left"/>
            </w:pPr>
            <w:r>
              <w:rPr>
                <w:sz w:val="18"/>
              </w:rPr>
              <w:t xml:space="preserve">CloudEvents batch</w:t>
            </w:r>
          </w:p>
        </w:tc>
        <w:tc>
          <w:tcPr>
            <w:tcW w:w="3149" w:type="dxa"/>
          </w:tcPr>
          <w:p>
            <w:pPr>
              <w:pStyle w:val="Compact"/>
              <w:spacing w:after="40"/>
              <w:jc w:val="left"/>
            </w:pPr>
            <w:r>
              <w:rPr>
                <w:sz w:val="18"/>
              </w:rPr>
              <w:t xml:space="preserve">Replay and file fallback</w:t>
            </w:r>
          </w:p>
        </w:tc>
        <w:tc>
          <w:tcPr>
            <w:tcW w:w="4173" w:type="dxa"/>
          </w:tcPr>
          <w:p>
            <w:pPr>
              <w:pStyle w:val="Compact"/>
              <w:spacing w:after="40"/>
              <w:jc w:val="left"/>
            </w:pPr>
            <w:r>
              <w:rPr>
                <w:rStyle w:val="VerbatimChar"/>
                <w:sz w:val="18"/>
              </w:rPr>
              <w:t xml:space="preserve">application/cloudevents-batch+json</w:t>
            </w:r>
            <w:r>
              <w:rPr>
                <w:sz w:val="18"/>
              </w:rPr>
              <w:t xml:space="preserve"> </w:t>
            </w:r>
            <w:r>
              <w:rPr>
                <w:sz w:val="18"/>
              </w:rPr>
              <w:t xml:space="preserve">or NDJSON</w:t>
            </w:r>
          </w:p>
        </w:tc>
      </w:tr>
      <w:tr>
        <w:tc>
          <w:tcPr>
            <w:tcW w:w="2316" w:type="dxa"/>
          </w:tcPr>
          <w:p>
            <w:pPr>
              <w:pStyle w:val="Compact"/>
              <w:spacing w:after="40"/>
              <w:jc w:val="left"/>
            </w:pPr>
            <w:r>
              <w:rPr>
                <w:sz w:val="18"/>
              </w:rPr>
              <w:t xml:space="preserve">DOCX</w:t>
            </w:r>
          </w:p>
        </w:tc>
        <w:tc>
          <w:tcPr>
            <w:tcW w:w="3149" w:type="dxa"/>
          </w:tcPr>
          <w:p>
            <w:pPr>
              <w:pStyle w:val="Compact"/>
              <w:spacing w:after="40"/>
              <w:jc w:val="left"/>
            </w:pPr>
            <w:r>
              <w:rPr>
                <w:sz w:val="18"/>
              </w:rPr>
              <w:t xml:space="preserve">Editable renditions of narrative documents in archives (12.1)</w:t>
            </w:r>
          </w:p>
        </w:tc>
        <w:tc>
          <w:tcPr>
            <w:tcW w:w="4173" w:type="dxa"/>
          </w:tcPr>
          <w:p>
            <w:pPr>
              <w:pStyle w:val="Compact"/>
              <w:spacing w:after="40"/>
              <w:jc w:val="left"/>
            </w:pPr>
            <w:r>
              <w:rPr>
                <w:sz w:val="18"/>
              </w:rPr>
              <w:t xml:space="preserve">Office Open XML (ISO/IEC 29500), always paired with a PDF/A-2b rendition</w:t>
            </w:r>
          </w:p>
        </w:tc>
      </w:tr>
      <w:tr>
        <w:tc>
          <w:tcPr>
            <w:tcW w:w="2316" w:type="dxa"/>
          </w:tcPr>
          <w:p>
            <w:pPr>
              <w:pStyle w:val="Compact"/>
              <w:spacing w:after="40"/>
              <w:jc w:val="left"/>
            </w:pPr>
            <w:r>
              <w:rPr>
                <w:sz w:val="18"/>
              </w:rPr>
              <w:t xml:space="preserve">UCRF bureau formats</w:t>
            </w:r>
          </w:p>
        </w:tc>
        <w:tc>
          <w:tcPr>
            <w:tcW w:w="3149" w:type="dxa"/>
          </w:tcPr>
          <w:p>
            <w:pPr>
              <w:pStyle w:val="Compact"/>
              <w:spacing w:after="40"/>
              <w:jc w:val="left"/>
            </w:pPr>
            <w:r>
              <w:rPr>
                <w:sz w:val="18"/>
              </w:rPr>
              <w:t xml:space="preserve">CIC submissions</w:t>
            </w:r>
          </w:p>
        </w:tc>
        <w:tc>
          <w:tcPr>
            <w:tcW w:w="4173" w:type="dxa"/>
          </w:tcPr>
          <w:p>
            <w:pPr>
              <w:pStyle w:val="Compact"/>
              <w:spacing w:after="40"/>
              <w:jc w:val="left"/>
            </w:pPr>
            <w:r>
              <w:rPr>
                <w:sz w:val="18"/>
              </w:rPr>
              <w:t xml:space="preserve">Consumer v3.74, Commercial v3.10 (SFTP only) and MFI v3.3.1 as versioned format packs (12.4)</w:t>
            </w:r>
          </w:p>
        </w:tc>
      </w:tr>
      <w:tr>
        <w:tc>
          <w:tcPr>
            <w:tcW w:w="2316" w:type="dxa"/>
          </w:tcPr>
          <w:p>
            <w:pPr>
              <w:pStyle w:val="Compact"/>
              <w:spacing w:after="40"/>
              <w:jc w:val="left"/>
            </w:pPr>
            <w:r>
              <w:rPr>
                <w:sz w:val="18"/>
              </w:rPr>
              <w:t xml:space="preserve">GSTN and income-tax utility files</w:t>
            </w:r>
          </w:p>
        </w:tc>
        <w:tc>
          <w:tcPr>
            <w:tcW w:w="3149" w:type="dxa"/>
          </w:tcPr>
          <w:p>
            <w:pPr>
              <w:pStyle w:val="Compact"/>
              <w:spacing w:after="40"/>
              <w:jc w:val="left"/>
            </w:pPr>
            <w:r>
              <w:rPr>
                <w:sz w:val="18"/>
              </w:rPr>
              <w:t xml:space="preserve">GST and TDS returns</w:t>
            </w:r>
          </w:p>
        </w:tc>
        <w:tc>
          <w:tcPr>
            <w:tcW w:w="4173" w:type="dxa"/>
          </w:tcPr>
          <w:p>
            <w:pPr>
              <w:pStyle w:val="Compact"/>
              <w:spacing w:after="40"/>
              <w:jc w:val="left"/>
            </w:pPr>
            <w:r>
              <w:rPr>
                <w:sz w:val="18"/>
              </w:rPr>
              <w:t xml:space="preserve">GSTN offline-tool JSON; Form 140 utility file [VERIFY: utility name] (12.4)</w:t>
            </w:r>
          </w:p>
        </w:tc>
      </w:tr>
    </w:tbl>
    <w:p>
      <w:pPr>
        <w:pStyle w:val="BodyText"/>
      </w:pPr>
      <w:r>
        <w:rPr>
          <w:bCs/>
          <w:b/>
        </w:rPr>
        <w:t xml:space="preserve">Registered layouts (minimum):</w:t>
      </w:r>
      <w:r>
        <w:t xml:space="preserve"> </w:t>
      </w:r>
      <w:r>
        <w:rPr>
          <w:rStyle w:val="VerbatimChar"/>
        </w:rPr>
        <w:t xml:space="preserve">loan_master_v1</w:t>
      </w:r>
      <w:r>
        <w:t xml:space="preserve">,</w:t>
      </w:r>
      <w:r>
        <w:t xml:space="preserve"> </w:t>
      </w:r>
      <w:r>
        <w:rPr>
          <w:rStyle w:val="VerbatimChar"/>
        </w:rPr>
        <w:t xml:space="preserve">schedule_v1</w:t>
      </w:r>
      <w:r>
        <w:t xml:space="preserve">,</w:t>
      </w:r>
      <w:r>
        <w:t xml:space="preserve"> </w:t>
      </w:r>
      <w:r>
        <w:rPr>
          <w:rStyle w:val="VerbatimChar"/>
        </w:rPr>
        <w:t xml:space="preserve">payment_v1</w:t>
      </w:r>
      <w:r>
        <w:t xml:space="preserve">,</w:t>
      </w:r>
      <w:r>
        <w:t xml:space="preserve"> </w:t>
      </w:r>
      <w:r>
        <w:rPr>
          <w:rStyle w:val="VerbatimChar"/>
        </w:rPr>
        <w:t xml:space="preserve">collateral_register_v1</w:t>
      </w:r>
      <w:r>
        <w:t xml:space="preserve">,</w:t>
      </w:r>
      <w:r>
        <w:t xml:space="preserve"> </w:t>
      </w:r>
      <w:r>
        <w:rPr>
          <w:rStyle w:val="VerbatimChar"/>
        </w:rPr>
        <w:t xml:space="preserve">pledge_position_v1</w:t>
      </w:r>
      <w:r>
        <w:t xml:space="preserve">,</w:t>
      </w:r>
      <w:r>
        <w:t xml:space="preserve"> </w:t>
      </w:r>
      <w:r>
        <w:rPr>
          <w:rStyle w:val="VerbatimChar"/>
        </w:rPr>
        <w:t xml:space="preserve">dlg_position_v1</w:t>
      </w:r>
      <w:r>
        <w:t xml:space="preserve">,</w:t>
      </w:r>
      <w:r>
        <w:t xml:space="preserve"> </w:t>
      </w:r>
      <w:r>
        <w:rPr>
          <w:rStyle w:val="VerbatimChar"/>
        </w:rPr>
        <w:t xml:space="preserve">colending_escrow_v1</w:t>
      </w:r>
      <w:r>
        <w:t xml:space="preserve">,</w:t>
      </w:r>
      <w:r>
        <w:t xml:space="preserve"> </w:t>
      </w:r>
      <w:r>
        <w:rPr>
          <w:rStyle w:val="VerbatimChar"/>
        </w:rPr>
        <w:t xml:space="preserve">recovery_case_v1</w:t>
      </w:r>
      <w:r>
        <w:t xml:space="preserve">,</w:t>
      </w:r>
      <w:r>
        <w:t xml:space="preserve"> </w:t>
      </w:r>
      <w:r>
        <w:rPr>
          <w:rStyle w:val="VerbatimChar"/>
        </w:rPr>
        <w:t xml:space="preserve">notice_register_v1</w:t>
      </w:r>
      <w:r>
        <w:t xml:space="preserve">,</w:t>
      </w:r>
      <w:r>
        <w:t xml:space="preserve"> </w:t>
      </w:r>
      <w:r>
        <w:rPr>
          <w:rStyle w:val="VerbatimChar"/>
        </w:rPr>
        <w:t xml:space="preserve">service_proof_v1</w:t>
      </w:r>
      <w:r>
        <w:t xml:space="preserve">,</w:t>
      </w:r>
      <w:r>
        <w:t xml:space="preserve"> </w:t>
      </w:r>
      <w:r>
        <w:rPr>
          <w:rStyle w:val="VerbatimChar"/>
        </w:rPr>
        <w:t xml:space="preserve">litigation_register_v1</w:t>
      </w:r>
      <w:r>
        <w:t xml:space="preserve">,</w:t>
      </w:r>
      <w:r>
        <w:t xml:space="preserve"> </w:t>
      </w:r>
      <w:r>
        <w:rPr>
          <w:rStyle w:val="VerbatimChar"/>
        </w:rPr>
        <w:t xml:space="preserve">settlement_register_v1</w:t>
      </w:r>
      <w:r>
        <w:t xml:space="preserve">,</w:t>
      </w:r>
      <w:r>
        <w:t xml:space="preserve"> </w:t>
      </w:r>
      <w:r>
        <w:rPr>
          <w:rStyle w:val="VerbatimChar"/>
        </w:rPr>
        <w:t xml:space="preserve">adr_referral_v1</w:t>
      </w:r>
      <w:r>
        <w:t xml:space="preserve">,</w:t>
      </w:r>
      <w:r>
        <w:t xml:space="preserve"> </w:t>
      </w:r>
      <w:r>
        <w:rPr>
          <w:rStyle w:val="VerbatimChar"/>
        </w:rPr>
        <w:t xml:space="preserve">adr_status_v1</w:t>
      </w:r>
      <w:r>
        <w:t xml:space="preserve">,</w:t>
      </w:r>
      <w:r>
        <w:t xml:space="preserve"> </w:t>
      </w:r>
      <w:r>
        <w:rPr>
          <w:rStyle w:val="VerbatimChar"/>
        </w:rPr>
        <w:t xml:space="preserve">adr_outcome_v1</w:t>
      </w:r>
      <w:r>
        <w:t xml:space="preserve">,</w:t>
      </w:r>
      <w:r>
        <w:t xml:space="preserve"> </w:t>
      </w:r>
      <w:r>
        <w:rPr>
          <w:rStyle w:val="VerbatimChar"/>
        </w:rPr>
        <w:t xml:space="preserve">asset_sale_v1</w:t>
      </w:r>
      <w:r>
        <w:t xml:space="preserve">,</w:t>
      </w:r>
      <w:r>
        <w:t xml:space="preserve"> </w:t>
      </w:r>
      <w:r>
        <w:rPr>
          <w:rStyle w:val="VerbatimChar"/>
        </w:rPr>
        <w:t xml:space="preserve">possessed_assets_web_v1</w:t>
      </w:r>
      <w:r>
        <w:t xml:space="preserve"> </w:t>
      </w:r>
      <w:r>
        <w:t xml:space="preserve">(monthly website list, CIR para 21),</w:t>
      </w:r>
      <w:r>
        <w:t xml:space="preserve"> </w:t>
      </w:r>
      <w:r>
        <w:rPr>
          <w:rStyle w:val="VerbatimChar"/>
        </w:rPr>
        <w:t xml:space="preserve">agency_list_web_v1</w:t>
      </w:r>
      <w:r>
        <w:t xml:space="preserve">,</w:t>
      </w:r>
      <w:r>
        <w:t xml:space="preserve"> </w:t>
      </w:r>
      <w:r>
        <w:rPr>
          <w:rStyle w:val="VerbatimChar"/>
        </w:rPr>
        <w:t xml:space="preserve">gl_journal_v1</w:t>
      </w:r>
      <w:r>
        <w:t xml:space="preserve">,</w:t>
      </w:r>
      <w:r>
        <w:t xml:space="preserve"> </w:t>
      </w:r>
      <w:r>
        <w:rPr>
          <w:rStyle w:val="VerbatimChar"/>
        </w:rPr>
        <w:t xml:space="preserve">grc_evidence_index_v1</w:t>
      </w:r>
      <w:r>
        <w:t xml:space="preserve">,</w:t>
      </w:r>
      <w:r>
        <w:t xml:space="preserve"> </w:t>
      </w:r>
      <w:r>
        <w:rPr>
          <w:rStyle w:val="VerbatimChar"/>
        </w:rPr>
        <w:t xml:space="preserve">reconciliation_breaks_v1</w:t>
      </w:r>
      <w:r>
        <w:t xml:space="preserve">; v1.1 adds the nineteen layouts in 12.4.</w:t>
      </w:r>
    </w:p>
    <w:p>
      <w:pPr>
        <w:pStyle w:val="BodyText"/>
      </w:pPr>
      <w:r>
        <w:rPr>
          <w:bCs/>
          <w:b/>
        </w:rPr>
        <w:t xml:space="preserve">Dictionaries and checksums.</w:t>
      </w:r>
      <w:r>
        <w:t xml:space="preserve"> </w:t>
      </w:r>
      <w:r>
        <w:t xml:space="preserve">Each layout’s dictionary gives field, canonical JSON Pointer, type, length, mandatory flag,</w:t>
      </w:r>
      <w:r>
        <w:t xml:space="preserve"> </w:t>
      </w:r>
      <w:r>
        <w:rPr>
          <w:rStyle w:val="VerbatimChar"/>
        </w:rPr>
        <w:t xml:space="preserve">x-dataclass</w:t>
      </w:r>
      <w:r>
        <w:t xml:space="preserve"> </w:t>
      </w:r>
      <w:r>
        <w:t xml:space="preserve">and code table; each file has a JWS-signed manifest with counts, control totals and SHA-256 (3.11). Detached-module and tenant-exit exports (Finbyx Part 10.6 item 24) use these layouts inside the archive standard (12.1).</w:t>
      </w:r>
    </w:p>
    <w:bookmarkStart w:id="108" w:name="archive-standard-shared"/>
    <w:p>
      <w:pPr>
        <w:pStyle w:val="Heading2"/>
      </w:pPr>
      <w:r>
        <w:t xml:space="preserve">12.1 Archive standard (shared)</w:t>
      </w:r>
    </w:p>
    <w:p>
      <w:pPr>
        <w:pStyle w:val="FirstParagraph"/>
      </w:pPr>
      <w:r>
        <w:t xml:space="preserve">One standard (</w:t>
      </w:r>
      <w:r>
        <w:rPr>
          <w:rStyle w:val="VerbatimChar"/>
        </w:rPr>
        <w:t xml:space="preserve">archive_standard_version</w:t>
      </w:r>
      <w:r>
        <w:t xml:space="preserve"> </w:t>
      </w:r>
      <w:r>
        <w:t xml:space="preserve">1.0) for every archive a product hands to a customer, auditor, successor or court: Finbyx DP1–DP2 and DP5 tenant exit, Udofin RA3 RE archives, UP3 RE audit packs and UP5 deal exit, and Udofin UB1 borrower downloads. A person with Microsoft Office or LibreOffice, a PDF reader and a checksum tool must be able to find, open, verify and understand every record without the producing product; a successor system must be able to load every dataset.</w:t>
      </w:r>
    </w:p>
    <w:p>
      <w:pPr>
        <w:pStyle w:val="BodyText"/>
      </w:pPr>
      <w:r>
        <w:rPr>
          <w:bCs/>
          <w:b/>
        </w:rPr>
        <w:t xml:space="preserve">Folder tree.</w:t>
      </w:r>
      <w:r>
        <w:t xml:space="preserve"> </w:t>
      </w:r>
      <w:r>
        <w:t xml:space="preserve">Two-digit numbered top-level folders under</w:t>
      </w:r>
      <w:r>
        <w:t xml:space="preserve"> </w:t>
      </w:r>
      <w:r>
        <w:rPr>
          <w:rStyle w:val="VerbatimChar"/>
        </w:rPr>
        <w:t xml:space="preserve">[Owner legal name] - [Product] Archive - [scope] - as of [YYYY-MM-DD]/</w:t>
      </w:r>
      <w:r>
        <w:t xml:space="preserve">. Folder</w:t>
      </w:r>
      <w:r>
        <w:t xml:space="preserve"> </w:t>
      </w:r>
      <w:r>
        <w:rPr>
          <w:rStyle w:val="VerbatimChar"/>
        </w:rPr>
        <w:t xml:space="preserve">00 Start Here/</w:t>
      </w:r>
      <w:r>
        <w:t xml:space="preserve"> </w:t>
      </w:r>
      <w:r>
        <w:t xml:space="preserve">is mandatory and identical in every profile:</w:t>
      </w:r>
    </w:p>
    <w:p>
      <w:pPr>
        <w:pStyle w:val="SourceCode"/>
      </w:pPr>
      <w:r>
        <w:rPr>
          <w:rStyle w:val="VerbatimChar"/>
        </w:rPr>
        <w:t xml:space="preserve">00 Start Here/</w:t>
      </w:r>
      <w:r>
        <w:br/>
      </w:r>
      <w:r>
        <w:rPr>
          <w:rStyle w:val="VerbatimChar"/>
        </w:rPr>
        <w:t xml:space="preserve">    README.pdf, README.docx, README.txt        (README.md optional)</w:t>
      </w:r>
      <w:r>
        <w:br/>
      </w:r>
      <w:r>
        <w:rPr>
          <w:rStyle w:val="VerbatimChar"/>
        </w:rPr>
        <w:t xml:space="preserve">    export-manifest.csv, manifest.json, manifest.json.jws</w:t>
      </w:r>
      <w:r>
        <w:br/>
      </w:r>
      <w:r>
        <w:rPr>
          <w:rStyle w:val="VerbatimChar"/>
        </w:rPr>
        <w:t xml:space="preserve">    data-dictionary.xlsx, data-dictionary.csv</w:t>
      </w:r>
      <w:r>
        <w:br/>
      </w:r>
      <w:r>
        <w:rPr>
          <w:rStyle w:val="VerbatimChar"/>
        </w:rPr>
        <w:t xml:space="preserve">    relationships.csv, relationship-map.pdf</w:t>
      </w:r>
      <w:r>
        <w:br/>
      </w:r>
      <w:r>
        <w:rPr>
          <w:rStyle w:val="VerbatimChar"/>
        </w:rPr>
        <w:t xml:space="preserve">    code-tables/          one CSV per code table</w:t>
      </w:r>
      <w:r>
        <w:br/>
      </w:r>
      <w:r>
        <w:rPr>
          <w:rStyle w:val="VerbatimChar"/>
        </w:rPr>
        <w:t xml:space="preserve">    schemas/              JSON Schema 2020-12 per dataset</w:t>
      </w:r>
      <w:r>
        <w:br/>
      </w:r>
      <w:r>
        <w:rPr>
          <w:rStyle w:val="VerbatimChar"/>
        </w:rPr>
        <w:t xml:space="preserve">    verify/               open-source verifier (Apache-2.0) and instructions</w:t>
      </w:r>
    </w:p>
    <w:p>
      <w:pPr>
        <w:pStyle w:val="FirstParagraph"/>
      </w:pPr>
      <w:r>
        <w:t xml:space="preserve">Registered folder profiles:</w:t>
      </w:r>
      <w:r>
        <w:t xml:space="preserve"> </w:t>
      </w:r>
      <w:r>
        <w:rPr>
          <w:rStyle w:val="VerbatimChar"/>
        </w:rPr>
        <w:t xml:space="preserve">finbyx_tenant_v1</w:t>
      </w:r>
      <w:r>
        <w:t xml:space="preserve"> </w:t>
      </w:r>
      <w:r>
        <w:t xml:space="preserve">(folders 01–14 of Finbyx DP1.2),</w:t>
      </w:r>
      <w:r>
        <w:t xml:space="preserve"> </w:t>
      </w:r>
      <w:r>
        <w:rPr>
          <w:rStyle w:val="VerbatimChar"/>
        </w:rPr>
        <w:t xml:space="preserve">udofin_re_v1</w:t>
      </w:r>
      <w:r>
        <w:t xml:space="preserve"> </w:t>
      </w:r>
      <w:r>
        <w:t xml:space="preserve">(folders 01–17 of Udofin RA3.2),</w:t>
      </w:r>
      <w:r>
        <w:t xml:space="preserve"> </w:t>
      </w:r>
      <w:r>
        <w:rPr>
          <w:rStyle w:val="VerbatimChar"/>
        </w:rPr>
        <w:t xml:space="preserve">re_audit_pack_v1</w:t>
      </w:r>
      <w:r>
        <w:t xml:space="preserve"> </w:t>
      </w:r>
      <w:r>
        <w:t xml:space="preserve">(Udofin UP3 packs P1–P10),</w:t>
      </w:r>
      <w:r>
        <w:t xml:space="preserve"> </w:t>
      </w:r>
      <w:r>
        <w:rPr>
          <w:rStyle w:val="VerbatimChar"/>
        </w:rPr>
        <w:t xml:space="preserve">udofin_borrower_v1</w:t>
      </w:r>
      <w:r>
        <w:t xml:space="preserve"> </w:t>
      </w:r>
      <w:r>
        <w:t xml:space="preserve">(Udofin UB1). A tenant may rename or split folders through a versioned</w:t>
      </w:r>
      <w:r>
        <w:t xml:space="preserve"> </w:t>
      </w:r>
      <w:r>
        <w:rPr>
          <w:rStyle w:val="VerbatimChar"/>
        </w:rPr>
        <w:t xml:space="preserve">folder_policy</w:t>
      </w:r>
      <w:r>
        <w:t xml:space="preserve">; the canonical path of each dataset stays in the manifest, so relationships never break.</w:t>
      </w:r>
    </w:p>
    <w:p>
      <w:pPr>
        <w:pStyle w:val="BodyText"/>
      </w:pPr>
      <w:r>
        <w:rPr>
          <w:bCs/>
          <w:b/>
        </w:rPr>
        <w:t xml:space="preserve">Naming.</w:t>
      </w:r>
      <w:r>
        <w:t xml:space="preserve"> </w:t>
      </w:r>
      <w:r>
        <w:t xml:space="preserve">Plain English; Windows-safe (no</w:t>
      </w:r>
      <w:r>
        <w:t xml:space="preserve"> </w:t>
      </w:r>
      <w:r>
        <w:rPr>
          <w:rStyle w:val="VerbatimChar"/>
        </w:rPr>
        <w:t xml:space="preserve">\ / : * ? " &lt; &gt; |</w:t>
      </w:r>
      <w:r>
        <w:t xml:space="preserve">, no trailing dot or space); Unicode NFC; full path ≤ 240 characters (longer names shortened with an id suffix); dates ISO 8601;</w:t>
      </w:r>
      <w:r>
        <w:t xml:space="preserve"> </w:t>
      </w:r>
      <w:r>
        <w:rPr>
          <w:bCs/>
          <w:b/>
        </w:rPr>
        <w:t xml:space="preserve">no personal data in any folder or file name</w:t>
      </w:r>
      <w:r>
        <w:t xml:space="preserve"> </w:t>
      </w:r>
      <w:r>
        <w:t xml:space="preserve">(default</w:t>
      </w:r>
      <w:r>
        <w:t xml:space="preserve"> </w:t>
      </w:r>
      <w:r>
        <w:rPr>
          <w:rStyle w:val="VerbatimChar"/>
        </w:rPr>
        <w:t xml:space="preserve">ids_only</w:t>
      </w:r>
      <w:r>
        <w:t xml:space="preserve">;</w:t>
      </w:r>
      <w:r>
        <w:t xml:space="preserve"> </w:t>
      </w:r>
      <w:r>
        <w:rPr>
          <w:rStyle w:val="VerbatimChar"/>
        </w:rPr>
        <w:t xml:space="preserve">id_and_masked_name</w:t>
      </w:r>
      <w:r>
        <w:t xml:space="preserve"> </w:t>
      </w:r>
      <w:r>
        <w:t xml:space="preserve">only for internal archives).</w:t>
      </w:r>
    </w:p>
    <w:p>
      <w:pPr>
        <w:pStyle w:val="BodyText"/>
      </w:pPr>
      <w:r>
        <w:rPr>
          <w:bCs/>
          <w:b/>
        </w:rPr>
        <w:t xml:space="preserve">Formats.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576"/>
        <w:gridCol w:w="2678"/>
        <w:gridCol w:w="5384"/>
      </w:tblGrid>
      <w:tr>
        <w:trPr>
          <w:tblHeader w:val="true"/>
          <w:tblHeader w:val="true"/>
        </w:trPr>
        <w:tc>
          <w:tcPr>
            <w:tcW w:w="1576" w:type="dxa"/>
            <w:shd w:val="clear" w:color="auto" w:fill="1F3A5F"/>
          </w:tcPr>
          <w:p>
            <w:pPr>
              <w:pStyle w:val="Compact"/>
              <w:spacing w:after="40"/>
              <w:jc w:val="left"/>
            </w:pPr>
            <w:r>
              <w:rPr>
                <w:b/>
                <w:color w:val="FFFFFF"/>
                <w:sz w:val="18"/>
              </w:rPr>
              <w:t xml:space="preserve">Content</w:t>
            </w:r>
          </w:p>
        </w:tc>
        <w:tc>
          <w:tcPr>
            <w:tcW w:w="2678" w:type="dxa"/>
            <w:shd w:val="clear" w:color="auto" w:fill="1F3A5F"/>
          </w:tcPr>
          <w:p>
            <w:pPr>
              <w:pStyle w:val="Compact"/>
              <w:spacing w:after="40"/>
              <w:jc w:val="left"/>
            </w:pPr>
            <w:r>
              <w:rPr>
                <w:b/>
                <w:color w:val="FFFFFF"/>
                <w:sz w:val="18"/>
              </w:rPr>
              <w:t xml:space="preserve">Files</w:t>
            </w:r>
          </w:p>
        </w:tc>
        <w:tc>
          <w:tcPr>
            <w:tcW w:w="5384" w:type="dxa"/>
            <w:shd w:val="clear" w:color="auto" w:fill="1F3A5F"/>
          </w:tcPr>
          <w:p>
            <w:pPr>
              <w:pStyle w:val="Compact"/>
              <w:spacing w:after="40"/>
              <w:jc w:val="left"/>
            </w:pPr>
            <w:r>
              <w:rPr>
                <w:b/>
                <w:color w:val="FFFFFF"/>
                <w:sz w:val="18"/>
              </w:rPr>
              <w:t xml:space="preserve">Rules</w:t>
            </w:r>
          </w:p>
        </w:tc>
      </w:tr>
      <w:tr>
        <w:tc>
          <w:tcPr>
            <w:tcW w:w="1576" w:type="dxa"/>
          </w:tcPr>
          <w:p>
            <w:pPr>
              <w:pStyle w:val="Compact"/>
              <w:spacing w:after="40"/>
              <w:jc w:val="left"/>
            </w:pPr>
            <w:r>
              <w:rPr>
                <w:sz w:val="18"/>
              </w:rPr>
              <w:t xml:space="preserve">Each dataset</w:t>
            </w:r>
          </w:p>
        </w:tc>
        <w:tc>
          <w:tcPr>
            <w:tcW w:w="2678" w:type="dxa"/>
          </w:tcPr>
          <w:p>
            <w:pPr>
              <w:pStyle w:val="Compact"/>
              <w:spacing w:after="40"/>
              <w:jc w:val="left"/>
            </w:pPr>
            <w:r>
              <w:rPr>
                <w:rStyle w:val="VerbatimChar"/>
                <w:sz w:val="18"/>
              </w:rPr>
              <w:t xml:space="preserve">[dataset].csv</w:t>
            </w:r>
            <w:r>
              <w:rPr>
                <w:sz w:val="18"/>
              </w:rPr>
              <w:t xml:space="preserve">,</w:t>
            </w:r>
            <w:r>
              <w:rPr>
                <w:sz w:val="18"/>
              </w:rPr>
              <w:t xml:space="preserve"> </w:t>
            </w:r>
            <w:r>
              <w:rPr>
                <w:rStyle w:val="VerbatimChar"/>
                <w:sz w:val="18"/>
              </w:rPr>
              <w:t xml:space="preserve">[dataset].xlsx</w:t>
            </w:r>
            <w:r>
              <w:rPr>
                <w:sz w:val="18"/>
              </w:rPr>
              <w:t xml:space="preserve">,</w:t>
            </w:r>
            <w:r>
              <w:rPr>
                <w:sz w:val="18"/>
              </w:rPr>
              <w:t xml:space="preserve"> </w:t>
            </w:r>
            <w:r>
              <w:rPr>
                <w:rStyle w:val="VerbatimChar"/>
                <w:sz w:val="18"/>
              </w:rPr>
              <w:t xml:space="preserve">[dataset].schema.json</w:t>
            </w:r>
            <w:r>
              <w:rPr>
                <w:sz w:val="18"/>
              </w:rPr>
              <w:t xml:space="preserve">; optional</w:t>
            </w:r>
            <w:r>
              <w:rPr>
                <w:sz w:val="18"/>
              </w:rPr>
              <w:t xml:space="preserve"> </w:t>
            </w:r>
            <w:r>
              <w:rPr>
                <w:rStyle w:val="VerbatimChar"/>
                <w:sz w:val="18"/>
              </w:rPr>
              <w:t xml:space="preserve">[dataset].jsonl</w:t>
            </w:r>
          </w:p>
        </w:tc>
        <w:tc>
          <w:tcPr>
            <w:tcW w:w="5384" w:type="dxa"/>
          </w:tcPr>
          <w:p>
            <w:pPr>
              <w:pStyle w:val="Compact"/>
              <w:spacing w:after="40"/>
              <w:jc w:val="left"/>
            </w:pPr>
            <w:r>
              <w:rPr>
                <w:sz w:val="18"/>
              </w:rPr>
              <w:t xml:space="preserve">CSV per RFC 4180, UTF-8 with BOM, ISO 8601 dates with time zone, amounts as fixed 2-decimal strings with a</w:t>
            </w:r>
            <w:r>
              <w:rPr>
                <w:sz w:val="18"/>
              </w:rPr>
              <w:t xml:space="preserve"> </w:t>
            </w:r>
            <w:r>
              <w:rPr>
                <w:rStyle w:val="VerbatimChar"/>
                <w:sz w:val="18"/>
              </w:rPr>
              <w:t xml:space="preserve">currency</w:t>
            </w:r>
            <w:r>
              <w:rPr>
                <w:sz w:val="18"/>
              </w:rPr>
              <w:t xml:space="preserve"> </w:t>
            </w:r>
            <w:r>
              <w:rPr>
                <w:sz w:val="18"/>
              </w:rPr>
              <w:t xml:space="preserve">column, no thousands separators, code plus label columns; XLSX with a</w:t>
            </w:r>
            <w:r>
              <w:rPr>
                <w:sz w:val="18"/>
              </w:rPr>
              <w:t xml:space="preserve"> </w:t>
            </w:r>
            <w:r>
              <w:rPr>
                <w:sz w:val="18"/>
              </w:rPr>
              <w:t xml:space="preserve">“</w:t>
            </w:r>
            <w:r>
              <w:rPr>
                <w:sz w:val="18"/>
              </w:rPr>
              <w:t xml:space="preserve">Read me</w:t>
            </w:r>
            <w:r>
              <w:rPr>
                <w:sz w:val="18"/>
              </w:rPr>
              <w:t xml:space="preserve">”</w:t>
            </w:r>
            <w:r>
              <w:rPr>
                <w:sz w:val="18"/>
              </w:rPr>
              <w:t xml:space="preserve"> </w:t>
            </w:r>
            <w:r>
              <w:rPr>
                <w:sz w:val="18"/>
              </w:rPr>
              <w:t xml:space="preserve">sheet, frozen header, dictionary text as column comments, typed cells, leading zeros preserved, split at 1,000,000 rows</w:t>
            </w:r>
          </w:p>
        </w:tc>
      </w:tr>
      <w:tr>
        <w:tc>
          <w:tcPr>
            <w:tcW w:w="1576" w:type="dxa"/>
          </w:tcPr>
          <w:p>
            <w:pPr>
              <w:pStyle w:val="Compact"/>
              <w:spacing w:after="40"/>
              <w:jc w:val="left"/>
            </w:pPr>
            <w:r>
              <w:rPr>
                <w:sz w:val="18"/>
              </w:rPr>
              <w:t xml:space="preserve">Original documents</w:t>
            </w:r>
          </w:p>
        </w:tc>
        <w:tc>
          <w:tcPr>
            <w:tcW w:w="2678" w:type="dxa"/>
          </w:tcPr>
          <w:p>
            <w:pPr>
              <w:pStyle w:val="Compact"/>
              <w:spacing w:after="40"/>
              <w:jc w:val="left"/>
            </w:pPr>
            <w:r>
              <w:rPr>
                <w:sz w:val="18"/>
              </w:rPr>
              <w:t xml:space="preserve">As stored</w:t>
            </w:r>
          </w:p>
        </w:tc>
        <w:tc>
          <w:tcPr>
            <w:tcW w:w="5384" w:type="dxa"/>
          </w:tcPr>
          <w:p>
            <w:pPr>
              <w:pStyle w:val="Compact"/>
              <w:spacing w:after="40"/>
              <w:jc w:val="left"/>
            </w:pPr>
            <w:r>
              <w:rPr>
                <w:sz w:val="18"/>
              </w:rPr>
              <w:t xml:space="preserve">Bytes unchanged; SHA-256 equals the producer’s document hash; signature evidence alongside</w:t>
            </w:r>
          </w:p>
        </w:tc>
      </w:tr>
      <w:tr>
        <w:tc>
          <w:tcPr>
            <w:tcW w:w="1576" w:type="dxa"/>
          </w:tcPr>
          <w:p>
            <w:pPr>
              <w:pStyle w:val="Compact"/>
              <w:spacing w:after="40"/>
              <w:jc w:val="left"/>
            </w:pPr>
            <w:r>
              <w:rPr>
                <w:sz w:val="18"/>
              </w:rPr>
              <w:t xml:space="preserve">Narrative renditions</w:t>
            </w:r>
          </w:p>
        </w:tc>
        <w:tc>
          <w:tcPr>
            <w:tcW w:w="2678" w:type="dxa"/>
          </w:tcPr>
          <w:p>
            <w:pPr>
              <w:pStyle w:val="Compact"/>
              <w:spacing w:after="40"/>
              <w:jc w:val="left"/>
            </w:pPr>
            <w:r>
              <w:rPr>
                <w:sz w:val="18"/>
              </w:rPr>
              <w:t xml:space="preserve">PDF/A-2b plus DOCX</w:t>
            </w:r>
          </w:p>
        </w:tc>
        <w:tc>
          <w:tcPr>
            <w:tcW w:w="5384" w:type="dxa"/>
          </w:tcPr>
          <w:p>
            <w:pPr>
              <w:pStyle w:val="Compact"/>
              <w:spacing w:after="40"/>
              <w:jc w:val="left"/>
            </w:pPr>
            <w:r>
              <w:rPr>
                <w:sz w:val="18"/>
              </w:rPr>
              <w:t xml:space="preserve">XMP carries</w:t>
            </w:r>
            <w:r>
              <w:rPr>
                <w:sz w:val="18"/>
              </w:rPr>
              <w:t xml:space="preserve"> </w:t>
            </w:r>
            <w:r>
              <w:rPr>
                <w:rStyle w:val="VerbatimChar"/>
                <w:sz w:val="18"/>
              </w:rPr>
              <w:t xml:space="preserve">document_id</w:t>
            </w:r>
            <w:r>
              <w:rPr>
                <w:sz w:val="18"/>
              </w:rPr>
              <w:t xml:space="preserve"> </w:t>
            </w:r>
            <w:r>
              <w:rPr>
                <w:sz w:val="18"/>
              </w:rPr>
              <w:t xml:space="preserve">and source hash</w:t>
            </w:r>
          </w:p>
        </w:tc>
      </w:tr>
      <w:tr>
        <w:tc>
          <w:tcPr>
            <w:tcW w:w="1576" w:type="dxa"/>
          </w:tcPr>
          <w:p>
            <w:pPr>
              <w:pStyle w:val="Compact"/>
              <w:spacing w:after="40"/>
              <w:jc w:val="left"/>
            </w:pPr>
            <w:r>
              <w:rPr>
                <w:sz w:val="18"/>
              </w:rPr>
              <w:t xml:space="preserve">Tabular reports</w:t>
            </w:r>
          </w:p>
        </w:tc>
        <w:tc>
          <w:tcPr>
            <w:tcW w:w="2678" w:type="dxa"/>
          </w:tcPr>
          <w:p>
            <w:pPr>
              <w:pStyle w:val="Compact"/>
              <w:spacing w:after="40"/>
              <w:jc w:val="left"/>
            </w:pPr>
            <w:r>
              <w:rPr>
                <w:sz w:val="18"/>
              </w:rPr>
              <w:t xml:space="preserve">XLSX (and PDF/A where signed)</w:t>
            </w:r>
          </w:p>
        </w:tc>
        <w:tc>
          <w:tcPr>
            <w:tcW w:w="5384" w:type="dxa"/>
          </w:tcPr>
          <w:p>
            <w:pPr>
              <w:pStyle w:val="Compact"/>
              <w:spacing w:after="40"/>
              <w:jc w:val="left"/>
            </w:pPr>
            <w:r>
              <w:rPr>
                <w:sz w:val="18"/>
              </w:rPr>
              <w:t xml:space="preserve">Same typing rules as datasets</w:t>
            </w:r>
          </w:p>
        </w:tc>
      </w:tr>
      <w:tr>
        <w:tc>
          <w:tcPr>
            <w:tcW w:w="1576" w:type="dxa"/>
          </w:tcPr>
          <w:p>
            <w:pPr>
              <w:pStyle w:val="Compact"/>
              <w:spacing w:after="40"/>
              <w:jc w:val="left"/>
            </w:pPr>
            <w:r>
              <w:rPr>
                <w:sz w:val="18"/>
              </w:rPr>
              <w:t xml:space="preserve">Regulatory and bureau files</w:t>
            </w:r>
          </w:p>
        </w:tc>
        <w:tc>
          <w:tcPr>
            <w:tcW w:w="2678" w:type="dxa"/>
          </w:tcPr>
          <w:p>
            <w:pPr>
              <w:pStyle w:val="Compact"/>
              <w:spacing w:after="40"/>
              <w:jc w:val="left"/>
            </w:pPr>
            <w:r>
              <w:rPr>
                <w:sz w:val="18"/>
              </w:rPr>
              <w:t xml:space="preserve">Exactly as generated and submitted</w:t>
            </w:r>
          </w:p>
        </w:tc>
        <w:tc>
          <w:tcPr>
            <w:tcW w:w="5384" w:type="dxa"/>
          </w:tcPr>
          <w:p>
            <w:pPr>
              <w:pStyle w:val="Compact"/>
              <w:spacing w:after="40"/>
              <w:jc w:val="left"/>
            </w:pPr>
            <w:r>
              <w:rPr>
                <w:sz w:val="18"/>
              </w:rPr>
              <w:t xml:space="preserve">Byte-identical to the filed file; validation report, sign-off and acknowledgement alongside</w:t>
            </w:r>
          </w:p>
        </w:tc>
      </w:tr>
      <w:tr>
        <w:tc>
          <w:tcPr>
            <w:tcW w:w="1576" w:type="dxa"/>
          </w:tcPr>
          <w:p>
            <w:pPr>
              <w:pStyle w:val="Compact"/>
              <w:spacing w:after="40"/>
              <w:jc w:val="left"/>
            </w:pPr>
            <w:r>
              <w:rPr>
                <w:sz w:val="18"/>
              </w:rPr>
              <w:t xml:space="preserve">Audit trail</w:t>
            </w:r>
          </w:p>
        </w:tc>
        <w:tc>
          <w:tcPr>
            <w:tcW w:w="2678" w:type="dxa"/>
          </w:tcPr>
          <w:p>
            <w:pPr>
              <w:pStyle w:val="Compact"/>
              <w:spacing w:after="40"/>
              <w:jc w:val="left"/>
            </w:pPr>
            <w:r>
              <w:rPr>
                <w:rStyle w:val="VerbatimChar"/>
                <w:sz w:val="18"/>
              </w:rPr>
              <w:t xml:space="preserve">audit-events.jsonl</w:t>
            </w:r>
            <w:r>
              <w:rPr>
                <w:sz w:val="18"/>
              </w:rPr>
              <w:t xml:space="preserve"> </w:t>
            </w:r>
            <w:r>
              <w:rPr>
                <w:sz w:val="18"/>
              </w:rPr>
              <w:t xml:space="preserve">per month plus an XLSX digest</w:t>
            </w:r>
          </w:p>
        </w:tc>
        <w:tc>
          <w:tcPr>
            <w:tcW w:w="5384" w:type="dxa"/>
          </w:tcPr>
          <w:p>
            <w:pPr>
              <w:pStyle w:val="Compact"/>
              <w:spacing w:after="40"/>
              <w:jc w:val="left"/>
            </w:pPr>
            <w:r>
              <w:rPr>
                <w:sz w:val="18"/>
              </w:rPr>
              <w:t xml:space="preserve">Hash chain verifiable offline with daily anchors</w:t>
            </w:r>
          </w:p>
        </w:tc>
      </w:tr>
    </w:tbl>
    <w:p>
      <w:pPr>
        <w:pStyle w:val="BodyText"/>
      </w:pPr>
      <w:r>
        <w:rPr>
          <w:bCs/>
          <w:b/>
        </w:rPr>
        <w:t xml:space="preserve">Manifest</w:t>
      </w:r>
      <w:r>
        <w:t xml:space="preserve"> </w:t>
      </w:r>
      <w:r>
        <w:t xml:space="preserve">(</w:t>
      </w:r>
      <w:r>
        <w:rPr>
          <w:rStyle w:val="VerbatimChar"/>
        </w:rPr>
        <w:t xml:space="preserve">archive_manifest_v1</w:t>
      </w:r>
      <w:r>
        <w:t xml:space="preserve">).</w:t>
      </w:r>
      <w:r>
        <w:t xml:space="preserve"> </w:t>
      </w:r>
      <w:r>
        <w:rPr>
          <w:rStyle w:val="VerbatimChar"/>
        </w:rPr>
        <w:t xml:space="preserve">export-manifest.csv</w:t>
      </w:r>
      <w:r>
        <w:t xml:space="preserve"> </w:t>
      </w:r>
      <w:r>
        <w:t xml:space="preserve">has one row per file:</w:t>
      </w:r>
      <w:r>
        <w:t xml:space="preserve"> </w:t>
      </w:r>
      <w:r>
        <w:rPr>
          <w:rStyle w:val="VerbatimChar"/>
        </w:rPr>
        <w:t xml:space="preserve">path</w:t>
      </w:r>
      <w:r>
        <w:t xml:space="preserve">,</w:t>
      </w:r>
      <w:r>
        <w:t xml:space="preserve"> </w:t>
      </w:r>
      <w:r>
        <w:rPr>
          <w:rStyle w:val="VerbatimChar"/>
        </w:rPr>
        <w:t xml:space="preserve">sha256</w:t>
      </w:r>
      <w:r>
        <w:t xml:space="preserve">,</w:t>
      </w:r>
      <w:r>
        <w:t xml:space="preserve"> </w:t>
      </w:r>
      <w:r>
        <w:rPr>
          <w:rStyle w:val="VerbatimChar"/>
        </w:rPr>
        <w:t xml:space="preserve">bytes</w:t>
      </w:r>
      <w:r>
        <w:t xml:space="preserve">,</w:t>
      </w:r>
      <w:r>
        <w:t xml:space="preserve"> </w:t>
      </w:r>
      <w:r>
        <w:rPr>
          <w:rStyle w:val="VerbatimChar"/>
        </w:rPr>
        <w:t xml:space="preserve">media_type</w:t>
      </w:r>
      <w:r>
        <w:t xml:space="preserve">,</w:t>
      </w:r>
      <w:r>
        <w:t xml:space="preserve"> </w:t>
      </w:r>
      <w:r>
        <w:rPr>
          <w:rStyle w:val="VerbatimChar"/>
        </w:rPr>
        <w:t xml:space="preserve">record_count</w:t>
      </w:r>
      <w:r>
        <w:t xml:space="preserve">,</w:t>
      </w:r>
      <w:r>
        <w:t xml:space="preserve"> </w:t>
      </w:r>
      <w:r>
        <w:rPr>
          <w:rStyle w:val="VerbatimChar"/>
        </w:rPr>
        <w:t xml:space="preserve">legal_entity</w:t>
      </w:r>
      <w:r>
        <w:t xml:space="preserve">,</w:t>
      </w:r>
      <w:r>
        <w:t xml:space="preserve"> </w:t>
      </w:r>
      <w:r>
        <w:rPr>
          <w:rStyle w:val="VerbatimChar"/>
        </w:rPr>
        <w:t xml:space="preserve">dataset</w:t>
      </w:r>
      <w:r>
        <w:t xml:space="preserve">,</w:t>
      </w:r>
      <w:r>
        <w:t xml:space="preserve"> </w:t>
      </w:r>
      <w:r>
        <w:rPr>
          <w:rStyle w:val="VerbatimChar"/>
        </w:rPr>
        <w:t xml:space="preserve">schema_version</w:t>
      </w:r>
      <w:r>
        <w:t xml:space="preserve">,</w:t>
      </w:r>
      <w:r>
        <w:t xml:space="preserve"> </w:t>
      </w:r>
      <w:r>
        <w:rPr>
          <w:rStyle w:val="VerbatimChar"/>
        </w:rPr>
        <w:t xml:space="preserve">as_of</w:t>
      </w:r>
      <w:r>
        <w:t xml:space="preserve">,</w:t>
      </w:r>
      <w:r>
        <w:t xml:space="preserve"> </w:t>
      </w:r>
      <w:r>
        <w:rPr>
          <w:rStyle w:val="VerbatimChar"/>
        </w:rPr>
        <w:t xml:space="preserve">created_at</w:t>
      </w:r>
      <w:r>
        <w:t xml:space="preserve">,</w:t>
      </w:r>
      <w:r>
        <w:t xml:space="preserve"> </w:t>
      </w:r>
      <w:r>
        <w:rPr>
          <w:rStyle w:val="VerbatimChar"/>
        </w:rPr>
        <w:t xml:space="preserve">source_ids</w:t>
      </w:r>
      <w:r>
        <w:t xml:space="preserve">,</w:t>
      </w:r>
      <w:r>
        <w:t xml:space="preserve"> </w:t>
      </w:r>
      <w:r>
        <w:rPr>
          <w:rStyle w:val="VerbatimChar"/>
        </w:rPr>
        <w:t xml:space="preserve">restricted</w:t>
      </w:r>
      <w:r>
        <w:t xml:space="preserve"> </w:t>
      </w:r>
      <w:r>
        <w:t xml:space="preserve">(Y or N),</w:t>
      </w:r>
      <w:r>
        <w:t xml:space="preserve"> </w:t>
      </w:r>
      <w:r>
        <w:rPr>
          <w:rStyle w:val="VerbatimChar"/>
        </w:rPr>
        <w:t xml:space="preserve">retention_class</w:t>
      </w:r>
      <w:r>
        <w:t xml:space="preserve">,</w:t>
      </w:r>
      <w:r>
        <w:t xml:space="preserve"> </w:t>
      </w:r>
      <w:r>
        <w:rPr>
          <w:rStyle w:val="VerbatimChar"/>
        </w:rPr>
        <w:t xml:space="preserve">legal_hold</w:t>
      </w:r>
      <w:r>
        <w:t xml:space="preserve"> </w:t>
      </w:r>
      <w:r>
        <w:t xml:space="preserve">(Y or N),</w:t>
      </w:r>
      <w:r>
        <w:t xml:space="preserve"> </w:t>
      </w:r>
      <w:r>
        <w:rPr>
          <w:rStyle w:val="VerbatimChar"/>
        </w:rPr>
        <w:t xml:space="preserve">upsi</w:t>
      </w:r>
      <w:r>
        <w:t xml:space="preserve"> </w:t>
      </w:r>
      <w:r>
        <w:t xml:space="preserve">(Y or N).</w:t>
      </w:r>
      <w:r>
        <w:t xml:space="preserve"> </w:t>
      </w:r>
      <w:r>
        <w:rPr>
          <w:rStyle w:val="VerbatimChar"/>
        </w:rPr>
        <w:t xml:space="preserve">manifest.json</w:t>
      </w:r>
      <w:r>
        <w:t xml:space="preserve"> </w:t>
      </w:r>
      <w:r>
        <w:t xml:space="preserve">repeats the rows and adds</w:t>
      </w:r>
      <w:r>
        <w:t xml:space="preserve"> </w:t>
      </w:r>
      <w:r>
        <w:rPr>
          <w:rStyle w:val="VerbatimChar"/>
        </w:rPr>
        <w:t xml:space="preserve">archive_id</w:t>
      </w:r>
      <w:r>
        <w:t xml:space="preserve"> </w:t>
      </w:r>
      <w:r>
        <w:t xml:space="preserve">(ULID),</w:t>
      </w:r>
      <w:r>
        <w:t xml:space="preserve"> </w:t>
      </w:r>
      <w:r>
        <w:rPr>
          <w:rStyle w:val="VerbatimChar"/>
        </w:rPr>
        <w:t xml:space="preserve">archive_standard_version</w:t>
      </w:r>
      <w:r>
        <w:t xml:space="preserve">,</w:t>
      </w:r>
      <w:r>
        <w:t xml:space="preserve"> </w:t>
      </w:r>
      <w:r>
        <w:rPr>
          <w:rStyle w:val="VerbatimChar"/>
        </w:rPr>
        <w:t xml:space="preserve">folder_profile</w:t>
      </w:r>
      <w:r>
        <w:t xml:space="preserve">, producer product and release, tenant and</w:t>
      </w:r>
      <w:r>
        <w:t xml:space="preserve"> </w:t>
      </w:r>
      <w:r>
        <w:rPr>
          <w:rStyle w:val="VerbatimChar"/>
        </w:rPr>
        <w:t xml:space="preserve">reid</w:t>
      </w:r>
      <w:r>
        <w:t xml:space="preserve">, scope definition, requester and approvers,</w:t>
      </w:r>
      <w:r>
        <w:t xml:space="preserve"> </w:t>
      </w:r>
      <w:r>
        <w:rPr>
          <w:rStyle w:val="VerbatimChar"/>
        </w:rPr>
        <w:t xml:space="preserve">as_of</w:t>
      </w:r>
      <w:r>
        <w:t xml:space="preserve"> </w:t>
      </w:r>
      <w:r>
        <w:t xml:space="preserve">instant,</w:t>
      </w:r>
      <w:r>
        <w:t xml:space="preserve"> </w:t>
      </w:r>
      <w:r>
        <w:rPr>
          <w:rStyle w:val="VerbatimChar"/>
        </w:rPr>
        <w:t xml:space="preserve">control_totals</w:t>
      </w:r>
      <w:r>
        <w:t xml:space="preserve"> </w:t>
      </w:r>
      <w:r>
        <w:t xml:space="preserve">(per legal entity: customers or members, applications, loans by status, principal outstanding, interest receivable, trial-balance totals, document count and bytes, audit-event count and last chain anchor, as relevant to the profile),</w:t>
      </w:r>
      <w:r>
        <w:t xml:space="preserve"> </w:t>
      </w:r>
      <w:r>
        <w:rPr>
          <w:rStyle w:val="VerbatimChar"/>
        </w:rPr>
        <w:t xml:space="preserve">predecessor_archive_id</w:t>
      </w:r>
      <w:r>
        <w:t xml:space="preserve"> </w:t>
      </w:r>
      <w:r>
        <w:t xml:space="preserve">for incremental chains, a pack-level SHA-256 over the sorted file list and the signing key id.</w:t>
      </w:r>
      <w:r>
        <w:t xml:space="preserve"> </w:t>
      </w:r>
      <w:r>
        <w:rPr>
          <w:rStyle w:val="VerbatimChar"/>
        </w:rPr>
        <w:t xml:space="preserve">manifest.json.jws</w:t>
      </w:r>
      <w:r>
        <w:t xml:space="preserve"> </w:t>
      </w:r>
      <w:r>
        <w:t xml:space="preserve">is a detached JWS (RFC 7515, 7797) with the tenant’s export-signing key; the public key and fingerprint are printed in the README.</w:t>
      </w:r>
    </w:p>
    <w:p>
      <w:pPr>
        <w:pStyle w:val="BodyText"/>
      </w:pPr>
      <w:r>
        <w:rPr>
          <w:bCs/>
          <w:b/>
        </w:rPr>
        <w:t xml:space="preserve">Checksums and control totals.</w:t>
      </w:r>
      <w:r>
        <w:t xml:space="preserve"> </w:t>
      </w:r>
      <w:r>
        <w:t xml:space="preserve">SHA-256 for every file; the job reconciles control totals to the live system at the snapshot instant before signing, and any difference fails the job. The verifier checks hashes, the signature, control totals, chain links and CSV schema conformance offline.</w:t>
      </w:r>
    </w:p>
    <w:p>
      <w:pPr>
        <w:pStyle w:val="BodyText"/>
      </w:pPr>
      <w:r>
        <w:rPr>
          <w:bCs/>
          <w:b/>
        </w:rPr>
        <w:t xml:space="preserve">README</w:t>
      </w:r>
      <w:r>
        <w:t xml:space="preserve"> </w:t>
      </w:r>
      <w:r>
        <w:t xml:space="preserve">(PDF, DOCX and TXT; English, Hindi optional): purpose and scope; as-of time and time zone; requester and approvers; folder guide; how to open CSV files without losing leading zeros; how to verify checksums (</w:t>
      </w:r>
      <w:r>
        <w:rPr>
          <w:rStyle w:val="VerbatimChar"/>
        </w:rPr>
        <w:t xml:space="preserve">sha256sum -c</w:t>
      </w:r>
      <w:r>
        <w:t xml:space="preserve">,</w:t>
      </w:r>
      <w:r>
        <w:t xml:space="preserve"> </w:t>
      </w:r>
      <w:r>
        <w:rPr>
          <w:rStyle w:val="VerbatimChar"/>
        </w:rPr>
        <w:t xml:space="preserve">Get-FileHash</w:t>
      </w:r>
      <w:r>
        <w:t xml:space="preserve">,</w:t>
      </w:r>
      <w:r>
        <w:t xml:space="preserve"> </w:t>
      </w:r>
      <w:r>
        <w:rPr>
          <w:rStyle w:val="VerbatimChar"/>
        </w:rPr>
        <w:t xml:space="preserve">CertUtil -hashfile</w:t>
      </w:r>
      <w:r>
        <w:t xml:space="preserve">) and the signature; how to join tables; glossary; restricted-folder handling; retention and legal-hold notes; contacts. A test checks that every folder the README names exists and every top-level folder is named.</w:t>
      </w:r>
    </w:p>
    <w:p>
      <w:pPr>
        <w:pStyle w:val="BodyText"/>
      </w:pPr>
      <w:r>
        <w:rPr>
          <w:bCs/>
          <w:b/>
        </w:rPr>
        <w:t xml:space="preserve">Restricted folders.</w:t>
      </w:r>
      <w:r>
        <w:t xml:space="preserve"> </w:t>
      </w:r>
      <w:r>
        <w:t xml:space="preserve">HR and payroll (Finbyx folder 10), privileged legal material (Finbyx folder 12</w:t>
      </w:r>
      <w:r>
        <w:t xml:space="preserve"> </w:t>
      </w:r>
      <w:r>
        <w:rPr>
          <w:rStyle w:val="VerbatimChar"/>
        </w:rPr>
        <w:t xml:space="preserve">Restricted</w:t>
      </w:r>
      <w:r>
        <w:t xml:space="preserve">) and Udofin collections and recovery (Udofin folder 12) are separate AES-256 encrypted ZIP archives, each with its own manifest; included only for a requester holding</w:t>
      </w:r>
      <w:r>
        <w:t xml:space="preserve"> </w:t>
      </w:r>
      <w:r>
        <w:rPr>
          <w:rStyle w:val="VerbatimChar"/>
        </w:rPr>
        <w:t xml:space="preserve">export.restricted.[class]</w:t>
      </w:r>
      <w:r>
        <w:t xml:space="preserve"> </w:t>
      </w:r>
      <w:r>
        <w:t xml:space="preserve">and approved by a second approver (HR head or General Counsel, plus the DPO); the password is generated per archive, delivered out of band to the named recipient and never stored with the archive. UPSI-flagged records create structured digital database entries for the recipient (Finbyx GV4). Aadhaar numbers and card data are never exported.</w:t>
      </w:r>
    </w:p>
    <w:p>
      <w:pPr>
        <w:pStyle w:val="BodyText"/>
      </w:pPr>
      <w:r>
        <w:rPr>
          <w:bCs/>
          <w:b/>
        </w:rPr>
        <w:t xml:space="preserve">Quality gates.</w:t>
      </w:r>
      <w:r>
        <w:t xml:space="preserve"> </w:t>
      </w:r>
      <w:r>
        <w:t xml:space="preserve">CI renders every Office and PDF output headless (LibreOffice) and validates PDF/A (veraPDF); a rendering failure blocks the release. Wellness add-on data, insurance data and another RE’s data can never enter an RE archive (content scan).</w:t>
      </w:r>
    </w:p>
    <w:bookmarkEnd w:id="108"/>
    <w:bookmarkStart w:id="109" w:name="X05154b7d664064a5b4cab5ebb9cd566acfb0e51"/>
    <w:p>
      <w:pPr>
        <w:pStyle w:val="Heading2"/>
      </w:pPr>
      <w:r>
        <w:t xml:space="preserve">12.2 Customer-controlled storage connector contract</w:t>
      </w:r>
    </w:p>
    <w:p>
      <w:pPr>
        <w:pStyle w:val="FirstParagraph"/>
      </w:pPr>
      <w:r>
        <w:t xml:space="preserve">Every storage connector implements the connector SPI (10.1) as</w:t>
      </w:r>
      <w:r>
        <w:t xml:space="preserve"> </w:t>
      </w:r>
      <w:r>
        <w:rPr>
          <w:rStyle w:val="VerbatimChar"/>
        </w:rPr>
        <w:t xml:space="preserve">StorageTarget</w:t>
      </w:r>
      <w:r>
        <w:t xml:space="preserve"> </w:t>
      </w:r>
      <w:r>
        <w:t xml:space="preserve">and passes certification (14.3) before production use. Used by Finbyx DP3–DP4, Udofin RA3.4–RA3.5 (one target per deal) and tenant exit.</w:t>
      </w:r>
    </w:p>
    <w:p>
      <w:pPr>
        <w:pStyle w:val="SourceCode"/>
      </w:pPr>
      <w:r>
        <w:rPr>
          <w:rStyle w:val="KeywordTok"/>
        </w:rPr>
        <w:t xml:space="preserve">interface</w:t>
      </w:r>
      <w:r>
        <w:rPr>
          <w:rStyle w:val="NormalTok"/>
        </w:rPr>
        <w:t xml:space="preserve"> StorageTarget </w:t>
      </w:r>
      <w:r>
        <w:rPr>
          <w:rStyle w:val="KeywordTok"/>
        </w:rPr>
        <w:t xml:space="preserve">extends</w:t>
      </w:r>
      <w:r>
        <w:rPr>
          <w:rStyle w:val="NormalTok"/>
        </w:rPr>
        <w:t xml:space="preserve"> Connector {</w:t>
      </w:r>
      <w:r>
        <w:br/>
      </w:r>
      <w:r>
        <w:rPr>
          <w:rStyle w:val="NormalTok"/>
        </w:rPr>
        <w:t xml:space="preserve">  </w:t>
      </w:r>
      <w:r>
        <w:rPr>
          <w:rStyle w:val="FunctionTok"/>
        </w:rPr>
        <w:t xml:space="preserve">describe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TargetDescription</w:t>
      </w:r>
      <w:r>
        <w:rPr>
          <w:rStyle w:val="OperatorTok"/>
        </w:rPr>
        <w:t xml:space="preserve">&gt;;</w:t>
      </w:r>
      <w:r>
        <w:rPr>
          <w:rStyle w:val="NormalTok"/>
        </w:rPr>
        <w:t xml:space="preserve">          </w:t>
      </w:r>
      <w:r>
        <w:rPr>
          <w:rStyle w:val="CommentTok"/>
        </w:rPr>
        <w:t xml:space="preserve">// provider, region, encryption, key mode, immutability, data classes allowed</w:t>
      </w:r>
      <w:r>
        <w:br/>
      </w:r>
      <w:r>
        <w:rPr>
          <w:rStyle w:val="NormalTok"/>
        </w:rPr>
        <w:t xml:space="preserve">  </w:t>
      </w:r>
      <w:r>
        <w:rPr>
          <w:rStyle w:val="FunctionTok"/>
        </w:rPr>
        <w:t xml:space="preserve">verifyResidency</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ResidencyResult</w:t>
      </w:r>
      <w:r>
        <w:rPr>
          <w:rStyle w:val="OperatorTok"/>
        </w:rPr>
        <w:t xml:space="preserve">&gt;;</w:t>
      </w:r>
      <w:r>
        <w:rPr>
          <w:rStyle w:val="NormalTok"/>
        </w:rPr>
        <w:t xml:space="preserve">     </w:t>
      </w:r>
      <w:r>
        <w:rPr>
          <w:rStyle w:val="CommentTok"/>
        </w:rPr>
        <w:t xml:space="preserve">// reads provider region metadata or a signed tenant attestation</w:t>
      </w:r>
      <w:r>
        <w:br/>
      </w:r>
      <w:r>
        <w:rPr>
          <w:rStyle w:val="NormalTok"/>
        </w:rPr>
        <w:t xml:space="preserve">  </w:t>
      </w:r>
      <w:r>
        <w:rPr>
          <w:rStyle w:val="FunctionTok"/>
        </w:rPr>
        <w:t xml:space="preserve">testWrite</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CanaryResult</w:t>
      </w:r>
      <w:r>
        <w:rPr>
          <w:rStyle w:val="OperatorTok"/>
        </w:rPr>
        <w:t xml:space="preserve">&gt;;</w:t>
      </w:r>
      <w:r>
        <w:rPr>
          <w:rStyle w:val="NormalTok"/>
        </w:rPr>
        <w:t xml:space="preserve">              </w:t>
      </w:r>
      <w:r>
        <w:rPr>
          <w:rStyle w:val="CommentTok"/>
        </w:rPr>
        <w:t xml:space="preserve">// write, read back, compare SHA-256, delete canary where permitted</w:t>
      </w:r>
      <w:r>
        <w:br/>
      </w:r>
      <w:r>
        <w:rPr>
          <w:rStyle w:val="NormalTok"/>
        </w:rPr>
        <w:t xml:space="preserve">  </w:t>
      </w:r>
      <w:r>
        <w:rPr>
          <w:rStyle w:val="FunctionTok"/>
        </w:rPr>
        <w:t xml:space="preserve">put</w:t>
      </w:r>
      <w:r>
        <w:rPr>
          <w:rStyle w:val="NormalTok"/>
        </w:rPr>
        <w:t xml:space="preserve">(stream</w:t>
      </w:r>
      <w:r>
        <w:rPr>
          <w:rStyle w:val="OperatorTok"/>
        </w:rPr>
        <w:t xml:space="preserve">:</w:t>
      </w:r>
      <w:r>
        <w:rPr>
          <w:rStyle w:val="NormalTok"/>
        </w:rPr>
        <w:t xml:space="preserve"> Readable</w:t>
      </w:r>
      <w:r>
        <w:rPr>
          <w:rStyle w:val="OperatorTok"/>
        </w:rPr>
        <w:t xml:space="preserve">,</w:t>
      </w:r>
      <w:r>
        <w:rPr>
          <w:rStyle w:val="NormalTok"/>
        </w:rPr>
        <w:t xml:space="preserve"> path</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sha256</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opts</w:t>
      </w:r>
      <w:r>
        <w:rPr>
          <w:rStyle w:val="OperatorTok"/>
        </w:rPr>
        <w:t xml:space="preserve">:</w:t>
      </w:r>
      <w:r>
        <w:rPr>
          <w:rStyle w:val="NormalTok"/>
        </w:rPr>
        <w:t xml:space="preserve"> PutOptions)</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PutResult</w:t>
      </w:r>
      <w:r>
        <w:rPr>
          <w:rStyle w:val="OperatorTok"/>
        </w:rPr>
        <w:t xml:space="preserve">&gt;;</w:t>
      </w:r>
      <w:r>
        <w:rPr>
          <w:rStyle w:val="NormalTok"/>
        </w:rPr>
        <w:t xml:space="preserve"> </w:t>
      </w:r>
      <w:r>
        <w:rPr>
          <w:rStyle w:val="CommentTok"/>
        </w:rPr>
        <w:t xml:space="preserve">// resumable; opts.writeOnce, opts.retainUntil</w:t>
      </w:r>
      <w:r>
        <w:br/>
      </w:r>
      <w:r>
        <w:rPr>
          <w:rStyle w:val="NormalTok"/>
        </w:rPr>
        <w:t xml:space="preserve">  </w:t>
      </w:r>
      <w:r>
        <w:rPr>
          <w:rStyle w:val="FunctionTok"/>
        </w:rPr>
        <w:t xml:space="preserve">head</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ObjectInfo</w:t>
      </w:r>
      <w:r>
        <w:rPr>
          <w:rStyle w:val="OperatorTok"/>
        </w:rPr>
        <w:t xml:space="preserve">&gt;;</w:t>
      </w:r>
      <w:r>
        <w:rPr>
          <w:rStyle w:val="NormalTok"/>
        </w:rPr>
        <w:t xml:space="preserve">         </w:t>
      </w:r>
      <w:r>
        <w:rPr>
          <w:rStyle w:val="CommentTok"/>
        </w:rPr>
        <w:t xml:space="preserve">// size and checksum</w:t>
      </w:r>
      <w:r>
        <w:br/>
      </w:r>
      <w:r>
        <w:rPr>
          <w:rStyle w:val="NormalTok"/>
        </w:rPr>
        <w:t xml:space="preserve">  </w:t>
      </w:r>
      <w:r>
        <w:rPr>
          <w:rStyle w:val="FunctionTok"/>
        </w:rPr>
        <w:t xml:space="preserve">list</w:t>
      </w:r>
      <w:r>
        <w:rPr>
          <w:rStyle w:val="NormalTok"/>
        </w:rPr>
        <w:t xml:space="preserve">(prefix</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ObjectInfo[]</w:t>
      </w:r>
      <w:r>
        <w:rPr>
          <w:rStyle w:val="OperatorTok"/>
        </w:rPr>
        <w:t xml:space="preserve">&gt;;</w:t>
      </w:r>
      <w:r>
        <w:br/>
      </w:r>
      <w:r>
        <w:rPr>
          <w:rStyle w:val="NormalTok"/>
        </w:rPr>
        <w:t xml:space="preserve">  </w:t>
      </w:r>
      <w:r>
        <w:rPr>
          <w:rStyle w:val="FunctionTok"/>
        </w:rPr>
        <w:t xml:space="preserve">retentionInfo</w:t>
      </w:r>
      <w:r>
        <w:rPr>
          <w:rStyle w:val="NormalTok"/>
        </w:rPr>
        <w:t xml:space="preserve">(path</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RetentionInfo</w:t>
      </w:r>
      <w:r>
        <w:rPr>
          <w:rStyle w:val="OperatorTok"/>
        </w:rPr>
        <w:t xml:space="preserve">&gt;;</w:t>
      </w:r>
      <w:r>
        <w:rPr>
          <w:rStyle w:val="NormalTok"/>
        </w:rPr>
        <w:t xml:space="preserve"> </w:t>
      </w:r>
      <w:r>
        <w:rPr>
          <w:rStyle w:val="CommentTok"/>
        </w:rPr>
        <w:t xml:space="preserve">// lock mode, retain-until, legal hold</w:t>
      </w:r>
      <w:r>
        <w:br/>
      </w:r>
      <w:r>
        <w:rPr>
          <w:rStyle w:val="NormalTok"/>
        </w:rPr>
        <w:t xml:space="preserve">  </w:t>
      </w:r>
      <w:r>
        <w:rPr>
          <w:rStyle w:val="FunctionTok"/>
        </w:rPr>
        <w:t xml:space="preserve">healthCheck</w:t>
      </w:r>
      <w:r>
        <w:rPr>
          <w:rStyle w:val="NormalTok"/>
        </w:rPr>
        <w:t xml:space="preserve">(ctx</w:t>
      </w:r>
      <w:r>
        <w:rPr>
          <w:rStyle w:val="OperatorTok"/>
        </w:rPr>
        <w:t xml:space="preserve">:</w:t>
      </w:r>
      <w:r>
        <w:rPr>
          <w:rStyle w:val="NormalTok"/>
        </w:rPr>
        <w:t xml:space="preserve"> TenantContext)</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Health</w:t>
      </w:r>
      <w:r>
        <w:rPr>
          <w:rStyle w:val="OperatorTok"/>
        </w:rPr>
        <w:t xml:space="preserve">&gt;;</w:t>
      </w:r>
      <w:r>
        <w:br/>
      </w:r>
      <w:r>
        <w:rPr>
          <w:rStyle w:val="NormalTok"/>
        </w:rPr>
        <w:t xml:space="preserv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977"/>
        <w:gridCol w:w="2367"/>
        <w:gridCol w:w="3188"/>
        <w:gridCol w:w="2106"/>
      </w:tblGrid>
      <w:tr>
        <w:trPr>
          <w:tblHeader w:val="true"/>
          <w:tblHeader w:val="true"/>
        </w:trPr>
        <w:tc>
          <w:tcPr>
            <w:tcW w:w="1977" w:type="dxa"/>
            <w:shd w:val="clear" w:color="auto" w:fill="1F3A5F"/>
          </w:tcPr>
          <w:p>
            <w:pPr>
              <w:pStyle w:val="Compact"/>
              <w:spacing w:after="40"/>
              <w:jc w:val="left"/>
            </w:pPr>
            <w:r>
              <w:rPr>
                <w:b/>
                <w:color w:val="FFFFFF"/>
                <w:sz w:val="18"/>
              </w:rPr>
              <w:t xml:space="preserve">Provider</w:t>
            </w:r>
          </w:p>
        </w:tc>
        <w:tc>
          <w:tcPr>
            <w:tcW w:w="2367" w:type="dxa"/>
            <w:shd w:val="clear" w:color="auto" w:fill="1F3A5F"/>
          </w:tcPr>
          <w:p>
            <w:pPr>
              <w:pStyle w:val="Compact"/>
              <w:spacing w:after="40"/>
              <w:jc w:val="left"/>
            </w:pPr>
            <w:r>
              <w:rPr>
                <w:b/>
                <w:color w:val="FFFFFF"/>
                <w:sz w:val="18"/>
              </w:rPr>
              <w:t xml:space="preserve">Authentication (no long-lived secrets where federation exists)</w:t>
            </w:r>
          </w:p>
        </w:tc>
        <w:tc>
          <w:tcPr>
            <w:tcW w:w="3188" w:type="dxa"/>
            <w:shd w:val="clear" w:color="auto" w:fill="1F3A5F"/>
          </w:tcPr>
          <w:p>
            <w:pPr>
              <w:pStyle w:val="Compact"/>
              <w:spacing w:after="40"/>
              <w:jc w:val="left"/>
            </w:pPr>
            <w:r>
              <w:rPr>
                <w:b/>
                <w:color w:val="FFFFFF"/>
                <w:sz w:val="18"/>
              </w:rPr>
              <w:t xml:space="preserve">India residency check</w:t>
            </w:r>
          </w:p>
        </w:tc>
        <w:tc>
          <w:tcPr>
            <w:tcW w:w="2106" w:type="dxa"/>
            <w:shd w:val="clear" w:color="auto" w:fill="1F3A5F"/>
          </w:tcPr>
          <w:p>
            <w:pPr>
              <w:pStyle w:val="Compact"/>
              <w:spacing w:after="40"/>
              <w:jc w:val="left"/>
            </w:pPr>
            <w:r>
              <w:rPr>
                <w:b/>
                <w:color w:val="FFFFFF"/>
                <w:sz w:val="18"/>
              </w:rPr>
              <w:t xml:space="preserve">Write-once option</w:t>
            </w:r>
          </w:p>
        </w:tc>
      </w:tr>
      <w:tr>
        <w:tc>
          <w:tcPr>
            <w:tcW w:w="1977" w:type="dxa"/>
          </w:tcPr>
          <w:p>
            <w:pPr>
              <w:pStyle w:val="Compact"/>
              <w:spacing w:after="40"/>
              <w:jc w:val="left"/>
            </w:pPr>
            <w:r>
              <w:rPr>
                <w:sz w:val="18"/>
              </w:rPr>
              <w:t xml:space="preserve">S3-compatible: Amazon S3</w:t>
            </w:r>
          </w:p>
        </w:tc>
        <w:tc>
          <w:tcPr>
            <w:tcW w:w="2367" w:type="dxa"/>
          </w:tcPr>
          <w:p>
            <w:pPr>
              <w:pStyle w:val="Compact"/>
              <w:spacing w:after="40"/>
              <w:jc w:val="left"/>
            </w:pPr>
            <w:r>
              <w:rPr>
                <w:sz w:val="18"/>
              </w:rPr>
              <w:t xml:space="preserve">Cross-account IAM role with</w:t>
            </w:r>
            <w:r>
              <w:rPr>
                <w:sz w:val="18"/>
              </w:rPr>
              <w:t xml:space="preserve"> </w:t>
            </w:r>
            <w:r>
              <w:rPr>
                <w:rStyle w:val="VerbatimChar"/>
                <w:sz w:val="18"/>
              </w:rPr>
              <w:t xml:space="preserve">ExternalId</w:t>
            </w:r>
            <w:r>
              <w:rPr>
                <w:sz w:val="18"/>
              </w:rPr>
              <w:t xml:space="preserve">; bucket policy limited to the product role</w:t>
            </w:r>
          </w:p>
        </w:tc>
        <w:tc>
          <w:tcPr>
            <w:tcW w:w="3188" w:type="dxa"/>
          </w:tcPr>
          <w:p>
            <w:pPr>
              <w:pStyle w:val="Compact"/>
              <w:spacing w:after="40"/>
              <w:jc w:val="left"/>
            </w:pPr>
            <w:r>
              <w:rPr>
                <w:rStyle w:val="VerbatimChar"/>
                <w:sz w:val="18"/>
              </w:rPr>
              <w:t xml:space="preserve">GetBucketLocation</w:t>
            </w:r>
            <w:r>
              <w:rPr>
                <w:sz w:val="18"/>
              </w:rPr>
              <w:t xml:space="preserve"> </w:t>
            </w:r>
            <w:r>
              <w:rPr>
                <w:sz w:val="18"/>
              </w:rPr>
              <w:t xml:space="preserve">returns ap-south-1 or ap-south-2</w:t>
            </w:r>
          </w:p>
        </w:tc>
        <w:tc>
          <w:tcPr>
            <w:tcW w:w="2106" w:type="dxa"/>
          </w:tcPr>
          <w:p>
            <w:pPr>
              <w:pStyle w:val="Compact"/>
              <w:spacing w:after="40"/>
              <w:jc w:val="left"/>
            </w:pPr>
            <w:r>
              <w:rPr>
                <w:sz w:val="18"/>
              </w:rPr>
              <w:t xml:space="preserve">S3 Object Lock (compliance or governance mode)</w:t>
            </w:r>
          </w:p>
        </w:tc>
      </w:tr>
      <w:tr>
        <w:tc>
          <w:tcPr>
            <w:tcW w:w="1977" w:type="dxa"/>
          </w:tcPr>
          <w:p>
            <w:pPr>
              <w:pStyle w:val="Compact"/>
              <w:spacing w:after="40"/>
              <w:jc w:val="left"/>
            </w:pPr>
            <w:r>
              <w:rPr>
                <w:sz w:val="18"/>
              </w:rPr>
              <w:t xml:space="preserve">S3-compatible: other (e.g. MinIO, on-premises object stores)</w:t>
            </w:r>
          </w:p>
        </w:tc>
        <w:tc>
          <w:tcPr>
            <w:tcW w:w="2367" w:type="dxa"/>
          </w:tcPr>
          <w:p>
            <w:pPr>
              <w:pStyle w:val="Compact"/>
              <w:spacing w:after="40"/>
              <w:jc w:val="left"/>
            </w:pPr>
            <w:r>
              <w:rPr>
                <w:sz w:val="18"/>
              </w:rPr>
              <w:t xml:space="preserve">Access key in the tenant vault, rotated ≤ 90 days, or the on-premises agent</w:t>
            </w:r>
          </w:p>
        </w:tc>
        <w:tc>
          <w:tcPr>
            <w:tcW w:w="3188" w:type="dxa"/>
          </w:tcPr>
          <w:p>
            <w:pPr>
              <w:pStyle w:val="Compact"/>
              <w:spacing w:after="40"/>
              <w:jc w:val="left"/>
            </w:pPr>
            <w:r>
              <w:rPr>
                <w:sz w:val="18"/>
              </w:rPr>
              <w:t xml:space="preserve">Signed tenant attestation of site in India</w:t>
            </w:r>
          </w:p>
        </w:tc>
        <w:tc>
          <w:tcPr>
            <w:tcW w:w="2106" w:type="dxa"/>
          </w:tcPr>
          <w:p>
            <w:pPr>
              <w:pStyle w:val="Compact"/>
              <w:spacing w:after="40"/>
              <w:jc w:val="left"/>
            </w:pPr>
            <w:r>
              <w:rPr>
                <w:sz w:val="18"/>
              </w:rPr>
              <w:t xml:space="preserve">Object lock where the store supports it [VERIFY per product]</w:t>
            </w:r>
          </w:p>
        </w:tc>
      </w:tr>
      <w:tr>
        <w:tc>
          <w:tcPr>
            <w:tcW w:w="1977" w:type="dxa"/>
          </w:tcPr>
          <w:p>
            <w:pPr>
              <w:pStyle w:val="Compact"/>
              <w:spacing w:after="40"/>
              <w:jc w:val="left"/>
            </w:pPr>
            <w:r>
              <w:rPr>
                <w:sz w:val="18"/>
              </w:rPr>
              <w:t xml:space="preserve">Azure Blob</w:t>
            </w:r>
          </w:p>
        </w:tc>
        <w:tc>
          <w:tcPr>
            <w:tcW w:w="2367" w:type="dxa"/>
          </w:tcPr>
          <w:p>
            <w:pPr>
              <w:pStyle w:val="Compact"/>
              <w:spacing w:after="40"/>
              <w:jc w:val="left"/>
            </w:pPr>
            <w:r>
              <w:rPr>
                <w:sz w:val="18"/>
              </w:rPr>
              <w:t xml:space="preserve">Entra workload identity federation or user-delegation SAS valid ≤ 7 days</w:t>
            </w:r>
          </w:p>
        </w:tc>
        <w:tc>
          <w:tcPr>
            <w:tcW w:w="3188" w:type="dxa"/>
          </w:tcPr>
          <w:p>
            <w:pPr>
              <w:pStyle w:val="Compact"/>
              <w:spacing w:after="40"/>
              <w:jc w:val="left"/>
            </w:pPr>
            <w:r>
              <w:rPr>
                <w:sz w:val="18"/>
              </w:rPr>
              <w:t xml:space="preserve">Storage account in Central India, South India or West India</w:t>
            </w:r>
          </w:p>
        </w:tc>
        <w:tc>
          <w:tcPr>
            <w:tcW w:w="2106" w:type="dxa"/>
          </w:tcPr>
          <w:p>
            <w:pPr>
              <w:pStyle w:val="Compact"/>
              <w:spacing w:after="40"/>
              <w:jc w:val="left"/>
            </w:pPr>
            <w:r>
              <w:rPr>
                <w:sz w:val="18"/>
              </w:rPr>
              <w:t xml:space="preserve">Immutability policy (time-based retention, legal hold)</w:t>
            </w:r>
          </w:p>
        </w:tc>
      </w:tr>
      <w:tr>
        <w:tc>
          <w:tcPr>
            <w:tcW w:w="1977" w:type="dxa"/>
          </w:tcPr>
          <w:p>
            <w:pPr>
              <w:pStyle w:val="Compact"/>
              <w:spacing w:after="40"/>
              <w:jc w:val="left"/>
            </w:pPr>
            <w:r>
              <w:rPr>
                <w:sz w:val="18"/>
              </w:rPr>
              <w:t xml:space="preserve">Google Cloud Storage</w:t>
            </w:r>
          </w:p>
        </w:tc>
        <w:tc>
          <w:tcPr>
            <w:tcW w:w="2367" w:type="dxa"/>
          </w:tcPr>
          <w:p>
            <w:pPr>
              <w:pStyle w:val="Compact"/>
              <w:spacing w:after="40"/>
              <w:jc w:val="left"/>
            </w:pPr>
            <w:r>
              <w:rPr>
                <w:sz w:val="18"/>
              </w:rPr>
              <w:t xml:space="preserve">Workload identity federation</w:t>
            </w:r>
          </w:p>
        </w:tc>
        <w:tc>
          <w:tcPr>
            <w:tcW w:w="3188" w:type="dxa"/>
          </w:tcPr>
          <w:p>
            <w:pPr>
              <w:pStyle w:val="Compact"/>
              <w:spacing w:after="40"/>
              <w:jc w:val="left"/>
            </w:pPr>
            <w:r>
              <w:rPr>
                <w:sz w:val="18"/>
              </w:rPr>
              <w:t xml:space="preserve">Bucket in asia-south1 or asia-south2</w:t>
            </w:r>
          </w:p>
        </w:tc>
        <w:tc>
          <w:tcPr>
            <w:tcW w:w="2106" w:type="dxa"/>
          </w:tcPr>
          <w:p>
            <w:pPr>
              <w:pStyle w:val="Compact"/>
              <w:spacing w:after="40"/>
              <w:jc w:val="left"/>
            </w:pPr>
            <w:r>
              <w:rPr>
                <w:sz w:val="18"/>
              </w:rPr>
              <w:t xml:space="preserve">Retention policy with bucket lock</w:t>
            </w:r>
          </w:p>
        </w:tc>
      </w:tr>
      <w:tr>
        <w:tc>
          <w:tcPr>
            <w:tcW w:w="1977" w:type="dxa"/>
          </w:tcPr>
          <w:p>
            <w:pPr>
              <w:pStyle w:val="Compact"/>
              <w:spacing w:after="40"/>
              <w:jc w:val="left"/>
            </w:pPr>
            <w:r>
              <w:rPr>
                <w:sz w:val="18"/>
              </w:rPr>
              <w:t xml:space="preserve">SharePoint and OneDrive (Microsoft Graph)</w:t>
            </w:r>
          </w:p>
        </w:tc>
        <w:tc>
          <w:tcPr>
            <w:tcW w:w="2367" w:type="dxa"/>
          </w:tcPr>
          <w:p>
            <w:pPr>
              <w:pStyle w:val="Compact"/>
              <w:spacing w:after="40"/>
              <w:jc w:val="left"/>
            </w:pPr>
            <w:r>
              <w:rPr>
                <w:sz w:val="18"/>
              </w:rPr>
              <w:t xml:space="preserve">Entra app with</w:t>
            </w:r>
            <w:r>
              <w:rPr>
                <w:sz w:val="18"/>
              </w:rPr>
              <w:t xml:space="preserve"> </w:t>
            </w:r>
            <w:r>
              <w:rPr>
                <w:rStyle w:val="VerbatimChar"/>
                <w:sz w:val="18"/>
              </w:rPr>
              <w:t xml:space="preserve">Sites.Selected</w:t>
            </w:r>
            <w:r>
              <w:rPr>
                <w:sz w:val="18"/>
              </w:rPr>
              <w:t xml:space="preserve"> </w:t>
            </w:r>
            <w:r>
              <w:rPr>
                <w:sz w:val="18"/>
              </w:rPr>
              <w:t xml:space="preserve">for the granted site only</w:t>
            </w:r>
          </w:p>
        </w:tc>
        <w:tc>
          <w:tcPr>
            <w:tcW w:w="3188" w:type="dxa"/>
          </w:tcPr>
          <w:p>
            <w:pPr>
              <w:pStyle w:val="Compact"/>
              <w:spacing w:after="40"/>
              <w:jc w:val="left"/>
            </w:pPr>
            <w:r>
              <w:rPr>
                <w:sz w:val="18"/>
              </w:rPr>
              <w:t xml:space="preserve">Tenant data location for the workload is India: Graph or admin-centre evidence signed by the tenant’s IT head, re-attested annually [VERIFY: Graph property]</w:t>
            </w:r>
          </w:p>
        </w:tc>
        <w:tc>
          <w:tcPr>
            <w:tcW w:w="2106" w:type="dxa"/>
          </w:tcPr>
          <w:p>
            <w:pPr>
              <w:pStyle w:val="Compact"/>
              <w:spacing w:after="40"/>
              <w:jc w:val="left"/>
            </w:pPr>
            <w:r>
              <w:rPr>
                <w:sz w:val="18"/>
              </w:rPr>
              <w:t xml:space="preserve">Retention label declaring records [VERIFY: label behaviour per plan]</w:t>
            </w:r>
          </w:p>
        </w:tc>
      </w:tr>
      <w:tr>
        <w:tc>
          <w:tcPr>
            <w:tcW w:w="1977" w:type="dxa"/>
          </w:tcPr>
          <w:p>
            <w:pPr>
              <w:pStyle w:val="Compact"/>
              <w:spacing w:after="40"/>
              <w:jc w:val="left"/>
            </w:pPr>
            <w:r>
              <w:rPr>
                <w:sz w:val="18"/>
              </w:rPr>
              <w:t xml:space="preserve">Google Drive</w:t>
            </w:r>
          </w:p>
        </w:tc>
        <w:tc>
          <w:tcPr>
            <w:tcW w:w="2367" w:type="dxa"/>
          </w:tcPr>
          <w:p>
            <w:pPr>
              <w:pStyle w:val="Compact"/>
              <w:spacing w:after="40"/>
              <w:jc w:val="left"/>
            </w:pPr>
            <w:r>
              <w:rPr>
                <w:sz w:val="18"/>
              </w:rPr>
              <w:t xml:space="preserve">Service account with minimal Drive scope on a shared drive (never a personal My Drive)</w:t>
            </w:r>
          </w:p>
        </w:tc>
        <w:tc>
          <w:tcPr>
            <w:tcW w:w="3188" w:type="dxa"/>
          </w:tcPr>
          <w:p>
            <w:pPr>
              <w:pStyle w:val="Compact"/>
              <w:spacing w:after="40"/>
              <w:jc w:val="left"/>
            </w:pPr>
            <w:r>
              <w:rPr>
                <w:sz w:val="18"/>
              </w:rPr>
              <w:t xml:space="preserve">No India data region:</w:t>
            </w:r>
            <w:r>
              <w:rPr>
                <w:sz w:val="18"/>
              </w:rPr>
              <w:t xml:space="preserve"> </w:t>
            </w:r>
            <w:r>
              <w:rPr>
                <w:bCs/>
                <w:b/>
                <w:sz w:val="18"/>
              </w:rPr>
              <w:t xml:space="preserve">non-regulated data only</w:t>
            </w:r>
          </w:p>
        </w:tc>
        <w:tc>
          <w:tcPr>
            <w:tcW w:w="2106" w:type="dxa"/>
          </w:tcPr>
          <w:p>
            <w:pPr>
              <w:pStyle w:val="Compact"/>
              <w:spacing w:after="40"/>
              <w:jc w:val="left"/>
            </w:pPr>
            <w:r>
              <w:rPr>
                <w:sz w:val="18"/>
              </w:rPr>
              <w:t xml:space="preserve">Not offered</w:t>
            </w:r>
          </w:p>
        </w:tc>
      </w:tr>
      <w:tr>
        <w:tc>
          <w:tcPr>
            <w:tcW w:w="1977" w:type="dxa"/>
          </w:tcPr>
          <w:p>
            <w:pPr>
              <w:pStyle w:val="Compact"/>
              <w:spacing w:after="40"/>
              <w:jc w:val="left"/>
            </w:pPr>
            <w:r>
              <w:rPr>
                <w:sz w:val="18"/>
              </w:rPr>
              <w:t xml:space="preserve">SFTP</w:t>
            </w:r>
          </w:p>
        </w:tc>
        <w:tc>
          <w:tcPr>
            <w:tcW w:w="2367" w:type="dxa"/>
          </w:tcPr>
          <w:p>
            <w:pPr>
              <w:pStyle w:val="Compact"/>
              <w:spacing w:after="40"/>
              <w:jc w:val="left"/>
            </w:pPr>
            <w:r>
              <w:rPr>
                <w:sz w:val="18"/>
              </w:rPr>
              <w:t xml:space="preserve">Key-based (ed25519), host key pinned, keys rotated yearly</w:t>
            </w:r>
          </w:p>
        </w:tc>
        <w:tc>
          <w:tcPr>
            <w:tcW w:w="3188" w:type="dxa"/>
          </w:tcPr>
          <w:p>
            <w:pPr>
              <w:pStyle w:val="Compact"/>
              <w:spacing w:after="40"/>
              <w:jc w:val="left"/>
            </w:pPr>
            <w:r>
              <w:rPr>
                <w:sz w:val="18"/>
              </w:rPr>
              <w:t xml:space="preserve">Signed tenant attestation of server location in India</w:t>
            </w:r>
          </w:p>
        </w:tc>
        <w:tc>
          <w:tcPr>
            <w:tcW w:w="2106" w:type="dxa"/>
          </w:tcPr>
          <w:p>
            <w:pPr>
              <w:pStyle w:val="Compact"/>
              <w:spacing w:after="40"/>
              <w:jc w:val="left"/>
            </w:pPr>
            <w:r>
              <w:rPr>
                <w:sz w:val="18"/>
              </w:rPr>
              <w:t xml:space="preserve">Only if the server enforces WORM (attested)</w:t>
            </w:r>
          </w:p>
        </w:tc>
      </w:tr>
      <w:tr>
        <w:tc>
          <w:tcPr>
            <w:tcW w:w="1977" w:type="dxa"/>
          </w:tcPr>
          <w:p>
            <w:pPr>
              <w:pStyle w:val="Compact"/>
              <w:spacing w:after="40"/>
              <w:jc w:val="left"/>
            </w:pPr>
            <w:r>
              <w:rPr>
                <w:sz w:val="18"/>
              </w:rPr>
              <w:t xml:space="preserve">On-premises agent</w:t>
            </w:r>
          </w:p>
        </w:tc>
        <w:tc>
          <w:tcPr>
            <w:tcW w:w="2367" w:type="dxa"/>
          </w:tcPr>
          <w:p>
            <w:pPr>
              <w:pStyle w:val="Compact"/>
              <w:spacing w:after="40"/>
              <w:jc w:val="left"/>
            </w:pPr>
            <w:r>
              <w:rPr>
                <w:sz w:val="18"/>
              </w:rPr>
              <w:t xml:space="preserve">Outbound-only mTLS device certificate; writes to NAS, SMB share or S3-compatible store</w:t>
            </w:r>
          </w:p>
        </w:tc>
        <w:tc>
          <w:tcPr>
            <w:tcW w:w="3188" w:type="dxa"/>
          </w:tcPr>
          <w:p>
            <w:pPr>
              <w:pStyle w:val="Compact"/>
              <w:spacing w:after="40"/>
              <w:jc w:val="left"/>
            </w:pPr>
            <w:r>
              <w:rPr>
                <w:sz w:val="18"/>
              </w:rPr>
              <w:t xml:space="preserve">Signed tenant attestation of site in India</w:t>
            </w:r>
          </w:p>
        </w:tc>
        <w:tc>
          <w:tcPr>
            <w:tcW w:w="2106" w:type="dxa"/>
          </w:tcPr>
          <w:p>
            <w:pPr>
              <w:pStyle w:val="Compact"/>
              <w:spacing w:after="40"/>
              <w:jc w:val="left"/>
            </w:pPr>
            <w:r>
              <w:rPr>
                <w:sz w:val="18"/>
              </w:rPr>
              <w:t xml:space="preserve">As the underlying store</w:t>
            </w:r>
          </w:p>
        </w:tc>
      </w:tr>
    </w:tbl>
    <w:p>
      <w:pPr>
        <w:numPr>
          <w:ilvl w:val="0"/>
          <w:numId w:val="1028"/>
        </w:numPr>
        <w:pStyle w:val="Compact"/>
      </w:pPr>
      <w:r>
        <w:rPr>
          <w:bCs/>
          <w:b/>
        </w:rPr>
        <w:t xml:space="preserve">Data-class policy per target</w:t>
      </w:r>
      <w:r>
        <w:t xml:space="preserve"> </w:t>
      </w:r>
      <w:r>
        <w:t xml:space="preserve">(13.2): a write of a class the target does not allow is refused before upload. Borrower, applicant, member, loan, KYC, bureau, grievance, recovery and HR data, books of account and regulatory returns need an India-resident target (CF para 14(4); OUT para 74(vi); Companies (Accounts) Rules r.3(5)).</w:t>
      </w:r>
      <w:r>
        <w:t xml:space="preserve"> </w:t>
      </w:r>
      <w:r>
        <w:rPr>
          <w:bCs/>
          <w:b/>
        </w:rPr>
        <w:t xml:space="preserve">“</w:t>
      </w:r>
      <w:r>
        <w:rPr>
          <w:bCs/>
          <w:b/>
        </w:rPr>
        <w:t xml:space="preserve">Non-regulated data</w:t>
      </w:r>
      <w:r>
        <w:rPr>
          <w:bCs/>
          <w:b/>
        </w:rPr>
        <w:t xml:space="preserve">”</w:t>
      </w:r>
      <w:r>
        <w:t xml:space="preserve"> </w:t>
      </w:r>
      <w:r>
        <w:t xml:space="preserve">for Google Drive means</w:t>
      </w:r>
      <w:r>
        <w:t xml:space="preserve"> </w:t>
      </w:r>
      <w:r>
        <w:rPr>
          <w:rStyle w:val="VerbatimChar"/>
        </w:rPr>
        <w:t xml:space="preserve">PUBLIC</w:t>
      </w:r>
      <w:r>
        <w:t xml:space="preserve"> </w:t>
      </w:r>
      <w:r>
        <w:t xml:space="preserve">or</w:t>
      </w:r>
      <w:r>
        <w:t xml:space="preserve"> </w:t>
      </w:r>
      <w:r>
        <w:rPr>
          <w:rStyle w:val="VerbatimChar"/>
        </w:rPr>
        <w:t xml:space="preserve">INTERNAL</w:t>
      </w:r>
      <w:r>
        <w:t xml:space="preserve"> </w:t>
      </w:r>
      <w:r>
        <w:t xml:space="preserve">material and</w:t>
      </w:r>
      <w:r>
        <w:t xml:space="preserve"> </w:t>
      </w:r>
      <w:r>
        <w:rPr>
          <w:rStyle w:val="VerbatimChar"/>
        </w:rPr>
        <w:t xml:space="preserve">CONFIDENTIAL</w:t>
      </w:r>
      <w:r>
        <w:t xml:space="preserve"> </w:t>
      </w:r>
      <w:r>
        <w:t xml:space="preserve">documents that contain no personal data, books of account, returns or loan data (for example approved policies or product brochures); Google Drive can never be configured for any other class (</w:t>
      </w:r>
      <w:r>
        <w:rPr>
          <w:rStyle w:val="VerbatimChar"/>
        </w:rPr>
        <w:t xml:space="preserve">residency-blocked</w:t>
      </w:r>
      <w:r>
        <w:t xml:space="preserve">, 3.9).</w:t>
      </w:r>
    </w:p>
    <w:p>
      <w:pPr>
        <w:numPr>
          <w:ilvl w:val="0"/>
          <w:numId w:val="1028"/>
        </w:numPr>
        <w:pStyle w:val="Compact"/>
      </w:pPr>
      <w:r>
        <w:rPr>
          <w:bCs/>
          <w:b/>
        </w:rPr>
        <w:t xml:space="preserve">Residency</w:t>
      </w:r>
      <w:r>
        <w:t xml:space="preserve"> </w:t>
      </w:r>
      <w:r>
        <w:t xml:space="preserve">is verified at registration and re-verified weekly and before every full or exit export; a non-India or unverifiable region blocks the target.</w:t>
      </w:r>
    </w:p>
    <w:p>
      <w:pPr>
        <w:numPr>
          <w:ilvl w:val="0"/>
          <w:numId w:val="1028"/>
        </w:numPr>
        <w:pStyle w:val="Compact"/>
      </w:pPr>
      <w:r>
        <w:rPr>
          <w:bCs/>
          <w:b/>
        </w:rPr>
        <w:t xml:space="preserve">Keys:</w:t>
      </w:r>
      <w:r>
        <w:t xml:space="preserve"> </w:t>
      </w:r>
      <w:r>
        <w:t xml:space="preserve">platform-managed per-tenant KMS key (default);</w:t>
      </w:r>
      <w:r>
        <w:t xml:space="preserve"> </w:t>
      </w:r>
      <w:r>
        <w:rPr>
          <w:bCs/>
          <w:b/>
        </w:rPr>
        <w:t xml:space="preserve">BYOK</w:t>
      </w:r>
      <w:r>
        <w:t xml:space="preserve"> </w:t>
      </w:r>
      <w:r>
        <w:t xml:space="preserve">through a cross-account key grant or imported key material; HYOK through an external key store only with a written risk acceptance signed by the tenant’s CISO and CTO; optional client-side archive encryption to the tenant’s public key (age X25519 or OpenPGP). ML and UL tenants must be offered tenant-controlled keys (OUT para 97(vii)(b)). Revoking a BYOK grant makes reads and exports fail closed with</w:t>
      </w:r>
      <w:r>
        <w:t xml:space="preserve"> </w:t>
      </w:r>
      <w:r>
        <w:rPr>
          <w:rStyle w:val="VerbatimChar"/>
        </w:rPr>
        <w:t xml:space="preserve">key_unavailable</w:t>
      </w:r>
      <w:r>
        <w:t xml:space="preserve">, with alerts to the tenant and Infrabyx operations.</w:t>
      </w:r>
    </w:p>
    <w:p>
      <w:pPr>
        <w:numPr>
          <w:ilvl w:val="0"/>
          <w:numId w:val="1028"/>
        </w:numPr>
        <w:pStyle w:val="Compact"/>
      </w:pPr>
      <w:r>
        <w:rPr>
          <w:bCs/>
          <w:b/>
        </w:rPr>
        <w:t xml:space="preserve">Write-once:</w:t>
      </w:r>
      <w:r>
        <w:t xml:space="preserve"> </w:t>
      </w:r>
      <w:r>
        <w:t xml:space="preserve">when the tenant selects it, every</w:t>
      </w:r>
      <w:r>
        <w:t xml:space="preserve"> </w:t>
      </w:r>
      <w:r>
        <w:rPr>
          <w:rStyle w:val="VerbatimChar"/>
        </w:rPr>
        <w:t xml:space="preserve">put</w:t>
      </w:r>
      <w:r>
        <w:t xml:space="preserve"> </w:t>
      </w:r>
      <w:r>
        <w:t xml:space="preserve">sets the provider lock with</w:t>
      </w:r>
      <w:r>
        <w:t xml:space="preserve"> </w:t>
      </w:r>
      <w:r>
        <w:rPr>
          <w:rStyle w:val="VerbatimChar"/>
        </w:rPr>
        <w:t xml:space="preserve">retainUntil</w:t>
      </w:r>
      <w:r>
        <w:t xml:space="preserve"> </w:t>
      </w:r>
      <w:r>
        <w:t xml:space="preserve">equal to the archive’s longest retention class (books 8 financial years under CA13 s.128(5); KYC 5 years after the relationship ends; litigation per the Recovery Suite rules) [REC]; a target that cannot honour the lock is not offered the option.</w:t>
      </w:r>
    </w:p>
    <w:p>
      <w:pPr>
        <w:numPr>
          <w:ilvl w:val="0"/>
          <w:numId w:val="1028"/>
        </w:numPr>
        <w:pStyle w:val="Compact"/>
      </w:pPr>
      <w:r>
        <w:rPr>
          <w:bCs/>
          <w:b/>
        </w:rPr>
        <w:t xml:space="preserve">Health checks:</w:t>
      </w:r>
      <w:r>
        <w:t xml:space="preserve"> </w:t>
      </w:r>
      <w:r>
        <w:t xml:space="preserve">daily</w:t>
      </w:r>
      <w:r>
        <w:t xml:space="preserve"> </w:t>
      </w:r>
      <w:r>
        <w:rPr>
          <w:rStyle w:val="VerbatimChar"/>
        </w:rPr>
        <w:t xml:space="preserve">healthCheck()</w:t>
      </w:r>
      <w:r>
        <w:t xml:space="preserve"> </w:t>
      </w:r>
      <w:r>
        <w:t xml:space="preserve">and canary write; credential-expiry warnings 30 days ahead; one missed backup raises a P2 alert, two consecutive misses a P1 alert and a tenant notice; failures are published as</w:t>
      </w:r>
      <w:r>
        <w:t xml:space="preserve"> </w:t>
      </w:r>
      <w:r>
        <w:rPr>
          <w:rStyle w:val="VerbatimChar"/>
        </w:rPr>
        <w:t xml:space="preserve">ControlTestResultPublished</w:t>
      </w:r>
      <w:r>
        <w:t xml:space="preserve"> </w:t>
      </w:r>
      <w:r>
        <w:t xml:space="preserve">(6.26).</w:t>
      </w:r>
    </w:p>
    <w:p>
      <w:pPr>
        <w:numPr>
          <w:ilvl w:val="0"/>
          <w:numId w:val="1028"/>
        </w:numPr>
        <w:pStyle w:val="Compact"/>
      </w:pPr>
      <w:r>
        <w:rPr>
          <w:bCs/>
          <w:b/>
        </w:rPr>
        <w:t xml:space="preserve">Events:</w:t>
      </w:r>
      <w:r>
        <w:t xml:space="preserve"> </w:t>
      </w:r>
      <w:r>
        <w:rPr>
          <w:rStyle w:val="VerbatimChar"/>
        </w:rPr>
        <w:t xml:space="preserve">StorageTargetConnected</w:t>
      </w:r>
      <w:r>
        <w:t xml:space="preserve"> </w:t>
      </w:r>
      <w:r>
        <w:t xml:space="preserve">after residency and canary checks pass;</w:t>
      </w:r>
      <w:r>
        <w:t xml:space="preserve"> </w:t>
      </w:r>
      <w:r>
        <w:rPr>
          <w:rStyle w:val="VerbatimChar"/>
        </w:rPr>
        <w:t xml:space="preserve">ExportCompleted</w:t>
      </w:r>
      <w:r>
        <w:t xml:space="preserve">,</w:t>
      </w:r>
      <w:r>
        <w:t xml:space="preserve"> </w:t>
      </w:r>
      <w:r>
        <w:rPr>
          <w:rStyle w:val="VerbatimChar"/>
        </w:rPr>
        <w:t xml:space="preserve">BackupCompleted</w:t>
      </w:r>
      <w:r>
        <w:t xml:space="preserve"> </w:t>
      </w:r>
      <w:r>
        <w:t xml:space="preserve">and</w:t>
      </w:r>
      <w:r>
        <w:t xml:space="preserve"> </w:t>
      </w:r>
      <w:r>
        <w:rPr>
          <w:rStyle w:val="VerbatimChar"/>
        </w:rPr>
        <w:t xml:space="preserve">RestoreTested</w:t>
      </w:r>
      <w:r>
        <w:t xml:space="preserve"> </w:t>
      </w:r>
      <w:r>
        <w:t xml:space="preserve">per job (6.26).</w:t>
      </w:r>
    </w:p>
    <w:p>
      <w:pPr>
        <w:numPr>
          <w:ilvl w:val="0"/>
          <w:numId w:val="1028"/>
        </w:numPr>
        <w:pStyle w:val="Compact"/>
      </w:pPr>
      <w:r>
        <w:t xml:space="preserve">No arbitrary disk attachment in Infrabyx’s cloud, and no promise of recovery after a customer purges its own store.</w:t>
      </w:r>
    </w:p>
    <w:bookmarkEnd w:id="109"/>
    <w:bookmarkStart w:id="110" w:name="shared-labour-code-rule-pack"/>
    <w:p>
      <w:pPr>
        <w:pStyle w:val="Heading2"/>
      </w:pPr>
      <w:r>
        <w:t xml:space="preserve">12.3 Shared Labour Code rule pack</w:t>
      </w:r>
    </w:p>
    <w:p>
      <w:pPr>
        <w:pStyle w:val="FirstParagraph"/>
      </w:pPr>
      <w:r>
        <w:t xml:space="preserve">One</w:t>
      </w:r>
      <w:r>
        <w:t xml:space="preserve"> </w:t>
      </w:r>
      <w:r>
        <w:rPr>
          <w:bCs/>
          <w:b/>
        </w:rPr>
        <w:t xml:space="preserve">signed, versioned artefact</w:t>
      </w:r>
      <w:r>
        <w:t xml:space="preserve"> </w:t>
      </w:r>
      <w:r>
        <w:t xml:space="preserve">used by Finbyx GV6 (client HRMS and payroll) and OH10 (Infrabyx staff HRMS and payroll), so that both compute wages, deductions, leave, overtime, gratuity and statutory outputs identically.</w:t>
      </w:r>
    </w:p>
    <w:p>
      <w:pPr>
        <w:numPr>
          <w:ilvl w:val="0"/>
          <w:numId w:val="1029"/>
        </w:numPr>
        <w:pStyle w:val="Compact"/>
      </w:pPr>
      <w:r>
        <w:rPr>
          <w:bCs/>
          <w:b/>
        </w:rPr>
        <w:t xml:space="preserve">Artefact and location:</w:t>
      </w:r>
      <w:r>
        <w:t xml:space="preserve"> </w:t>
      </w:r>
      <w:r>
        <w:rPr>
          <w:rStyle w:val="VerbatimChar"/>
        </w:rPr>
        <w:t xml:space="preserve">infrabyx-labour-rulepack</w:t>
      </w:r>
      <w:r>
        <w:t xml:space="preserve">, published from</w:t>
      </w:r>
      <w:r>
        <w:t xml:space="preserve"> </w:t>
      </w:r>
      <w:r>
        <w:rPr>
          <w:rStyle w:val="VerbatimChar"/>
        </w:rPr>
        <w:t xml:space="preserve">infrabyx-contracts/rulepacks/labour-codes/[semver]/</w:t>
      </w:r>
      <w:r>
        <w:t xml:space="preserve"> </w:t>
      </w:r>
      <w:r>
        <w:t xml:space="preserve">with JSON Schema-validated YAML documents, CEL expressions for computations, golden fixtures and a</w:t>
      </w:r>
      <w:r>
        <w:t xml:space="preserve"> </w:t>
      </w:r>
      <w:r>
        <w:rPr>
          <w:rStyle w:val="VerbatimChar"/>
        </w:rPr>
        <w:t xml:space="preserve">pack.json</w:t>
      </w:r>
      <w:r>
        <w:t xml:space="preserve"> </w:t>
      </w:r>
      <w:r>
        <w:t xml:space="preserve">manifest (version, effective dates, coverage by Code, Rule and State, SHA-256 per file) signed with a detached JWS by the Infrabyx rule-pack signing key (HSM-backed). Products pin the version in</w:t>
      </w:r>
      <w:r>
        <w:t xml:space="preserve"> </w:t>
      </w:r>
      <w:r>
        <w:rPr>
          <w:rStyle w:val="VerbatimChar"/>
        </w:rPr>
        <w:t xml:space="preserve">contracts.lock</w:t>
      </w:r>
      <w:r>
        <w:t xml:space="preserve">, verify the signature at load and refuse an unsigned or tampered pack.</w:t>
      </w:r>
    </w:p>
    <w:p>
      <w:pPr>
        <w:numPr>
          <w:ilvl w:val="0"/>
          <w:numId w:val="1029"/>
        </w:numPr>
        <w:pStyle w:val="Compact"/>
      </w:pPr>
      <w:r>
        <w:rPr>
          <w:bCs/>
          <w:b/>
        </w:rPr>
        <w:t xml:space="preserve">Contents:</w:t>
      </w:r>
      <w:r>
        <w:t xml:space="preserve"> </w:t>
      </w:r>
      <w:r>
        <w:t xml:space="preserve">wage definition under the Code on Wages s.2(y) (50% exclusion test); PF and pension wage ceilings and rates; ESI coverage and rates; overtime (consent, 2× rate, 144 hours a quarter under the OSHWC Central Rules, stricter State limits); working hours and rest (Wages (Central) Rules r.5–r.6); leave accrual, carry-forward and encashment (OSHWC s.32); gratuity eligibility and computation; final-wage timer (Code on Wages s.17(2): 2 working days); permitted deductions and the 50% cap (Code on Wages s.18); State professional tax and labour welfare fund tables; Shops and Establishments thresholds;</w:t>
      </w:r>
      <w:r>
        <w:t xml:space="preserve"> </w:t>
      </w:r>
      <w:r>
        <w:rPr>
          <w:rStyle w:val="VerbatimChar"/>
        </w:rPr>
        <w:t xml:space="preserve">state_rule_status</w:t>
      </w:r>
      <w:r>
        <w:t xml:space="preserve"> </w:t>
      </w:r>
      <w:r>
        <w:t xml:space="preserve">per State and Code; register, wage-slip and return form layouts; the prohibited-monitoring list (6.23 rule 4).</w:t>
      </w:r>
    </w:p>
    <w:p>
      <w:pPr>
        <w:numPr>
          <w:ilvl w:val="0"/>
          <w:numId w:val="1029"/>
        </w:numPr>
        <w:pStyle w:val="Compact"/>
      </w:pPr>
      <w:r>
        <w:rPr>
          <w:bCs/>
          <w:b/>
        </w:rPr>
        <w:t xml:space="preserve">Legal status recorded in the pack:</w:t>
      </w:r>
      <w:r>
        <w:t xml:space="preserve"> </w:t>
      </w:r>
      <w:r>
        <w:t xml:space="preserve">the four Labour Codes in force from 21 November 2025; Central Rules notified 8 May 2026 (G.S.R. 342(E)–345(E); corrigendum G.S.R. 629(E) of 15 July 2026); most State rules pending, with old State rules continuing so far as consistent [VERIFY: each State at go-live].</w:t>
      </w:r>
    </w:p>
    <w:p>
      <w:pPr>
        <w:numPr>
          <w:ilvl w:val="0"/>
          <w:numId w:val="1029"/>
        </w:numPr>
        <w:pStyle w:val="Compact"/>
      </w:pPr>
      <w:r>
        <w:rPr>
          <w:bCs/>
          <w:b/>
        </w:rPr>
        <w:t xml:space="preserve">Governance:</w:t>
      </w:r>
      <w:r>
        <w:t xml:space="preserve"> </w:t>
      </w:r>
      <w:r>
        <w:t xml:space="preserve">every rule carries its citation (</w:t>
      </w:r>
      <w:r>
        <w:rPr>
          <w:rStyle w:val="VerbatimChar"/>
        </w:rPr>
        <w:t xml:space="preserve">LC: [Code] s.[n]</w:t>
      </w:r>
      <w:r>
        <w:t xml:space="preserve"> </w:t>
      </w:r>
      <w:r>
        <w:t xml:space="preserve">or Rule) and a</w:t>
      </w:r>
      <w:r>
        <w:t xml:space="preserve"> </w:t>
      </w:r>
      <w:r>
        <w:rPr>
          <w:rStyle w:val="VerbatimChar"/>
        </w:rPr>
        <w:t xml:space="preserve">[VERIFY]</w:t>
      </w:r>
      <w:r>
        <w:t xml:space="preserve"> </w:t>
      </w:r>
      <w:r>
        <w:t xml:space="preserve">status; a rule still marked</w:t>
      </w:r>
      <w:r>
        <w:t xml:space="preserve"> </w:t>
      </w:r>
      <w:r>
        <w:rPr>
          <w:rStyle w:val="VerbatimChar"/>
        </w:rPr>
        <w:t xml:space="preserve">[VERIFY]</w:t>
      </w:r>
      <w:r>
        <w:t xml:space="preserve"> </w:t>
      </w:r>
      <w:r>
        <w:t xml:space="preserve">cannot drive a statutory output until cleared. Changes are approved by Infrabyx’s labour-law reviewer and payroll lead (maker-checker); semver major for structural changes, minor for new States or tables, patch for corrections. A notified State rule or Central amendment is reflected within 10 working days [REC].</w:t>
      </w:r>
    </w:p>
    <w:p>
      <w:pPr>
        <w:numPr>
          <w:ilvl w:val="0"/>
          <w:numId w:val="1029"/>
        </w:numPr>
        <w:pStyle w:val="Compact"/>
      </w:pPr>
      <w:r>
        <w:rPr>
          <w:bCs/>
          <w:b/>
        </w:rPr>
        <w:t xml:space="preserve">Overrides:</w:t>
      </w:r>
      <w:r>
        <w:t xml:space="preserve"> </w:t>
      </w:r>
      <w:r>
        <w:t xml:space="preserve">tenants and Infrabyx entities may configure more generous policies through</w:t>
      </w:r>
      <w:r>
        <w:t xml:space="preserve"> </w:t>
      </w:r>
      <w:r>
        <w:rPr>
          <w:rStyle w:val="VerbatimChar"/>
        </w:rPr>
        <w:t xml:space="preserve">x-tenant-overridable</w:t>
      </w:r>
      <w:r>
        <w:t xml:space="preserve"> </w:t>
      </w:r>
      <w:r>
        <w:t xml:space="preserve">fields; nothing may go below a statutory floor.</w:t>
      </w:r>
    </w:p>
    <w:p>
      <w:pPr>
        <w:numPr>
          <w:ilvl w:val="0"/>
          <w:numId w:val="1029"/>
        </w:numPr>
        <w:pStyle w:val="Compact"/>
      </w:pPr>
      <w:r>
        <w:rPr>
          <w:bCs/>
          <w:b/>
        </w:rPr>
        <w:t xml:space="preserve">Conformance:</w:t>
      </w:r>
      <w:r>
        <w:t xml:space="preserve"> </w:t>
      </w:r>
      <w:r>
        <w:t xml:space="preserve">both repositories run the pack’s golden fixtures in CI and must produce identical results (14.3). Income-tax salary TDS (Income-tax Act 2025 s.392) ships as a companion pack</w:t>
      </w:r>
      <w:r>
        <w:t xml:space="preserve"> </w:t>
      </w:r>
      <w:r>
        <w:rPr>
          <w:rStyle w:val="VerbatimChar"/>
        </w:rPr>
        <w:t xml:space="preserve">ita25-salary-tds</w:t>
      </w:r>
      <w:r>
        <w:t xml:space="preserve"> </w:t>
      </w:r>
      <w:r>
        <w:t xml:space="preserve">under the same rules [REC].</w:t>
      </w:r>
    </w:p>
    <w:p>
      <w:pPr>
        <w:numPr>
          <w:ilvl w:val="0"/>
          <w:numId w:val="1029"/>
        </w:numPr>
        <w:pStyle w:val="Compact"/>
      </w:pPr>
      <w:r>
        <w:t xml:space="preserve">The pack contains no personal data; it is published to both products as data, never as code.</w:t>
      </w:r>
    </w:p>
    <w:bookmarkEnd w:id="110"/>
    <w:bookmarkStart w:id="111" w:name="registered-layouts-added-in-v1.1"/>
    <w:p>
      <w:pPr>
        <w:pStyle w:val="Heading2"/>
      </w:pPr>
      <w:r>
        <w:t xml:space="preserve">12.4 Registered layouts added in v1.1</w:t>
      </w:r>
    </w:p>
    <w:p>
      <w:pPr>
        <w:pStyle w:val="FirstParagraph"/>
      </w:pPr>
      <w:r>
        <w:t xml:space="preserve">Each layout follows Part 12 dictionaries, checksums and signed manifests; versions in the layout id are layout majors, except bureau layouts, whose ids carry the CIC format version.</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56"/>
        <w:gridCol w:w="2522"/>
        <w:gridCol w:w="4403"/>
        <w:gridCol w:w="1357"/>
      </w:tblGrid>
      <w:tr>
        <w:trPr>
          <w:tblHeader w:val="true"/>
          <w:tblHeader w:val="true"/>
        </w:trPr>
        <w:tc>
          <w:tcPr>
            <w:tcW w:w="1356" w:type="dxa"/>
            <w:shd w:val="clear" w:color="auto" w:fill="1F3A5F"/>
          </w:tcPr>
          <w:p>
            <w:pPr>
              <w:pStyle w:val="Compact"/>
              <w:spacing w:after="40"/>
              <w:jc w:val="left"/>
            </w:pPr>
            <w:r>
              <w:rPr>
                <w:b/>
                <w:color w:val="FFFFFF"/>
                <w:sz w:val="18"/>
              </w:rPr>
              <w:t xml:space="preserve">Layout</w:t>
            </w:r>
          </w:p>
        </w:tc>
        <w:tc>
          <w:tcPr>
            <w:tcW w:w="2522" w:type="dxa"/>
            <w:shd w:val="clear" w:color="auto" w:fill="1F3A5F"/>
          </w:tcPr>
          <w:p>
            <w:pPr>
              <w:pStyle w:val="Compact"/>
              <w:spacing w:after="40"/>
              <w:jc w:val="left"/>
            </w:pPr>
            <w:r>
              <w:rPr>
                <w:b/>
                <w:color w:val="FFFFFF"/>
                <w:sz w:val="18"/>
              </w:rPr>
              <w:t xml:space="preserve">Producer → consumer</w:t>
            </w:r>
          </w:p>
        </w:tc>
        <w:tc>
          <w:tcPr>
            <w:tcW w:w="4403" w:type="dxa"/>
            <w:shd w:val="clear" w:color="auto" w:fill="1F3A5F"/>
          </w:tcPr>
          <w:p>
            <w:pPr>
              <w:pStyle w:val="Compact"/>
              <w:spacing w:after="40"/>
              <w:jc w:val="left"/>
            </w:pPr>
            <w:r>
              <w:rPr>
                <w:b/>
                <w:color w:val="FFFFFF"/>
                <w:sz w:val="18"/>
              </w:rPr>
              <w:t xml:space="preserve">Content</w:t>
            </w:r>
          </w:p>
        </w:tc>
        <w:tc>
          <w:tcPr>
            <w:tcW w:w="1357" w:type="dxa"/>
            <w:shd w:val="clear" w:color="auto" w:fill="1F3A5F"/>
          </w:tcPr>
          <w:p>
            <w:pPr>
              <w:pStyle w:val="Compact"/>
              <w:spacing w:after="40"/>
              <w:jc w:val="left"/>
            </w:pPr>
            <w:r>
              <w:rPr>
                <w:b/>
                <w:color w:val="FFFFFF"/>
                <w:sz w:val="18"/>
              </w:rPr>
              <w:t xml:space="preserve">Source</w:t>
            </w:r>
          </w:p>
        </w:tc>
      </w:tr>
      <w:tr>
        <w:tc>
          <w:tcPr>
            <w:tcW w:w="1356" w:type="dxa"/>
          </w:tcPr>
          <w:p>
            <w:pPr>
              <w:pStyle w:val="Compact"/>
              <w:spacing w:after="40"/>
              <w:jc w:val="left"/>
            </w:pPr>
            <w:r>
              <w:rPr>
                <w:rStyle w:val="VerbatimChar"/>
                <w:sz w:val="18"/>
              </w:rPr>
              <w:t xml:space="preserve">return_package_v1</w:t>
            </w:r>
          </w:p>
        </w:tc>
        <w:tc>
          <w:tcPr>
            <w:tcW w:w="2522" w:type="dxa"/>
          </w:tcPr>
          <w:p>
            <w:pPr>
              <w:pStyle w:val="Compact"/>
              <w:spacing w:after="40"/>
              <w:jc w:val="left"/>
            </w:pPr>
            <w:r>
              <w:rPr>
                <w:sz w:val="18"/>
              </w:rPr>
              <w:t xml:space="preserve">FX → filer (RE user), LDC, external workspace, archive</w:t>
            </w:r>
          </w:p>
        </w:tc>
        <w:tc>
          <w:tcPr>
            <w:tcW w:w="4403" w:type="dxa"/>
          </w:tcPr>
          <w:p>
            <w:pPr>
              <w:pStyle w:val="Compact"/>
              <w:spacing w:after="40"/>
              <w:jc w:val="left"/>
            </w:pPr>
            <w:r>
              <w:rPr>
                <w:sz w:val="18"/>
              </w:rPr>
              <w:t xml:space="preserve">Signed return package: template or XML, manifest (entity, return, period, run and template versions, snapshot hash, file SHA-256, validation and reconciliation hashes, approvals), validation report, reconciliation sheet, lineage extract, NIL declaration</w:t>
            </w:r>
          </w:p>
        </w:tc>
        <w:tc>
          <w:tcPr>
            <w:tcW w:w="1357" w:type="dxa"/>
          </w:tcPr>
          <w:p>
            <w:pPr>
              <w:pStyle w:val="Compact"/>
              <w:spacing w:after="40"/>
              <w:jc w:val="left"/>
            </w:pPr>
            <w:r>
              <w:rPr>
                <w:sz w:val="18"/>
              </w:rPr>
              <w:t xml:space="preserve">Finbyx RR3.6</w:t>
            </w:r>
          </w:p>
        </w:tc>
      </w:tr>
      <w:tr>
        <w:tc>
          <w:tcPr>
            <w:tcW w:w="1356" w:type="dxa"/>
          </w:tcPr>
          <w:p>
            <w:pPr>
              <w:pStyle w:val="Compact"/>
              <w:spacing w:after="40"/>
              <w:jc w:val="left"/>
            </w:pPr>
            <w:r>
              <w:rPr>
                <w:rStyle w:val="VerbatimChar"/>
                <w:sz w:val="18"/>
              </w:rPr>
              <w:t xml:space="preserve">bureau_consumer_v374</w:t>
            </w:r>
          </w:p>
        </w:tc>
        <w:tc>
          <w:tcPr>
            <w:tcW w:w="2522" w:type="dxa"/>
          </w:tcPr>
          <w:p>
            <w:pPr>
              <w:pStyle w:val="Compact"/>
              <w:spacing w:after="40"/>
              <w:jc w:val="left"/>
            </w:pPr>
            <w:r>
              <w:rPr>
                <w:sz w:val="18"/>
              </w:rPr>
              <w:t xml:space="preserve">FX → CICs</w:t>
            </w:r>
          </w:p>
        </w:tc>
        <w:tc>
          <w:tcPr>
            <w:tcW w:w="4403" w:type="dxa"/>
          </w:tcPr>
          <w:p>
            <w:pPr>
              <w:pStyle w:val="Compact"/>
              <w:spacing w:after="40"/>
              <w:jc w:val="left"/>
            </w:pPr>
            <w:r>
              <w:rPr>
                <w:sz w:val="18"/>
              </w:rPr>
              <w:t xml:space="preserve">UCRF Consumer v3.74 (header segment tag</w:t>
            </w:r>
            <w:r>
              <w:rPr>
                <w:sz w:val="18"/>
              </w:rPr>
              <w:t xml:space="preserve"> </w:t>
            </w:r>
            <w:r>
              <w:rPr>
                <w:rStyle w:val="VerbatimChar"/>
                <w:sz w:val="18"/>
              </w:rPr>
              <w:t xml:space="preserve">TUDF</w:t>
            </w:r>
            <w:r>
              <w:rPr>
                <w:sz w:val="18"/>
              </w:rPr>
              <w:t xml:space="preserve"> </w:t>
            </w:r>
            <w:r>
              <w:rPr>
                <w:sz w:val="18"/>
              </w:rPr>
              <w:t xml:space="preserve">or</w:t>
            </w:r>
            <w:r>
              <w:rPr>
                <w:sz w:val="18"/>
              </w:rPr>
              <w:t xml:space="preserve"> </w:t>
            </w:r>
            <w:r>
              <w:rPr>
                <w:rStyle w:val="VerbatimChar"/>
                <w:sz w:val="18"/>
              </w:rPr>
              <w:t xml:space="preserve">CONS</w:t>
            </w:r>
            <w:r>
              <w:rPr>
                <w:sz w:val="18"/>
              </w:rPr>
              <w:t xml:space="preserve">; PN, ID, PT, EC, PA, TL, TH, ES, TRLR; cycles DL, W1–W3, ME, DC, AH, RR)</w:t>
            </w:r>
          </w:p>
        </w:tc>
        <w:tc>
          <w:tcPr>
            <w:tcW w:w="1357" w:type="dxa"/>
          </w:tcPr>
          <w:p>
            <w:pPr>
              <w:pStyle w:val="Compact"/>
              <w:spacing w:after="40"/>
              <w:jc w:val="left"/>
            </w:pPr>
            <w:r>
              <w:rPr>
                <w:sz w:val="18"/>
              </w:rPr>
              <w:t xml:space="preserve">Finbyx RR6.5</w:t>
            </w:r>
          </w:p>
        </w:tc>
      </w:tr>
      <w:tr>
        <w:tc>
          <w:tcPr>
            <w:tcW w:w="1356" w:type="dxa"/>
          </w:tcPr>
          <w:p>
            <w:pPr>
              <w:pStyle w:val="Compact"/>
              <w:spacing w:after="40"/>
              <w:jc w:val="left"/>
            </w:pPr>
            <w:r>
              <w:rPr>
                <w:rStyle w:val="VerbatimChar"/>
                <w:sz w:val="18"/>
              </w:rPr>
              <w:t xml:space="preserve">bureau_commercial_v310</w:t>
            </w:r>
          </w:p>
        </w:tc>
        <w:tc>
          <w:tcPr>
            <w:tcW w:w="2522" w:type="dxa"/>
          </w:tcPr>
          <w:p>
            <w:pPr>
              <w:pStyle w:val="Compact"/>
              <w:spacing w:after="40"/>
              <w:jc w:val="left"/>
            </w:pPr>
            <w:r>
              <w:rPr>
                <w:sz w:val="18"/>
              </w:rPr>
              <w:t xml:space="preserve">FX → CICs (SFTP only)</w:t>
            </w:r>
          </w:p>
        </w:tc>
        <w:tc>
          <w:tcPr>
            <w:tcW w:w="4403" w:type="dxa"/>
          </w:tcPr>
          <w:p>
            <w:pPr>
              <w:pStyle w:val="Compact"/>
              <w:spacing w:after="40"/>
              <w:jc w:val="left"/>
            </w:pPr>
            <w:r>
              <w:rPr>
                <w:sz w:val="18"/>
              </w:rPr>
              <w:t xml:space="preserve">UCRF Commercial v3.10 pipe-delimited (HD, BS, AS, RS, CR, GS, SS, CD, TS)</w:t>
            </w:r>
          </w:p>
        </w:tc>
        <w:tc>
          <w:tcPr>
            <w:tcW w:w="1357" w:type="dxa"/>
          </w:tcPr>
          <w:p>
            <w:pPr>
              <w:pStyle w:val="Compact"/>
              <w:spacing w:after="40"/>
              <w:jc w:val="left"/>
            </w:pPr>
            <w:r>
              <w:rPr>
                <w:sz w:val="18"/>
              </w:rPr>
              <w:t xml:space="preserve">Finbyx RR6.5</w:t>
            </w:r>
          </w:p>
        </w:tc>
      </w:tr>
      <w:tr>
        <w:tc>
          <w:tcPr>
            <w:tcW w:w="1356" w:type="dxa"/>
          </w:tcPr>
          <w:p>
            <w:pPr>
              <w:pStyle w:val="Compact"/>
              <w:spacing w:after="40"/>
              <w:jc w:val="left"/>
            </w:pPr>
            <w:r>
              <w:rPr>
                <w:rStyle w:val="VerbatimChar"/>
                <w:sz w:val="18"/>
              </w:rPr>
              <w:t xml:space="preserve">bureau_mfi_v331</w:t>
            </w:r>
          </w:p>
        </w:tc>
        <w:tc>
          <w:tcPr>
            <w:tcW w:w="2522" w:type="dxa"/>
          </w:tcPr>
          <w:p>
            <w:pPr>
              <w:pStyle w:val="Compact"/>
              <w:spacing w:after="40"/>
              <w:jc w:val="left"/>
            </w:pPr>
            <w:r>
              <w:rPr>
                <w:sz w:val="18"/>
              </w:rPr>
              <w:t xml:space="preserve">FX → CICs</w:t>
            </w:r>
          </w:p>
        </w:tc>
        <w:tc>
          <w:tcPr>
            <w:tcW w:w="4403" w:type="dxa"/>
          </w:tcPr>
          <w:p>
            <w:pPr>
              <w:pStyle w:val="Compact"/>
              <w:spacing w:after="40"/>
              <w:jc w:val="left"/>
            </w:pPr>
            <w:r>
              <w:rPr>
                <w:sz w:val="18"/>
              </w:rPr>
              <w:t xml:space="preserve">UCRF MFI v3.3.1 (HDR, GRPCRD, CNSCRD, ADRCRD, ACTCRD, TRL); separate SHG and JLG plus individual files</w:t>
            </w:r>
          </w:p>
        </w:tc>
        <w:tc>
          <w:tcPr>
            <w:tcW w:w="1357" w:type="dxa"/>
          </w:tcPr>
          <w:p>
            <w:pPr>
              <w:pStyle w:val="Compact"/>
              <w:spacing w:after="40"/>
              <w:jc w:val="left"/>
            </w:pPr>
            <w:r>
              <w:rPr>
                <w:sz w:val="18"/>
              </w:rPr>
              <w:t xml:space="preserve">Finbyx RR6.5</w:t>
            </w:r>
          </w:p>
        </w:tc>
      </w:tr>
      <w:tr>
        <w:tc>
          <w:tcPr>
            <w:tcW w:w="1356" w:type="dxa"/>
          </w:tcPr>
          <w:p>
            <w:pPr>
              <w:pStyle w:val="Compact"/>
              <w:spacing w:after="40"/>
              <w:jc w:val="left"/>
            </w:pPr>
            <w:r>
              <w:rPr>
                <w:rStyle w:val="VerbatimChar"/>
                <w:sz w:val="18"/>
              </w:rPr>
              <w:t xml:space="preserve">gst_export_v1</w:t>
            </w:r>
          </w:p>
        </w:tc>
        <w:tc>
          <w:tcPr>
            <w:tcW w:w="2522" w:type="dxa"/>
          </w:tcPr>
          <w:p>
            <w:pPr>
              <w:pStyle w:val="Compact"/>
              <w:spacing w:after="40"/>
              <w:jc w:val="left"/>
            </w:pPr>
            <w:r>
              <w:rPr>
                <w:sz w:val="18"/>
              </w:rPr>
              <w:t xml:space="preserve">FX → authorised filer, LDC</w:t>
            </w:r>
          </w:p>
        </w:tc>
        <w:tc>
          <w:tcPr>
            <w:tcW w:w="4403" w:type="dxa"/>
          </w:tcPr>
          <w:p>
            <w:pPr>
              <w:pStyle w:val="Compact"/>
              <w:spacing w:after="40"/>
              <w:jc w:val="left"/>
            </w:pPr>
            <w:r>
              <w:rPr>
                <w:sz w:val="18"/>
              </w:rPr>
              <w:t xml:space="preserve">GSTR-1, GSTR-1A, GSTR-3B, GSTR-9 and GSTR-9C JSON per the GSTN offline-tool schema, with reconciliation workpapers</w:t>
            </w:r>
          </w:p>
        </w:tc>
        <w:tc>
          <w:tcPr>
            <w:tcW w:w="1357" w:type="dxa"/>
          </w:tcPr>
          <w:p>
            <w:pPr>
              <w:pStyle w:val="Compact"/>
              <w:spacing w:after="40"/>
              <w:jc w:val="left"/>
            </w:pPr>
            <w:r>
              <w:rPr>
                <w:sz w:val="18"/>
              </w:rPr>
              <w:t xml:space="preserve">Finbyx AC4.4</w:t>
            </w:r>
          </w:p>
        </w:tc>
      </w:tr>
      <w:tr>
        <w:tc>
          <w:tcPr>
            <w:tcW w:w="1356" w:type="dxa"/>
          </w:tcPr>
          <w:p>
            <w:pPr>
              <w:pStyle w:val="Compact"/>
              <w:spacing w:after="40"/>
              <w:jc w:val="left"/>
            </w:pPr>
            <w:r>
              <w:rPr>
                <w:rStyle w:val="VerbatimChar"/>
                <w:sz w:val="18"/>
              </w:rPr>
              <w:t xml:space="preserve">tds_export_v1</w:t>
            </w:r>
          </w:p>
        </w:tc>
        <w:tc>
          <w:tcPr>
            <w:tcW w:w="2522" w:type="dxa"/>
          </w:tcPr>
          <w:p>
            <w:pPr>
              <w:pStyle w:val="Compact"/>
              <w:spacing w:after="40"/>
              <w:jc w:val="left"/>
            </w:pPr>
            <w:r>
              <w:rPr>
                <w:sz w:val="18"/>
              </w:rPr>
              <w:t xml:space="preserve">FX → authorised filer, LDC</w:t>
            </w:r>
          </w:p>
        </w:tc>
        <w:tc>
          <w:tcPr>
            <w:tcW w:w="4403" w:type="dxa"/>
          </w:tcPr>
          <w:p>
            <w:pPr>
              <w:pStyle w:val="Compact"/>
              <w:spacing w:after="40"/>
              <w:jc w:val="left"/>
            </w:pPr>
            <w:r>
              <w:rPr>
                <w:sz w:val="18"/>
              </w:rPr>
              <w:t xml:space="preserve">Form 140 (and 144, 143) quarterly data file for the official validation utility; Form 131 certificate data</w:t>
            </w:r>
          </w:p>
        </w:tc>
        <w:tc>
          <w:tcPr>
            <w:tcW w:w="1357" w:type="dxa"/>
          </w:tcPr>
          <w:p>
            <w:pPr>
              <w:pStyle w:val="Compact"/>
              <w:spacing w:after="40"/>
              <w:jc w:val="left"/>
            </w:pPr>
            <w:r>
              <w:rPr>
                <w:sz w:val="18"/>
              </w:rPr>
              <w:t xml:space="preserve">Finbyx AC5</w:t>
            </w:r>
          </w:p>
        </w:tc>
      </w:tr>
      <w:tr>
        <w:tc>
          <w:tcPr>
            <w:tcW w:w="1356" w:type="dxa"/>
          </w:tcPr>
          <w:p>
            <w:pPr>
              <w:pStyle w:val="Compact"/>
              <w:spacing w:after="40"/>
              <w:jc w:val="left"/>
            </w:pPr>
            <w:r>
              <w:rPr>
                <w:rStyle w:val="VerbatimChar"/>
                <w:sz w:val="18"/>
              </w:rPr>
              <w:t xml:space="preserve">audit_workpaper_index_v1</w:t>
            </w:r>
          </w:p>
        </w:tc>
        <w:tc>
          <w:tcPr>
            <w:tcW w:w="2522" w:type="dxa"/>
          </w:tcPr>
          <w:p>
            <w:pPr>
              <w:pStyle w:val="Compact"/>
              <w:spacing w:after="40"/>
              <w:jc w:val="left"/>
            </w:pPr>
            <w:r>
              <w:rPr>
                <w:sz w:val="18"/>
              </w:rPr>
              <w:t xml:space="preserve">FX, UD → auditors, LDC, archive</w:t>
            </w:r>
          </w:p>
        </w:tc>
        <w:tc>
          <w:tcPr>
            <w:tcW w:w="4403" w:type="dxa"/>
          </w:tcPr>
          <w:p>
            <w:pPr>
              <w:pStyle w:val="Compact"/>
              <w:spacing w:after="40"/>
              <w:jc w:val="left"/>
            </w:pPr>
            <w:r>
              <w:rPr>
                <w:sz w:val="18"/>
              </w:rPr>
              <w:t xml:space="preserve">Engagement workpaper index: workpaper id, objective, population hash, seed, sample ids (masked), evidence refs and hashes, preparer, reviewer, sign-off</w:t>
            </w:r>
          </w:p>
        </w:tc>
        <w:tc>
          <w:tcPr>
            <w:tcW w:w="1357" w:type="dxa"/>
          </w:tcPr>
          <w:p>
            <w:pPr>
              <w:pStyle w:val="Compact"/>
              <w:spacing w:after="40"/>
              <w:jc w:val="left"/>
            </w:pPr>
            <w:r>
              <w:rPr>
                <w:sz w:val="18"/>
              </w:rPr>
              <w:t xml:space="preserve">Finbyx AU2</w:t>
            </w:r>
          </w:p>
        </w:tc>
      </w:tr>
      <w:tr>
        <w:tc>
          <w:tcPr>
            <w:tcW w:w="1356" w:type="dxa"/>
          </w:tcPr>
          <w:p>
            <w:pPr>
              <w:pStyle w:val="Compact"/>
              <w:spacing w:after="40"/>
              <w:jc w:val="left"/>
            </w:pPr>
            <w:r>
              <w:rPr>
                <w:rStyle w:val="VerbatimChar"/>
                <w:sz w:val="18"/>
              </w:rPr>
              <w:t xml:space="preserve">risk_snapshot_v1</w:t>
            </w:r>
          </w:p>
        </w:tc>
        <w:tc>
          <w:tcPr>
            <w:tcW w:w="2522" w:type="dxa"/>
          </w:tcPr>
          <w:p>
            <w:pPr>
              <w:pStyle w:val="Compact"/>
              <w:spacing w:after="40"/>
              <w:jc w:val="left"/>
            </w:pPr>
            <w:r>
              <w:rPr>
                <w:sz w:val="18"/>
              </w:rPr>
              <w:t xml:space="preserve">FX, UD → LDC, RE GRC</w:t>
            </w:r>
          </w:p>
        </w:tc>
        <w:tc>
          <w:tcPr>
            <w:tcW w:w="4403" w:type="dxa"/>
          </w:tcPr>
          <w:p>
            <w:pPr>
              <w:pStyle w:val="Compact"/>
              <w:spacing w:after="40"/>
              <w:jc w:val="left"/>
            </w:pPr>
            <w:r>
              <w:rPr>
                <w:sz w:val="18"/>
              </w:rPr>
              <w:t xml:space="preserve">Metric ids, versions, values, thresholds, RAG, grain, lineage refs, certification state, pseudonymised references only</w:t>
            </w:r>
          </w:p>
        </w:tc>
        <w:tc>
          <w:tcPr>
            <w:tcW w:w="1357" w:type="dxa"/>
          </w:tcPr>
          <w:p>
            <w:pPr>
              <w:pStyle w:val="Compact"/>
              <w:spacing w:after="40"/>
              <w:jc w:val="left"/>
            </w:pPr>
            <w:r>
              <w:rPr>
                <w:sz w:val="18"/>
              </w:rPr>
              <w:t xml:space="preserve">Finbyx RK2.4; Udofin RA1</w:t>
            </w:r>
          </w:p>
        </w:tc>
      </w:tr>
      <w:tr>
        <w:tc>
          <w:tcPr>
            <w:tcW w:w="1356" w:type="dxa"/>
          </w:tcPr>
          <w:p>
            <w:pPr>
              <w:pStyle w:val="Compact"/>
              <w:spacing w:after="40"/>
              <w:jc w:val="left"/>
            </w:pPr>
            <w:r>
              <w:rPr>
                <w:rStyle w:val="VerbatimChar"/>
                <w:sz w:val="18"/>
              </w:rPr>
              <w:t xml:space="preserve">ratio_catalogue_v1</w:t>
            </w:r>
          </w:p>
        </w:tc>
        <w:tc>
          <w:tcPr>
            <w:tcW w:w="2522" w:type="dxa"/>
          </w:tcPr>
          <w:p>
            <w:pPr>
              <w:pStyle w:val="Compact"/>
              <w:spacing w:after="40"/>
              <w:jc w:val="left"/>
            </w:pPr>
            <w:r>
              <w:rPr>
                <w:sz w:val="18"/>
              </w:rPr>
              <w:t xml:space="preserve">FX → LDC, auditors, supervisors</w:t>
            </w:r>
          </w:p>
        </w:tc>
        <w:tc>
          <w:tcPr>
            <w:tcW w:w="4403" w:type="dxa"/>
          </w:tcPr>
          <w:p>
            <w:pPr>
              <w:pStyle w:val="Compact"/>
              <w:spacing w:after="40"/>
              <w:jc w:val="left"/>
            </w:pPr>
            <w:r>
              <w:rPr>
                <w:sz w:val="18"/>
              </w:rPr>
              <w:t xml:space="preserve">Metric definitions and versions: formula text, AST hash, numerator and denominator sources, applicability, thresholds by type, citations, status</w:t>
            </w:r>
          </w:p>
        </w:tc>
        <w:tc>
          <w:tcPr>
            <w:tcW w:w="1357" w:type="dxa"/>
          </w:tcPr>
          <w:p>
            <w:pPr>
              <w:pStyle w:val="Compact"/>
              <w:spacing w:after="40"/>
              <w:jc w:val="left"/>
            </w:pPr>
            <w:r>
              <w:rPr>
                <w:sz w:val="18"/>
              </w:rPr>
              <w:t xml:space="preserve">Finbyx RK6</w:t>
            </w:r>
          </w:p>
        </w:tc>
      </w:tr>
      <w:tr>
        <w:tc>
          <w:tcPr>
            <w:tcW w:w="1356" w:type="dxa"/>
          </w:tcPr>
          <w:p>
            <w:pPr>
              <w:pStyle w:val="Compact"/>
              <w:spacing w:after="40"/>
              <w:jc w:val="left"/>
            </w:pPr>
            <w:r>
              <w:rPr>
                <w:rStyle w:val="VerbatimChar"/>
                <w:sz w:val="18"/>
              </w:rPr>
              <w:t xml:space="preserve">member_register_v1</w:t>
            </w:r>
          </w:p>
        </w:tc>
        <w:tc>
          <w:tcPr>
            <w:tcW w:w="2522" w:type="dxa"/>
          </w:tcPr>
          <w:p>
            <w:pPr>
              <w:pStyle w:val="Compact"/>
              <w:spacing w:after="40"/>
              <w:jc w:val="left"/>
            </w:pPr>
            <w:r>
              <w:rPr>
                <w:sz w:val="18"/>
              </w:rPr>
              <w:t xml:space="preserve">Lender (FX IP2 or society system) → archive, Registrar and auditor packs, successor</w:t>
            </w:r>
          </w:p>
        </w:tc>
        <w:tc>
          <w:tcPr>
            <w:tcW w:w="4403" w:type="dxa"/>
          </w:tcPr>
          <w:p>
            <w:pPr>
              <w:pStyle w:val="Compact"/>
              <w:spacing w:after="40"/>
              <w:jc w:val="left"/>
            </w:pPr>
            <w:r>
              <w:rPr>
                <w:sz w:val="18"/>
              </w:rPr>
              <w:t xml:space="preserve">Member ref, class, status, admission and exit dates, nominee flag, borrowing eligibility, share holding</w:t>
            </w:r>
          </w:p>
        </w:tc>
        <w:tc>
          <w:tcPr>
            <w:tcW w:w="1357" w:type="dxa"/>
          </w:tcPr>
          <w:p>
            <w:pPr>
              <w:pStyle w:val="Compact"/>
              <w:spacing w:after="40"/>
              <w:jc w:val="left"/>
            </w:pPr>
            <w:r>
              <w:rPr>
                <w:sz w:val="18"/>
              </w:rPr>
              <w:t xml:space="preserve">Finbyx IP2.3</w:t>
            </w:r>
          </w:p>
        </w:tc>
      </w:tr>
      <w:tr>
        <w:tc>
          <w:tcPr>
            <w:tcW w:w="1356" w:type="dxa"/>
          </w:tcPr>
          <w:p>
            <w:pPr>
              <w:pStyle w:val="Compact"/>
              <w:spacing w:after="40"/>
              <w:jc w:val="left"/>
            </w:pPr>
            <w:r>
              <w:rPr>
                <w:rStyle w:val="VerbatimChar"/>
                <w:sz w:val="18"/>
              </w:rPr>
              <w:t xml:space="preserve">share_ledger_v1</w:t>
            </w:r>
          </w:p>
        </w:tc>
        <w:tc>
          <w:tcPr>
            <w:tcW w:w="2522" w:type="dxa"/>
          </w:tcPr>
          <w:p>
            <w:pPr>
              <w:pStyle w:val="Compact"/>
              <w:spacing w:after="40"/>
              <w:jc w:val="left"/>
            </w:pPr>
            <w:r>
              <w:rPr>
                <w:sz w:val="18"/>
              </w:rPr>
              <w:t xml:space="preserve">Lender → archive, auditors</w:t>
            </w:r>
          </w:p>
        </w:tc>
        <w:tc>
          <w:tcPr>
            <w:tcW w:w="4403" w:type="dxa"/>
          </w:tcPr>
          <w:p>
            <w:pPr>
              <w:pStyle w:val="Compact"/>
              <w:spacing w:after="40"/>
              <w:jc w:val="left"/>
            </w:pPr>
            <w:r>
              <w:rPr>
                <w:sz w:val="18"/>
              </w:rPr>
              <w:t xml:space="preserve">Share transactions: allotment, instalment, transfer, redemption, forfeiture, lien, dividend</w:t>
            </w:r>
          </w:p>
        </w:tc>
        <w:tc>
          <w:tcPr>
            <w:tcW w:w="1357" w:type="dxa"/>
          </w:tcPr>
          <w:p>
            <w:pPr>
              <w:pStyle w:val="Compact"/>
              <w:spacing w:after="40"/>
              <w:jc w:val="left"/>
            </w:pPr>
            <w:r>
              <w:rPr>
                <w:sz w:val="18"/>
              </w:rPr>
              <w:t xml:space="preserve">Finbyx IP2.4</w:t>
            </w:r>
          </w:p>
        </w:tc>
      </w:tr>
      <w:tr>
        <w:tc>
          <w:tcPr>
            <w:tcW w:w="1356" w:type="dxa"/>
          </w:tcPr>
          <w:p>
            <w:pPr>
              <w:pStyle w:val="Compact"/>
              <w:spacing w:after="40"/>
              <w:jc w:val="left"/>
            </w:pPr>
            <w:r>
              <w:rPr>
                <w:rStyle w:val="VerbatimChar"/>
                <w:sz w:val="18"/>
              </w:rPr>
              <w:t xml:space="preserve">jlg_group_v1</w:t>
            </w:r>
          </w:p>
        </w:tc>
        <w:tc>
          <w:tcPr>
            <w:tcW w:w="2522" w:type="dxa"/>
          </w:tcPr>
          <w:p>
            <w:pPr>
              <w:pStyle w:val="Compact"/>
              <w:spacing w:after="40"/>
              <w:jc w:val="left"/>
            </w:pPr>
            <w:r>
              <w:rPr>
                <w:sz w:val="18"/>
              </w:rPr>
              <w:t xml:space="preserve">Lender → UD (own groups), archive</w:t>
            </w:r>
          </w:p>
        </w:tc>
        <w:tc>
          <w:tcPr>
            <w:tcW w:w="4403" w:type="dxa"/>
          </w:tcPr>
          <w:p>
            <w:pPr>
              <w:pStyle w:val="Compact"/>
              <w:spacing w:after="40"/>
              <w:jc w:val="left"/>
            </w:pPr>
            <w:r>
              <w:rPr>
                <w:sz w:val="18"/>
              </w:rPr>
              <w:t xml:space="preserve">Groups, centres, member mapping, group and member states, meeting schedule and designated place</w:t>
            </w:r>
          </w:p>
        </w:tc>
        <w:tc>
          <w:tcPr>
            <w:tcW w:w="1357" w:type="dxa"/>
          </w:tcPr>
          <w:p>
            <w:pPr>
              <w:pStyle w:val="Compact"/>
              <w:spacing w:after="40"/>
              <w:jc w:val="left"/>
            </w:pPr>
            <w:r>
              <w:rPr>
                <w:sz w:val="18"/>
              </w:rPr>
              <w:t xml:space="preserve">Finbyx IP4; Udofin MG2</w:t>
            </w:r>
          </w:p>
        </w:tc>
      </w:tr>
      <w:tr>
        <w:tc>
          <w:tcPr>
            <w:tcW w:w="1356" w:type="dxa"/>
          </w:tcPr>
          <w:p>
            <w:pPr>
              <w:pStyle w:val="Compact"/>
              <w:spacing w:after="40"/>
              <w:jc w:val="left"/>
            </w:pPr>
            <w:r>
              <w:rPr>
                <w:rStyle w:val="VerbatimChar"/>
                <w:sz w:val="18"/>
              </w:rPr>
              <w:t xml:space="preserve">investment_position_v1</w:t>
            </w:r>
          </w:p>
        </w:tc>
        <w:tc>
          <w:tcPr>
            <w:tcW w:w="2522" w:type="dxa"/>
          </w:tcPr>
          <w:p>
            <w:pPr>
              <w:pStyle w:val="Compact"/>
              <w:spacing w:after="40"/>
              <w:jc w:val="left"/>
            </w:pPr>
            <w:r>
              <w:rPr>
                <w:sz w:val="18"/>
              </w:rPr>
              <w:t xml:space="preserve">FX → investor tenants (look-through profile), archive, auditors</w:t>
            </w:r>
          </w:p>
        </w:tc>
        <w:tc>
          <w:tcPr>
            <w:tcW w:w="4403" w:type="dxa"/>
          </w:tcPr>
          <w:p>
            <w:pPr>
              <w:pStyle w:val="Compact"/>
              <w:spacing w:after="40"/>
              <w:jc w:val="left"/>
            </w:pPr>
            <w:r>
              <w:rPr>
                <w:sz w:val="18"/>
              </w:rPr>
              <w:t xml:space="preserve">Positions: ISIN, category, classification, quantity, cost, fair value and level, method, price source, as_of; look-through profile adds investee PAN or CIN and instrument type (RBI-AIF para 6)</w:t>
            </w:r>
          </w:p>
        </w:tc>
        <w:tc>
          <w:tcPr>
            <w:tcW w:w="1357" w:type="dxa"/>
          </w:tcPr>
          <w:p>
            <w:pPr>
              <w:pStyle w:val="Compact"/>
              <w:spacing w:after="40"/>
              <w:jc w:val="left"/>
            </w:pPr>
            <w:r>
              <w:rPr>
                <w:sz w:val="18"/>
              </w:rPr>
              <w:t xml:space="preserve">Finbyx IV5, IV6</w:t>
            </w:r>
          </w:p>
        </w:tc>
      </w:tr>
      <w:tr>
        <w:tc>
          <w:tcPr>
            <w:tcW w:w="1356" w:type="dxa"/>
          </w:tcPr>
          <w:p>
            <w:pPr>
              <w:pStyle w:val="Compact"/>
              <w:spacing w:after="40"/>
              <w:jc w:val="left"/>
            </w:pPr>
            <w:r>
              <w:rPr>
                <w:rStyle w:val="VerbatimChar"/>
                <w:sz w:val="18"/>
              </w:rPr>
              <w:t xml:space="preserve">sr_register_v1</w:t>
            </w:r>
          </w:p>
        </w:tc>
        <w:tc>
          <w:tcPr>
            <w:tcW w:w="2522" w:type="dxa"/>
          </w:tcPr>
          <w:p>
            <w:pPr>
              <w:pStyle w:val="Compact"/>
              <w:spacing w:after="40"/>
              <w:jc w:val="left"/>
            </w:pPr>
            <w:r>
              <w:rPr>
                <w:sz w:val="18"/>
              </w:rPr>
              <w:t xml:space="preserve">ARC (FX IP5) → SR holders, auditors, archive</w:t>
            </w:r>
          </w:p>
        </w:tc>
        <w:tc>
          <w:tcPr>
            <w:tcW w:w="4403" w:type="dxa"/>
          </w:tcPr>
          <w:p>
            <w:pPr>
              <w:pStyle w:val="Compact"/>
              <w:spacing w:after="40"/>
              <w:jc w:val="left"/>
            </w:pPr>
            <w:r>
              <w:rPr>
                <w:sz w:val="18"/>
              </w:rPr>
              <w:t xml:space="preserve">ISIN, scheme, class, face value, units, QB holder ref, transfers, NAV, rating and redemption history</w:t>
            </w:r>
          </w:p>
        </w:tc>
        <w:tc>
          <w:tcPr>
            <w:tcW w:w="1357" w:type="dxa"/>
          </w:tcPr>
          <w:p>
            <w:pPr>
              <w:pStyle w:val="Compact"/>
              <w:spacing w:after="40"/>
              <w:jc w:val="left"/>
            </w:pPr>
            <w:r>
              <w:rPr>
                <w:sz w:val="18"/>
              </w:rPr>
              <w:t xml:space="preserve">Finbyx IP5.3</w:t>
            </w:r>
          </w:p>
        </w:tc>
      </w:tr>
      <w:tr>
        <w:tc>
          <w:tcPr>
            <w:tcW w:w="1356" w:type="dxa"/>
          </w:tcPr>
          <w:p>
            <w:pPr>
              <w:pStyle w:val="Compact"/>
              <w:spacing w:after="40"/>
              <w:jc w:val="left"/>
            </w:pPr>
            <w:r>
              <w:rPr>
                <w:rStyle w:val="VerbatimChar"/>
                <w:sz w:val="18"/>
              </w:rPr>
              <w:t xml:space="preserve">servicer_report_v1</w:t>
            </w:r>
          </w:p>
        </w:tc>
        <w:tc>
          <w:tcPr>
            <w:tcW w:w="2522" w:type="dxa"/>
          </w:tcPr>
          <w:p>
            <w:pPr>
              <w:pStyle w:val="Compact"/>
              <w:spacing w:after="40"/>
              <w:jc w:val="left"/>
            </w:pPr>
            <w:r>
              <w:rPr>
                <w:sz w:val="18"/>
              </w:rPr>
              <w:t xml:space="preserve">Servicer (FX IV7) → trustee, investors, CRAs</w:t>
            </w:r>
          </w:p>
        </w:tc>
        <w:tc>
          <w:tcPr>
            <w:tcW w:w="4403" w:type="dxa"/>
          </w:tcPr>
          <w:p>
            <w:pPr>
              <w:pStyle w:val="Compact"/>
              <w:spacing w:after="40"/>
              <w:jc w:val="left"/>
            </w:pPr>
            <w:r>
              <w:rPr>
                <w:sz w:val="18"/>
              </w:rPr>
              <w:t xml:space="preserve">Monthly servicer report and SEC disclosures: scheduled, prepaid and overdue amounts, fees, delinquencies, deficiency ledgers, trigger status</w:t>
            </w:r>
          </w:p>
        </w:tc>
        <w:tc>
          <w:tcPr>
            <w:tcW w:w="1357" w:type="dxa"/>
          </w:tcPr>
          <w:p>
            <w:pPr>
              <w:pStyle w:val="Compact"/>
              <w:spacing w:after="40"/>
              <w:jc w:val="left"/>
            </w:pPr>
            <w:r>
              <w:rPr>
                <w:sz w:val="18"/>
              </w:rPr>
              <w:t xml:space="preserve">Finbyx IV7.5</w:t>
            </w:r>
          </w:p>
        </w:tc>
      </w:tr>
      <w:tr>
        <w:tc>
          <w:tcPr>
            <w:tcW w:w="1356" w:type="dxa"/>
          </w:tcPr>
          <w:p>
            <w:pPr>
              <w:pStyle w:val="Compact"/>
              <w:spacing w:after="40"/>
              <w:jc w:val="left"/>
            </w:pPr>
            <w:r>
              <w:rPr>
                <w:rStyle w:val="VerbatimChar"/>
                <w:sz w:val="18"/>
              </w:rPr>
              <w:t xml:space="preserve">archive_manifest_v1</w:t>
            </w:r>
          </w:p>
        </w:tc>
        <w:tc>
          <w:tcPr>
            <w:tcW w:w="2522" w:type="dxa"/>
          </w:tcPr>
          <w:p>
            <w:pPr>
              <w:pStyle w:val="Compact"/>
              <w:spacing w:after="40"/>
              <w:jc w:val="left"/>
            </w:pPr>
            <w:r>
              <w:rPr>
                <w:sz w:val="18"/>
              </w:rPr>
              <w:t xml:space="preserve">FX, UD → archive recipients</w:t>
            </w:r>
          </w:p>
        </w:tc>
        <w:tc>
          <w:tcPr>
            <w:tcW w:w="4403" w:type="dxa"/>
          </w:tcPr>
          <w:p>
            <w:pPr>
              <w:pStyle w:val="Compact"/>
              <w:spacing w:after="40"/>
              <w:jc w:val="left"/>
            </w:pPr>
            <w:r>
              <w:rPr>
                <w:rStyle w:val="VerbatimChar"/>
                <w:sz w:val="18"/>
              </w:rPr>
              <w:t xml:space="preserve">export-manifest.csv</w:t>
            </w:r>
            <w:r>
              <w:rPr>
                <w:sz w:val="18"/>
              </w:rPr>
              <w:t xml:space="preserve"> </w:t>
            </w:r>
            <w:r>
              <w:rPr>
                <w:sz w:val="18"/>
              </w:rPr>
              <w:t xml:space="preserve">and</w:t>
            </w:r>
            <w:r>
              <w:rPr>
                <w:sz w:val="18"/>
              </w:rPr>
              <w:t xml:space="preserve"> </w:t>
            </w:r>
            <w:r>
              <w:rPr>
                <w:rStyle w:val="VerbatimChar"/>
                <w:sz w:val="18"/>
              </w:rPr>
              <w:t xml:space="preserve">manifest.json</w:t>
            </w:r>
            <w:r>
              <w:rPr>
                <w:sz w:val="18"/>
              </w:rPr>
              <w:t xml:space="preserve"> </w:t>
            </w:r>
            <w:r>
              <w:rPr>
                <w:sz w:val="18"/>
              </w:rPr>
              <w:t xml:space="preserve">per 12.1</w:t>
            </w:r>
          </w:p>
        </w:tc>
        <w:tc>
          <w:tcPr>
            <w:tcW w:w="1357" w:type="dxa"/>
          </w:tcPr>
          <w:p>
            <w:pPr>
              <w:pStyle w:val="Compact"/>
              <w:spacing w:after="40"/>
              <w:jc w:val="left"/>
            </w:pPr>
            <w:r>
              <w:rPr>
                <w:sz w:val="18"/>
              </w:rPr>
              <w:t xml:space="preserve">12.1</w:t>
            </w:r>
          </w:p>
        </w:tc>
      </w:tr>
      <w:tr>
        <w:tc>
          <w:tcPr>
            <w:tcW w:w="1356" w:type="dxa"/>
          </w:tcPr>
          <w:p>
            <w:pPr>
              <w:pStyle w:val="Compact"/>
              <w:spacing w:after="40"/>
              <w:jc w:val="left"/>
            </w:pPr>
            <w:r>
              <w:rPr>
                <w:rStyle w:val="VerbatimChar"/>
                <w:sz w:val="18"/>
              </w:rPr>
              <w:t xml:space="preserve">usage_aggregate_v1</w:t>
            </w:r>
          </w:p>
        </w:tc>
        <w:tc>
          <w:tcPr>
            <w:tcW w:w="2522" w:type="dxa"/>
          </w:tcPr>
          <w:p>
            <w:pPr>
              <w:pStyle w:val="Compact"/>
              <w:spacing w:after="40"/>
              <w:jc w:val="left"/>
            </w:pPr>
            <w:r>
              <w:rPr>
                <w:sz w:val="18"/>
              </w:rPr>
              <w:t xml:space="preserve">FX, UD → OH</w:t>
            </w:r>
          </w:p>
        </w:tc>
        <w:tc>
          <w:tcPr>
            <w:tcW w:w="4403" w:type="dxa"/>
          </w:tcPr>
          <w:p>
            <w:pPr>
              <w:pStyle w:val="Compact"/>
              <w:spacing w:after="40"/>
              <w:jc w:val="left"/>
            </w:pPr>
            <w:r>
              <w:rPr>
                <w:sz w:val="18"/>
              </w:rPr>
              <w:t xml:space="preserve">Tenant, legal entity, meter,</w:t>
            </w:r>
            <w:r>
              <w:rPr>
                <w:sz w:val="18"/>
              </w:rPr>
              <w:t xml:space="preserve"> </w:t>
            </w:r>
            <w:r>
              <w:rPr>
                <w:rStyle w:val="VerbatimChar"/>
                <w:sz w:val="18"/>
              </w:rPr>
              <w:t xml:space="preserve">meter_kind</w:t>
            </w:r>
            <w:r>
              <w:rPr>
                <w:sz w:val="18"/>
              </w:rPr>
              <w:t xml:space="preserve">, period, quantity, statement hash; no record ids</w:t>
            </w:r>
          </w:p>
        </w:tc>
        <w:tc>
          <w:tcPr>
            <w:tcW w:w="1357" w:type="dxa"/>
          </w:tcPr>
          <w:p>
            <w:pPr>
              <w:pStyle w:val="Compact"/>
              <w:spacing w:after="40"/>
              <w:jc w:val="left"/>
            </w:pPr>
            <w:r>
              <w:rPr>
                <w:sz w:val="18"/>
              </w:rPr>
              <w:t xml:space="preserve">Finbyx CM3; Udofin RV1</w:t>
            </w:r>
          </w:p>
        </w:tc>
      </w:tr>
      <w:tr>
        <w:tc>
          <w:tcPr>
            <w:tcW w:w="1356" w:type="dxa"/>
          </w:tcPr>
          <w:p>
            <w:pPr>
              <w:pStyle w:val="Compact"/>
              <w:spacing w:after="40"/>
              <w:jc w:val="left"/>
            </w:pPr>
            <w:r>
              <w:rPr>
                <w:rStyle w:val="VerbatimChar"/>
                <w:sz w:val="18"/>
              </w:rPr>
              <w:t xml:space="preserve">deal_config_v1</w:t>
            </w:r>
          </w:p>
        </w:tc>
        <w:tc>
          <w:tcPr>
            <w:tcW w:w="2522" w:type="dxa"/>
          </w:tcPr>
          <w:p>
            <w:pPr>
              <w:pStyle w:val="Compact"/>
              <w:spacing w:after="40"/>
              <w:jc w:val="left"/>
            </w:pPr>
            <w:r>
              <w:rPr>
                <w:sz w:val="18"/>
              </w:rPr>
              <w:t xml:space="preserve">UD → RE system</w:t>
            </w:r>
          </w:p>
        </w:tc>
        <w:tc>
          <w:tcPr>
            <w:tcW w:w="4403" w:type="dxa"/>
          </w:tcPr>
          <w:p>
            <w:pPr>
              <w:pStyle w:val="Compact"/>
              <w:spacing w:after="40"/>
              <w:jc w:val="left"/>
            </w:pPr>
            <w:r>
              <w:rPr>
                <w:sz w:val="18"/>
              </w:rPr>
              <w:t xml:space="preserve">Deal configuration version: sections (products, channels, states, journeys, rule versions, storage target) without commercial terms; diff and impact analysis refs; approvals</w:t>
            </w:r>
          </w:p>
        </w:tc>
        <w:tc>
          <w:tcPr>
            <w:tcW w:w="1357" w:type="dxa"/>
          </w:tcPr>
          <w:p>
            <w:pPr>
              <w:pStyle w:val="Compact"/>
              <w:spacing w:after="40"/>
              <w:jc w:val="left"/>
            </w:pPr>
            <w:r>
              <w:rPr>
                <w:sz w:val="18"/>
              </w:rPr>
              <w:t xml:space="preserve">Udofin UP2</w:t>
            </w:r>
          </w:p>
        </w:tc>
      </w:tr>
      <w:tr>
        <w:tc>
          <w:tcPr>
            <w:tcW w:w="1356" w:type="dxa"/>
          </w:tcPr>
          <w:p>
            <w:pPr>
              <w:pStyle w:val="Compact"/>
              <w:spacing w:after="40"/>
              <w:jc w:val="left"/>
            </w:pPr>
            <w:r>
              <w:rPr>
                <w:rStyle w:val="VerbatimChar"/>
                <w:sz w:val="18"/>
              </w:rPr>
              <w:t xml:space="preserve">re_audit_pack_v1</w:t>
            </w:r>
          </w:p>
        </w:tc>
        <w:tc>
          <w:tcPr>
            <w:tcW w:w="2522" w:type="dxa"/>
          </w:tcPr>
          <w:p>
            <w:pPr>
              <w:pStyle w:val="Compact"/>
              <w:spacing w:after="40"/>
              <w:jc w:val="left"/>
            </w:pPr>
            <w:r>
              <w:rPr>
                <w:sz w:val="18"/>
              </w:rPr>
              <w:t xml:space="preserve">UD → RE, its auditors, RBI through RA2</w:t>
            </w:r>
          </w:p>
        </w:tc>
        <w:tc>
          <w:tcPr>
            <w:tcW w:w="4403" w:type="dxa"/>
          </w:tcPr>
          <w:p>
            <w:pPr>
              <w:pStyle w:val="Compact"/>
              <w:spacing w:after="40"/>
              <w:jc w:val="left"/>
            </w:pPr>
            <w:r>
              <w:rPr>
                <w:sz w:val="18"/>
              </w:rPr>
              <w:t xml:space="preserve">Folder profile for packs P1–P10 with manifest, README and reconciliation workbook</w:t>
            </w:r>
          </w:p>
        </w:tc>
        <w:tc>
          <w:tcPr>
            <w:tcW w:w="1357" w:type="dxa"/>
          </w:tcPr>
          <w:p>
            <w:pPr>
              <w:pStyle w:val="Compact"/>
              <w:spacing w:after="40"/>
              <w:jc w:val="left"/>
            </w:pPr>
            <w:r>
              <w:rPr>
                <w:sz w:val="18"/>
              </w:rPr>
              <w:t xml:space="preserve">Udofin UP3</w:t>
            </w:r>
          </w:p>
        </w:tc>
      </w:tr>
    </w:tbl>
    <w:p>
      <w:r>
        <w:pict>
          <v:rect style="width:0;height:1.5pt" o:hralign="center" o:hrstd="t" o:hr="t"/>
        </w:pict>
      </w:r>
    </w:p>
    <w:bookmarkEnd w:id="111"/>
    <w:bookmarkEnd w:id="112"/>
    <w:bookmarkStart w:id="116" w:name="security-privacy-and-audit"/>
    <w:p>
      <w:pPr>
        <w:pStyle w:val="Heading1"/>
      </w:pPr>
      <w:r>
        <w:t xml:space="preserve">13 — SECURITY, PRIVACY AND AUDIT</w:t>
      </w:r>
    </w:p>
    <w:bookmarkStart w:id="113" w:name="legal-baseline"/>
    <w:p>
      <w:pPr>
        <w:pStyle w:val="Heading2"/>
      </w:pPr>
      <w:r>
        <w:t xml:space="preserve">13.1 Legal baseline</w:t>
      </w:r>
    </w:p>
    <w:p>
      <w:pPr>
        <w:pStyle w:val="FirstParagraph"/>
      </w:pPr>
      <w:r>
        <w:t xml:space="preserve">DPDP Act 2023 and Rules 2025 (notified 14 Nov 2025, phased over 12–18 months) apply alongside RBI rules, the stricter prevailing [VERIFY: commencement per provision]; each product records its fiduciary or processor role per purpose. RBI digital-lending data rules (CF paras 13–15) and outsourcing and cyber rules (OUT paras 28, 34, 61, 74, 81, 97(vii)(b); CYB paras 119–120) are implemented through Parts 2, 3 and 6; each product also meets its own CERT-In reporting duties [VERIFY: timelines]. From v1.1 the baseline adds: DPDP core duties from 13 May 2027 [VERIFY: commencement notification]; the CERT-In Directions of 28 April 2022 (6-hour reporting, 180-day logs in India) for every group company including the Operations Hub; CICRA 2005 and the CIC Rules and Regulations 2006 for bureau data; the Companies Act 2013 and Companies (Accounts) Rules r.3 for books of account and their audit trail; the four Labour Codes (in force 21 November 2025) for HR data; the Income-tax Act 2025 (in force 1 April 2026); IRDAI regulations for insurance data handled by Udofin; and BCI Rule 36 for the professional directory.</w:t>
      </w:r>
    </w:p>
    <w:bookmarkEnd w:id="113"/>
    <w:bookmarkStart w:id="114" w:name="data-classification-per-field"/>
    <w:p>
      <w:pPr>
        <w:pStyle w:val="Heading2"/>
      </w:pPr>
      <w:r>
        <w:t xml:space="preserve">13.2 Data classification per field</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381"/>
        <w:gridCol w:w="3831"/>
        <w:gridCol w:w="4426"/>
      </w:tblGrid>
      <w:tr>
        <w:trPr>
          <w:tblHeader w:val="true"/>
          <w:tblHeader w:val="true"/>
        </w:trPr>
        <w:tc>
          <w:tcPr>
            <w:tcW w:w="1381" w:type="dxa"/>
            <w:shd w:val="clear" w:color="auto" w:fill="1F3A5F"/>
          </w:tcPr>
          <w:p>
            <w:pPr>
              <w:pStyle w:val="Compact"/>
              <w:spacing w:after="40"/>
              <w:jc w:val="left"/>
            </w:pPr>
            <w:r>
              <w:rPr>
                <w:b/>
                <w:color w:val="FFFFFF"/>
                <w:sz w:val="18"/>
              </w:rPr>
              <w:t xml:space="preserve">Class</w:t>
            </w:r>
          </w:p>
        </w:tc>
        <w:tc>
          <w:tcPr>
            <w:tcW w:w="3831" w:type="dxa"/>
            <w:shd w:val="clear" w:color="auto" w:fill="1F3A5F"/>
          </w:tcPr>
          <w:p>
            <w:pPr>
              <w:pStyle w:val="Compact"/>
              <w:spacing w:after="40"/>
              <w:jc w:val="left"/>
            </w:pPr>
            <w:r>
              <w:rPr>
                <w:b/>
                <w:color w:val="FFFFFF"/>
                <w:sz w:val="18"/>
              </w:rPr>
              <w:t xml:space="preserve">Examples</w:t>
            </w:r>
          </w:p>
        </w:tc>
        <w:tc>
          <w:tcPr>
            <w:tcW w:w="4426" w:type="dxa"/>
            <w:shd w:val="clear" w:color="auto" w:fill="1F3A5F"/>
          </w:tcPr>
          <w:p>
            <w:pPr>
              <w:pStyle w:val="Compact"/>
              <w:spacing w:after="40"/>
              <w:jc w:val="left"/>
            </w:pPr>
            <w:r>
              <w:rPr>
                <w:b/>
                <w:color w:val="FFFFFF"/>
                <w:sz w:val="18"/>
              </w:rPr>
              <w:t xml:space="preserve">Handling</w:t>
            </w:r>
          </w:p>
        </w:tc>
      </w:tr>
      <w:tr>
        <w:tc>
          <w:tcPr>
            <w:tcW w:w="1381" w:type="dxa"/>
          </w:tcPr>
          <w:p>
            <w:pPr>
              <w:pStyle w:val="Compact"/>
              <w:spacing w:after="40"/>
              <w:jc w:val="left"/>
            </w:pPr>
            <w:r>
              <w:rPr>
                <w:rStyle w:val="VerbatimChar"/>
                <w:sz w:val="18"/>
              </w:rPr>
              <w:t xml:space="preserve">PUBLIC</w:t>
            </w:r>
            <w:r>
              <w:rPr>
                <w:sz w:val="18"/>
              </w:rPr>
              <w:t xml:space="preserve">,</w:t>
            </w:r>
            <w:r>
              <w:rPr>
                <w:sz w:val="18"/>
              </w:rPr>
              <w:t xml:space="preserve"> </w:t>
            </w:r>
            <w:r>
              <w:rPr>
                <w:rStyle w:val="VerbatimChar"/>
                <w:sz w:val="18"/>
              </w:rPr>
              <w:t xml:space="preserve">INTERNAL</w:t>
            </w:r>
          </w:p>
        </w:tc>
        <w:tc>
          <w:tcPr>
            <w:tcW w:w="3831" w:type="dxa"/>
          </w:tcPr>
          <w:p>
            <w:pPr>
              <w:pStyle w:val="Compact"/>
              <w:spacing w:after="40"/>
              <w:jc w:val="left"/>
            </w:pPr>
            <w:r>
              <w:rPr>
                <w:sz w:val="18"/>
              </w:rPr>
              <w:t xml:space="preserve">Disclosures; configuration, aggregates</w:t>
            </w:r>
          </w:p>
        </w:tc>
        <w:tc>
          <w:tcPr>
            <w:tcW w:w="4426" w:type="dxa"/>
          </w:tcPr>
          <w:p>
            <w:pPr>
              <w:pStyle w:val="Compact"/>
              <w:spacing w:after="40"/>
              <w:jc w:val="left"/>
            </w:pPr>
            <w:r>
              <w:rPr>
                <w:sz w:val="18"/>
              </w:rPr>
              <w:t xml:space="preserve">None; authenticated</w:t>
            </w:r>
          </w:p>
        </w:tc>
      </w:tr>
      <w:tr>
        <w:tc>
          <w:tcPr>
            <w:tcW w:w="1381" w:type="dxa"/>
          </w:tcPr>
          <w:p>
            <w:pPr>
              <w:pStyle w:val="Compact"/>
              <w:spacing w:after="40"/>
              <w:jc w:val="left"/>
            </w:pPr>
            <w:r>
              <w:rPr>
                <w:rStyle w:val="VerbatimChar"/>
                <w:sz w:val="18"/>
              </w:rPr>
              <w:t xml:space="preserve">CONFIDENTIAL</w:t>
            </w:r>
          </w:p>
        </w:tc>
        <w:tc>
          <w:tcPr>
            <w:tcW w:w="3831" w:type="dxa"/>
          </w:tcPr>
          <w:p>
            <w:pPr>
              <w:pStyle w:val="Compact"/>
              <w:spacing w:after="40"/>
              <w:jc w:val="left"/>
            </w:pPr>
            <w:r>
              <w:rPr>
                <w:sz w:val="18"/>
              </w:rPr>
              <w:t xml:space="preserve">Settlement mandates, selection logs, commercial terms</w:t>
            </w:r>
          </w:p>
        </w:tc>
        <w:tc>
          <w:tcPr>
            <w:tcW w:w="4426" w:type="dxa"/>
          </w:tcPr>
          <w:p>
            <w:pPr>
              <w:pStyle w:val="Compact"/>
              <w:spacing w:after="40"/>
              <w:jc w:val="left"/>
            </w:pPr>
            <w:r>
              <w:rPr>
                <w:sz w:val="18"/>
              </w:rPr>
              <w:t xml:space="preserve">Need-to-know, encrypted</w:t>
            </w:r>
          </w:p>
        </w:tc>
      </w:tr>
      <w:tr>
        <w:tc>
          <w:tcPr>
            <w:tcW w:w="1381" w:type="dxa"/>
          </w:tcPr>
          <w:p>
            <w:pPr>
              <w:pStyle w:val="Compact"/>
              <w:spacing w:after="40"/>
              <w:jc w:val="left"/>
            </w:pPr>
            <w:r>
              <w:rPr>
                <w:rStyle w:val="VerbatimChar"/>
                <w:sz w:val="18"/>
              </w:rPr>
              <w:t xml:space="preserve">PII</w:t>
            </w:r>
          </w:p>
        </w:tc>
        <w:tc>
          <w:tcPr>
            <w:tcW w:w="3831" w:type="dxa"/>
          </w:tcPr>
          <w:p>
            <w:pPr>
              <w:pStyle w:val="Compact"/>
              <w:spacing w:after="40"/>
              <w:jc w:val="left"/>
            </w:pPr>
            <w:r>
              <w:rPr>
                <w:sz w:val="18"/>
              </w:rPr>
              <w:t xml:space="preserve">Name, contact, address, masked ids</w:t>
            </w:r>
          </w:p>
        </w:tc>
        <w:tc>
          <w:tcPr>
            <w:tcW w:w="4426" w:type="dxa"/>
          </w:tcPr>
          <w:p>
            <w:pPr>
              <w:pStyle w:val="Compact"/>
              <w:spacing w:after="40"/>
              <w:jc w:val="left"/>
            </w:pPr>
            <w:r>
              <w:rPr>
                <w:sz w:val="18"/>
              </w:rPr>
              <w:t xml:space="preserve">Consent or legal basis; role masking; never logged</w:t>
            </w:r>
          </w:p>
        </w:tc>
      </w:tr>
      <w:tr>
        <w:tc>
          <w:tcPr>
            <w:tcW w:w="1381" w:type="dxa"/>
          </w:tcPr>
          <w:p>
            <w:pPr>
              <w:pStyle w:val="Compact"/>
              <w:spacing w:after="40"/>
              <w:jc w:val="left"/>
            </w:pPr>
            <w:r>
              <w:rPr>
                <w:rStyle w:val="VerbatimChar"/>
                <w:sz w:val="18"/>
              </w:rPr>
              <w:t xml:space="preserve">SPI</w:t>
            </w:r>
          </w:p>
        </w:tc>
        <w:tc>
          <w:tcPr>
            <w:tcW w:w="3831" w:type="dxa"/>
          </w:tcPr>
          <w:p>
            <w:pPr>
              <w:pStyle w:val="Compact"/>
              <w:spacing w:after="40"/>
              <w:jc w:val="left"/>
            </w:pPr>
            <w:r>
              <w:rPr>
                <w:sz w:val="18"/>
              </w:rPr>
              <w:t xml:space="preserve">Clear PAN or account, KYC images, V-CIP recordings, health data</w:t>
            </w:r>
          </w:p>
        </w:tc>
        <w:tc>
          <w:tcPr>
            <w:tcW w:w="4426" w:type="dxa"/>
          </w:tcPr>
          <w:p>
            <w:pPr>
              <w:pStyle w:val="Compact"/>
              <w:spacing w:after="40"/>
              <w:jc w:val="left"/>
            </w:pPr>
            <w:r>
              <w:rPr>
                <w:sz w:val="18"/>
              </w:rPr>
              <w:t xml:space="preserve">Field encryption; RE-scoped vault; RE only</w:t>
            </w:r>
          </w:p>
        </w:tc>
      </w:tr>
      <w:tr>
        <w:tc>
          <w:tcPr>
            <w:tcW w:w="1381" w:type="dxa"/>
          </w:tcPr>
          <w:p>
            <w:pPr>
              <w:pStyle w:val="Compact"/>
              <w:spacing w:after="40"/>
              <w:jc w:val="left"/>
            </w:pPr>
            <w:r>
              <w:rPr>
                <w:rStyle w:val="VerbatimChar"/>
                <w:sz w:val="18"/>
              </w:rPr>
              <w:t xml:space="preserve">FINANCIAL</w:t>
            </w:r>
          </w:p>
        </w:tc>
        <w:tc>
          <w:tcPr>
            <w:tcW w:w="3831" w:type="dxa"/>
          </w:tcPr>
          <w:p>
            <w:pPr>
              <w:pStyle w:val="Compact"/>
              <w:spacing w:after="40"/>
              <w:jc w:val="left"/>
            </w:pPr>
            <w:r>
              <w:rPr>
                <w:sz w:val="18"/>
              </w:rPr>
              <w:t xml:space="preserve">Balances, payments, classification</w:t>
            </w:r>
          </w:p>
        </w:tc>
        <w:tc>
          <w:tcPr>
            <w:tcW w:w="4426" w:type="dxa"/>
          </w:tcPr>
          <w:p>
            <w:pPr>
              <w:pStyle w:val="Compact"/>
              <w:spacing w:after="40"/>
              <w:jc w:val="left"/>
            </w:pPr>
            <w:r>
              <w:rPr>
                <w:sz w:val="18"/>
              </w:rPr>
              <w:t xml:space="preserve">RE and authorised projections</w:t>
            </w:r>
          </w:p>
        </w:tc>
      </w:tr>
      <w:tr>
        <w:tc>
          <w:tcPr>
            <w:tcW w:w="1381" w:type="dxa"/>
          </w:tcPr>
          <w:p>
            <w:pPr>
              <w:pStyle w:val="Compact"/>
              <w:spacing w:after="40"/>
              <w:jc w:val="left"/>
            </w:pPr>
            <w:r>
              <w:rPr>
                <w:rStyle w:val="VerbatimChar"/>
                <w:sz w:val="18"/>
              </w:rPr>
              <w:t xml:space="preserve">LEGAL</w:t>
            </w:r>
          </w:p>
        </w:tc>
        <w:tc>
          <w:tcPr>
            <w:tcW w:w="3831" w:type="dxa"/>
          </w:tcPr>
          <w:p>
            <w:pPr>
              <w:pStyle w:val="Compact"/>
              <w:spacing w:after="40"/>
              <w:jc w:val="left"/>
            </w:pPr>
            <w:r>
              <w:rPr>
                <w:sz w:val="18"/>
              </w:rPr>
              <w:t xml:space="preserve">Notices, pleadings, orders, awards, privileged advice</w:t>
            </w:r>
          </w:p>
        </w:tc>
        <w:tc>
          <w:tcPr>
            <w:tcW w:w="4426" w:type="dxa"/>
          </w:tcPr>
          <w:p>
            <w:pPr>
              <w:pStyle w:val="Compact"/>
              <w:spacing w:after="40"/>
              <w:jc w:val="left"/>
            </w:pPr>
            <w:r>
              <w:rPr>
                <w:sz w:val="18"/>
              </w:rPr>
              <w:t xml:space="preserve">Legal-hold aware; privileged material leaves RS only with counsel approval</w:t>
            </w:r>
          </w:p>
        </w:tc>
      </w:tr>
      <w:tr>
        <w:tc>
          <w:tcPr>
            <w:tcW w:w="1381" w:type="dxa"/>
          </w:tcPr>
          <w:p>
            <w:pPr>
              <w:pStyle w:val="Compact"/>
              <w:spacing w:after="40"/>
              <w:jc w:val="left"/>
            </w:pPr>
            <w:r>
              <w:rPr>
                <w:rStyle w:val="VerbatimChar"/>
                <w:sz w:val="18"/>
              </w:rPr>
              <w:t xml:space="preserve">HR</w:t>
            </w:r>
          </w:p>
        </w:tc>
        <w:tc>
          <w:tcPr>
            <w:tcW w:w="3831" w:type="dxa"/>
          </w:tcPr>
          <w:p>
            <w:pPr>
              <w:pStyle w:val="Compact"/>
              <w:spacing w:after="40"/>
              <w:jc w:val="left"/>
            </w:pPr>
            <w:r>
              <w:rPr>
                <w:sz w:val="18"/>
              </w:rPr>
              <w:t xml:space="preserve">Employee master, payroll, attendance, leave, appraisal, disciplinary and health-related HR records (tenant GV6 or Hub OH10)</w:t>
            </w:r>
          </w:p>
        </w:tc>
        <w:tc>
          <w:tcPr>
            <w:tcW w:w="4426" w:type="dxa"/>
          </w:tcPr>
          <w:p>
            <w:pPr>
              <w:pStyle w:val="Compact"/>
              <w:spacing w:after="40"/>
              <w:jc w:val="left"/>
            </w:pPr>
            <w:r>
              <w:rPr>
                <w:sz w:val="18"/>
              </w:rPr>
              <w:t xml:space="preserve">Employer system only; restricted archive folder (12.1); never sent from a tenant to the Operations Hub, never visible to loan-side roles, never used for AI training</w:t>
            </w:r>
          </w:p>
        </w:tc>
      </w:tr>
      <w:tr>
        <w:tc>
          <w:tcPr>
            <w:tcW w:w="1381" w:type="dxa"/>
          </w:tcPr>
          <w:p>
            <w:pPr>
              <w:pStyle w:val="Compact"/>
              <w:spacing w:after="40"/>
              <w:jc w:val="left"/>
            </w:pPr>
            <w:r>
              <w:rPr>
                <w:rStyle w:val="VerbatimChar"/>
                <w:sz w:val="18"/>
              </w:rPr>
              <w:t xml:space="preserve">WELLNESS</w:t>
            </w:r>
          </w:p>
        </w:tc>
        <w:tc>
          <w:tcPr>
            <w:tcW w:w="3831" w:type="dxa"/>
          </w:tcPr>
          <w:p>
            <w:pPr>
              <w:pStyle w:val="Compact"/>
              <w:spacing w:after="40"/>
              <w:jc w:val="left"/>
            </w:pPr>
            <w:r>
              <w:rPr>
                <w:sz w:val="18"/>
              </w:rPr>
              <w:t xml:space="preserve">Udofin credit reports and scores, score-simulator inputs, expense and budget data</w:t>
            </w:r>
          </w:p>
        </w:tc>
        <w:tc>
          <w:tcPr>
            <w:tcW w:w="4426" w:type="dxa"/>
          </w:tcPr>
          <w:p>
            <w:pPr>
              <w:pStyle w:val="Compact"/>
              <w:spacing w:after="40"/>
              <w:jc w:val="left"/>
            </w:pPr>
            <w:r>
              <w:rPr>
                <w:sz w:val="18"/>
              </w:rPr>
              <w:t xml:space="preserve">Udofin’s separate store only; no cross-product schema may declare it; gateways reject any message carrying it</w:t>
            </w:r>
          </w:p>
        </w:tc>
      </w:tr>
    </w:tbl>
    <w:p>
      <w:pPr>
        <w:pStyle w:val="BodyText"/>
      </w:pPr>
      <w:r>
        <w:t xml:space="preserve">The envelope</w:t>
      </w:r>
      <w:r>
        <w:t xml:space="preserve"> </w:t>
      </w:r>
      <w:r>
        <w:rPr>
          <w:rStyle w:val="VerbatimChar"/>
        </w:rPr>
        <w:t xml:space="preserve">dataclass</w:t>
      </w:r>
      <w:r>
        <w:t xml:space="preserve"> </w:t>
      </w:r>
      <w:r>
        <w:t xml:space="preserve">is the highest field class; gateways reject messages above the consumer’s scope. Archive</w:t>
      </w:r>
      <w:r>
        <w:t xml:space="preserve"> </w:t>
      </w:r>
      <w:r>
        <w:rPr>
          <w:rStyle w:val="VerbatimChar"/>
        </w:rPr>
        <w:t xml:space="preserve">restricted</w:t>
      </w:r>
      <w:r>
        <w:t xml:space="preserve"> </w:t>
      </w:r>
      <w:r>
        <w:t xml:space="preserve">flags (12.1) map to</w:t>
      </w:r>
      <w:r>
        <w:t xml:space="preserve"> </w:t>
      </w:r>
      <w:r>
        <w:rPr>
          <w:rStyle w:val="VerbatimChar"/>
        </w:rPr>
        <w:t xml:space="preserve">HR</w:t>
      </w:r>
      <w:r>
        <w:t xml:space="preserve"> </w:t>
      </w:r>
      <w:r>
        <w:t xml:space="preserve">and privileged</w:t>
      </w:r>
      <w:r>
        <w:t xml:space="preserve"> </w:t>
      </w:r>
      <w:r>
        <w:rPr>
          <w:rStyle w:val="VerbatimChar"/>
        </w:rPr>
        <w:t xml:space="preserve">LEGAL</w:t>
      </w:r>
      <w:r>
        <w:t xml:space="preserve">; Operations Hub subjects accept at most</w:t>
      </w:r>
      <w:r>
        <w:t xml:space="preserve"> </w:t>
      </w:r>
      <w:r>
        <w:rPr>
          <w:rStyle w:val="VerbatimChar"/>
        </w:rPr>
        <w:t xml:space="preserve">INTERNAL</w:t>
      </w:r>
      <w:r>
        <w:t xml:space="preserve"> </w:t>
      </w:r>
      <w:r>
        <w:t xml:space="preserve">from product sources (4.6).</w:t>
      </w:r>
    </w:p>
    <w:bookmarkEnd w:id="114"/>
    <w:bookmarkStart w:id="115" w:name="X68f7d7c4e65e80dae3cd28bf11218a38d292887"/>
    <w:p>
      <w:pPr>
        <w:pStyle w:val="Heading2"/>
      </w:pPr>
      <w:r>
        <w:t xml:space="preserve">13.3 Keys, logging, retention, incidents and audit</w:t>
      </w:r>
    </w:p>
    <w:p>
      <w:pPr>
        <w:numPr>
          <w:ilvl w:val="0"/>
          <w:numId w:val="1030"/>
        </w:numPr>
        <w:pStyle w:val="Compact"/>
      </w:pPr>
      <w:r>
        <w:rPr>
          <w:bCs/>
          <w:b/>
        </w:rPr>
        <w:t xml:space="preserve">Keys:</w:t>
      </w:r>
      <w:r>
        <w:t xml:space="preserve"> </w:t>
      </w:r>
      <w:r>
        <w:t xml:space="preserve">per-tenant envelope keys in India KMS; BYOK or HYOK for ML/UL tenants; signing keys HSM-backed, rotated annually with overlapping JWKS; webhook secrets every 90 days.</w:t>
      </w:r>
    </w:p>
    <w:p>
      <w:pPr>
        <w:numPr>
          <w:ilvl w:val="0"/>
          <w:numId w:val="1030"/>
        </w:numPr>
        <w:pStyle w:val="Compact"/>
      </w:pPr>
      <w:r>
        <w:rPr>
          <w:bCs/>
          <w:b/>
        </w:rPr>
        <w:t xml:space="preserve">Logging:</w:t>
      </w:r>
      <w:r>
        <w:t xml:space="preserve"> </w:t>
      </w:r>
      <w:r>
        <w:t xml:space="preserve">no Aadhaar, PAN, OTP, account numbers, bureau data or images in logs, traces, analytics, push payloads or DLQ metadata.</w:t>
      </w:r>
    </w:p>
    <w:p>
      <w:pPr>
        <w:numPr>
          <w:ilvl w:val="0"/>
          <w:numId w:val="1030"/>
        </w:numPr>
        <w:pStyle w:val="Compact"/>
      </w:pPr>
      <w:r>
        <w:rPr>
          <w:bCs/>
          <w:b/>
        </w:rPr>
        <w:t xml:space="preserve">Retention:</w:t>
      </w:r>
      <w:r>
        <w:t xml:space="preserve"> </w:t>
      </w:r>
      <w:r>
        <w:t xml:space="preserve">KYC and transaction records 5 years after relationship or transaction (PMLA s.12; KYC para 47); call recordings ≥ 6 months, longer if sub judice (RBC Third Amendment para 100P [VERIFY]); recovery and litigation records until proceedings close plus the 12-year execution period (Limitation Act Art. 136) [REC]; ADR records ≥ 12 years [REC]; event replay per 3.5; security logs ≥ 180 days in India [VERIFY: CERT-In].</w:t>
      </w:r>
      <w:r>
        <w:t xml:space="preserve"> </w:t>
      </w:r>
      <w:r>
        <w:rPr>
          <w:rStyle w:val="VerbatimChar"/>
        </w:rPr>
        <w:t xml:space="preserve">LegalHoldChanged</w:t>
      </w:r>
      <w:r>
        <w:t xml:space="preserve"> </w:t>
      </w:r>
      <w:r>
        <w:t xml:space="preserve">suspends deletion across all copies; DPDP erasure applies only where no retention or hold applies, and the requester is told what was kept and why.</w:t>
      </w:r>
    </w:p>
    <w:p>
      <w:pPr>
        <w:numPr>
          <w:ilvl w:val="0"/>
          <w:numId w:val="1030"/>
        </w:numPr>
        <w:pStyle w:val="Compact"/>
      </w:pPr>
      <w:r>
        <w:rPr>
          <w:bCs/>
          <w:b/>
        </w:rPr>
        <w:t xml:space="preserve">Incidents:</w:t>
      </w:r>
      <w:r>
        <w:t xml:space="preserve"> </w:t>
      </w:r>
      <w:r>
        <w:t xml:space="preserve">detection → triage (≤ 30 minutes, severity 1) →</w:t>
      </w:r>
      <w:r>
        <w:t xml:space="preserve"> </w:t>
      </w:r>
      <w:r>
        <w:rPr>
          <w:rStyle w:val="VerbatimChar"/>
        </w:rPr>
        <w:t xml:space="preserve">SecurityIncidentNotified</w:t>
      </w:r>
      <w:r>
        <w:t xml:space="preserve"> </w:t>
      </w:r>
      <w:r>
        <w:t xml:space="preserve">to each affected RE (≤ 2 hours) → updates by</w:t>
      </w:r>
      <w:r>
        <w:t xml:space="preserve"> </w:t>
      </w:r>
      <w:r>
        <w:rPr>
          <w:rStyle w:val="VerbatimChar"/>
        </w:rPr>
        <w:t xml:space="preserve">update_seq</w:t>
      </w:r>
      <w:r>
        <w:t xml:space="preserve"> </w:t>
      </w:r>
      <w:r>
        <w:t xml:space="preserve">→ RCA → lessons learned (ORM paras 99–101) → closure; the RE, never the provider, files with RBI.</w:t>
      </w:r>
    </w:p>
    <w:p>
      <w:pPr>
        <w:numPr>
          <w:ilvl w:val="0"/>
          <w:numId w:val="1030"/>
        </w:numPr>
        <w:pStyle w:val="Compact"/>
      </w:pPr>
      <w:r>
        <w:rPr>
          <w:bCs/>
          <w:b/>
        </w:rPr>
        <w:t xml:space="preserve">Audit:</w:t>
      </w:r>
      <w:r>
        <w:t xml:space="preserve"> </w:t>
      </w:r>
      <w:r>
        <w:t xml:space="preserve">message hashes, retained signatures, hash-chained decision events, time-boxed read-only access for RE auditors and RBI.</w:t>
      </w:r>
    </w:p>
    <w:p>
      <w:pPr>
        <w:numPr>
          <w:ilvl w:val="0"/>
          <w:numId w:val="1030"/>
        </w:numPr>
        <w:pStyle w:val="Compact"/>
      </w:pPr>
      <w:r>
        <w:rPr>
          <w:bCs/>
          <w:b/>
        </w:rPr>
        <w:t xml:space="preserve">Group access (v1.1):</w:t>
      </w:r>
      <w:r>
        <w:t xml:space="preserve"> </w:t>
      </w:r>
      <w:r>
        <w:t xml:space="preserve">cross-company access only through</w:t>
      </w:r>
      <w:r>
        <w:t xml:space="preserve"> </w:t>
      </w:r>
      <w:r>
        <w:rPr>
          <w:rStyle w:val="VerbatimChar"/>
        </w:rPr>
        <w:t xml:space="preserve">group_grant</w:t>
      </w:r>
      <w:r>
        <w:t xml:space="preserve"> </w:t>
      </w:r>
      <w:r>
        <w:t xml:space="preserve">(4.6): purpose-bound, at most 90 days, approved by both entity heads and the DPO, enforced by each product at expiry and reviewed quarterly (</w:t>
      </w:r>
      <w:r>
        <w:rPr>
          <w:rStyle w:val="VerbatimChar"/>
        </w:rPr>
        <w:t xml:space="preserve">AccessReviewCompleted</w:t>
      </w:r>
      <w:r>
        <w:t xml:space="preserve">); Infrabyx staff reach tenant data only through product break-glass, visible to the tenant.</w:t>
      </w:r>
    </w:p>
    <w:p>
      <w:pPr>
        <w:numPr>
          <w:ilvl w:val="0"/>
          <w:numId w:val="1030"/>
        </w:numPr>
        <w:pStyle w:val="Compact"/>
      </w:pPr>
      <w:r>
        <w:rPr>
          <w:bCs/>
          <w:b/>
        </w:rPr>
        <w:t xml:space="preserve">External access (v1.1):</w:t>
      </w:r>
      <w:r>
        <w:t xml:space="preserve"> </w:t>
      </w:r>
      <w:r>
        <w:t xml:space="preserve">RE-authorised, read-only, named, MFA-protected, masked by default, watermarked and capped exports; sessions end within 60 seconds of expiry or revocation (4.7).</w:t>
      </w:r>
    </w:p>
    <w:p>
      <w:pPr>
        <w:numPr>
          <w:ilvl w:val="0"/>
          <w:numId w:val="1030"/>
        </w:numPr>
        <w:pStyle w:val="Compact"/>
      </w:pPr>
      <w:r>
        <w:rPr>
          <w:bCs/>
          <w:b/>
        </w:rPr>
        <w:t xml:space="preserve">Storage and keys (v1.1):</w:t>
      </w:r>
      <w:r>
        <w:t xml:space="preserve"> </w:t>
      </w:r>
      <w:r>
        <w:t xml:space="preserve">India-residency verification per data class, BYOK and write-once options and fail-closed key revocation for customer storage targets (12.2); risk-feed HMAC pseudonym keys in the tenant’s KMS, rotated annually by epoch (6.22).</w:t>
      </w:r>
    </w:p>
    <w:p>
      <w:pPr>
        <w:numPr>
          <w:ilvl w:val="0"/>
          <w:numId w:val="1030"/>
        </w:numPr>
        <w:pStyle w:val="Compact"/>
      </w:pPr>
      <w:r>
        <w:rPr>
          <w:bCs/>
          <w:b/>
        </w:rPr>
        <w:t xml:space="preserve">Payments (v1.1):</w:t>
      </w:r>
      <w:r>
        <w:t xml:space="preserve"> </w:t>
      </w:r>
      <w:r>
        <w:t xml:space="preserve">card data never stored, processed or logged; Razorpay-hosted pages; webhook signatures verified and payment status fetched server-side; Razorpay secrets only in the Hub and Udofin’s B2C billing service; billing rails never touch loan money (6.27) [VERIFY: PCI DSS v4.0.1 self-assessment type for the hosted-page integration].</w:t>
      </w:r>
    </w:p>
    <w:p>
      <w:pPr>
        <w:numPr>
          <w:ilvl w:val="0"/>
          <w:numId w:val="1030"/>
        </w:numPr>
        <w:pStyle w:val="Compact"/>
      </w:pPr>
      <w:r>
        <w:rPr>
          <w:bCs/>
          <w:b/>
        </w:rPr>
        <w:t xml:space="preserve">Workplace and monitoring (v1.1):</w:t>
      </w:r>
      <w:r>
        <w:t xml:space="preserve"> </w:t>
      </w:r>
      <w:r>
        <w:t xml:space="preserve">no borrower or member data in Google Workspace (no India data region); Microsoft 365 holds such data only with India data-location evidence; staff monitoring limited to sign-in and sign-out, self-entered timesheets, device compliance and security logs, never keystroke, screenshot, webcam, off-duty location or covert monitoring (DPDP; 6.23).</w:t>
      </w:r>
    </w:p>
    <w:p>
      <w:pPr>
        <w:numPr>
          <w:ilvl w:val="0"/>
          <w:numId w:val="1030"/>
        </w:numPr>
        <w:pStyle w:val="Compact"/>
      </w:pPr>
      <w:r>
        <w:rPr>
          <w:bCs/>
          <w:b/>
        </w:rPr>
        <w:t xml:space="preserve">Patch and remediation SLAs (v1.1):</w:t>
      </w:r>
      <w:r>
        <w:t xml:space="preserve"> </w:t>
      </w:r>
      <w:r>
        <w:t xml:space="preserve">platform product code and infrastructure in every group repository follow Finbyx EO1.6 from triage (critical, CISA KEV-listed or exploited 72 hours; high 7 days; medium 30 days; low 90 days), tracked in OH13; tenant and internal audit findings default to 15, 30, 90 and 180 days by rating (Finbyx AU4.3); the stricter applies.</w:t>
      </w:r>
    </w:p>
    <w:p>
      <w:pPr>
        <w:numPr>
          <w:ilvl w:val="0"/>
          <w:numId w:val="1030"/>
        </w:numPr>
        <w:pStyle w:val="Compact"/>
      </w:pPr>
      <w:r>
        <w:rPr>
          <w:bCs/>
          <w:b/>
        </w:rPr>
        <w:t xml:space="preserve">Certification claims (v1.1):</w:t>
      </w:r>
      <w:r>
        <w:t xml:space="preserve"> </w:t>
      </w:r>
      <w:r>
        <w:t xml:space="preserve">PCI DSS, SOC 2 Type 1 and Type 2 and ISO certifications are programmes; no product, website or sales material claims a certification before the report or certificate is issued (OH14 claims gate).</w:t>
      </w:r>
    </w:p>
    <w:p>
      <w:r>
        <w:pict>
          <v:rect style="width:0;height:1.5pt" o:hralign="center" o:hrstd="t" o:hr="t"/>
        </w:pict>
      </w:r>
    </w:p>
    <w:bookmarkEnd w:id="115"/>
    <w:bookmarkEnd w:id="116"/>
    <w:bookmarkStart w:id="120" w:name="Xb3e57f43cd53c3d62217571fa1927bebc91668d"/>
    <w:p>
      <w:pPr>
        <w:pStyle w:val="Heading1"/>
      </w:pPr>
      <w:r>
        <w:t xml:space="preserve">14 — VERSIONING, CHANGE CONTROL AND CERTIFICATION</w:t>
      </w:r>
    </w:p>
    <w:bookmarkStart w:id="117" w:name="versions"/>
    <w:p>
      <w:pPr>
        <w:pStyle w:val="Heading2"/>
      </w:pPr>
      <w:r>
        <w:t xml:space="preserve">14.1 Versions</w:t>
      </w:r>
    </w:p>
    <w:p>
      <w:pPr>
        <w:pStyle w:val="FirstParagraph"/>
      </w:pPr>
      <w:r>
        <w:t xml:space="preserve">Specification:</w:t>
      </w:r>
      <w:r>
        <w:t xml:space="preserve"> </w:t>
      </w:r>
      <w:r>
        <w:rPr>
          <w:bCs/>
          <w:b/>
        </w:rPr>
        <w:t xml:space="preserve">major</w:t>
      </w:r>
      <w:r>
        <w:t xml:space="preserve"> </w:t>
      </w:r>
      <w:r>
        <w:t xml:space="preserve">for breaking meaning, ownership or mandatory fields;</w:t>
      </w:r>
      <w:r>
        <w:t xml:space="preserve"> </w:t>
      </w:r>
      <w:r>
        <w:rPr>
          <w:bCs/>
          <w:b/>
        </w:rPr>
        <w:t xml:space="preserve">minor</w:t>
      </w:r>
      <w:r>
        <w:t xml:space="preserve"> </w:t>
      </w:r>
      <w:r>
        <w:t xml:space="preserve">for new events, APIs, optional fields, codes or connectors;</w:t>
      </w:r>
      <w:r>
        <w:t xml:space="preserve"> </w:t>
      </w:r>
      <w:r>
        <w:rPr>
          <w:bCs/>
          <w:b/>
        </w:rPr>
        <w:t xml:space="preserve">patch</w:t>
      </w:r>
      <w:r>
        <w:t xml:space="preserve"> </w:t>
      </w:r>
      <w:r>
        <w:t xml:space="preserve">for clarifications; the change log is Part 16 from v1.1. Schemas are BACKWARD-compatible within a major; a breaking change publishes</w:t>
      </w:r>
      <w:r>
        <w:t xml:space="preserve"> </w:t>
      </w:r>
      <w:r>
        <w:rPr>
          <w:rStyle w:val="VerbatimChar"/>
        </w:rPr>
        <w:t xml:space="preserve">v[major+1]</w:t>
      </w:r>
      <w:r>
        <w:t xml:space="preserve"> </w:t>
      </w:r>
      <w:r>
        <w:t xml:space="preserve">and both run ≥ 90 days. Superseded API majors return</w:t>
      </w:r>
      <w:r>
        <w:t xml:space="preserve"> </w:t>
      </w:r>
      <w:r>
        <w:rPr>
          <w:rStyle w:val="VerbatimChar"/>
        </w:rPr>
        <w:t xml:space="preserve">Deprecation</w:t>
      </w:r>
      <w:r>
        <w:t xml:space="preserve"> </w:t>
      </w:r>
      <w:r>
        <w:t xml:space="preserve">(RFC 9745) and</w:t>
      </w:r>
      <w:r>
        <w:t xml:space="preserve"> </w:t>
      </w:r>
      <w:r>
        <w:rPr>
          <w:rStyle w:val="VerbatimChar"/>
        </w:rPr>
        <w:t xml:space="preserve">Sunset</w:t>
      </w:r>
      <w:r>
        <w:t xml:space="preserve"> </w:t>
      </w:r>
      <w:r>
        <w:t xml:space="preserve">(RFC 8594) headers. Connectors recertify when a field they use changes.</w:t>
      </w:r>
    </w:p>
    <w:bookmarkEnd w:id="117"/>
    <w:bookmarkStart w:id="118" w:name="change-process"/>
    <w:p>
      <w:pPr>
        <w:pStyle w:val="Heading2"/>
      </w:pPr>
      <w:r>
        <w:t xml:space="preserve">14.2 Change process</w:t>
      </w:r>
    </w:p>
    <w:p>
      <w:pPr>
        <w:pStyle w:val="FirstParagraph"/>
      </w:pPr>
      <w:r>
        <w:t xml:space="preserve">Proposal</w:t>
      </w:r>
      <w:r>
        <w:t xml:space="preserve"> </w:t>
      </w:r>
      <w:r>
        <w:rPr>
          <w:rStyle w:val="VerbatimChar"/>
        </w:rPr>
        <w:t xml:space="preserve">infrabyx-contracts/proposals/[date]-[slug].md</w:t>
      </w:r>
      <w:r>
        <w:t xml:space="preserve"> </w:t>
      </w:r>
      <w:r>
        <w:t xml:space="preserve">(motivation, regulatory basis, affected products, events, APIs, schemas, mappings, tests, rollout, rollback) → impact review by each product lead → approval by every affected owner in the pull request → registry, SDK and Pact publication → parallel run and recertification → propagation within 10 working days.</w:t>
      </w:r>
    </w:p>
    <w:bookmarkEnd w:id="118"/>
    <w:bookmarkStart w:id="119" w:name="certification-suite"/>
    <w:p>
      <w:pPr>
        <w:pStyle w:val="Heading2"/>
      </w:pPr>
      <w:r>
        <w:t xml:space="preserve">14.3 Certification suite</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181"/>
        <w:gridCol w:w="7457"/>
      </w:tblGrid>
      <w:tr>
        <w:trPr>
          <w:tblHeader w:val="true"/>
          <w:tblHeader w:val="true"/>
        </w:trPr>
        <w:tc>
          <w:tcPr>
            <w:tcW w:w="2181" w:type="dxa"/>
            <w:shd w:val="clear" w:color="auto" w:fill="1F3A5F"/>
          </w:tcPr>
          <w:p>
            <w:pPr>
              <w:pStyle w:val="Compact"/>
              <w:spacing w:after="40"/>
              <w:jc w:val="left"/>
            </w:pPr>
            <w:r>
              <w:rPr>
                <w:b/>
                <w:color w:val="FFFFFF"/>
                <w:sz w:val="18"/>
              </w:rPr>
              <w:t xml:space="preserve">Group</w:t>
            </w:r>
          </w:p>
        </w:tc>
        <w:tc>
          <w:tcPr>
            <w:tcW w:w="7457" w:type="dxa"/>
            <w:shd w:val="clear" w:color="auto" w:fill="1F3A5F"/>
          </w:tcPr>
          <w:p>
            <w:pPr>
              <w:pStyle w:val="Compact"/>
              <w:spacing w:after="40"/>
              <w:jc w:val="left"/>
            </w:pPr>
            <w:r>
              <w:rPr>
                <w:b/>
                <w:color w:val="FFFFFF"/>
                <w:sz w:val="18"/>
              </w:rPr>
              <w:t xml:space="preserve">Tests</w:t>
            </w:r>
          </w:p>
        </w:tc>
      </w:tr>
      <w:tr>
        <w:tc>
          <w:tcPr>
            <w:tcW w:w="2181" w:type="dxa"/>
          </w:tcPr>
          <w:p>
            <w:pPr>
              <w:pStyle w:val="Compact"/>
              <w:spacing w:after="40"/>
              <w:jc w:val="left"/>
            </w:pPr>
            <w:r>
              <w:rPr>
                <w:sz w:val="18"/>
              </w:rPr>
              <w:t xml:space="preserve">Contract</w:t>
            </w:r>
          </w:p>
        </w:tc>
        <w:tc>
          <w:tcPr>
            <w:tcW w:w="7457" w:type="dxa"/>
          </w:tcPr>
          <w:p>
            <w:pPr>
              <w:pStyle w:val="Compact"/>
              <w:spacing w:after="40"/>
              <w:jc w:val="left"/>
            </w:pPr>
            <w:r>
              <w:rPr>
                <w:sz w:val="18"/>
              </w:rPr>
              <w:t xml:space="preserve">Messages validate; required attributes; projections carry no forbidden fields</w:t>
            </w:r>
          </w:p>
        </w:tc>
      </w:tr>
      <w:tr>
        <w:tc>
          <w:tcPr>
            <w:tcW w:w="2181" w:type="dxa"/>
          </w:tcPr>
          <w:p>
            <w:pPr>
              <w:pStyle w:val="Compact"/>
              <w:spacing w:after="40"/>
              <w:jc w:val="left"/>
            </w:pPr>
            <w:r>
              <w:rPr>
                <w:sz w:val="18"/>
              </w:rPr>
              <w:t xml:space="preserve">Security</w:t>
            </w:r>
          </w:p>
        </w:tc>
        <w:tc>
          <w:tcPr>
            <w:tcW w:w="7457" w:type="dxa"/>
          </w:tcPr>
          <w:p>
            <w:pPr>
              <w:pStyle w:val="Compact"/>
              <w:spacing w:after="40"/>
              <w:jc w:val="left"/>
            </w:pPr>
            <w:r>
              <w:rPr>
                <w:sz w:val="18"/>
              </w:rPr>
              <w:t xml:space="preserve">mTLS enforced; RFC 9421 verified; tampered body, wrong key, stale timestamp rejected; scope, audience and tenant isolation enforced</w:t>
            </w:r>
          </w:p>
        </w:tc>
      </w:tr>
      <w:tr>
        <w:tc>
          <w:tcPr>
            <w:tcW w:w="2181" w:type="dxa"/>
          </w:tcPr>
          <w:p>
            <w:pPr>
              <w:pStyle w:val="Compact"/>
              <w:spacing w:after="40"/>
              <w:jc w:val="left"/>
            </w:pPr>
            <w:r>
              <w:rPr>
                <w:sz w:val="18"/>
              </w:rPr>
              <w:t xml:space="preserve">Idempotency and ordering</w:t>
            </w:r>
          </w:p>
        </w:tc>
        <w:tc>
          <w:tcPr>
            <w:tcW w:w="7457" w:type="dxa"/>
          </w:tcPr>
          <w:p>
            <w:pPr>
              <w:pStyle w:val="Compact"/>
              <w:spacing w:after="40"/>
              <w:jc w:val="left"/>
            </w:pPr>
            <w:r>
              <w:rPr>
                <w:sz w:val="18"/>
              </w:rPr>
              <w:t xml:space="preserve">Duplicates harmless; key reuse with new body gives 422; concurrent retry gives 409; out-of-order resolved; replay reproduces state</w:t>
            </w:r>
          </w:p>
        </w:tc>
      </w:tr>
      <w:tr>
        <w:tc>
          <w:tcPr>
            <w:tcW w:w="2181" w:type="dxa"/>
          </w:tcPr>
          <w:p>
            <w:pPr>
              <w:pStyle w:val="Compact"/>
              <w:spacing w:after="40"/>
              <w:jc w:val="left"/>
            </w:pPr>
            <w:r>
              <w:rPr>
                <w:sz w:val="18"/>
              </w:rPr>
              <w:t xml:space="preserve">Resilience</w:t>
            </w:r>
          </w:p>
        </w:tc>
        <w:tc>
          <w:tcPr>
            <w:tcW w:w="7457" w:type="dxa"/>
          </w:tcPr>
          <w:p>
            <w:pPr>
              <w:pStyle w:val="Compact"/>
              <w:spacing w:after="40"/>
              <w:jc w:val="left"/>
            </w:pPr>
            <w:r>
              <w:rPr>
                <w:sz w:val="18"/>
              </w:rPr>
              <w:t xml:space="preserve">4-hour outage; slow and partial failures; DLQ replay under maker-checker; per-tenant circuit breakers</w:t>
            </w:r>
          </w:p>
        </w:tc>
      </w:tr>
      <w:tr>
        <w:tc>
          <w:tcPr>
            <w:tcW w:w="2181" w:type="dxa"/>
          </w:tcPr>
          <w:p>
            <w:pPr>
              <w:pStyle w:val="Compact"/>
              <w:spacing w:after="40"/>
              <w:jc w:val="left"/>
            </w:pPr>
            <w:r>
              <w:rPr>
                <w:sz w:val="18"/>
              </w:rPr>
              <w:t xml:space="preserve">Regulatory guards</w:t>
            </w:r>
          </w:p>
        </w:tc>
        <w:tc>
          <w:tcPr>
            <w:tcW w:w="7457" w:type="dxa"/>
          </w:tcPr>
          <w:p>
            <w:pPr>
              <w:pStyle w:val="Compact"/>
              <w:spacing w:after="40"/>
              <w:jc w:val="left"/>
            </w:pPr>
            <w:r>
              <w:rPr>
                <w:sz w:val="18"/>
              </w:rPr>
              <w:t xml:space="preserve">LSP-controlled account rejected; referral without basis rejected; Udofin cannot refer, approve, issue notices or invoke; personal data without consentref rejected; contact before agent notice blocked</w:t>
            </w:r>
          </w:p>
        </w:tc>
      </w:tr>
      <w:tr>
        <w:tc>
          <w:tcPr>
            <w:tcW w:w="2181" w:type="dxa"/>
          </w:tcPr>
          <w:p>
            <w:pPr>
              <w:pStyle w:val="Compact"/>
              <w:spacing w:after="40"/>
              <w:jc w:val="left"/>
            </w:pPr>
            <w:r>
              <w:rPr>
                <w:sz w:val="18"/>
              </w:rPr>
              <w:t xml:space="preserve">Reconciliation and privacy</w:t>
            </w:r>
          </w:p>
        </w:tc>
        <w:tc>
          <w:tcPr>
            <w:tcW w:w="7457" w:type="dxa"/>
          </w:tcPr>
          <w:p>
            <w:pPr>
              <w:pStyle w:val="Compact"/>
              <w:spacing w:after="40"/>
              <w:jc w:val="left"/>
            </w:pPr>
            <w:r>
              <w:rPr>
                <w:sz w:val="18"/>
              </w:rPr>
              <w:t xml:space="preserve">Synthetic month reconciles; injected breaks caught; withdrawal stops processing; legal hold blocks erasure; no personal data in logs</w:t>
            </w:r>
          </w:p>
        </w:tc>
      </w:tr>
      <w:tr>
        <w:tc>
          <w:tcPr>
            <w:tcW w:w="2181" w:type="dxa"/>
          </w:tcPr>
          <w:p>
            <w:pPr>
              <w:pStyle w:val="Compact"/>
              <w:spacing w:after="40"/>
              <w:jc w:val="left"/>
            </w:pPr>
            <w:r>
              <w:rPr>
                <w:sz w:val="18"/>
              </w:rPr>
              <w:t xml:space="preserve">Operations</w:t>
            </w:r>
          </w:p>
        </w:tc>
        <w:tc>
          <w:tcPr>
            <w:tcW w:w="7457" w:type="dxa"/>
          </w:tcPr>
          <w:p>
            <w:pPr>
              <w:pStyle w:val="Compact"/>
              <w:spacing w:after="40"/>
              <w:jc w:val="left"/>
            </w:pPr>
            <w:r>
              <w:rPr>
                <w:sz w:val="18"/>
              </w:rPr>
              <w:t xml:space="preserve">Health, metrics, traces, monitor visibility</w:t>
            </w:r>
          </w:p>
        </w:tc>
      </w:tr>
      <w:tr>
        <w:tc>
          <w:tcPr>
            <w:tcW w:w="2181" w:type="dxa"/>
          </w:tcPr>
          <w:p>
            <w:pPr>
              <w:pStyle w:val="Compact"/>
              <w:spacing w:after="40"/>
              <w:jc w:val="left"/>
            </w:pPr>
            <w:r>
              <w:rPr>
                <w:sz w:val="18"/>
              </w:rPr>
              <w:t xml:space="preserve">Filing boundaries (v1.1)</w:t>
            </w:r>
          </w:p>
        </w:tc>
        <w:tc>
          <w:tcPr>
            <w:tcW w:w="7457" w:type="dxa"/>
          </w:tcPr>
          <w:p>
            <w:pPr>
              <w:pStyle w:val="Compact"/>
              <w:spacing w:after="40"/>
              <w:jc w:val="left"/>
            </w:pPr>
            <w:r>
              <w:rPr>
                <w:sz w:val="18"/>
              </w:rPr>
              <w:t xml:space="preserve">No regulator-portal credential, OTP, cookie or token field, secret or HTTP client for a regulator domain; the ADF adapter returns</w:t>
            </w:r>
            <w:r>
              <w:rPr>
                <w:sz w:val="18"/>
              </w:rPr>
              <w:t xml:space="preserve"> </w:t>
            </w:r>
            <w:r>
              <w:rPr>
                <w:rStyle w:val="VerbatimChar"/>
                <w:sz w:val="18"/>
              </w:rPr>
              <w:t xml:space="preserve">channel-not-confirmed</w:t>
            </w:r>
            <w:r>
              <w:rPr>
                <w:sz w:val="18"/>
              </w:rPr>
              <w:t xml:space="preserve"> </w:t>
            </w:r>
            <w:r>
              <w:rPr>
                <w:sz w:val="18"/>
              </w:rPr>
              <w:t xml:space="preserve">without evidence; an e-mail contingency filing without RBI advice cannot be saved</w:t>
            </w:r>
          </w:p>
        </w:tc>
      </w:tr>
      <w:tr>
        <w:tc>
          <w:tcPr>
            <w:tcW w:w="2181" w:type="dxa"/>
          </w:tcPr>
          <w:p>
            <w:pPr>
              <w:pStyle w:val="Compact"/>
              <w:spacing w:after="40"/>
              <w:jc w:val="left"/>
            </w:pPr>
            <w:r>
              <w:rPr>
                <w:sz w:val="18"/>
              </w:rPr>
              <w:t xml:space="preserve">Bureau formats (v1.1)</w:t>
            </w:r>
          </w:p>
        </w:tc>
        <w:tc>
          <w:tcPr>
            <w:tcW w:w="7457" w:type="dxa"/>
          </w:tcPr>
          <w:p>
            <w:pPr>
              <w:pStyle w:val="Compact"/>
              <w:spacing w:after="40"/>
              <w:jc w:val="left"/>
            </w:pPr>
            <w:r>
              <w:rPr>
                <w:sz w:val="18"/>
              </w:rPr>
              <w:t xml:space="preserve">Golden consumer, commercial and MFI files per cycle code match fixtures and each CIC validator [VERIFY: availability];</w:t>
            </w:r>
            <w:r>
              <w:rPr>
                <w:sz w:val="18"/>
              </w:rPr>
              <w:t xml:space="preserve"> </w:t>
            </w:r>
            <w:r>
              <w:rPr>
                <w:rStyle w:val="VerbatimChar"/>
                <w:sz w:val="18"/>
              </w:rPr>
              <w:t xml:space="preserve">~</w:t>
            </w:r>
            <w:r>
              <w:rPr>
                <w:sz w:val="18"/>
              </w:rPr>
              <w:t xml:space="preserve"> </w:t>
            </w:r>
            <w:r>
              <w:rPr>
                <w:sz w:val="18"/>
              </w:rPr>
              <w:t xml:space="preserve">or</w:t>
            </w:r>
            <w:r>
              <w:rPr>
                <w:sz w:val="18"/>
              </w:rPr>
              <w:t xml:space="preserve"> </w:t>
            </w:r>
            <w:r>
              <w:rPr>
                <w:rStyle w:val="VerbatimChar"/>
                <w:sz w:val="18"/>
              </w:rPr>
              <w:t xml:space="preserve">^</w:t>
            </w:r>
            <w:r>
              <w:rPr>
                <w:sz w:val="18"/>
              </w:rPr>
              <w:t xml:space="preserve"> </w:t>
            </w:r>
            <w:r>
              <w:rPr>
                <w:sz w:val="18"/>
              </w:rPr>
              <w:t xml:space="preserve">never reaches a commercial file; an MFI loan never appears in a consumer file; late transmission raises a compliance issue</w:t>
            </w:r>
          </w:p>
        </w:tc>
      </w:tr>
      <w:tr>
        <w:tc>
          <w:tcPr>
            <w:tcW w:w="2181" w:type="dxa"/>
          </w:tcPr>
          <w:p>
            <w:pPr>
              <w:pStyle w:val="Compact"/>
              <w:spacing w:after="40"/>
              <w:jc w:val="left"/>
            </w:pPr>
            <w:r>
              <w:rPr>
                <w:sz w:val="18"/>
              </w:rPr>
              <w:t xml:space="preserve">Aggregates only (v1.1)</w:t>
            </w:r>
          </w:p>
        </w:tc>
        <w:tc>
          <w:tcPr>
            <w:tcW w:w="7457" w:type="dxa"/>
          </w:tcPr>
          <w:p>
            <w:pPr>
              <w:pStyle w:val="Compact"/>
              <w:spacing w:after="40"/>
              <w:jc w:val="left"/>
            </w:pPr>
            <w:r>
              <w:rPr>
                <w:sz w:val="18"/>
              </w:rPr>
              <w:t xml:space="preserve">Every Operations Hub subject rejects a seeded loan, borrower, member or user identifier with</w:t>
            </w:r>
            <w:r>
              <w:rPr>
                <w:sz w:val="18"/>
              </w:rPr>
              <w:t xml:space="preserve"> </w:t>
            </w:r>
            <w:r>
              <w:rPr>
                <w:rStyle w:val="VerbatimChar"/>
                <w:sz w:val="18"/>
              </w:rPr>
              <w:t xml:space="preserve">dataclass-not-permitted</w:t>
            </w:r>
            <w:r>
              <w:rPr>
                <w:sz w:val="18"/>
              </w:rPr>
              <w:t xml:space="preserve">;</w:t>
            </w:r>
            <w:r>
              <w:rPr>
                <w:sz w:val="18"/>
              </w:rPr>
              <w:t xml:space="preserve"> </w:t>
            </w:r>
            <w:r>
              <w:rPr>
                <w:rStyle w:val="VerbatimChar"/>
                <w:sz w:val="18"/>
              </w:rPr>
              <w:t xml:space="preserve">UsageRecorded</w:t>
            </w:r>
            <w:r>
              <w:rPr>
                <w:sz w:val="18"/>
              </w:rPr>
              <w:t xml:space="preserve"> </w:t>
            </w:r>
            <w:r>
              <w:rPr>
                <w:sz w:val="18"/>
              </w:rPr>
              <w:t xml:space="preserve">and</w:t>
            </w:r>
            <w:r>
              <w:rPr>
                <w:sz w:val="18"/>
              </w:rPr>
              <w:t xml:space="preserve"> </w:t>
            </w:r>
            <w:r>
              <w:rPr>
                <w:rStyle w:val="VerbatimChar"/>
                <w:sz w:val="18"/>
              </w:rPr>
              <w:t xml:space="preserve">MatterAllocated</w:t>
            </w:r>
            <w:r>
              <w:rPr>
                <w:sz w:val="18"/>
              </w:rPr>
              <w:t xml:space="preserve"> </w:t>
            </w:r>
            <w:r>
              <w:rPr>
                <w:sz w:val="18"/>
              </w:rPr>
              <w:t xml:space="preserve">schemas forbid record ids and party data; the</w:t>
            </w:r>
            <w:r>
              <w:rPr>
                <w:sz w:val="18"/>
              </w:rPr>
              <w:t xml:space="preserve"> </w:t>
            </w:r>
            <w:r>
              <w:rPr>
                <w:rStyle w:val="VerbatimChar"/>
                <w:sz w:val="18"/>
              </w:rPr>
              <w:t xml:space="preserve">PeriodClosed.oh</w:t>
            </w:r>
            <w:r>
              <w:rPr>
                <w:sz w:val="18"/>
              </w:rPr>
              <w:t xml:space="preserve"> </w:t>
            </w:r>
            <w:r>
              <w:rPr>
                <w:sz w:val="18"/>
              </w:rPr>
              <w:t xml:space="preserve">projection carries no hash or amount;</w:t>
            </w:r>
            <w:r>
              <w:rPr>
                <w:sz w:val="18"/>
              </w:rPr>
              <w:t xml:space="preserve"> </w:t>
            </w:r>
            <w:r>
              <w:rPr>
                <w:rStyle w:val="VerbatimChar"/>
                <w:sz w:val="18"/>
              </w:rPr>
              <w:t xml:space="preserve">TenantProvisioned</w:t>
            </w:r>
            <w:r>
              <w:rPr>
                <w:sz w:val="18"/>
              </w:rPr>
              <w:t xml:space="preserve"> </w:t>
            </w:r>
            <w:r>
              <w:rPr>
                <w:sz w:val="18"/>
              </w:rPr>
              <w:t xml:space="preserve">without</w:t>
            </w:r>
            <w:r>
              <w:rPr>
                <w:sz w:val="18"/>
              </w:rPr>
              <w:t xml:space="preserve"> </w:t>
            </w:r>
            <w:r>
              <w:rPr>
                <w:rStyle w:val="VerbatimChar"/>
                <w:sz w:val="18"/>
              </w:rPr>
              <w:t xml:space="preserve">legalbasis</w:t>
            </w:r>
            <w:r>
              <w:rPr>
                <w:sz w:val="18"/>
              </w:rPr>
              <w:t xml:space="preserve"> </w:t>
            </w:r>
            <w:r>
              <w:rPr>
                <w:sz w:val="18"/>
              </w:rPr>
              <w:t xml:space="preserve">is rejected; governance and tenant workforce subjects cannot be subscribed by the Hub</w:t>
            </w:r>
          </w:p>
        </w:tc>
      </w:tr>
      <w:tr>
        <w:tc>
          <w:tcPr>
            <w:tcW w:w="2181" w:type="dxa"/>
          </w:tcPr>
          <w:p>
            <w:pPr>
              <w:pStyle w:val="Compact"/>
              <w:spacing w:after="40"/>
              <w:jc w:val="left"/>
            </w:pPr>
            <w:r>
              <w:rPr>
                <w:sz w:val="18"/>
              </w:rPr>
              <w:t xml:space="preserve">Isolation (v1.1)</w:t>
            </w:r>
          </w:p>
        </w:tc>
        <w:tc>
          <w:tcPr>
            <w:tcW w:w="7457" w:type="dxa"/>
          </w:tcPr>
          <w:p>
            <w:pPr>
              <w:pStyle w:val="Compact"/>
              <w:spacing w:after="40"/>
              <w:jc w:val="left"/>
            </w:pPr>
            <w:r>
              <w:rPr>
                <w:sz w:val="18"/>
              </w:rPr>
              <w:t xml:space="preserve">No schema declares</w:t>
            </w:r>
            <w:r>
              <w:rPr>
                <w:sz w:val="18"/>
              </w:rPr>
              <w:t xml:space="preserve"> </w:t>
            </w:r>
            <w:r>
              <w:rPr>
                <w:rStyle w:val="VerbatimChar"/>
                <w:sz w:val="18"/>
              </w:rPr>
              <w:t xml:space="preserve">WELLNESS</w:t>
            </w:r>
            <w:r>
              <w:rPr>
                <w:sz w:val="18"/>
              </w:rPr>
              <w:t xml:space="preserve">; insurance events reach only insurers; an RE archive scan finds no wellness, insurance or other-RE data; the Equator separation-of-duties rule blocks a combined grant</w:t>
            </w:r>
          </w:p>
        </w:tc>
      </w:tr>
      <w:tr>
        <w:tc>
          <w:tcPr>
            <w:tcW w:w="2181" w:type="dxa"/>
          </w:tcPr>
          <w:p>
            <w:pPr>
              <w:pStyle w:val="Compact"/>
              <w:spacing w:after="40"/>
              <w:jc w:val="left"/>
            </w:pPr>
            <w:r>
              <w:rPr>
                <w:sz w:val="18"/>
              </w:rPr>
              <w:t xml:space="preserve">External and group access (v1.1)</w:t>
            </w:r>
          </w:p>
        </w:tc>
        <w:tc>
          <w:tcPr>
            <w:tcW w:w="7457" w:type="dxa"/>
          </w:tcPr>
          <w:p>
            <w:pPr>
              <w:pStyle w:val="Compact"/>
              <w:spacing w:after="40"/>
              <w:jc w:val="left"/>
            </w:pPr>
            <w:r>
              <w:rPr>
                <w:sz w:val="18"/>
              </w:rPr>
              <w:t xml:space="preserve">No write path with a workspace token; expiry ends sessions within 60 s; grants longer than 90 days are rejected; unmasking needs a reason; exports are watermarked and capped; a group grant without both entity approvals and the DPO is rejected</w:t>
            </w:r>
          </w:p>
        </w:tc>
      </w:tr>
      <w:tr>
        <w:tc>
          <w:tcPr>
            <w:tcW w:w="2181" w:type="dxa"/>
          </w:tcPr>
          <w:p>
            <w:pPr>
              <w:pStyle w:val="Compact"/>
              <w:spacing w:after="40"/>
              <w:jc w:val="left"/>
            </w:pPr>
            <w:r>
              <w:rPr>
                <w:sz w:val="18"/>
              </w:rPr>
              <w:t xml:space="preserve">Risk feed (v1.1)</w:t>
            </w:r>
          </w:p>
        </w:tc>
        <w:tc>
          <w:tcPr>
            <w:tcW w:w="7457" w:type="dxa"/>
          </w:tcPr>
          <w:p>
            <w:pPr>
              <w:pStyle w:val="Compact"/>
              <w:spacing w:after="40"/>
              <w:jc w:val="left"/>
            </w:pPr>
            <w:r>
              <w:rPr>
                <w:sz w:val="18"/>
              </w:rPr>
              <w:t xml:space="preserve">No raw PII in</w:t>
            </w:r>
            <w:r>
              <w:rPr>
                <w:sz w:val="18"/>
              </w:rPr>
              <w:t xml:space="preserve"> </w:t>
            </w:r>
            <w:r>
              <w:rPr>
                <w:rStyle w:val="VerbatimChar"/>
                <w:sz w:val="18"/>
              </w:rPr>
              <w:t xml:space="preserve">risk</w:t>
            </w:r>
            <w:r>
              <w:rPr>
                <w:sz w:val="18"/>
              </w:rPr>
              <w:t xml:space="preserve"> </w:t>
            </w:r>
            <w:r>
              <w:rPr>
                <w:sz w:val="18"/>
              </w:rPr>
              <w:t xml:space="preserve">payloads; HMAC references cannot be resolved by LDC and resolve inside the producer; replay reproduces identical hashes and the</w:t>
            </w:r>
            <w:r>
              <w:rPr>
                <w:sz w:val="18"/>
              </w:rPr>
              <w:t xml:space="preserve"> </w:t>
            </w:r>
            <w:r>
              <w:rPr>
                <w:rStyle w:val="VerbatimChar"/>
                <w:sz w:val="18"/>
              </w:rPr>
              <w:t xml:space="preserve">prevhash</w:t>
            </w:r>
            <w:r>
              <w:rPr>
                <w:sz w:val="18"/>
              </w:rPr>
              <w:t xml:space="preserve"> </w:t>
            </w:r>
            <w:r>
              <w:rPr>
                <w:sz w:val="18"/>
              </w:rPr>
              <w:t xml:space="preserve">chain; a KRI for an unknown metric is rejected</w:t>
            </w:r>
          </w:p>
        </w:tc>
      </w:tr>
      <w:tr>
        <w:tc>
          <w:tcPr>
            <w:tcW w:w="2181" w:type="dxa"/>
          </w:tcPr>
          <w:p>
            <w:pPr>
              <w:pStyle w:val="Compact"/>
              <w:spacing w:after="40"/>
              <w:jc w:val="left"/>
            </w:pPr>
            <w:r>
              <w:rPr>
                <w:sz w:val="18"/>
              </w:rPr>
              <w:t xml:space="preserve">Archive and storage (v1.1)</w:t>
            </w:r>
          </w:p>
        </w:tc>
        <w:tc>
          <w:tcPr>
            <w:tcW w:w="7457" w:type="dxa"/>
          </w:tcPr>
          <w:p>
            <w:pPr>
              <w:pStyle w:val="Compact"/>
              <w:spacing w:after="40"/>
              <w:jc w:val="left"/>
            </w:pPr>
            <w:r>
              <w:rPr>
                <w:sz w:val="18"/>
              </w:rPr>
              <w:t xml:space="preserve">The verifier passes on a full synthetic archive and fails on one changed byte or a missing file; the README names every folder; Office and PDF/A files render headless; a non-India bucket is refused for loan data; Google Drive never accepts regulated classes; a canary mismatch is detected; BYOK revocation fails closed; write-once locks are set when chosen</w:t>
            </w:r>
          </w:p>
        </w:tc>
      </w:tr>
      <w:tr>
        <w:tc>
          <w:tcPr>
            <w:tcW w:w="2181" w:type="dxa"/>
          </w:tcPr>
          <w:p>
            <w:pPr>
              <w:pStyle w:val="Compact"/>
              <w:spacing w:after="40"/>
              <w:jc w:val="left"/>
            </w:pPr>
            <w:r>
              <w:rPr>
                <w:sz w:val="18"/>
              </w:rPr>
              <w:t xml:space="preserve">Member and group lending (v1.1)</w:t>
            </w:r>
          </w:p>
        </w:tc>
        <w:tc>
          <w:tcPr>
            <w:tcW w:w="7457" w:type="dxa"/>
          </w:tcPr>
          <w:p>
            <w:pPr>
              <w:pStyle w:val="Compact"/>
              <w:spacing w:after="40"/>
              <w:jc w:val="left"/>
            </w:pPr>
            <w:r>
              <w:rPr>
                <w:sz w:val="18"/>
              </w:rPr>
              <w:t xml:space="preserve">No deposit route exists for societies; a nominal or non-voting member cannot reach a loan screen; a society product never appears in the RE offer view; co-lending, transfer or DLG between a society and an NBFC is rejected with</w:t>
            </w:r>
            <w:r>
              <w:rPr>
                <w:sz w:val="18"/>
              </w:rPr>
              <w:t xml:space="preserve"> </w:t>
            </w:r>
            <w:r>
              <w:rPr>
                <w:rStyle w:val="VerbatimChar"/>
                <w:sz w:val="18"/>
              </w:rPr>
              <w:t xml:space="preserve">regulatory-guard</w:t>
            </w:r>
            <w:r>
              <w:rPr>
                <w:sz w:val="18"/>
              </w:rPr>
              <w:t xml:space="preserve">; a group is recognised only on</w:t>
            </w:r>
            <w:r>
              <w:rPr>
                <w:sz w:val="18"/>
              </w:rPr>
              <w:t xml:space="preserve"> </w:t>
            </w:r>
            <w:r>
              <w:rPr>
                <w:rStyle w:val="VerbatimChar"/>
                <w:sz w:val="18"/>
              </w:rPr>
              <w:t xml:space="preserve">GroupFormed</w:t>
            </w:r>
          </w:p>
        </w:tc>
      </w:tr>
      <w:tr>
        <w:tc>
          <w:tcPr>
            <w:tcW w:w="2181" w:type="dxa"/>
          </w:tcPr>
          <w:p>
            <w:pPr>
              <w:pStyle w:val="Compact"/>
              <w:spacing w:after="40"/>
              <w:jc w:val="left"/>
            </w:pPr>
            <w:r>
              <w:rPr>
                <w:sz w:val="18"/>
              </w:rPr>
              <w:t xml:space="preserve">Billing and deals (v1.1)</w:t>
            </w:r>
          </w:p>
        </w:tc>
        <w:tc>
          <w:tcPr>
            <w:tcW w:w="7457" w:type="dxa"/>
          </w:tcPr>
          <w:p>
            <w:pPr>
              <w:pStyle w:val="Compact"/>
              <w:spacing w:after="40"/>
              <w:jc w:val="left"/>
            </w:pPr>
            <w:r>
              <w:rPr>
                <w:sz w:val="18"/>
              </w:rPr>
              <w:t xml:space="preserve">An unsigned entitlement or catalogue is rejected; dunning never blocks a regulated function, read access or export; a browser redirect never marks a payment; no borrower journey exists before</w:t>
            </w:r>
            <w:r>
              <w:rPr>
                <w:sz w:val="18"/>
              </w:rPr>
              <w:t xml:space="preserve"> </w:t>
            </w:r>
            <w:r>
              <w:rPr>
                <w:rStyle w:val="VerbatimChar"/>
                <w:sz w:val="18"/>
              </w:rPr>
              <w:t xml:space="preserve">LenderDealActivated</w:t>
            </w:r>
            <w:r>
              <w:rPr>
                <w:sz w:val="18"/>
              </w:rPr>
              <w:t xml:space="preserve"> </w:t>
            </w:r>
            <w:r>
              <w:rPr>
                <w:sz w:val="18"/>
              </w:rPr>
              <w:t xml:space="preserve">with</w:t>
            </w:r>
            <w:r>
              <w:rPr>
                <w:sz w:val="18"/>
              </w:rPr>
              <w:t xml:space="preserve"> </w:t>
            </w:r>
            <w:r>
              <w:rPr>
                <w:rStyle w:val="VerbatimChar"/>
                <w:sz w:val="18"/>
              </w:rPr>
              <w:t xml:space="preserve">mode = PILOT</w:t>
            </w:r>
          </w:p>
        </w:tc>
      </w:tr>
      <w:tr>
        <w:tc>
          <w:tcPr>
            <w:tcW w:w="2181" w:type="dxa"/>
          </w:tcPr>
          <w:p>
            <w:pPr>
              <w:pStyle w:val="Compact"/>
              <w:spacing w:after="40"/>
              <w:jc w:val="left"/>
            </w:pPr>
            <w:r>
              <w:rPr>
                <w:sz w:val="18"/>
              </w:rPr>
              <w:t xml:space="preserve">Rule pack (v1.1)</w:t>
            </w:r>
          </w:p>
        </w:tc>
        <w:tc>
          <w:tcPr>
            <w:tcW w:w="7457" w:type="dxa"/>
          </w:tcPr>
          <w:p>
            <w:pPr>
              <w:pStyle w:val="Compact"/>
              <w:spacing w:after="40"/>
              <w:jc w:val="left"/>
            </w:pPr>
            <w:r>
              <w:rPr>
                <w:sz w:val="18"/>
              </w:rPr>
              <w:t xml:space="preserve">An unsigned or tampered Labour Code pack is refused; Finbyx GV6 and OH10 produce identical golden-fixture results; a rule still marked VERIFY cannot drive a statutory output</w:t>
            </w:r>
          </w:p>
        </w:tc>
      </w:tr>
    </w:tbl>
    <w:p>
      <w:pPr>
        <w:pStyle w:val="BodyText"/>
      </w:pPr>
      <w:r>
        <w:t xml:space="preserve">Results emit</w:t>
      </w:r>
      <w:r>
        <w:t xml:space="preserve"> </w:t>
      </w:r>
      <w:r>
        <w:rPr>
          <w:rStyle w:val="VerbatimChar"/>
        </w:rPr>
        <w:t xml:space="preserve">ConnectorCertified</w:t>
      </w:r>
      <w:r>
        <w:t xml:space="preserve"> </w:t>
      </w:r>
      <w:r>
        <w:t xml:space="preserve">and</w:t>
      </w:r>
      <w:r>
        <w:t xml:space="preserve"> </w:t>
      </w:r>
      <w:r>
        <w:rPr>
          <w:rStyle w:val="VerbatimChar"/>
        </w:rPr>
        <w:t xml:space="preserve">ControlTestResultPublished</w:t>
      </w:r>
      <w:r>
        <w:t xml:space="preserve">.</w:t>
      </w:r>
    </w:p>
    <w:p>
      <w:r>
        <w:pict>
          <v:rect style="width:0;height:1.5pt" o:hralign="center" o:hrstd="t" o:hr="t"/>
        </w:pict>
      </w:r>
    </w:p>
    <w:bookmarkEnd w:id="119"/>
    <w:bookmarkEnd w:id="120"/>
    <w:bookmarkStart w:id="121" w:name="rollout-plan-across-products"/>
    <w:p>
      <w:pPr>
        <w:pStyle w:val="Heading1"/>
      </w:pPr>
      <w:r>
        <w:t xml:space="preserve">15 — ROLLOUT PLAN ACROSS PRODUCTS</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2225"/>
        <w:gridCol w:w="4708"/>
        <w:gridCol w:w="2705"/>
      </w:tblGrid>
      <w:tr>
        <w:trPr>
          <w:tblHeader w:val="true"/>
          <w:tblHeader w:val="true"/>
        </w:trPr>
        <w:tc>
          <w:tcPr>
            <w:tcW w:w="2225" w:type="dxa"/>
            <w:shd w:val="clear" w:color="auto" w:fill="1F3A5F"/>
          </w:tcPr>
          <w:p>
            <w:pPr>
              <w:pStyle w:val="Compact"/>
              <w:spacing w:after="40"/>
              <w:jc w:val="left"/>
            </w:pPr>
            <w:r>
              <w:rPr>
                <w:b/>
                <w:color w:val="FFFFFF"/>
                <w:sz w:val="18"/>
              </w:rPr>
              <w:t xml:space="preserve">Phase</w:t>
            </w:r>
          </w:p>
        </w:tc>
        <w:tc>
          <w:tcPr>
            <w:tcW w:w="4708" w:type="dxa"/>
            <w:shd w:val="clear" w:color="auto" w:fill="1F3A5F"/>
          </w:tcPr>
          <w:p>
            <w:pPr>
              <w:pStyle w:val="Compact"/>
              <w:spacing w:after="40"/>
              <w:jc w:val="left"/>
            </w:pPr>
            <w:r>
              <w:rPr>
                <w:b/>
                <w:color w:val="FFFFFF"/>
                <w:sz w:val="18"/>
              </w:rPr>
              <w:t xml:space="preserve">Implements</w:t>
            </w:r>
          </w:p>
        </w:tc>
        <w:tc>
          <w:tcPr>
            <w:tcW w:w="2705" w:type="dxa"/>
            <w:shd w:val="clear" w:color="auto" w:fill="1F3A5F"/>
          </w:tcPr>
          <w:p>
            <w:pPr>
              <w:pStyle w:val="Compact"/>
              <w:spacing w:after="40"/>
              <w:jc w:val="left"/>
            </w:pPr>
            <w:r>
              <w:rPr>
                <w:b/>
                <w:color w:val="FFFFFF"/>
                <w:sz w:val="18"/>
              </w:rPr>
              <w:t xml:space="preserve">Exit evidence</w:t>
            </w:r>
          </w:p>
        </w:tc>
      </w:tr>
      <w:tr>
        <w:tc>
          <w:tcPr>
            <w:tcW w:w="2225" w:type="dxa"/>
          </w:tcPr>
          <w:p>
            <w:pPr>
              <w:pStyle w:val="Compact"/>
              <w:spacing w:after="40"/>
              <w:jc w:val="left"/>
            </w:pPr>
            <w:r>
              <w:rPr>
                <w:sz w:val="18"/>
              </w:rPr>
              <w:t xml:space="preserve">Finbyx 8c</w:t>
            </w:r>
          </w:p>
        </w:tc>
        <w:tc>
          <w:tcPr>
            <w:tcW w:w="4708" w:type="dxa"/>
          </w:tcPr>
          <w:p>
            <w:pPr>
              <w:pStyle w:val="Compact"/>
              <w:spacing w:after="40"/>
              <w:jc w:val="left"/>
            </w:pPr>
            <w:r>
              <w:rPr>
                <w:sz w:val="18"/>
              </w:rPr>
              <w:t xml:space="preserve">Part 3 core; 6.2–6.4; consentref</w:t>
            </w:r>
          </w:p>
        </w:tc>
        <w:tc>
          <w:tcPr>
            <w:tcW w:w="2705" w:type="dxa"/>
          </w:tcPr>
          <w:p>
            <w:pPr>
              <w:pStyle w:val="Compact"/>
              <w:spacing w:after="40"/>
              <w:jc w:val="left"/>
            </w:pPr>
            <w:r>
              <w:rPr>
                <w:sz w:val="18"/>
              </w:rPr>
              <w:t xml:space="preserve">Pact with Udofin; Finbyx runs with Udofin down</w:t>
            </w:r>
          </w:p>
        </w:tc>
      </w:tr>
      <w:tr>
        <w:tc>
          <w:tcPr>
            <w:tcW w:w="2225" w:type="dxa"/>
          </w:tcPr>
          <w:p>
            <w:pPr>
              <w:pStyle w:val="Compact"/>
              <w:spacing w:after="40"/>
              <w:jc w:val="left"/>
            </w:pPr>
            <w:r>
              <w:rPr>
                <w:sz w:val="18"/>
              </w:rPr>
              <w:t xml:space="preserve">Udofin 9</w:t>
            </w:r>
          </w:p>
        </w:tc>
        <w:tc>
          <w:tcPr>
            <w:tcW w:w="4708" w:type="dxa"/>
          </w:tcPr>
          <w:p>
            <w:pPr>
              <w:pStyle w:val="Compact"/>
              <w:spacing w:after="40"/>
              <w:jc w:val="left"/>
            </w:pPr>
            <w:r>
              <w:rPr>
                <w:sz w:val="18"/>
              </w:rPr>
              <w:t xml:space="preserve">LSP side of 8c; generic LOS/LMS connector; certification runner</w:t>
            </w:r>
          </w:p>
        </w:tc>
        <w:tc>
          <w:tcPr>
            <w:tcW w:w="2705" w:type="dxa"/>
          </w:tcPr>
          <w:p>
            <w:pPr>
              <w:pStyle w:val="Compact"/>
              <w:spacing w:after="40"/>
              <w:jc w:val="left"/>
            </w:pPr>
            <w:r>
              <w:rPr>
                <w:sz w:val="18"/>
              </w:rPr>
              <w:t xml:space="preserve">Finbyx connector certified</w:t>
            </w:r>
          </w:p>
        </w:tc>
      </w:tr>
      <w:tr>
        <w:tc>
          <w:tcPr>
            <w:tcW w:w="2225" w:type="dxa"/>
          </w:tcPr>
          <w:p>
            <w:pPr>
              <w:pStyle w:val="Compact"/>
              <w:spacing w:after="40"/>
              <w:jc w:val="left"/>
            </w:pPr>
            <w:r>
              <w:rPr>
                <w:sz w:val="18"/>
              </w:rPr>
              <w:t xml:space="preserve">Finbyx 12 — Recovery Suite core</w:t>
            </w:r>
          </w:p>
        </w:tc>
        <w:tc>
          <w:tcPr>
            <w:tcW w:w="4708" w:type="dxa"/>
          </w:tcPr>
          <w:p>
            <w:pPr>
              <w:pStyle w:val="Compact"/>
              <w:spacing w:after="40"/>
              <w:jc w:val="left"/>
            </w:pPr>
            <w:r>
              <w:rPr>
                <w:sz w:val="18"/>
              </w:rPr>
              <w:t xml:space="preserve">6.7 (</w:t>
            </w:r>
            <w:r>
              <w:rPr>
                <w:rStyle w:val="VerbatimChar"/>
                <w:sz w:val="18"/>
              </w:rPr>
              <w:t xml:space="preserve">RecoveryAgentNoticeSent</w:t>
            </w:r>
            <w:r>
              <w:rPr>
                <w:sz w:val="18"/>
              </w:rPr>
              <w:t xml:space="preserve">); 6.8 case, strategy, notice, service, receipt and closure events (settlement events in 12b; repossession, auction and surplus in 17b); 6.10;</w:t>
            </w:r>
            <w:r>
              <w:rPr>
                <w:sz w:val="18"/>
              </w:rPr>
              <w:t xml:space="preserve"> </w:t>
            </w:r>
            <w:r>
              <w:rPr>
                <w:rStyle w:val="VerbatimChar"/>
                <w:sz w:val="18"/>
              </w:rPr>
              <w:t xml:space="preserve">LegalHoldChanged</w:t>
            </w:r>
            <w:r>
              <w:rPr>
                <w:sz w:val="18"/>
              </w:rPr>
              <w:t xml:space="preserve">; dispatch and court-data adapters; module registry, attach and detach (11.1); recovery layouts</w:t>
            </w:r>
          </w:p>
        </w:tc>
        <w:tc>
          <w:tcPr>
            <w:tcW w:w="2705" w:type="dxa"/>
          </w:tcPr>
          <w:p>
            <w:pPr>
              <w:pStyle w:val="Compact"/>
              <w:spacing w:after="40"/>
              <w:jc w:val="left"/>
            </w:pPr>
            <w:r>
              <w:rPr>
                <w:sz w:val="18"/>
              </w:rPr>
              <w:t xml:space="preserve">Attach and detach with export pack</w:t>
            </w:r>
          </w:p>
        </w:tc>
      </w:tr>
      <w:tr>
        <w:tc>
          <w:tcPr>
            <w:tcW w:w="2225" w:type="dxa"/>
          </w:tcPr>
          <w:p>
            <w:pPr>
              <w:pStyle w:val="Compact"/>
              <w:spacing w:after="40"/>
              <w:jc w:val="left"/>
            </w:pPr>
            <w:r>
              <w:rPr>
                <w:sz w:val="18"/>
              </w:rPr>
              <w:t xml:space="preserve">Finbyx 12b — Settlement and ADR with Equator</w:t>
            </w:r>
          </w:p>
        </w:tc>
        <w:tc>
          <w:tcPr>
            <w:tcW w:w="4708" w:type="dxa"/>
          </w:tcPr>
          <w:p>
            <w:pPr>
              <w:pStyle w:val="Compact"/>
              <w:spacing w:after="40"/>
              <w:jc w:val="left"/>
            </w:pPr>
            <w:r>
              <w:rPr>
                <w:sz w:val="18"/>
              </w:rPr>
              <w:t xml:space="preserve">6.9; Part 8 gates and</w:t>
            </w:r>
            <w:r>
              <w:rPr>
                <w:sz w:val="18"/>
              </w:rPr>
              <w:t xml:space="preserve"> </w:t>
            </w:r>
            <w:r>
              <w:rPr>
                <w:rStyle w:val="VerbatimChar"/>
                <w:sz w:val="18"/>
              </w:rPr>
              <w:t xml:space="preserve">OdrProvider</w:t>
            </w:r>
            <w:r>
              <w:rPr>
                <w:sz w:val="18"/>
              </w:rPr>
              <w:t xml:space="preserve">; settlement events</w:t>
            </w:r>
          </w:p>
        </w:tc>
        <w:tc>
          <w:tcPr>
            <w:tcW w:w="2705" w:type="dxa"/>
          </w:tcPr>
          <w:p>
            <w:pPr>
              <w:pStyle w:val="Compact"/>
              <w:spacing w:after="40"/>
              <w:jc w:val="left"/>
            </w:pPr>
            <w:r>
              <w:rPr>
                <w:sz w:val="18"/>
              </w:rPr>
              <w:t xml:space="preserve">Equator certified; referral to compliance on sandbox</w:t>
            </w:r>
          </w:p>
        </w:tc>
      </w:tr>
      <w:tr>
        <w:tc>
          <w:tcPr>
            <w:tcW w:w="2225" w:type="dxa"/>
          </w:tcPr>
          <w:p>
            <w:pPr>
              <w:pStyle w:val="Compact"/>
              <w:spacing w:after="40"/>
              <w:jc w:val="left"/>
            </w:pPr>
            <w:r>
              <w:rPr>
                <w:sz w:val="18"/>
              </w:rPr>
              <w:t xml:space="preserve">Udofin 12b — Recovery support, notices, ADR access</w:t>
            </w:r>
          </w:p>
        </w:tc>
        <w:tc>
          <w:tcPr>
            <w:tcW w:w="4708" w:type="dxa"/>
          </w:tcPr>
          <w:p>
            <w:pPr>
              <w:pStyle w:val="Compact"/>
              <w:spacing w:after="40"/>
              <w:jc w:val="left"/>
            </w:pPr>
            <w:r>
              <w:rPr>
                <w:sz w:val="18"/>
              </w:rPr>
              <w:t xml:space="preserve">LSP projections; settlement relay and acceptance; agent-notice gate; Equator launch (4.4)</w:t>
            </w:r>
          </w:p>
        </w:tc>
        <w:tc>
          <w:tcPr>
            <w:tcW w:w="2705" w:type="dxa"/>
          </w:tcPr>
          <w:p>
            <w:pPr>
              <w:pStyle w:val="Compact"/>
              <w:spacing w:after="40"/>
              <w:jc w:val="left"/>
            </w:pPr>
            <w:r>
              <w:rPr>
                <w:sz w:val="18"/>
              </w:rPr>
              <w:t xml:space="preserve">Guard tests pass</w:t>
            </w:r>
          </w:p>
        </w:tc>
      </w:tr>
      <w:tr>
        <w:tc>
          <w:tcPr>
            <w:tcW w:w="2225" w:type="dxa"/>
          </w:tcPr>
          <w:p>
            <w:pPr>
              <w:pStyle w:val="Compact"/>
              <w:spacing w:after="40"/>
              <w:jc w:val="left"/>
            </w:pPr>
            <w:r>
              <w:rPr>
                <w:sz w:val="18"/>
              </w:rPr>
              <w:t xml:space="preserve">Udofin 13 — DLG</w:t>
            </w:r>
          </w:p>
        </w:tc>
        <w:tc>
          <w:tcPr>
            <w:tcW w:w="4708" w:type="dxa"/>
          </w:tcPr>
          <w:p>
            <w:pPr>
              <w:pStyle w:val="Compact"/>
              <w:spacing w:after="40"/>
              <w:jc w:val="left"/>
            </w:pPr>
            <w:r>
              <w:rPr>
                <w:sz w:val="18"/>
              </w:rPr>
              <w:t xml:space="preserve">DLG domain (6.11)</w:t>
            </w:r>
          </w:p>
        </w:tc>
        <w:tc>
          <w:tcPr>
            <w:tcW w:w="2705" w:type="dxa"/>
          </w:tcPr>
          <w:p>
            <w:pPr>
              <w:pStyle w:val="Compact"/>
              <w:spacing w:after="40"/>
              <w:jc w:val="left"/>
            </w:pPr>
            <w:r>
              <w:rPr>
                <w:sz w:val="18"/>
              </w:rPr>
              <w:t xml:space="preserve">Disclosure and ledger reconciliation</w:t>
            </w:r>
          </w:p>
        </w:tc>
      </w:tr>
      <w:tr>
        <w:tc>
          <w:tcPr>
            <w:tcW w:w="2225" w:type="dxa"/>
          </w:tcPr>
          <w:p>
            <w:pPr>
              <w:pStyle w:val="Compact"/>
              <w:spacing w:after="40"/>
              <w:jc w:val="left"/>
            </w:pPr>
            <w:r>
              <w:rPr>
                <w:sz w:val="18"/>
              </w:rPr>
              <w:t xml:space="preserve">Finbyx 16</w:t>
            </w:r>
          </w:p>
        </w:tc>
        <w:tc>
          <w:tcPr>
            <w:tcW w:w="4708" w:type="dxa"/>
          </w:tcPr>
          <w:p>
            <w:pPr>
              <w:pStyle w:val="Compact"/>
              <w:spacing w:after="40"/>
              <w:jc w:val="left"/>
            </w:pPr>
            <w:r>
              <w:rPr>
                <w:sz w:val="18"/>
              </w:rPr>
              <w:t xml:space="preserve">6.6; RE-side DLG</w:t>
            </w:r>
          </w:p>
        </w:tc>
        <w:tc>
          <w:tcPr>
            <w:tcW w:w="2705" w:type="dxa"/>
          </w:tcPr>
          <w:p>
            <w:pPr>
              <w:pStyle w:val="Compact"/>
              <w:spacing w:after="40"/>
              <w:jc w:val="left"/>
            </w:pPr>
            <w:r>
              <w:rPr>
                <w:sz w:val="18"/>
              </w:rPr>
              <w:t xml:space="preserve">T+1 sync; three-way escrow</w:t>
            </w:r>
          </w:p>
        </w:tc>
      </w:tr>
      <w:tr>
        <w:tc>
          <w:tcPr>
            <w:tcW w:w="2225" w:type="dxa"/>
          </w:tcPr>
          <w:p>
            <w:pPr>
              <w:pStyle w:val="Compact"/>
              <w:spacing w:after="40"/>
              <w:jc w:val="left"/>
            </w:pPr>
            <w:r>
              <w:rPr>
                <w:sz w:val="18"/>
              </w:rPr>
              <w:t xml:space="preserve">Finbyx 16b — Ecosystem integration hub v2</w:t>
            </w:r>
          </w:p>
        </w:tc>
        <w:tc>
          <w:tcPr>
            <w:tcW w:w="4708" w:type="dxa"/>
          </w:tcPr>
          <w:p>
            <w:pPr>
              <w:pStyle w:val="Compact"/>
              <w:spacing w:after="40"/>
              <w:jc w:val="left"/>
            </w:pPr>
            <w:r>
              <w:rPr>
                <w:sz w:val="18"/>
              </w:rPr>
              <w:t xml:space="preserve">Part 7 lifecycles incl. LAS; Parts 9, 10, 12; certification service; privacy and incident events</w:t>
            </w:r>
          </w:p>
        </w:tc>
        <w:tc>
          <w:tcPr>
            <w:tcW w:w="2705" w:type="dxa"/>
          </w:tcPr>
          <w:p>
            <w:pPr>
              <w:pStyle w:val="Compact"/>
              <w:spacing w:after="40"/>
              <w:jc w:val="left"/>
            </w:pPr>
            <w:r>
              <w:rPr>
                <w:sz w:val="18"/>
              </w:rPr>
              <w:t xml:space="preserve">All connectors certified; OSCAL package</w:t>
            </w:r>
          </w:p>
        </w:tc>
      </w:tr>
      <w:tr>
        <w:tc>
          <w:tcPr>
            <w:tcW w:w="2225" w:type="dxa"/>
          </w:tcPr>
          <w:p>
            <w:pPr>
              <w:pStyle w:val="Compact"/>
              <w:spacing w:after="40"/>
              <w:jc w:val="left"/>
            </w:pPr>
            <w:r>
              <w:rPr>
                <w:sz w:val="18"/>
              </w:rPr>
              <w:t xml:space="preserve">Udofin 16b — Ecosystem integration v2</w:t>
            </w:r>
          </w:p>
        </w:tc>
        <w:tc>
          <w:tcPr>
            <w:tcW w:w="4708" w:type="dxa"/>
          </w:tcPr>
          <w:p>
            <w:pPr>
              <w:pStyle w:val="Compact"/>
              <w:spacing w:after="40"/>
              <w:jc w:val="left"/>
            </w:pPr>
            <w:r>
              <w:rPr>
                <w:sz w:val="18"/>
              </w:rPr>
              <w:t xml:space="preserve">Part 7 incl. LAS event contracts; Equator; GRC; privacy and incident events (first built in Udofin Phases 3b and 16)</w:t>
            </w:r>
          </w:p>
        </w:tc>
        <w:tc>
          <w:tcPr>
            <w:tcW w:w="2705" w:type="dxa"/>
          </w:tcPr>
          <w:p>
            <w:pPr>
              <w:pStyle w:val="Compact"/>
              <w:spacing w:after="40"/>
              <w:jc w:val="left"/>
            </w:pPr>
            <w:r>
              <w:rPr>
                <w:sz w:val="18"/>
              </w:rPr>
              <w:t xml:space="preserve">Recertified; Pact suite passes per product lifecycle</w:t>
            </w:r>
          </w:p>
        </w:tc>
      </w:tr>
      <w:tr>
        <w:tc>
          <w:tcPr>
            <w:tcW w:w="2225" w:type="dxa"/>
          </w:tcPr>
          <w:p>
            <w:pPr>
              <w:pStyle w:val="Compact"/>
              <w:spacing w:after="40"/>
              <w:jc w:val="left"/>
            </w:pPr>
            <w:r>
              <w:rPr>
                <w:sz w:val="18"/>
              </w:rPr>
              <w:t xml:space="preserve">Finbyx 17 — Secured products</w:t>
            </w:r>
          </w:p>
        </w:tc>
        <w:tc>
          <w:tcPr>
            <w:tcW w:w="4708" w:type="dxa"/>
          </w:tcPr>
          <w:p>
            <w:pPr>
              <w:pStyle w:val="Compact"/>
              <w:spacing w:after="40"/>
              <w:jc w:val="left"/>
            </w:pPr>
            <w:r>
              <w:rPr>
                <w:sz w:val="18"/>
              </w:rPr>
              <w:t xml:space="preserve">Collateral domain (6.5); LAS engine (7.3)</w:t>
            </w:r>
          </w:p>
        </w:tc>
        <w:tc>
          <w:tcPr>
            <w:tcW w:w="2705" w:type="dxa"/>
          </w:tcPr>
          <w:p>
            <w:pPr>
              <w:pStyle w:val="Compact"/>
              <w:spacing w:after="40"/>
              <w:jc w:val="left"/>
            </w:pPr>
            <w:r>
              <w:rPr>
                <w:sz w:val="18"/>
              </w:rPr>
              <w:t xml:space="preserve">Pledge, valuation, margin call, release on sandbox rails</w:t>
            </w:r>
          </w:p>
        </w:tc>
      </w:tr>
      <w:tr>
        <w:tc>
          <w:tcPr>
            <w:tcW w:w="2225" w:type="dxa"/>
          </w:tcPr>
          <w:p>
            <w:pPr>
              <w:pStyle w:val="Compact"/>
              <w:spacing w:after="40"/>
              <w:jc w:val="left"/>
            </w:pPr>
            <w:r>
              <w:rPr>
                <w:sz w:val="18"/>
              </w:rPr>
              <w:t xml:space="preserve">Finbyx 17b — Secured enforcement and shared-exposure recovery</w:t>
            </w:r>
          </w:p>
        </w:tc>
        <w:tc>
          <w:tcPr>
            <w:tcW w:w="4708" w:type="dxa"/>
          </w:tcPr>
          <w:p>
            <w:pPr>
              <w:pStyle w:val="Compact"/>
              <w:spacing w:after="40"/>
              <w:jc w:val="left"/>
            </w:pPr>
            <w:r>
              <w:rPr>
                <w:sz w:val="18"/>
              </w:rPr>
              <w:t xml:space="preserve">Repossession, auction, surplus, invocation; e-auction listings through the 16b adapter; ICA votes; shared-exposure rules</w:t>
            </w:r>
          </w:p>
        </w:tc>
        <w:tc>
          <w:tcPr>
            <w:tcW w:w="2705" w:type="dxa"/>
          </w:tcPr>
          <w:p>
            <w:pPr>
              <w:pStyle w:val="Compact"/>
              <w:spacing w:after="40"/>
              <w:jc w:val="left"/>
            </w:pPr>
            <w:r>
              <w:rPr>
                <w:sz w:val="18"/>
              </w:rPr>
              <w:t xml:space="preserve">Statutory-clock tests pass</w:t>
            </w:r>
          </w:p>
        </w:tc>
      </w:tr>
      <w:tr>
        <w:tc>
          <w:tcPr>
            <w:tcW w:w="2225" w:type="dxa"/>
          </w:tcPr>
          <w:p>
            <w:pPr>
              <w:pStyle w:val="Compact"/>
              <w:spacing w:after="40"/>
              <w:jc w:val="left"/>
            </w:pPr>
            <w:r>
              <w:rPr>
                <w:sz w:val="18"/>
              </w:rPr>
              <w:t xml:space="preserve">Udofin 18, 18b</w:t>
            </w:r>
          </w:p>
        </w:tc>
        <w:tc>
          <w:tcPr>
            <w:tcW w:w="4708" w:type="dxa"/>
          </w:tcPr>
          <w:p>
            <w:pPr>
              <w:pStyle w:val="Compact"/>
              <w:spacing w:after="40"/>
              <w:jc w:val="left"/>
            </w:pPr>
            <w:r>
              <w:rPr>
                <w:sz w:val="18"/>
              </w:rPr>
              <w:t xml:space="preserve">LAS, Home, LAP, Vehicle; then Gold, MSME, Microfinance, Supply-chain and TReDS, Education (Products 11–15)</w:t>
            </w:r>
          </w:p>
        </w:tc>
        <w:tc>
          <w:tcPr>
            <w:tcW w:w="2705" w:type="dxa"/>
          </w:tcPr>
          <w:p>
            <w:pPr>
              <w:pStyle w:val="Compact"/>
              <w:spacing w:after="40"/>
              <w:jc w:val="left"/>
            </w:pPr>
            <w:r>
              <w:rPr>
                <w:sz w:val="18"/>
              </w:rPr>
              <w:t xml:space="preserve">Per-product fixtures pass; LAS journey end to end on the Finbyx 17 sandbox</w:t>
            </w:r>
          </w:p>
        </w:tc>
      </w:tr>
      <w:tr>
        <w:tc>
          <w:tcPr>
            <w:tcW w:w="2225" w:type="dxa"/>
          </w:tcPr>
          <w:p>
            <w:pPr>
              <w:pStyle w:val="Compact"/>
              <w:spacing w:after="40"/>
              <w:jc w:val="left"/>
            </w:pPr>
            <w:r>
              <w:rPr>
                <w:sz w:val="18"/>
              </w:rPr>
              <w:t xml:space="preserve">LawDocsComply</w:t>
            </w:r>
          </w:p>
        </w:tc>
        <w:tc>
          <w:tcPr>
            <w:tcW w:w="4708" w:type="dxa"/>
          </w:tcPr>
          <w:p>
            <w:pPr>
              <w:pStyle w:val="Compact"/>
              <w:spacing w:after="40"/>
              <w:jc w:val="left"/>
            </w:pPr>
            <w:r>
              <w:rPr>
                <w:sz w:val="18"/>
              </w:rPr>
              <w:t xml:space="preserve">9.3 connector</w:t>
            </w:r>
          </w:p>
        </w:tc>
        <w:tc>
          <w:tcPr>
            <w:tcW w:w="2705" w:type="dxa"/>
          </w:tcPr>
          <w:p>
            <w:pPr>
              <w:pStyle w:val="Compact"/>
              <w:spacing w:after="40"/>
              <w:jc w:val="left"/>
            </w:pPr>
            <w:r>
              <w:rPr>
                <w:sz w:val="18"/>
              </w:rPr>
              <w:t xml:space="preserve">Certified against both 16b phases</w:t>
            </w:r>
          </w:p>
        </w:tc>
      </w:tr>
      <w:tr>
        <w:tc>
          <w:tcPr>
            <w:tcW w:w="2225" w:type="dxa"/>
          </w:tcPr>
          <w:p>
            <w:pPr>
              <w:pStyle w:val="Compact"/>
              <w:spacing w:after="40"/>
              <w:jc w:val="left"/>
            </w:pPr>
            <w:r>
              <w:rPr>
                <w:sz w:val="18"/>
              </w:rPr>
              <w:t xml:space="preserve">Finbyx 1 (EO1 controls from the start)</w:t>
            </w:r>
          </w:p>
        </w:tc>
        <w:tc>
          <w:tcPr>
            <w:tcW w:w="4708" w:type="dxa"/>
          </w:tcPr>
          <w:p>
            <w:pPr>
              <w:pStyle w:val="Compact"/>
              <w:spacing w:after="40"/>
              <w:jc w:val="left"/>
            </w:pPr>
            <w:r>
              <w:rPr>
                <w:rStyle w:val="VerbatimChar"/>
                <w:sz w:val="18"/>
              </w:rPr>
              <w:t xml:space="preserve">ReleasePublished</w:t>
            </w:r>
            <w:r>
              <w:rPr>
                <w:sz w:val="18"/>
              </w:rPr>
              <w:t xml:space="preserve"> </w:t>
            </w:r>
            <w:r>
              <w:rPr>
                <w:sz w:val="18"/>
              </w:rPr>
              <w:t xml:space="preserve">and</w:t>
            </w:r>
            <w:r>
              <w:rPr>
                <w:sz w:val="18"/>
              </w:rPr>
              <w:t xml:space="preserve"> </w:t>
            </w:r>
            <w:r>
              <w:rPr>
                <w:rStyle w:val="VerbatimChar"/>
                <w:sz w:val="18"/>
              </w:rPr>
              <w:t xml:space="preserve">ControlEvidenceCollected</w:t>
            </w:r>
            <w:r>
              <w:rPr>
                <w:sz w:val="18"/>
              </w:rPr>
              <w:t xml:space="preserve"> </w:t>
            </w:r>
            <w:r>
              <w:rPr>
                <w:sz w:val="18"/>
              </w:rPr>
              <w:t xml:space="preserve">emitters in CI; registry compatibility check</w:t>
            </w:r>
          </w:p>
        </w:tc>
        <w:tc>
          <w:tcPr>
            <w:tcW w:w="2705" w:type="dxa"/>
          </w:tcPr>
          <w:p>
            <w:pPr>
              <w:pStyle w:val="Compact"/>
              <w:spacing w:after="40"/>
              <w:jc w:val="left"/>
            </w:pPr>
            <w:r>
              <w:rPr>
                <w:sz w:val="18"/>
              </w:rPr>
              <w:t xml:space="preserve">Branch protection and required checks evidenced</w:t>
            </w:r>
          </w:p>
        </w:tc>
      </w:tr>
      <w:tr>
        <w:tc>
          <w:tcPr>
            <w:tcW w:w="2225" w:type="dxa"/>
          </w:tcPr>
          <w:p>
            <w:pPr>
              <w:pStyle w:val="Compact"/>
              <w:spacing w:after="40"/>
              <w:jc w:val="left"/>
            </w:pPr>
            <w:r>
              <w:rPr>
                <w:sz w:val="18"/>
              </w:rPr>
              <w:t xml:space="preserve">Finbyx 13b — Accounting, statements, tax and audit trail</w:t>
            </w:r>
          </w:p>
        </w:tc>
        <w:tc>
          <w:tcPr>
            <w:tcW w:w="4708" w:type="dxa"/>
          </w:tcPr>
          <w:p>
            <w:pPr>
              <w:pStyle w:val="Compact"/>
              <w:spacing w:after="40"/>
              <w:jc w:val="left"/>
            </w:pPr>
            <w:r>
              <w:rPr>
                <w:sz w:val="18"/>
              </w:rPr>
              <w:t xml:space="preserve">6.20;</w:t>
            </w:r>
            <w:r>
              <w:rPr>
                <w:sz w:val="18"/>
              </w:rPr>
              <w:t xml:space="preserve"> </w:t>
            </w:r>
            <w:r>
              <w:rPr>
                <w:rStyle w:val="VerbatimChar"/>
                <w:sz w:val="18"/>
              </w:rPr>
              <w:t xml:space="preserve">gst_export_v1</w:t>
            </w:r>
            <w:r>
              <w:rPr>
                <w:sz w:val="18"/>
              </w:rPr>
              <w:t xml:space="preserve">,</w:t>
            </w:r>
            <w:r>
              <w:rPr>
                <w:sz w:val="18"/>
              </w:rPr>
              <w:t xml:space="preserve"> </w:t>
            </w:r>
            <w:r>
              <w:rPr>
                <w:rStyle w:val="VerbatimChar"/>
                <w:sz w:val="18"/>
              </w:rPr>
              <w:t xml:space="preserve">tds_export_v1</w:t>
            </w:r>
          </w:p>
        </w:tc>
        <w:tc>
          <w:tcPr>
            <w:tcW w:w="2705" w:type="dxa"/>
          </w:tcPr>
          <w:p>
            <w:pPr>
              <w:pStyle w:val="Compact"/>
              <w:spacing w:after="40"/>
              <w:jc w:val="left"/>
            </w:pPr>
            <w:r>
              <w:rPr>
                <w:rStyle w:val="VerbatimChar"/>
                <w:sz w:val="18"/>
              </w:rPr>
              <w:t xml:space="preserve">PeriodClosed</w:t>
            </w:r>
            <w:r>
              <w:rPr>
                <w:sz w:val="18"/>
              </w:rPr>
              <w:t xml:space="preserve"> </w:t>
            </w:r>
            <w:r>
              <w:rPr>
                <w:sz w:val="18"/>
              </w:rPr>
              <w:t xml:space="preserve">drives the 7B clocks on sandbox; GSTN schema validation passes</w:t>
            </w:r>
          </w:p>
        </w:tc>
      </w:tr>
      <w:tr>
        <w:tc>
          <w:tcPr>
            <w:tcW w:w="2225" w:type="dxa"/>
          </w:tcPr>
          <w:p>
            <w:pPr>
              <w:pStyle w:val="Compact"/>
              <w:spacing w:after="40"/>
              <w:jc w:val="left"/>
            </w:pPr>
            <w:r>
              <w:rPr>
                <w:sz w:val="18"/>
              </w:rPr>
              <w:t xml:space="preserve">Finbyx 14b — Returns and supervisory portal workflows</w:t>
            </w:r>
          </w:p>
        </w:tc>
        <w:tc>
          <w:tcPr>
            <w:tcW w:w="4708" w:type="dxa"/>
          </w:tcPr>
          <w:p>
            <w:pPr>
              <w:pStyle w:val="Compact"/>
              <w:spacing w:after="40"/>
              <w:jc w:val="left"/>
            </w:pPr>
            <w:r>
              <w:rPr>
                <w:sz w:val="18"/>
              </w:rPr>
              <w:t xml:space="preserve">6.18;</w:t>
            </w:r>
            <w:r>
              <w:rPr>
                <w:sz w:val="18"/>
              </w:rPr>
              <w:t xml:space="preserve"> </w:t>
            </w:r>
            <w:r>
              <w:rPr>
                <w:rStyle w:val="VerbatimChar"/>
                <w:sz w:val="18"/>
              </w:rPr>
              <w:t xml:space="preserve">return_package_v1</w:t>
            </w:r>
            <w:r>
              <w:rPr>
                <w:sz w:val="18"/>
              </w:rPr>
              <w:t xml:space="preserve">;</w:t>
            </w:r>
            <w:r>
              <w:rPr>
                <w:sz w:val="18"/>
              </w:rPr>
              <w:t xml:space="preserve"> </w:t>
            </w:r>
            <w:r>
              <w:rPr>
                <w:rStyle w:val="VerbatimChar"/>
                <w:sz w:val="18"/>
              </w:rPr>
              <w:t xml:space="preserve">ReturnStatusUpdated</w:t>
            </w:r>
            <w:r>
              <w:rPr>
                <w:sz w:val="18"/>
              </w:rPr>
              <w:t xml:space="preserve"> </w:t>
            </w:r>
            <w:r>
              <w:rPr>
                <w:sz w:val="18"/>
              </w:rPr>
              <w:t xml:space="preserve">mapping</w:t>
            </w:r>
          </w:p>
        </w:tc>
        <w:tc>
          <w:tcPr>
            <w:tcW w:w="2705" w:type="dxa"/>
          </w:tcPr>
          <w:p>
            <w:pPr>
              <w:pStyle w:val="Compact"/>
              <w:spacing w:after="40"/>
              <w:jc w:val="left"/>
            </w:pPr>
            <w:r>
              <w:rPr>
                <w:sz w:val="18"/>
              </w:rPr>
              <w:t xml:space="preserve">Filing-boundary group passes; LDC receives the lifecycle</w:t>
            </w:r>
          </w:p>
        </w:tc>
      </w:tr>
      <w:tr>
        <w:tc>
          <w:tcPr>
            <w:tcW w:w="2225" w:type="dxa"/>
          </w:tcPr>
          <w:p>
            <w:pPr>
              <w:pStyle w:val="Compact"/>
              <w:spacing w:after="40"/>
              <w:jc w:val="left"/>
            </w:pPr>
            <w:r>
              <w:rPr>
                <w:sz w:val="18"/>
              </w:rPr>
              <w:t xml:space="preserve">Finbyx 14c — Credit bureau submissions</w:t>
            </w:r>
          </w:p>
        </w:tc>
        <w:tc>
          <w:tcPr>
            <w:tcW w:w="4708" w:type="dxa"/>
          </w:tcPr>
          <w:p>
            <w:pPr>
              <w:pStyle w:val="Compact"/>
              <w:spacing w:after="40"/>
              <w:jc w:val="left"/>
            </w:pPr>
            <w:r>
              <w:rPr>
                <w:sz w:val="18"/>
              </w:rPr>
              <w:t xml:space="preserve">6.19; bureau layouts</w:t>
            </w:r>
          </w:p>
        </w:tc>
        <w:tc>
          <w:tcPr>
            <w:tcW w:w="2705" w:type="dxa"/>
          </w:tcPr>
          <w:p>
            <w:pPr>
              <w:pStyle w:val="Compact"/>
              <w:spacing w:after="40"/>
              <w:jc w:val="left"/>
            </w:pPr>
            <w:r>
              <w:rPr>
                <w:sz w:val="18"/>
              </w:rPr>
              <w:t xml:space="preserve">Bureau-format group passes for all four CICs on test endpoints</w:t>
            </w:r>
          </w:p>
        </w:tc>
      </w:tr>
      <w:tr>
        <w:tc>
          <w:tcPr>
            <w:tcW w:w="2225" w:type="dxa"/>
          </w:tcPr>
          <w:p>
            <w:pPr>
              <w:pStyle w:val="Compact"/>
              <w:spacing w:after="40"/>
              <w:jc w:val="left"/>
            </w:pPr>
            <w:r>
              <w:rPr>
                <w:sz w:val="18"/>
              </w:rPr>
              <w:t xml:space="preserve">Finbyx 14d — Risk, capital, ICAAP and dashboards</w:t>
            </w:r>
          </w:p>
        </w:tc>
        <w:tc>
          <w:tcPr>
            <w:tcW w:w="4708" w:type="dxa"/>
          </w:tcPr>
          <w:p>
            <w:pPr>
              <w:pStyle w:val="Compact"/>
              <w:spacing w:after="40"/>
              <w:jc w:val="left"/>
            </w:pPr>
            <w:r>
              <w:rPr>
                <w:sz w:val="18"/>
              </w:rPr>
              <w:t xml:space="preserve">6.22 incl. the LawDocsComply risk feed;</w:t>
            </w:r>
            <w:r>
              <w:rPr>
                <w:sz w:val="18"/>
              </w:rPr>
              <w:t xml:space="preserve"> </w:t>
            </w:r>
            <w:r>
              <w:rPr>
                <w:rStyle w:val="VerbatimChar"/>
                <w:sz w:val="18"/>
              </w:rPr>
              <w:t xml:space="preserve">risk_snapshot_v1</w:t>
            </w:r>
            <w:r>
              <w:rPr>
                <w:sz w:val="18"/>
              </w:rPr>
              <w:t xml:space="preserve">,</w:t>
            </w:r>
            <w:r>
              <w:rPr>
                <w:sz w:val="18"/>
              </w:rPr>
              <w:t xml:space="preserve"> </w:t>
            </w:r>
            <w:r>
              <w:rPr>
                <w:rStyle w:val="VerbatimChar"/>
                <w:sz w:val="18"/>
              </w:rPr>
              <w:t xml:space="preserve">ratio_catalogue_v1</w:t>
            </w:r>
          </w:p>
        </w:tc>
        <w:tc>
          <w:tcPr>
            <w:tcW w:w="2705" w:type="dxa"/>
          </w:tcPr>
          <w:p>
            <w:pPr>
              <w:pStyle w:val="Compact"/>
              <w:spacing w:after="40"/>
              <w:jc w:val="left"/>
            </w:pPr>
            <w:r>
              <w:rPr>
                <w:sz w:val="18"/>
              </w:rPr>
              <w:t xml:space="preserve">Risk-feed group passes against the LDC sandbox</w:t>
            </w:r>
          </w:p>
        </w:tc>
      </w:tr>
      <w:tr>
        <w:tc>
          <w:tcPr>
            <w:tcW w:w="2225" w:type="dxa"/>
          </w:tcPr>
          <w:p>
            <w:pPr>
              <w:pStyle w:val="Compact"/>
              <w:spacing w:after="40"/>
              <w:jc w:val="left"/>
            </w:pPr>
            <w:r>
              <w:rPr>
                <w:sz w:val="18"/>
              </w:rPr>
              <w:t xml:space="preserve">Finbyx 15b — Portability and customer storage</w:t>
            </w:r>
          </w:p>
        </w:tc>
        <w:tc>
          <w:tcPr>
            <w:tcW w:w="4708" w:type="dxa"/>
          </w:tcPr>
          <w:p>
            <w:pPr>
              <w:pStyle w:val="Compact"/>
              <w:spacing w:after="40"/>
              <w:jc w:val="left"/>
            </w:pPr>
            <w:r>
              <w:rPr>
                <w:sz w:val="18"/>
              </w:rPr>
              <w:t xml:space="preserve">6.26; 12.1; 12.2</w:t>
            </w:r>
          </w:p>
        </w:tc>
        <w:tc>
          <w:tcPr>
            <w:tcW w:w="2705" w:type="dxa"/>
          </w:tcPr>
          <w:p>
            <w:pPr>
              <w:pStyle w:val="Compact"/>
              <w:spacing w:after="40"/>
              <w:jc w:val="left"/>
            </w:pPr>
            <w:r>
              <w:rPr>
                <w:sz w:val="18"/>
              </w:rPr>
              <w:t xml:space="preserve">Archive and storage group passes; one restore test per synthetic tenant</w:t>
            </w:r>
          </w:p>
        </w:tc>
      </w:tr>
      <w:tr>
        <w:tc>
          <w:tcPr>
            <w:tcW w:w="2225" w:type="dxa"/>
          </w:tcPr>
          <w:p>
            <w:pPr>
              <w:pStyle w:val="Compact"/>
              <w:spacing w:after="40"/>
              <w:jc w:val="left"/>
            </w:pPr>
            <w:r>
              <w:rPr>
                <w:sz w:val="18"/>
              </w:rPr>
              <w:t xml:space="preserve">Finbyx 16c — Audit and assurance</w:t>
            </w:r>
          </w:p>
        </w:tc>
        <w:tc>
          <w:tcPr>
            <w:tcW w:w="4708" w:type="dxa"/>
          </w:tcPr>
          <w:p>
            <w:pPr>
              <w:pStyle w:val="Compact"/>
              <w:spacing w:after="40"/>
              <w:jc w:val="left"/>
            </w:pPr>
            <w:r>
              <w:rPr>
                <w:sz w:val="18"/>
              </w:rPr>
              <w:t xml:space="preserve">6.21; 4.7 with AU7 as master register;</w:t>
            </w:r>
            <w:r>
              <w:rPr>
                <w:sz w:val="18"/>
              </w:rPr>
              <w:t xml:space="preserve"> </w:t>
            </w:r>
            <w:r>
              <w:rPr>
                <w:rStyle w:val="VerbatimChar"/>
                <w:sz w:val="18"/>
              </w:rPr>
              <w:t xml:space="preserve">audit_workpaper_index_v1</w:t>
            </w:r>
          </w:p>
        </w:tc>
        <w:tc>
          <w:tcPr>
            <w:tcW w:w="2705" w:type="dxa"/>
          </w:tcPr>
          <w:p>
            <w:pPr>
              <w:pStyle w:val="Compact"/>
              <w:spacing w:after="40"/>
              <w:jc w:val="left"/>
            </w:pPr>
            <w:r>
              <w:rPr>
                <w:sz w:val="18"/>
              </w:rPr>
              <w:t xml:space="preserve">External-access group passes; grant federated to the Udofin sandbox</w:t>
            </w:r>
          </w:p>
        </w:tc>
      </w:tr>
      <w:tr>
        <w:tc>
          <w:tcPr>
            <w:tcW w:w="2225" w:type="dxa"/>
          </w:tcPr>
          <w:p>
            <w:pPr>
              <w:pStyle w:val="Compact"/>
              <w:spacing w:after="40"/>
              <w:jc w:val="left"/>
            </w:pPr>
            <w:r>
              <w:rPr>
                <w:sz w:val="18"/>
              </w:rPr>
              <w:t xml:space="preserve">Finbyx 16d — Governance, listed compliance, HRMS, workplace</w:t>
            </w:r>
          </w:p>
        </w:tc>
        <w:tc>
          <w:tcPr>
            <w:tcW w:w="4708" w:type="dxa"/>
          </w:tcPr>
          <w:p>
            <w:pPr>
              <w:pStyle w:val="Compact"/>
              <w:spacing w:after="40"/>
              <w:jc w:val="left"/>
            </w:pPr>
            <w:r>
              <w:rPr>
                <w:sz w:val="18"/>
              </w:rPr>
              <w:t xml:space="preserve">6.23 tenant-internal routing; 12.3 consumer</w:t>
            </w:r>
          </w:p>
        </w:tc>
        <w:tc>
          <w:tcPr>
            <w:tcW w:w="2705" w:type="dxa"/>
          </w:tcPr>
          <w:p>
            <w:pPr>
              <w:pStyle w:val="Compact"/>
              <w:spacing w:after="40"/>
              <w:jc w:val="left"/>
            </w:pPr>
            <w:r>
              <w:rPr>
                <w:sz w:val="18"/>
              </w:rPr>
              <w:t xml:space="preserve">Hub subscription refused; rule-pack fixtures pass</w:t>
            </w:r>
          </w:p>
        </w:tc>
      </w:tr>
      <w:tr>
        <w:tc>
          <w:tcPr>
            <w:tcW w:w="2225" w:type="dxa"/>
          </w:tcPr>
          <w:p>
            <w:pPr>
              <w:pStyle w:val="Compact"/>
              <w:spacing w:after="40"/>
              <w:jc w:val="left"/>
            </w:pPr>
            <w:r>
              <w:rPr>
                <w:sz w:val="18"/>
              </w:rPr>
              <w:t xml:space="preserve">Finbyx 16e — Plans, entitlements, billing</w:t>
            </w:r>
          </w:p>
        </w:tc>
        <w:tc>
          <w:tcPr>
            <w:tcW w:w="4708" w:type="dxa"/>
          </w:tcPr>
          <w:p>
            <w:pPr>
              <w:pStyle w:val="Compact"/>
              <w:spacing w:after="40"/>
              <w:jc w:val="left"/>
            </w:pPr>
            <w:r>
              <w:rPr>
                <w:sz w:val="18"/>
              </w:rPr>
              <w:t xml:space="preserve">6.27 consumer and</w:t>
            </w:r>
            <w:r>
              <w:rPr>
                <w:sz w:val="18"/>
              </w:rPr>
              <w:t xml:space="preserve"> </w:t>
            </w:r>
            <w:r>
              <w:rPr>
                <w:rStyle w:val="VerbatimChar"/>
                <w:sz w:val="18"/>
              </w:rPr>
              <w:t xml:space="preserve">UsageRecorded</w:t>
            </w:r>
          </w:p>
        </w:tc>
        <w:tc>
          <w:tcPr>
            <w:tcW w:w="2705" w:type="dxa"/>
          </w:tcPr>
          <w:p>
            <w:pPr>
              <w:pStyle w:val="Compact"/>
              <w:spacing w:after="40"/>
              <w:jc w:val="left"/>
            </w:pPr>
            <w:r>
              <w:rPr>
                <w:sz w:val="18"/>
              </w:rPr>
              <w:t xml:space="preserve">Signed-entitlement and dunning tests pass against the Hub O6 sandbox</w:t>
            </w:r>
          </w:p>
        </w:tc>
      </w:tr>
      <w:tr>
        <w:tc>
          <w:tcPr>
            <w:tcW w:w="2225" w:type="dxa"/>
          </w:tcPr>
          <w:p>
            <w:pPr>
              <w:pStyle w:val="Compact"/>
              <w:spacing w:after="40"/>
              <w:jc w:val="left"/>
            </w:pPr>
            <w:r>
              <w:rPr>
                <w:sz w:val="18"/>
              </w:rPr>
              <w:t xml:space="preserve">Finbyx 17c — Co-operatives, co-operative banks, microfinance</w:t>
            </w:r>
          </w:p>
        </w:tc>
        <w:tc>
          <w:tcPr>
            <w:tcW w:w="4708" w:type="dxa"/>
          </w:tcPr>
          <w:p>
            <w:pPr>
              <w:pStyle w:val="Compact"/>
              <w:spacing w:after="40"/>
              <w:jc w:val="left"/>
            </w:pPr>
            <w:r>
              <w:rPr>
                <w:sz w:val="18"/>
              </w:rPr>
              <w:t xml:space="preserve">6.24 producer;</w:t>
            </w:r>
            <w:r>
              <w:rPr>
                <w:sz w:val="18"/>
              </w:rPr>
              <w:t xml:space="preserve"> </w:t>
            </w:r>
            <w:r>
              <w:rPr>
                <w:rStyle w:val="VerbatimChar"/>
                <w:sz w:val="18"/>
              </w:rPr>
              <w:t xml:space="preserve">member_register_v1</w:t>
            </w:r>
            <w:r>
              <w:rPr>
                <w:sz w:val="18"/>
              </w:rPr>
              <w:t xml:space="preserve">,</w:t>
            </w:r>
            <w:r>
              <w:rPr>
                <w:sz w:val="18"/>
              </w:rPr>
              <w:t xml:space="preserve"> </w:t>
            </w:r>
            <w:r>
              <w:rPr>
                <w:rStyle w:val="VerbatimChar"/>
                <w:sz w:val="18"/>
              </w:rPr>
              <w:t xml:space="preserve">share_ledger_v1</w:t>
            </w:r>
            <w:r>
              <w:rPr>
                <w:sz w:val="18"/>
              </w:rPr>
              <w:t xml:space="preserve">,</w:t>
            </w:r>
            <w:r>
              <w:rPr>
                <w:sz w:val="18"/>
              </w:rPr>
              <w:t xml:space="preserve"> </w:t>
            </w:r>
            <w:r>
              <w:rPr>
                <w:rStyle w:val="VerbatimChar"/>
                <w:sz w:val="18"/>
              </w:rPr>
              <w:t xml:space="preserve">jlg_group_v1</w:t>
            </w:r>
          </w:p>
        </w:tc>
        <w:tc>
          <w:tcPr>
            <w:tcW w:w="2705" w:type="dxa"/>
          </w:tcPr>
          <w:p>
            <w:pPr>
              <w:pStyle w:val="Compact"/>
              <w:spacing w:after="40"/>
              <w:jc w:val="left"/>
            </w:pPr>
            <w:r>
              <w:rPr>
                <w:sz w:val="18"/>
              </w:rPr>
              <w:t xml:space="preserve">Member and group lending group passes</w:t>
            </w:r>
          </w:p>
        </w:tc>
      </w:tr>
      <w:tr>
        <w:tc>
          <w:tcPr>
            <w:tcW w:w="2225" w:type="dxa"/>
          </w:tcPr>
          <w:p>
            <w:pPr>
              <w:pStyle w:val="Compact"/>
              <w:spacing w:after="40"/>
              <w:jc w:val="left"/>
            </w:pPr>
            <w:r>
              <w:rPr>
                <w:sz w:val="18"/>
              </w:rPr>
              <w:t xml:space="preserve">Finbyx 17d — ARCs, IFSC entities, investments, servicing</w:t>
            </w:r>
          </w:p>
        </w:tc>
        <w:tc>
          <w:tcPr>
            <w:tcW w:w="4708" w:type="dxa"/>
          </w:tcPr>
          <w:p>
            <w:pPr>
              <w:pStyle w:val="Compact"/>
              <w:spacing w:after="40"/>
              <w:jc w:val="left"/>
            </w:pPr>
            <w:r>
              <w:rPr>
                <w:sz w:val="18"/>
              </w:rPr>
              <w:t xml:space="preserve">6.25;</w:t>
            </w:r>
            <w:r>
              <w:rPr>
                <w:sz w:val="18"/>
              </w:rPr>
              <w:t xml:space="preserve"> </w:t>
            </w:r>
            <w:r>
              <w:rPr>
                <w:rStyle w:val="VerbatimChar"/>
                <w:sz w:val="18"/>
              </w:rPr>
              <w:t xml:space="preserve">investment_position_v1</w:t>
            </w:r>
            <w:r>
              <w:rPr>
                <w:sz w:val="18"/>
              </w:rPr>
              <w:t xml:space="preserve">,</w:t>
            </w:r>
            <w:r>
              <w:rPr>
                <w:sz w:val="18"/>
              </w:rPr>
              <w:t xml:space="preserve"> </w:t>
            </w:r>
            <w:r>
              <w:rPr>
                <w:rStyle w:val="VerbatimChar"/>
                <w:sz w:val="18"/>
              </w:rPr>
              <w:t xml:space="preserve">sr_register_v1</w:t>
            </w:r>
            <w:r>
              <w:rPr>
                <w:sz w:val="18"/>
              </w:rPr>
              <w:t xml:space="preserve">,</w:t>
            </w:r>
            <w:r>
              <w:rPr>
                <w:sz w:val="18"/>
              </w:rPr>
              <w:t xml:space="preserve"> </w:t>
            </w:r>
            <w:r>
              <w:rPr>
                <w:rStyle w:val="VerbatimChar"/>
                <w:sz w:val="18"/>
              </w:rPr>
              <w:t xml:space="preserve">servicer_report_v1</w:t>
            </w:r>
          </w:p>
        </w:tc>
        <w:tc>
          <w:tcPr>
            <w:tcW w:w="2705" w:type="dxa"/>
          </w:tcPr>
          <w:p>
            <w:pPr>
              <w:pStyle w:val="Compact"/>
              <w:spacing w:after="40"/>
              <w:jc w:val="left"/>
            </w:pPr>
            <w:r>
              <w:rPr>
                <w:sz w:val="18"/>
              </w:rPr>
              <w:t xml:space="preserve">Waterfall, SR and NAV events on sandbox</w:t>
            </w:r>
          </w:p>
        </w:tc>
      </w:tr>
      <w:tr>
        <w:tc>
          <w:tcPr>
            <w:tcW w:w="2225" w:type="dxa"/>
          </w:tcPr>
          <w:p>
            <w:pPr>
              <w:pStyle w:val="Compact"/>
              <w:spacing w:after="40"/>
              <w:jc w:val="left"/>
            </w:pPr>
            <w:r>
              <w:rPr>
                <w:sz w:val="18"/>
              </w:rPr>
              <w:t xml:space="preserve">Finbyx 18b and Udofin 20d — Voice, AI contact centre, Jio</w:t>
            </w:r>
          </w:p>
        </w:tc>
        <w:tc>
          <w:tcPr>
            <w:tcW w:w="4708" w:type="dxa"/>
          </w:tcPr>
          <w:p>
            <w:pPr>
              <w:pStyle w:val="Compact"/>
              <w:spacing w:after="40"/>
              <w:jc w:val="left"/>
            </w:pPr>
            <w:r>
              <w:rPr>
                <w:sz w:val="18"/>
              </w:rPr>
              <w:t xml:space="preserve">10.2 voice row</w:t>
            </w:r>
          </w:p>
        </w:tc>
        <w:tc>
          <w:tcPr>
            <w:tcW w:w="2705" w:type="dxa"/>
          </w:tcPr>
          <w:p>
            <w:pPr>
              <w:pStyle w:val="Compact"/>
              <w:spacing w:after="40"/>
              <w:jc w:val="left"/>
            </w:pPr>
            <w:r>
              <w:rPr>
                <w:sz w:val="18"/>
              </w:rPr>
              <w:t xml:space="preserve">DLT and 1600-series checks pass</w:t>
            </w:r>
          </w:p>
        </w:tc>
      </w:tr>
      <w:tr>
        <w:tc>
          <w:tcPr>
            <w:tcW w:w="2225" w:type="dxa"/>
          </w:tcPr>
          <w:p>
            <w:pPr>
              <w:pStyle w:val="Compact"/>
              <w:spacing w:after="40"/>
              <w:jc w:val="left"/>
            </w:pPr>
            <w:r>
              <w:rPr>
                <w:sz w:val="18"/>
              </w:rPr>
              <w:t xml:space="preserve">Finbyx 20b — Engineering evidence and certification readiness</w:t>
            </w:r>
          </w:p>
        </w:tc>
        <w:tc>
          <w:tcPr>
            <w:tcW w:w="4708" w:type="dxa"/>
          </w:tcPr>
          <w:p>
            <w:pPr>
              <w:pStyle w:val="Compact"/>
              <w:spacing w:after="40"/>
              <w:jc w:val="left"/>
            </w:pPr>
            <w:r>
              <w:rPr>
                <w:sz w:val="18"/>
              </w:rPr>
              <w:t xml:space="preserve">6.29 engineering events to OH13 and OH14;</w:t>
            </w:r>
            <w:r>
              <w:rPr>
                <w:sz w:val="18"/>
              </w:rPr>
              <w:t xml:space="preserve"> </w:t>
            </w:r>
            <w:r>
              <w:rPr>
                <w:rStyle w:val="VerbatimChar"/>
                <w:sz w:val="18"/>
              </w:rPr>
              <w:t xml:space="preserve">AccessReviewCompleted</w:t>
            </w:r>
            <w:r>
              <w:rPr>
                <w:sz w:val="18"/>
              </w:rPr>
              <w:t xml:space="preserve"> </w:t>
            </w:r>
            <w:r>
              <w:rPr>
                <w:sz w:val="18"/>
              </w:rPr>
              <w:t xml:space="preserve">(PLATFORM)</w:t>
            </w:r>
          </w:p>
        </w:tc>
        <w:tc>
          <w:tcPr>
            <w:tcW w:w="2705" w:type="dxa"/>
          </w:tcPr>
          <w:p>
            <w:pPr>
              <w:pStyle w:val="Compact"/>
              <w:spacing w:after="40"/>
              <w:jc w:val="left"/>
            </w:pPr>
            <w:r>
              <w:rPr>
                <w:sz w:val="18"/>
              </w:rPr>
              <w:t xml:space="preserve">Evidence freshness visible in OH14</w:t>
            </w:r>
          </w:p>
        </w:tc>
      </w:tr>
      <w:tr>
        <w:tc>
          <w:tcPr>
            <w:tcW w:w="2225" w:type="dxa"/>
          </w:tcPr>
          <w:p>
            <w:pPr>
              <w:pStyle w:val="Compact"/>
              <w:spacing w:after="40"/>
              <w:jc w:val="left"/>
            </w:pPr>
            <w:r>
              <w:rPr>
                <w:sz w:val="18"/>
              </w:rPr>
              <w:t xml:space="preserve">Udofin 3c — Lender partnerships and deal configurator</w:t>
            </w:r>
          </w:p>
        </w:tc>
        <w:tc>
          <w:tcPr>
            <w:tcW w:w="4708" w:type="dxa"/>
          </w:tcPr>
          <w:p>
            <w:pPr>
              <w:pStyle w:val="Compact"/>
              <w:spacing w:after="40"/>
              <w:jc w:val="left"/>
            </w:pPr>
            <w:r>
              <w:rPr>
                <w:sz w:val="18"/>
              </w:rPr>
              <w:t xml:space="preserve">6.28;</w:t>
            </w:r>
            <w:r>
              <w:rPr>
                <w:sz w:val="18"/>
              </w:rPr>
              <w:t xml:space="preserve"> </w:t>
            </w:r>
            <w:r>
              <w:rPr>
                <w:rStyle w:val="VerbatimChar"/>
                <w:sz w:val="18"/>
              </w:rPr>
              <w:t xml:space="preserve">deal_config_v1</w:t>
            </w:r>
            <w:r>
              <w:rPr>
                <w:sz w:val="18"/>
              </w:rPr>
              <w:t xml:space="preserve">,</w:t>
            </w:r>
            <w:r>
              <w:rPr>
                <w:sz w:val="18"/>
              </w:rPr>
              <w:t xml:space="preserve"> </w:t>
            </w:r>
            <w:r>
              <w:rPr>
                <w:rStyle w:val="VerbatimChar"/>
                <w:sz w:val="18"/>
              </w:rPr>
              <w:t xml:space="preserve">re_audit_pack_v1</w:t>
            </w:r>
          </w:p>
        </w:tc>
        <w:tc>
          <w:tcPr>
            <w:tcW w:w="2705" w:type="dxa"/>
          </w:tcPr>
          <w:p>
            <w:pPr>
              <w:pStyle w:val="Compact"/>
              <w:spacing w:after="40"/>
              <w:jc w:val="left"/>
            </w:pPr>
            <w:r>
              <w:rPr>
                <w:sz w:val="18"/>
              </w:rPr>
              <w:t xml:space="preserve">RE consumer (Finbyx 16b sandbox or a logged manual channel) records deals in the LSP register</w:t>
            </w:r>
          </w:p>
        </w:tc>
      </w:tr>
      <w:tr>
        <w:tc>
          <w:tcPr>
            <w:tcW w:w="2225" w:type="dxa"/>
          </w:tcPr>
          <w:p>
            <w:pPr>
              <w:pStyle w:val="Compact"/>
              <w:spacing w:after="40"/>
              <w:jc w:val="left"/>
            </w:pPr>
            <w:r>
              <w:rPr>
                <w:sz w:val="18"/>
              </w:rPr>
              <w:t xml:space="preserve">Udofin 11b — Borrower downloads and tax documents</w:t>
            </w:r>
          </w:p>
        </w:tc>
        <w:tc>
          <w:tcPr>
            <w:tcW w:w="4708" w:type="dxa"/>
          </w:tcPr>
          <w:p>
            <w:pPr>
              <w:pStyle w:val="Compact"/>
              <w:spacing w:after="40"/>
              <w:jc w:val="left"/>
            </w:pPr>
            <w:r>
              <w:rPr>
                <w:rStyle w:val="VerbatimChar"/>
                <w:sz w:val="18"/>
              </w:rPr>
              <w:t xml:space="preserve">InterestCertificateIssued</w:t>
            </w:r>
            <w:r>
              <w:rPr>
                <w:sz w:val="18"/>
              </w:rPr>
              <w:t xml:space="preserve"> </w:t>
            </w:r>
            <w:r>
              <w:rPr>
                <w:sz w:val="18"/>
              </w:rPr>
              <w:t xml:space="preserve">consumer; UB1 exports stay internal</w:t>
            </w:r>
          </w:p>
        </w:tc>
        <w:tc>
          <w:tcPr>
            <w:tcW w:w="2705" w:type="dxa"/>
          </w:tcPr>
          <w:p>
            <w:pPr>
              <w:pStyle w:val="Compact"/>
              <w:spacing w:after="40"/>
              <w:jc w:val="left"/>
            </w:pPr>
            <w:r>
              <w:rPr>
                <w:sz w:val="18"/>
              </w:rPr>
              <w:t xml:space="preserve">Certificates shown only as RE-signed</w:t>
            </w:r>
          </w:p>
        </w:tc>
      </w:tr>
      <w:tr>
        <w:tc>
          <w:tcPr>
            <w:tcW w:w="2225" w:type="dxa"/>
          </w:tcPr>
          <w:p>
            <w:pPr>
              <w:pStyle w:val="Compact"/>
              <w:spacing w:after="40"/>
              <w:jc w:val="left"/>
            </w:pPr>
            <w:r>
              <w:rPr>
                <w:sz w:val="18"/>
              </w:rPr>
              <w:t xml:space="preserve">Udofin 14b — Grievance escalation chain v2</w:t>
            </w:r>
          </w:p>
        </w:tc>
        <w:tc>
          <w:tcPr>
            <w:tcW w:w="4708" w:type="dxa"/>
          </w:tcPr>
          <w:p>
            <w:pPr>
              <w:pStyle w:val="Compact"/>
              <w:spacing w:after="40"/>
              <w:jc w:val="left"/>
            </w:pPr>
            <w:r>
              <w:rPr>
                <w:sz w:val="18"/>
              </w:rPr>
              <w:t xml:space="preserve">6.12 additions</w:t>
            </w:r>
          </w:p>
        </w:tc>
        <w:tc>
          <w:tcPr>
            <w:tcW w:w="2705" w:type="dxa"/>
          </w:tcPr>
          <w:p>
            <w:pPr>
              <w:pStyle w:val="Compact"/>
              <w:spacing w:after="40"/>
              <w:jc w:val="left"/>
            </w:pPr>
            <w:r>
              <w:rPr>
                <w:sz w:val="18"/>
              </w:rPr>
              <w:t xml:space="preserve">Ombudsman window computed; reopen and rating reach the host</w:t>
            </w:r>
          </w:p>
        </w:tc>
      </w:tr>
      <w:tr>
        <w:tc>
          <w:tcPr>
            <w:tcW w:w="2225" w:type="dxa"/>
          </w:tcPr>
          <w:p>
            <w:pPr>
              <w:pStyle w:val="Compact"/>
              <w:spacing w:after="40"/>
              <w:jc w:val="left"/>
            </w:pPr>
            <w:r>
              <w:rPr>
                <w:sz w:val="18"/>
              </w:rPr>
              <w:t xml:space="preserve">Udofin 16c — Risk, supervisory access, portability, engineering</w:t>
            </w:r>
          </w:p>
        </w:tc>
        <w:tc>
          <w:tcPr>
            <w:tcW w:w="4708" w:type="dxa"/>
          </w:tcPr>
          <w:p>
            <w:pPr>
              <w:pStyle w:val="Compact"/>
              <w:spacing w:after="40"/>
              <w:jc w:val="left"/>
            </w:pPr>
            <w:r>
              <w:rPr>
                <w:sz w:val="18"/>
              </w:rPr>
              <w:t xml:space="preserve">6.22 (LSP metrics), 6.21 (RA2), 6.26, 6.29</w:t>
            </w:r>
          </w:p>
        </w:tc>
        <w:tc>
          <w:tcPr>
            <w:tcW w:w="2705" w:type="dxa"/>
          </w:tcPr>
          <w:p>
            <w:pPr>
              <w:pStyle w:val="Compact"/>
              <w:spacing w:after="40"/>
              <w:jc w:val="left"/>
            </w:pPr>
            <w:r>
              <w:rPr>
                <w:sz w:val="18"/>
              </w:rPr>
              <w:t xml:space="preserve">Risk-feed, external-access and archive groups pass</w:t>
            </w:r>
          </w:p>
        </w:tc>
      </w:tr>
      <w:tr>
        <w:tc>
          <w:tcPr>
            <w:tcW w:w="2225" w:type="dxa"/>
          </w:tcPr>
          <w:p>
            <w:pPr>
              <w:pStyle w:val="Compact"/>
              <w:spacing w:after="40"/>
              <w:jc w:val="left"/>
            </w:pPr>
            <w:r>
              <w:rPr>
                <w:sz w:val="18"/>
              </w:rPr>
              <w:t xml:space="preserve">Udofin 18c — Member and group lending</w:t>
            </w:r>
          </w:p>
        </w:tc>
        <w:tc>
          <w:tcPr>
            <w:tcW w:w="4708" w:type="dxa"/>
          </w:tcPr>
          <w:p>
            <w:pPr>
              <w:pStyle w:val="Compact"/>
              <w:spacing w:after="40"/>
              <w:jc w:val="left"/>
            </w:pPr>
            <w:r>
              <w:rPr>
                <w:sz w:val="18"/>
              </w:rPr>
              <w:t xml:space="preserve">6.24 consumer; society APIs;</w:t>
            </w:r>
            <w:r>
              <w:rPr>
                <w:sz w:val="18"/>
              </w:rPr>
              <w:t xml:space="preserve"> </w:t>
            </w:r>
            <w:r>
              <w:rPr>
                <w:rStyle w:val="VerbatimChar"/>
                <w:sz w:val="18"/>
              </w:rPr>
              <w:t xml:space="preserve">lender_type</w:t>
            </w:r>
          </w:p>
        </w:tc>
        <w:tc>
          <w:tcPr>
            <w:tcW w:w="2705" w:type="dxa"/>
          </w:tcPr>
          <w:p>
            <w:pPr>
              <w:pStyle w:val="Compact"/>
              <w:spacing w:after="40"/>
              <w:jc w:val="left"/>
            </w:pPr>
            <w:r>
              <w:rPr>
                <w:sz w:val="18"/>
              </w:rPr>
              <w:t xml:space="preserve">Member and group lending group passes against Finbyx 17c</w:t>
            </w:r>
          </w:p>
        </w:tc>
      </w:tr>
      <w:tr>
        <w:tc>
          <w:tcPr>
            <w:tcW w:w="2225" w:type="dxa"/>
          </w:tcPr>
          <w:p>
            <w:pPr>
              <w:pStyle w:val="Compact"/>
              <w:spacing w:after="40"/>
              <w:jc w:val="left"/>
            </w:pPr>
            <w:r>
              <w:rPr>
                <w:sz w:val="18"/>
              </w:rPr>
              <w:t xml:space="preserve">Udofin 20b — Wellness add-ons, plans and billing</w:t>
            </w:r>
          </w:p>
        </w:tc>
        <w:tc>
          <w:tcPr>
            <w:tcW w:w="4708" w:type="dxa"/>
          </w:tcPr>
          <w:p>
            <w:pPr>
              <w:pStyle w:val="Compact"/>
              <w:spacing w:after="40"/>
              <w:jc w:val="left"/>
            </w:pPr>
            <w:r>
              <w:rPr>
                <w:sz w:val="18"/>
              </w:rPr>
              <w:t xml:space="preserve">6.27 B2C rules (Udofin-internal) and</w:t>
            </w:r>
            <w:r>
              <w:rPr>
                <w:sz w:val="18"/>
              </w:rPr>
              <w:t xml:space="preserve"> </w:t>
            </w:r>
            <w:r>
              <w:rPr>
                <w:rStyle w:val="VerbatimChar"/>
                <w:sz w:val="18"/>
              </w:rPr>
              <w:t xml:space="preserve">REVENUE_AGGREGATE</w:t>
            </w:r>
            <w:r>
              <w:rPr>
                <w:sz w:val="18"/>
              </w:rPr>
              <w:t xml:space="preserve"> </w:t>
            </w:r>
            <w:r>
              <w:rPr>
                <w:sz w:val="18"/>
              </w:rPr>
              <w:t xml:space="preserve">usage</w:t>
            </w:r>
          </w:p>
        </w:tc>
        <w:tc>
          <w:tcPr>
            <w:tcW w:w="2705" w:type="dxa"/>
          </w:tcPr>
          <w:p>
            <w:pPr>
              <w:pStyle w:val="Compact"/>
              <w:spacing w:after="40"/>
              <w:jc w:val="left"/>
            </w:pPr>
            <w:r>
              <w:rPr>
                <w:sz w:val="18"/>
              </w:rPr>
              <w:t xml:space="preserve">Isolation group passes; the Hub receives aggregates only</w:t>
            </w:r>
          </w:p>
        </w:tc>
      </w:tr>
      <w:tr>
        <w:tc>
          <w:tcPr>
            <w:tcW w:w="2225" w:type="dxa"/>
          </w:tcPr>
          <w:p>
            <w:pPr>
              <w:pStyle w:val="Compact"/>
              <w:spacing w:after="40"/>
              <w:jc w:val="left"/>
            </w:pPr>
            <w:r>
              <w:rPr>
                <w:sz w:val="18"/>
              </w:rPr>
              <w:t xml:space="preserve">Udofin 20c — Extensible products and insurance</w:t>
            </w:r>
          </w:p>
        </w:tc>
        <w:tc>
          <w:tcPr>
            <w:tcW w:w="4708" w:type="dxa"/>
          </w:tcPr>
          <w:p>
            <w:pPr>
              <w:pStyle w:val="Compact"/>
              <w:spacing w:after="40"/>
              <w:jc w:val="left"/>
            </w:pPr>
            <w:r>
              <w:rPr>
                <w:sz w:val="18"/>
              </w:rPr>
              <w:t xml:space="preserve">6.30</w:t>
            </w:r>
          </w:p>
        </w:tc>
        <w:tc>
          <w:tcPr>
            <w:tcW w:w="2705" w:type="dxa"/>
          </w:tcPr>
          <w:p>
            <w:pPr>
              <w:pStyle w:val="Compact"/>
              <w:spacing w:after="40"/>
              <w:jc w:val="left"/>
            </w:pPr>
            <w:r>
              <w:rPr>
                <w:sz w:val="18"/>
              </w:rPr>
              <w:t xml:space="preserve">Insurer connector certified only after the licence decision</w:t>
            </w:r>
          </w:p>
        </w:tc>
      </w:tr>
      <w:tr>
        <w:tc>
          <w:tcPr>
            <w:tcW w:w="2225" w:type="dxa"/>
          </w:tcPr>
          <w:p>
            <w:pPr>
              <w:pStyle w:val="Compact"/>
              <w:spacing w:after="40"/>
              <w:jc w:val="left"/>
            </w:pPr>
            <w:r>
              <w:rPr>
                <w:sz w:val="18"/>
              </w:rPr>
              <w:t xml:space="preserve">Operations Hub O1–O2</w:t>
            </w:r>
          </w:p>
        </w:tc>
        <w:tc>
          <w:tcPr>
            <w:tcW w:w="4708" w:type="dxa"/>
          </w:tcPr>
          <w:p>
            <w:pPr>
              <w:pStyle w:val="Compact"/>
              <w:spacing w:after="40"/>
              <w:jc w:val="left"/>
            </w:pPr>
            <w:r>
              <w:rPr>
                <w:sz w:val="18"/>
              </w:rPr>
              <w:t xml:space="preserve">4.6 group identity, grants, legal-entity scoping, Equator wall</w:t>
            </w:r>
          </w:p>
        </w:tc>
        <w:tc>
          <w:tcPr>
            <w:tcW w:w="2705" w:type="dxa"/>
          </w:tcPr>
          <w:p>
            <w:pPr>
              <w:pStyle w:val="Compact"/>
              <w:spacing w:after="40"/>
              <w:jc w:val="left"/>
            </w:pPr>
            <w:r>
              <w:rPr>
                <w:sz w:val="18"/>
              </w:rPr>
              <w:t xml:space="preserve">Grant-expiry and separation-of-duties tests pass</w:t>
            </w:r>
          </w:p>
        </w:tc>
      </w:tr>
      <w:tr>
        <w:tc>
          <w:tcPr>
            <w:tcW w:w="2225" w:type="dxa"/>
          </w:tcPr>
          <w:p>
            <w:pPr>
              <w:pStyle w:val="Compact"/>
              <w:spacing w:after="40"/>
              <w:jc w:val="left"/>
            </w:pPr>
            <w:r>
              <w:rPr>
                <w:sz w:val="18"/>
              </w:rPr>
              <w:t xml:space="preserve">Operations Hub O3–O6</w:t>
            </w:r>
          </w:p>
        </w:tc>
        <w:tc>
          <w:tcPr>
            <w:tcW w:w="4708" w:type="dxa"/>
          </w:tcPr>
          <w:p>
            <w:pPr>
              <w:pStyle w:val="Compact"/>
              <w:spacing w:after="40"/>
              <w:jc w:val="left"/>
            </w:pPr>
            <w:r>
              <w:rPr>
                <w:sz w:val="18"/>
              </w:rPr>
              <w:t xml:space="preserve">6.29 CRM requests, provisioning and acknowledgement, milestones and tickets; 6.27 catalogue, quotes, orders, usage disputes, entitlement reconciliation, billing and Razorpay</w:t>
            </w:r>
          </w:p>
        </w:tc>
        <w:tc>
          <w:tcPr>
            <w:tcW w:w="2705" w:type="dxa"/>
          </w:tcPr>
          <w:p>
            <w:pPr>
              <w:pStyle w:val="Compact"/>
              <w:spacing w:after="40"/>
              <w:jc w:val="left"/>
            </w:pPr>
            <w:r>
              <w:rPr>
                <w:sz w:val="18"/>
              </w:rPr>
              <w:t xml:space="preserve">Usage from Finbyx 16e and Udofin 20b sandboxes reconciles to invoices</w:t>
            </w:r>
          </w:p>
        </w:tc>
      </w:tr>
      <w:tr>
        <w:tc>
          <w:tcPr>
            <w:tcW w:w="2225" w:type="dxa"/>
          </w:tcPr>
          <w:p>
            <w:pPr>
              <w:pStyle w:val="Compact"/>
              <w:spacing w:after="40"/>
              <w:jc w:val="left"/>
            </w:pPr>
            <w:r>
              <w:rPr>
                <w:sz w:val="18"/>
              </w:rPr>
              <w:t xml:space="preserve">Operations Hub O8–O9</w:t>
            </w:r>
          </w:p>
        </w:tc>
        <w:tc>
          <w:tcPr>
            <w:tcW w:w="4708" w:type="dxa"/>
          </w:tcPr>
          <w:p>
            <w:pPr>
              <w:pStyle w:val="Compact"/>
              <w:spacing w:after="40"/>
              <w:jc w:val="left"/>
            </w:pPr>
            <w:r>
              <w:rPr>
                <w:sz w:val="18"/>
              </w:rPr>
              <w:t xml:space="preserve">6.29 directory events and APIs; 6.23 Hub-scope workforce events; 12.3 publisher</w:t>
            </w:r>
          </w:p>
        </w:tc>
        <w:tc>
          <w:tcPr>
            <w:tcW w:w="2705" w:type="dxa"/>
          </w:tcPr>
          <w:p>
            <w:pPr>
              <w:pStyle w:val="Compact"/>
              <w:spacing w:after="40"/>
              <w:jc w:val="left"/>
            </w:pPr>
            <w:r>
              <w:rPr>
                <w:sz w:val="18"/>
              </w:rPr>
              <w:t xml:space="preserve">Equator conflict API returns counts only</w:t>
            </w:r>
          </w:p>
        </w:tc>
      </w:tr>
      <w:tr>
        <w:tc>
          <w:tcPr>
            <w:tcW w:w="2225" w:type="dxa"/>
          </w:tcPr>
          <w:p>
            <w:pPr>
              <w:pStyle w:val="Compact"/>
              <w:spacing w:after="40"/>
              <w:jc w:val="left"/>
            </w:pPr>
            <w:r>
              <w:rPr>
                <w:sz w:val="18"/>
              </w:rPr>
              <w:t xml:space="preserve">Operations Hub O11–O12</w:t>
            </w:r>
          </w:p>
        </w:tc>
        <w:tc>
          <w:tcPr>
            <w:tcW w:w="4708" w:type="dxa"/>
          </w:tcPr>
          <w:p>
            <w:pPr>
              <w:pStyle w:val="Compact"/>
              <w:spacing w:after="40"/>
              <w:jc w:val="left"/>
            </w:pPr>
            <w:r>
              <w:rPr>
                <w:sz w:val="18"/>
              </w:rPr>
              <w:t xml:space="preserve">Workplace adapters (10.2); 6.29 engineering console and claims gate; 6.26 counts and own backups; 6.21 provider-assurance grants (OH14)</w:t>
            </w:r>
          </w:p>
        </w:tc>
        <w:tc>
          <w:tcPr>
            <w:tcW w:w="2705" w:type="dxa"/>
          </w:tcPr>
          <w:p>
            <w:pPr>
              <w:pStyle w:val="Compact"/>
              <w:spacing w:after="40"/>
              <w:jc w:val="left"/>
            </w:pPr>
            <w:r>
              <w:rPr>
                <w:sz w:val="18"/>
              </w:rPr>
              <w:t xml:space="preserve">Change and evidence events from both products visible</w:t>
            </w:r>
          </w:p>
        </w:tc>
      </w:tr>
      <w:tr>
        <w:tc>
          <w:tcPr>
            <w:tcW w:w="2225" w:type="dxa"/>
          </w:tcPr>
          <w:p>
            <w:pPr>
              <w:pStyle w:val="Compact"/>
              <w:spacing w:after="40"/>
              <w:jc w:val="left"/>
            </w:pPr>
            <w:r>
              <w:rPr>
                <w:sz w:val="18"/>
              </w:rPr>
              <w:t xml:space="preserve">LawDocsComply v1.1</w:t>
            </w:r>
          </w:p>
        </w:tc>
        <w:tc>
          <w:tcPr>
            <w:tcW w:w="4708" w:type="dxa"/>
          </w:tcPr>
          <w:p>
            <w:pPr>
              <w:pStyle w:val="Compact"/>
              <w:spacing w:after="40"/>
              <w:jc w:val="left"/>
            </w:pPr>
            <w:r>
              <w:rPr>
                <w:sz w:val="18"/>
              </w:rPr>
              <w:t xml:space="preserve">6.22 risk-feed consumer; KRI and obligation pull; 6.18, 6.21 and 6.23 consumers</w:t>
            </w:r>
          </w:p>
        </w:tc>
        <w:tc>
          <w:tcPr>
            <w:tcW w:w="2705" w:type="dxa"/>
          </w:tcPr>
          <w:p>
            <w:pPr>
              <w:pStyle w:val="Compact"/>
              <w:spacing w:after="40"/>
              <w:jc w:val="left"/>
            </w:pPr>
            <w:r>
              <w:rPr>
                <w:sz w:val="18"/>
              </w:rPr>
              <w:t xml:space="preserve">Certified against Finbyx 14d and Udofin 16c</w:t>
            </w:r>
          </w:p>
        </w:tc>
      </w:tr>
    </w:tbl>
    <w:p>
      <w:pPr>
        <w:pStyle w:val="BodyText"/>
      </w:pPr>
      <w:r>
        <w:rPr>
          <w:bCs/>
          <w:b/>
        </w:rPr>
        <w:t xml:space="preserve">Sequencing:</w:t>
      </w:r>
      <w:r>
        <w:t xml:space="preserve"> </w:t>
      </w:r>
      <w:r>
        <w:t xml:space="preserve">Udofin 16b needs the Finbyx 16b sandbox; Udofin LAS needs Finbyx 17; Finbyx 12b production needs Equator certification. From v1.1: Finbyx 16e and Udofin B2B invoicing need Operations Hub O6; Finbyx R11 directory use needs O8; Finbyx 16d and O9 need Labour Code rule pack 1.0 (12.3); Udofin 18c needs Finbyx 17c or a certified society LOS; Udofin 3c needs an RE consumer for deal events (Finbyx 16b, or the RE’s manual channel, logged, until then); grant federation needs Finbyx 16c and Udofin 16c; Finbyx Phase P needs 13b, 14b, 14c, 14d and 15b.</w:t>
      </w:r>
    </w:p>
    <w:p>
      <w:r>
        <w:pict>
          <v:rect style="width:0;height:1.5pt" o:hralign="center" o:hrstd="t" o:hr="t"/>
        </w:pict>
      </w:r>
    </w:p>
    <w:bookmarkEnd w:id="121"/>
    <w:bookmarkStart w:id="122" w:name="v1.1-change-log"/>
    <w:p>
      <w:pPr>
        <w:pStyle w:val="Heading1"/>
      </w:pPr>
      <w:r>
        <w:t xml:space="preserve">16 — v1.1 CHANGE LOG</w:t>
      </w:r>
    </w:p>
    <w:p>
      <w:pPr>
        <w:pStyle w:val="FirstParagraph"/>
      </w:pPr>
      <w:r>
        <w:rPr>
          <w:bCs/>
          <w:b/>
        </w:rPr>
        <w:t xml:space="preserve">Version 1.1 · 24 October 2026 · minor version</w:t>
      </w:r>
      <w:r>
        <w:t xml:space="preserve"> </w:t>
      </w:r>
      <w:r>
        <w:t xml:space="preserve">(new events, APIs, optional fields, codes, layouts and connectors only; no published schema changes meaning, ownership or a mandatory field, so no parallel run is required: Part 14.1). Implemented by the Finbyx Master Build Prompt v1.5, the Udofin Master Build Prompt v1.2 and the Infrabyx Operations Hub Master Build Prompt v1.0.</w:t>
      </w:r>
    </w:p>
    <w:tbl>
      <w:tblPr>
        <w:tblStyle w:val="Table"/>
        <w:tblW w:type="dxa" w:w="9638"/>
        <w:tblLook w:firstRow="1" w:lastRow="0" w:firstColumn="0" w:lastColumn="0" w:noHBand="0" w:noVBand="0" w:val="0020"/>
        <w:jc w:val="start"/>
        <w:tblBorders>
          <w:top w:val="single" w:sz="4" w:space="0" w:color="9AAAC0"/>
          <w:left w:val="single" w:sz="4" w:space="0" w:color="9AAAC0"/>
          <w:bottom w:val="single" w:sz="4" w:space="0" w:color="9AAAC0"/>
          <w:right w:val="single" w:sz="4" w:space="0" w:color="9AAAC0"/>
          <w:insideH w:val="single" w:sz="4" w:space="0" w:color="9AAAC0"/>
          <w:insideV w:val="single" w:sz="4" w:space="0" w:color="9AAAC0"/>
        </w:tblBorders>
        <w:tblLayout w:type="fixed"/>
      </w:tblPr>
      <w:tblGrid>
        <w:gridCol w:w="1480"/>
        <w:gridCol w:w="5921"/>
        <w:gridCol w:w="2237"/>
      </w:tblGrid>
      <w:tr>
        <w:trPr>
          <w:tblHeader w:val="true"/>
          <w:tblHeader w:val="true"/>
        </w:trPr>
        <w:tc>
          <w:tcPr>
            <w:tcW w:w="1480" w:type="dxa"/>
            <w:shd w:val="clear" w:color="auto" w:fill="1F3A5F"/>
          </w:tcPr>
          <w:p>
            <w:pPr>
              <w:pStyle w:val="Compact"/>
              <w:spacing w:after="40"/>
              <w:jc w:val="left"/>
            </w:pPr>
            <w:r>
              <w:rPr>
                <w:b/>
                <w:color w:val="FFFFFF"/>
                <w:sz w:val="18"/>
              </w:rPr>
              <w:t xml:space="preserve">Area</w:t>
            </w:r>
          </w:p>
        </w:tc>
        <w:tc>
          <w:tcPr>
            <w:tcW w:w="5921" w:type="dxa"/>
            <w:shd w:val="clear" w:color="auto" w:fill="1F3A5F"/>
          </w:tcPr>
          <w:p>
            <w:pPr>
              <w:pStyle w:val="Compact"/>
              <w:spacing w:after="40"/>
              <w:jc w:val="left"/>
            </w:pPr>
            <w:r>
              <w:rPr>
                <w:b/>
                <w:color w:val="FFFFFF"/>
                <w:sz w:val="18"/>
              </w:rPr>
              <w:t xml:space="preserve">Change</w:t>
            </w:r>
          </w:p>
        </w:tc>
        <w:tc>
          <w:tcPr>
            <w:tcW w:w="2237" w:type="dxa"/>
            <w:shd w:val="clear" w:color="auto" w:fill="1F3A5F"/>
          </w:tcPr>
          <w:p>
            <w:pPr>
              <w:pStyle w:val="Compact"/>
              <w:spacing w:after="40"/>
              <w:jc w:val="left"/>
            </w:pPr>
            <w:r>
              <w:rPr>
                <w:b/>
                <w:color w:val="FFFFFF"/>
                <w:sz w:val="18"/>
              </w:rPr>
              <w:t xml:space="preserve">Products affected</w:t>
            </w:r>
          </w:p>
        </w:tc>
      </w:tr>
      <w:tr>
        <w:tc>
          <w:tcPr>
            <w:tcW w:w="1480" w:type="dxa"/>
          </w:tcPr>
          <w:p>
            <w:pPr>
              <w:pStyle w:val="Compact"/>
              <w:spacing w:after="40"/>
              <w:jc w:val="left"/>
            </w:pPr>
            <w:r>
              <w:rPr>
                <w:sz w:val="18"/>
              </w:rPr>
              <w:t xml:space="preserve">Title, How to use, Part 1</w:t>
            </w:r>
          </w:p>
        </w:tc>
        <w:tc>
          <w:tcPr>
            <w:tcW w:w="5921" w:type="dxa"/>
          </w:tcPr>
          <w:p>
            <w:pPr>
              <w:pStyle w:val="Compact"/>
              <w:spacing w:after="40"/>
              <w:jc w:val="left"/>
            </w:pPr>
            <w:r>
              <w:rPr>
                <w:sz w:val="18"/>
              </w:rPr>
              <w:t xml:space="preserve">Companion prompts updated; Operations Hub (</w:t>
            </w:r>
            <w:r>
              <w:rPr>
                <w:rStyle w:val="VerbatimChar"/>
                <w:sz w:val="18"/>
              </w:rPr>
              <w:t xml:space="preserve">OH</w:t>
            </w:r>
            <w:r>
              <w:rPr>
                <w:sz w:val="18"/>
              </w:rPr>
              <w:t xml:space="preserve">) and non-RE lenders added as parties</w:t>
            </w:r>
          </w:p>
        </w:tc>
        <w:tc>
          <w:tcPr>
            <w:tcW w:w="2237" w:type="dxa"/>
          </w:tcPr>
          <w:p>
            <w:pPr>
              <w:pStyle w:val="Compact"/>
              <w:spacing w:after="40"/>
              <w:jc w:val="left"/>
            </w:pPr>
            <w:r>
              <w:rPr>
                <w:sz w:val="18"/>
              </w:rPr>
              <w:t xml:space="preserve">All</w:t>
            </w:r>
          </w:p>
        </w:tc>
      </w:tr>
      <w:tr>
        <w:tc>
          <w:tcPr>
            <w:tcW w:w="1480" w:type="dxa"/>
          </w:tcPr>
          <w:p>
            <w:pPr>
              <w:pStyle w:val="Compact"/>
              <w:spacing w:after="40"/>
              <w:jc w:val="left"/>
            </w:pPr>
            <w:r>
              <w:rPr>
                <w:sz w:val="18"/>
              </w:rPr>
              <w:t xml:space="preserve">Part 2</w:t>
            </w:r>
          </w:p>
        </w:tc>
        <w:tc>
          <w:tcPr>
            <w:tcW w:w="5921" w:type="dxa"/>
          </w:tcPr>
          <w:p>
            <w:pPr>
              <w:pStyle w:val="Compact"/>
              <w:spacing w:after="40"/>
              <w:jc w:val="left"/>
            </w:pPr>
            <w:r>
              <w:rPr>
                <w:sz w:val="18"/>
              </w:rPr>
              <w:t xml:space="preserve">Principles 11 (prepare, validate, a human files), 12 (aggregates only to the Hub) and 13 (wellness data never shared)</w:t>
            </w:r>
          </w:p>
        </w:tc>
        <w:tc>
          <w:tcPr>
            <w:tcW w:w="2237" w:type="dxa"/>
          </w:tcPr>
          <w:p>
            <w:pPr>
              <w:pStyle w:val="Compact"/>
              <w:spacing w:after="40"/>
              <w:jc w:val="left"/>
            </w:pPr>
            <w:r>
              <w:rPr>
                <w:sz w:val="18"/>
              </w:rPr>
              <w:t xml:space="preserve">All</w:t>
            </w:r>
          </w:p>
        </w:tc>
      </w:tr>
      <w:tr>
        <w:tc>
          <w:tcPr>
            <w:tcW w:w="1480" w:type="dxa"/>
          </w:tcPr>
          <w:p>
            <w:pPr>
              <w:pStyle w:val="Compact"/>
              <w:spacing w:after="40"/>
              <w:jc w:val="left"/>
            </w:pPr>
            <w:r>
              <w:rPr>
                <w:sz w:val="18"/>
              </w:rPr>
              <w:t xml:space="preserve">Part 3</w:t>
            </w:r>
          </w:p>
        </w:tc>
        <w:tc>
          <w:tcPr>
            <w:tcW w:w="5921" w:type="dxa"/>
          </w:tcPr>
          <w:p>
            <w:pPr>
              <w:pStyle w:val="Compact"/>
              <w:spacing w:after="40"/>
              <w:jc w:val="left"/>
            </w:pPr>
            <w:r>
              <w:rPr>
                <w:rStyle w:val="VerbatimChar"/>
                <w:sz w:val="18"/>
              </w:rPr>
              <w:t xml:space="preserve">oh</w:t>
            </w:r>
            <w:r>
              <w:rPr>
                <w:sz w:val="18"/>
              </w:rPr>
              <w:t xml:space="preserve"> </w:t>
            </w:r>
            <w:r>
              <w:rPr>
                <w:sz w:val="18"/>
              </w:rPr>
              <w:t xml:space="preserve">source (</w:t>
            </w:r>
            <w:r>
              <w:rPr>
                <w:rStyle w:val="VerbatimChar"/>
                <w:sz w:val="18"/>
              </w:rPr>
              <w:t xml:space="preserve">urn:infrabyx:oh:[legalentityid]</w:t>
            </w:r>
            <w:r>
              <w:rPr>
                <w:sz w:val="18"/>
              </w:rPr>
              <w:t xml:space="preserve">);</w:t>
            </w:r>
            <w:r>
              <w:rPr>
                <w:sz w:val="18"/>
              </w:rPr>
              <w:t xml:space="preserve"> </w:t>
            </w:r>
            <w:r>
              <w:rPr>
                <w:rStyle w:val="VerbatimChar"/>
                <w:sz w:val="18"/>
              </w:rPr>
              <w:t xml:space="preserve">legalbasis</w:t>
            </w:r>
            <w:r>
              <w:rPr>
                <w:sz w:val="18"/>
              </w:rPr>
              <w:t xml:space="preserve"> </w:t>
            </w:r>
            <w:r>
              <w:rPr>
                <w:sz w:val="18"/>
              </w:rPr>
              <w:t xml:space="preserve">value</w:t>
            </w:r>
            <w:r>
              <w:rPr>
                <w:sz w:val="18"/>
              </w:rPr>
              <w:t xml:space="preserve"> </w:t>
            </w:r>
            <w:r>
              <w:rPr>
                <w:rStyle w:val="VerbatimChar"/>
                <w:sz w:val="18"/>
              </w:rPr>
              <w:t xml:space="preserve">CONTRACT_PERFORMANCE_VENDOR</w:t>
            </w:r>
            <w:r>
              <w:rPr>
                <w:sz w:val="18"/>
              </w:rPr>
              <w:t xml:space="preserve">; non-RE lender ids in</w:t>
            </w:r>
            <w:r>
              <w:rPr>
                <w:sz w:val="18"/>
              </w:rPr>
              <w:t xml:space="preserve"> </w:t>
            </w:r>
            <w:r>
              <w:rPr>
                <w:rStyle w:val="VerbatimChar"/>
                <w:sz w:val="18"/>
              </w:rPr>
              <w:t xml:space="preserve">reid</w:t>
            </w:r>
            <w:r>
              <w:rPr>
                <w:sz w:val="18"/>
              </w:rPr>
              <w:t xml:space="preserve">; regulated-message list extended; error codes</w:t>
            </w:r>
            <w:r>
              <w:rPr>
                <w:sz w:val="18"/>
              </w:rPr>
              <w:t xml:space="preserve"> </w:t>
            </w:r>
            <w:r>
              <w:rPr>
                <w:rStyle w:val="VerbatimChar"/>
                <w:sz w:val="18"/>
              </w:rPr>
              <w:t xml:space="preserve">dataclass-not-permitted</w:t>
            </w:r>
            <w:r>
              <w:rPr>
                <w:sz w:val="18"/>
              </w:rPr>
              <w:t xml:space="preserve">,</w:t>
            </w:r>
            <w:r>
              <w:rPr>
                <w:sz w:val="18"/>
              </w:rPr>
              <w:t xml:space="preserve"> </w:t>
            </w:r>
            <w:r>
              <w:rPr>
                <w:rStyle w:val="VerbatimChar"/>
                <w:sz w:val="18"/>
              </w:rPr>
              <w:t xml:space="preserve">residency-blocked</w:t>
            </w:r>
            <w:r>
              <w:rPr>
                <w:sz w:val="18"/>
              </w:rPr>
              <w:t xml:space="preserve">,</w:t>
            </w:r>
            <w:r>
              <w:rPr>
                <w:sz w:val="18"/>
              </w:rPr>
              <w:t xml:space="preserve"> </w:t>
            </w:r>
            <w:r>
              <w:rPr>
                <w:rStyle w:val="VerbatimChar"/>
                <w:sz w:val="18"/>
              </w:rPr>
              <w:t xml:space="preserve">channel-not-confirmed</w:t>
            </w:r>
            <w:r>
              <w:rPr>
                <w:sz w:val="18"/>
              </w:rPr>
              <w:t xml:space="preserve">,</w:t>
            </w:r>
            <w:r>
              <w:rPr>
                <w:sz w:val="18"/>
              </w:rPr>
              <w:t xml:space="preserve"> </w:t>
            </w:r>
            <w:r>
              <w:rPr>
                <w:rStyle w:val="VerbatimChar"/>
                <w:sz w:val="18"/>
              </w:rPr>
              <w:t xml:space="preserve">grant-expired</w:t>
            </w:r>
            <w:r>
              <w:rPr>
                <w:sz w:val="18"/>
              </w:rPr>
              <w:t xml:space="preserve">,</w:t>
            </w:r>
            <w:r>
              <w:rPr>
                <w:sz w:val="18"/>
              </w:rPr>
              <w:t xml:space="preserve"> </w:t>
            </w:r>
            <w:r>
              <w:rPr>
                <w:rStyle w:val="VerbatimChar"/>
                <w:sz w:val="18"/>
              </w:rPr>
              <w:t xml:space="preserve">entitlement-missing</w:t>
            </w:r>
          </w:p>
        </w:tc>
        <w:tc>
          <w:tcPr>
            <w:tcW w:w="2237" w:type="dxa"/>
          </w:tcPr>
          <w:p>
            <w:pPr>
              <w:pStyle w:val="Compact"/>
              <w:spacing w:after="40"/>
              <w:jc w:val="left"/>
            </w:pPr>
            <w:r>
              <w:rPr>
                <w:sz w:val="18"/>
              </w:rPr>
              <w:t xml:space="preserve">All</w:t>
            </w:r>
          </w:p>
        </w:tc>
      </w:tr>
      <w:tr>
        <w:tc>
          <w:tcPr>
            <w:tcW w:w="1480" w:type="dxa"/>
          </w:tcPr>
          <w:p>
            <w:pPr>
              <w:pStyle w:val="Compact"/>
              <w:spacing w:after="40"/>
              <w:jc w:val="left"/>
            </w:pPr>
            <w:r>
              <w:rPr>
                <w:sz w:val="18"/>
              </w:rPr>
              <w:t xml:space="preserve">Part 4</w:t>
            </w:r>
          </w:p>
        </w:tc>
        <w:tc>
          <w:tcPr>
            <w:tcW w:w="5921" w:type="dxa"/>
          </w:tcPr>
          <w:p>
            <w:pPr>
              <w:pStyle w:val="Compact"/>
              <w:spacing w:after="40"/>
              <w:jc w:val="left"/>
            </w:pPr>
            <w:r>
              <w:rPr>
                <w:sz w:val="18"/>
              </w:rPr>
              <w:t xml:space="preserve">4.1 role flags</w:t>
            </w:r>
            <w:r>
              <w:rPr>
                <w:sz w:val="18"/>
              </w:rPr>
              <w:t xml:space="preserve"> </w:t>
            </w:r>
            <w:r>
              <w:rPr>
                <w:rStyle w:val="VerbatimChar"/>
                <w:sz w:val="18"/>
              </w:rPr>
              <w:t xml:space="preserve">is_group_operator</w:t>
            </w:r>
            <w:r>
              <w:rPr>
                <w:sz w:val="18"/>
              </w:rPr>
              <w:t xml:space="preserve">,</w:t>
            </w:r>
            <w:r>
              <w:rPr>
                <w:sz w:val="18"/>
              </w:rPr>
              <w:t xml:space="preserve"> </w:t>
            </w:r>
            <w:r>
              <w:rPr>
                <w:rStyle w:val="VerbatimChar"/>
                <w:sz w:val="18"/>
              </w:rPr>
              <w:t xml:space="preserve">is_non_re_lender</w:t>
            </w:r>
            <w:r>
              <w:rPr>
                <w:sz w:val="18"/>
              </w:rPr>
              <w:t xml:space="preserve">; new 4.6 (group identity, grants, Equator wall, Hub data limits) and 4.7 (external auditor and supervisor access); new scopes</w:t>
            </w:r>
          </w:p>
        </w:tc>
        <w:tc>
          <w:tcPr>
            <w:tcW w:w="2237" w:type="dxa"/>
          </w:tcPr>
          <w:p>
            <w:pPr>
              <w:pStyle w:val="Compact"/>
              <w:spacing w:after="40"/>
              <w:jc w:val="left"/>
            </w:pPr>
            <w:r>
              <w:rPr>
                <w:sz w:val="18"/>
              </w:rPr>
              <w:t xml:space="preserve">All; Equator for the wall</w:t>
            </w:r>
          </w:p>
        </w:tc>
      </w:tr>
      <w:tr>
        <w:tc>
          <w:tcPr>
            <w:tcW w:w="1480" w:type="dxa"/>
          </w:tcPr>
          <w:p>
            <w:pPr>
              <w:pStyle w:val="Compact"/>
              <w:spacing w:after="40"/>
              <w:jc w:val="left"/>
            </w:pPr>
            <w:r>
              <w:rPr>
                <w:sz w:val="18"/>
              </w:rPr>
              <w:t xml:space="preserve">Part 5</w:t>
            </w:r>
          </w:p>
        </w:tc>
        <w:tc>
          <w:tcPr>
            <w:tcW w:w="5921" w:type="dxa"/>
          </w:tcPr>
          <w:p>
            <w:pPr>
              <w:pStyle w:val="Compact"/>
              <w:spacing w:after="40"/>
              <w:jc w:val="left"/>
            </w:pPr>
            <w:r>
              <w:rPr>
                <w:sz w:val="18"/>
              </w:rPr>
              <w:t xml:space="preserve">Owners OH, INS, CIC; entities 30–45</w:t>
            </w:r>
          </w:p>
        </w:tc>
        <w:tc>
          <w:tcPr>
            <w:tcW w:w="2237" w:type="dxa"/>
          </w:tcPr>
          <w:p>
            <w:pPr>
              <w:pStyle w:val="Compact"/>
              <w:spacing w:after="40"/>
              <w:jc w:val="left"/>
            </w:pPr>
            <w:r>
              <w:rPr>
                <w:sz w:val="18"/>
              </w:rPr>
              <w:t xml:space="preserve">All</w:t>
            </w:r>
          </w:p>
        </w:tc>
      </w:tr>
      <w:tr>
        <w:tc>
          <w:tcPr>
            <w:tcW w:w="1480" w:type="dxa"/>
          </w:tcPr>
          <w:p>
            <w:pPr>
              <w:pStyle w:val="Compact"/>
              <w:spacing w:after="40"/>
              <w:jc w:val="left"/>
            </w:pPr>
            <w:r>
              <w:rPr>
                <w:sz w:val="18"/>
              </w:rPr>
              <w:t xml:space="preserve">Part 6</w:t>
            </w:r>
          </w:p>
        </w:tc>
        <w:tc>
          <w:tcPr>
            <w:tcW w:w="5921" w:type="dxa"/>
          </w:tcPr>
          <w:p>
            <w:pPr>
              <w:pStyle w:val="Compact"/>
              <w:spacing w:after="40"/>
              <w:jc w:val="left"/>
            </w:pPr>
            <w:r>
              <w:rPr>
                <w:sz w:val="18"/>
              </w:rPr>
              <w:t xml:space="preserve">Tags (N11) and (N11+); parties OH, INS, CIC, TR, SOC; new domains 6.18–6.30 (79 events, 23 API endpoints, optional field</w:t>
            </w:r>
            <w:r>
              <w:rPr>
                <w:sz w:val="18"/>
              </w:rPr>
              <w:t xml:space="preserve"> </w:t>
            </w:r>
            <w:r>
              <w:rPr>
                <w:rStyle w:val="VerbatimChar"/>
                <w:sz w:val="18"/>
              </w:rPr>
              <w:t xml:space="preserve">lender_type</w:t>
            </w:r>
            <w:r>
              <w:rPr>
                <w:sz w:val="18"/>
              </w:rPr>
              <w:t xml:space="preserve">); grievance rows</w:t>
            </w:r>
            <w:r>
              <w:rPr>
                <w:sz w:val="18"/>
              </w:rPr>
              <w:t xml:space="preserve"> </w:t>
            </w:r>
            <w:r>
              <w:rPr>
                <w:rStyle w:val="VerbatimChar"/>
                <w:sz w:val="18"/>
              </w:rPr>
              <w:t xml:space="preserve">OmbudsmanReferralRecorded</w:t>
            </w:r>
            <w:r>
              <w:rPr>
                <w:sz w:val="18"/>
              </w:rPr>
              <w:t xml:space="preserve">,</w:t>
            </w:r>
            <w:r>
              <w:rPr>
                <w:sz w:val="18"/>
              </w:rPr>
              <w:t xml:space="preserve"> </w:t>
            </w:r>
            <w:r>
              <w:rPr>
                <w:rStyle w:val="VerbatimChar"/>
                <w:sz w:val="18"/>
              </w:rPr>
              <w:t xml:space="preserve">GrievanceReopened</w:t>
            </w:r>
            <w:r>
              <w:rPr>
                <w:sz w:val="18"/>
              </w:rPr>
              <w:t xml:space="preserve">,</w:t>
            </w:r>
            <w:r>
              <w:rPr>
                <w:sz w:val="18"/>
              </w:rPr>
              <w:t xml:space="preserve"> </w:t>
            </w:r>
            <w:r>
              <w:rPr>
                <w:rStyle w:val="VerbatimChar"/>
                <w:sz w:val="18"/>
              </w:rPr>
              <w:t xml:space="preserve">GrievanceRated</w:t>
            </w:r>
            <w:r>
              <w:rPr>
                <w:sz w:val="18"/>
              </w:rPr>
              <w:t xml:space="preserve"> </w:t>
            </w:r>
            <w:r>
              <w:rPr>
                <w:sz w:val="18"/>
              </w:rPr>
              <w:t xml:space="preserve">(82 new events in all); v1.1 superseded names in 6.17; 6.15 and 6.16 rows extended for the Hub (</w:t>
            </w:r>
            <w:r>
              <w:rPr>
                <w:rStyle w:val="VerbatimChar"/>
                <w:sz w:val="18"/>
              </w:rPr>
              <w:t xml:space="preserve">SecurityIncidentNotified</w:t>
            </w:r>
            <w:r>
              <w:rPr>
                <w:sz w:val="18"/>
              </w:rPr>
              <w:t xml:space="preserve"> </w:t>
            </w:r>
            <w:r>
              <w:rPr>
                <w:sz w:val="18"/>
              </w:rPr>
              <w:t xml:space="preserve">copy to OH13;</w:t>
            </w:r>
            <w:r>
              <w:rPr>
                <w:sz w:val="18"/>
              </w:rPr>
              <w:t xml:space="preserve"> </w:t>
            </w:r>
            <w:r>
              <w:rPr>
                <w:rStyle w:val="VerbatimChar"/>
                <w:sz w:val="18"/>
              </w:rPr>
              <w:t xml:space="preserve">ModuleAttached</w:t>
            </w:r>
            <w:r>
              <w:rPr>
                <w:sz w:val="18"/>
              </w:rPr>
              <w:t xml:space="preserve"> </w:t>
            </w:r>
            <w:r>
              <w:rPr>
                <w:sz w:val="18"/>
              </w:rPr>
              <w:t xml:space="preserve">and</w:t>
            </w:r>
            <w:r>
              <w:rPr>
                <w:sz w:val="18"/>
              </w:rPr>
              <w:t xml:space="preserve"> </w:t>
            </w:r>
            <w:r>
              <w:rPr>
                <w:rStyle w:val="VerbatimChar"/>
                <w:sz w:val="18"/>
              </w:rPr>
              <w:t xml:space="preserve">ModuleDetached</w:t>
            </w:r>
            <w:r>
              <w:rPr>
                <w:sz w:val="18"/>
              </w:rPr>
              <w:t xml:space="preserve"> </w:t>
            </w:r>
            <w:r>
              <w:rPr>
                <w:sz w:val="18"/>
              </w:rPr>
              <w:t xml:space="preserve">from product entitlement services to OH8;</w:t>
            </w:r>
            <w:r>
              <w:rPr>
                <w:sz w:val="18"/>
              </w:rPr>
              <w:t xml:space="preserve"> </w:t>
            </w:r>
            <w:r>
              <w:rPr>
                <w:rStyle w:val="VerbatimChar"/>
                <w:sz w:val="18"/>
              </w:rPr>
              <w:t xml:space="preserve">ConnectorCertified</w:t>
            </w:r>
            <w:r>
              <w:rPr>
                <w:sz w:val="18"/>
              </w:rPr>
              <w:t xml:space="preserve"> </w:t>
            </w:r>
            <w:r>
              <w:rPr>
                <w:sz w:val="18"/>
              </w:rPr>
              <w:t xml:space="preserve">to OH13)</w:t>
            </w:r>
          </w:p>
        </w:tc>
        <w:tc>
          <w:tcPr>
            <w:tcW w:w="2237" w:type="dxa"/>
          </w:tcPr>
          <w:p>
            <w:pPr>
              <w:pStyle w:val="Compact"/>
              <w:spacing w:after="40"/>
              <w:jc w:val="left"/>
            </w:pPr>
            <w:r>
              <w:rPr>
                <w:sz w:val="18"/>
              </w:rPr>
              <w:t xml:space="preserve">Finbyx, Udofin, OH, LDC, Equator (directory conflict API)</w:t>
            </w:r>
          </w:p>
        </w:tc>
      </w:tr>
      <w:tr>
        <w:tc>
          <w:tcPr>
            <w:tcW w:w="1480" w:type="dxa"/>
          </w:tcPr>
          <w:p>
            <w:pPr>
              <w:pStyle w:val="Compact"/>
              <w:spacing w:after="40"/>
              <w:jc w:val="left"/>
            </w:pPr>
            <w:r>
              <w:rPr>
                <w:sz w:val="18"/>
              </w:rPr>
              <w:t xml:space="preserve">Part 7</w:t>
            </w:r>
          </w:p>
        </w:tc>
        <w:tc>
          <w:tcPr>
            <w:tcW w:w="5921" w:type="dxa"/>
          </w:tcPr>
          <w:p>
            <w:pPr>
              <w:pStyle w:val="Compact"/>
              <w:spacing w:after="40"/>
              <w:jc w:val="left"/>
            </w:pPr>
            <w:r>
              <w:rPr>
                <w:sz w:val="18"/>
              </w:rPr>
              <w:t xml:space="preserve">Common rules for non-RE lenders; matrix rows for co-operative member loans and microfinance groups; new reconciliation points</w:t>
            </w:r>
          </w:p>
        </w:tc>
        <w:tc>
          <w:tcPr>
            <w:tcW w:w="2237" w:type="dxa"/>
          </w:tcPr>
          <w:p>
            <w:pPr>
              <w:pStyle w:val="Compact"/>
              <w:spacing w:after="40"/>
              <w:jc w:val="left"/>
            </w:pPr>
            <w:r>
              <w:rPr>
                <w:sz w:val="18"/>
              </w:rPr>
              <w:t xml:space="preserve">Finbyx, Udofin</w:t>
            </w:r>
          </w:p>
        </w:tc>
      </w:tr>
      <w:tr>
        <w:tc>
          <w:tcPr>
            <w:tcW w:w="1480" w:type="dxa"/>
          </w:tcPr>
          <w:p>
            <w:pPr>
              <w:pStyle w:val="Compact"/>
              <w:spacing w:after="40"/>
              <w:jc w:val="left"/>
            </w:pPr>
            <w:r>
              <w:rPr>
                <w:sz w:val="18"/>
              </w:rPr>
              <w:t xml:space="preserve">Part 10</w:t>
            </w:r>
          </w:p>
        </w:tc>
        <w:tc>
          <w:tcPr>
            <w:tcW w:w="5921" w:type="dxa"/>
          </w:tcPr>
          <w:p>
            <w:pPr>
              <w:pStyle w:val="Compact"/>
              <w:spacing w:after="40"/>
              <w:jc w:val="left"/>
            </w:pPr>
            <w:r>
              <w:rPr>
                <w:sz w:val="18"/>
              </w:rPr>
              <w:t xml:space="preserve">Adapter catalogue rows: CICs, regulator portals (manual only), tax utilities, storage, workplace, CRM, billing, voice, market data, insurers, statutory HR portals</w:t>
            </w:r>
          </w:p>
        </w:tc>
        <w:tc>
          <w:tcPr>
            <w:tcW w:w="2237" w:type="dxa"/>
          </w:tcPr>
          <w:p>
            <w:pPr>
              <w:pStyle w:val="Compact"/>
              <w:spacing w:after="40"/>
              <w:jc w:val="left"/>
            </w:pPr>
            <w:r>
              <w:rPr>
                <w:sz w:val="18"/>
              </w:rPr>
              <w:t xml:space="preserve">All</w:t>
            </w:r>
          </w:p>
        </w:tc>
      </w:tr>
      <w:tr>
        <w:tc>
          <w:tcPr>
            <w:tcW w:w="1480" w:type="dxa"/>
          </w:tcPr>
          <w:p>
            <w:pPr>
              <w:pStyle w:val="Compact"/>
              <w:spacing w:after="40"/>
              <w:jc w:val="left"/>
            </w:pPr>
            <w:r>
              <w:rPr>
                <w:sz w:val="18"/>
              </w:rPr>
              <w:t xml:space="preserve">Part 11</w:t>
            </w:r>
          </w:p>
        </w:tc>
        <w:tc>
          <w:tcPr>
            <w:tcW w:w="5921" w:type="dxa"/>
          </w:tcPr>
          <w:p>
            <w:pPr>
              <w:pStyle w:val="Compact"/>
              <w:spacing w:after="40"/>
              <w:jc w:val="left"/>
            </w:pPr>
            <w:r>
              <w:rPr>
                <w:sz w:val="18"/>
              </w:rPr>
              <w:t xml:space="preserve">Onboarding checklist item 10 and the Operations Hub worked example</w:t>
            </w:r>
          </w:p>
        </w:tc>
        <w:tc>
          <w:tcPr>
            <w:tcW w:w="2237" w:type="dxa"/>
          </w:tcPr>
          <w:p>
            <w:pPr>
              <w:pStyle w:val="Compact"/>
              <w:spacing w:after="40"/>
              <w:jc w:val="left"/>
            </w:pPr>
            <w:r>
              <w:rPr>
                <w:sz w:val="18"/>
              </w:rPr>
              <w:t xml:space="preserve">OH</w:t>
            </w:r>
          </w:p>
        </w:tc>
      </w:tr>
      <w:tr>
        <w:tc>
          <w:tcPr>
            <w:tcW w:w="1480" w:type="dxa"/>
          </w:tcPr>
          <w:p>
            <w:pPr>
              <w:pStyle w:val="Compact"/>
              <w:spacing w:after="40"/>
              <w:jc w:val="left"/>
            </w:pPr>
            <w:r>
              <w:rPr>
                <w:sz w:val="18"/>
              </w:rPr>
              <w:t xml:space="preserve">Part 12</w:t>
            </w:r>
          </w:p>
        </w:tc>
        <w:tc>
          <w:tcPr>
            <w:tcW w:w="5921" w:type="dxa"/>
          </w:tcPr>
          <w:p>
            <w:pPr>
              <w:pStyle w:val="Compact"/>
              <w:spacing w:after="40"/>
              <w:jc w:val="left"/>
            </w:pPr>
            <w:r>
              <w:rPr>
                <w:sz w:val="18"/>
              </w:rPr>
              <w:t xml:space="preserve">12.1 archive standard, 12.2 storage connector contract, 12.3 Labour Code rule pack, 12.4 nineteen new layouts</w:t>
            </w:r>
          </w:p>
        </w:tc>
        <w:tc>
          <w:tcPr>
            <w:tcW w:w="2237" w:type="dxa"/>
          </w:tcPr>
          <w:p>
            <w:pPr>
              <w:pStyle w:val="Compact"/>
              <w:spacing w:after="40"/>
              <w:jc w:val="left"/>
            </w:pPr>
            <w:r>
              <w:rPr>
                <w:sz w:val="18"/>
              </w:rPr>
              <w:t xml:space="preserve">Finbyx, Udofin, OH</w:t>
            </w:r>
          </w:p>
        </w:tc>
      </w:tr>
      <w:tr>
        <w:tc>
          <w:tcPr>
            <w:tcW w:w="1480" w:type="dxa"/>
          </w:tcPr>
          <w:p>
            <w:pPr>
              <w:pStyle w:val="Compact"/>
              <w:spacing w:after="40"/>
              <w:jc w:val="left"/>
            </w:pPr>
            <w:r>
              <w:rPr>
                <w:sz w:val="18"/>
              </w:rPr>
              <w:t xml:space="preserve">Part 13</w:t>
            </w:r>
          </w:p>
        </w:tc>
        <w:tc>
          <w:tcPr>
            <w:tcW w:w="5921" w:type="dxa"/>
          </w:tcPr>
          <w:p>
            <w:pPr>
              <w:pStyle w:val="Compact"/>
              <w:spacing w:after="40"/>
              <w:jc w:val="left"/>
            </w:pPr>
            <w:r>
              <w:rPr>
                <w:sz w:val="18"/>
              </w:rPr>
              <w:t xml:space="preserve">Data classes</w:t>
            </w:r>
            <w:r>
              <w:rPr>
                <w:sz w:val="18"/>
              </w:rPr>
              <w:t xml:space="preserve"> </w:t>
            </w:r>
            <w:r>
              <w:rPr>
                <w:rStyle w:val="VerbatimChar"/>
                <w:sz w:val="18"/>
              </w:rPr>
              <w:t xml:space="preserve">HR</w:t>
            </w:r>
            <w:r>
              <w:rPr>
                <w:sz w:val="18"/>
              </w:rPr>
              <w:t xml:space="preserve"> </w:t>
            </w:r>
            <w:r>
              <w:rPr>
                <w:sz w:val="18"/>
              </w:rPr>
              <w:t xml:space="preserve">and</w:t>
            </w:r>
            <w:r>
              <w:rPr>
                <w:sz w:val="18"/>
              </w:rPr>
              <w:t xml:space="preserve"> </w:t>
            </w:r>
            <w:r>
              <w:rPr>
                <w:rStyle w:val="VerbatimChar"/>
                <w:sz w:val="18"/>
              </w:rPr>
              <w:t xml:space="preserve">WELLNESS</w:t>
            </w:r>
            <w:r>
              <w:rPr>
                <w:sz w:val="18"/>
              </w:rPr>
              <w:t xml:space="preserve">; group, external-access, storage, payment-card, workplace, monitoring and patch-SLA controls; legal baseline additions</w:t>
            </w:r>
          </w:p>
        </w:tc>
        <w:tc>
          <w:tcPr>
            <w:tcW w:w="2237" w:type="dxa"/>
          </w:tcPr>
          <w:p>
            <w:pPr>
              <w:pStyle w:val="Compact"/>
              <w:spacing w:after="40"/>
              <w:jc w:val="left"/>
            </w:pPr>
            <w:r>
              <w:rPr>
                <w:sz w:val="18"/>
              </w:rPr>
              <w:t xml:space="preserve">All</w:t>
            </w:r>
          </w:p>
        </w:tc>
      </w:tr>
      <w:tr>
        <w:tc>
          <w:tcPr>
            <w:tcW w:w="1480" w:type="dxa"/>
          </w:tcPr>
          <w:p>
            <w:pPr>
              <w:pStyle w:val="Compact"/>
              <w:spacing w:after="40"/>
              <w:jc w:val="left"/>
            </w:pPr>
            <w:r>
              <w:rPr>
                <w:sz w:val="18"/>
              </w:rPr>
              <w:t xml:space="preserve">Part 14</w:t>
            </w:r>
          </w:p>
        </w:tc>
        <w:tc>
          <w:tcPr>
            <w:tcW w:w="5921" w:type="dxa"/>
          </w:tcPr>
          <w:p>
            <w:pPr>
              <w:pStyle w:val="Compact"/>
              <w:spacing w:after="40"/>
              <w:jc w:val="left"/>
            </w:pPr>
            <w:r>
              <w:rPr>
                <w:sz w:val="18"/>
              </w:rPr>
              <w:t xml:space="preserve">Change log moved to Part 16; certification groups for the new domains</w:t>
            </w:r>
          </w:p>
        </w:tc>
        <w:tc>
          <w:tcPr>
            <w:tcW w:w="2237" w:type="dxa"/>
          </w:tcPr>
          <w:p>
            <w:pPr>
              <w:pStyle w:val="Compact"/>
              <w:spacing w:after="40"/>
              <w:jc w:val="left"/>
            </w:pPr>
            <w:r>
              <w:rPr>
                <w:sz w:val="18"/>
              </w:rPr>
              <w:t xml:space="preserve">All</w:t>
            </w:r>
          </w:p>
        </w:tc>
      </w:tr>
      <w:tr>
        <w:tc>
          <w:tcPr>
            <w:tcW w:w="1480" w:type="dxa"/>
          </w:tcPr>
          <w:p>
            <w:pPr>
              <w:pStyle w:val="Compact"/>
              <w:spacing w:after="40"/>
              <w:jc w:val="left"/>
            </w:pPr>
            <w:r>
              <w:rPr>
                <w:sz w:val="18"/>
              </w:rPr>
              <w:t xml:space="preserve">Part 15</w:t>
            </w:r>
          </w:p>
        </w:tc>
        <w:tc>
          <w:tcPr>
            <w:tcW w:w="5921" w:type="dxa"/>
          </w:tcPr>
          <w:p>
            <w:pPr>
              <w:pStyle w:val="Compact"/>
              <w:spacing w:after="40"/>
              <w:jc w:val="left"/>
            </w:pPr>
            <w:r>
              <w:rPr>
                <w:sz w:val="18"/>
              </w:rPr>
              <w:t xml:space="preserve">Rollout rows for Finbyx 13b–20b, Udofin 3c–20d, Operations Hub O1–O13, LawDocsComply risk feed</w:t>
            </w:r>
          </w:p>
        </w:tc>
        <w:tc>
          <w:tcPr>
            <w:tcW w:w="2237" w:type="dxa"/>
          </w:tcPr>
          <w:p>
            <w:pPr>
              <w:pStyle w:val="Compact"/>
              <w:spacing w:after="40"/>
              <w:jc w:val="left"/>
            </w:pPr>
            <w:r>
              <w:rPr>
                <w:sz w:val="18"/>
              </w:rPr>
              <w:t xml:space="preserve">All</w:t>
            </w:r>
          </w:p>
        </w:tc>
      </w:tr>
    </w:tbl>
    <w:p>
      <w:pPr>
        <w:pStyle w:val="BodyText"/>
      </w:pPr>
      <w:r>
        <w:rPr>
          <w:bCs/>
          <w:b/>
        </w:rPr>
        <w:t xml:space="preserve">Names settled in v1.1</w:t>
      </w:r>
      <w:r>
        <w:t xml:space="preserve"> </w:t>
      </w:r>
      <w:r>
        <w:t xml:space="preserve">(earlier names map as in 6.17). Billing payments are</w:t>
      </w:r>
      <w:r>
        <w:t xml:space="preserve"> </w:t>
      </w:r>
      <w:r>
        <w:rPr>
          <w:rStyle w:val="VerbatimChar"/>
        </w:rPr>
        <w:t xml:space="preserve">SubscriptionPaymentReceived</w:t>
      </w:r>
      <w:r>
        <w:t xml:space="preserve"> </w:t>
      </w:r>
      <w:r>
        <w:t xml:space="preserve">and</w:t>
      </w:r>
      <w:r>
        <w:t xml:space="preserve"> </w:t>
      </w:r>
      <w:r>
        <w:rPr>
          <w:rStyle w:val="VerbatimChar"/>
        </w:rPr>
        <w:t xml:space="preserve">SubscriptionPaymentFailed</w:t>
      </w:r>
      <w:r>
        <w:t xml:space="preserve"> </w:t>
      </w:r>
      <w:r>
        <w:t xml:space="preserve">(not</w:t>
      </w:r>
      <w:r>
        <w:t xml:space="preserve"> </w:t>
      </w:r>
      <w:r>
        <w:rPr>
          <w:rStyle w:val="VerbatimChar"/>
        </w:rPr>
        <w:t xml:space="preserve">PaymentReceived</w:t>
      </w:r>
      <w:r>
        <w:t xml:space="preserve"> </w:t>
      </w:r>
      <w:r>
        <w:t xml:space="preserve">and</w:t>
      </w:r>
      <w:r>
        <w:t xml:space="preserve"> </w:t>
      </w:r>
      <w:r>
        <w:rPr>
          <w:rStyle w:val="VerbatimChar"/>
        </w:rPr>
        <w:t xml:space="preserve">PaymentFailed</w:t>
      </w:r>
      <w:r>
        <w:t xml:space="preserve">);</w:t>
      </w:r>
      <w:r>
        <w:t xml:space="preserve"> </w:t>
      </w:r>
      <w:r>
        <w:rPr>
          <w:rStyle w:val="VerbatimChar"/>
        </w:rPr>
        <w:t xml:space="preserve">LenderDealActivated.mode</w:t>
      </w:r>
      <w:r>
        <w:t xml:space="preserve"> </w:t>
      </w:r>
      <w:r>
        <w:t xml:space="preserve">values are upper-case (</w:t>
      </w:r>
      <w:r>
        <w:rPr>
          <w:rStyle w:val="VerbatimChar"/>
        </w:rPr>
        <w:t xml:space="preserve">PILOT</w:t>
      </w:r>
      <w:r>
        <w:t xml:space="preserve">,</w:t>
      </w:r>
      <w:r>
        <w:t xml:space="preserve"> </w:t>
      </w:r>
      <w:r>
        <w:rPr>
          <w:rStyle w:val="VerbatimChar"/>
        </w:rPr>
        <w:t xml:space="preserve">GENERAL</w:t>
      </w:r>
      <w:r>
        <w:t xml:space="preserve">); the society field is</w:t>
      </w:r>
      <w:r>
        <w:t xml:space="preserve"> </w:t>
      </w:r>
      <w:r>
        <w:rPr>
          <w:rStyle w:val="VerbatimChar"/>
        </w:rPr>
        <w:t xml:space="preserve">lender_type</w:t>
      </w:r>
      <w:r>
        <w:t xml:space="preserve"> </w:t>
      </w:r>
      <w:r>
        <w:t xml:space="preserve">with value</w:t>
      </w:r>
      <w:r>
        <w:t xml:space="preserve"> </w:t>
      </w:r>
      <w:r>
        <w:rPr>
          <w:rStyle w:val="VerbatimChar"/>
        </w:rPr>
        <w:t xml:space="preserve">NON_RE_SOCIETY</w:t>
      </w:r>
      <w:r>
        <w:t xml:space="preserve"> </w:t>
      </w:r>
      <w:r>
        <w:t xml:space="preserve">(not</w:t>
      </w:r>
      <w:r>
        <w:t xml:space="preserve"> </w:t>
      </w:r>
      <w:r>
        <w:rPr>
          <w:rStyle w:val="VerbatimChar"/>
        </w:rPr>
        <w:t xml:space="preserve">lendertype</w:t>
      </w:r>
      <w:r>
        <w:t xml:space="preserve"> </w:t>
      </w:r>
      <w:r>
        <w:t xml:space="preserve">or</w:t>
      </w:r>
      <w:r>
        <w:t xml:space="preserve"> </w:t>
      </w:r>
      <w:r>
        <w:rPr>
          <w:rStyle w:val="VerbatimChar"/>
        </w:rPr>
        <w:t xml:space="preserve">NON_RE_COOP</w:t>
      </w:r>
      <w:r>
        <w:t xml:space="preserve">); usage carries</w:t>
      </w:r>
      <w:r>
        <w:t xml:space="preserve"> </w:t>
      </w:r>
      <w:r>
        <w:rPr>
          <w:rStyle w:val="VerbatimChar"/>
        </w:rPr>
        <w:t xml:space="preserve">meter_kind</w:t>
      </w:r>
      <w:r>
        <w:t xml:space="preserve">; risk-feed extension attributes are</w:t>
      </w:r>
      <w:r>
        <w:t xml:space="preserve"> </w:t>
      </w:r>
      <w:r>
        <w:rPr>
          <w:rStyle w:val="VerbatimChar"/>
        </w:rPr>
        <w:t xml:space="preserve">asof</w:t>
      </w:r>
      <w:r>
        <w:t xml:space="preserve">,</w:t>
      </w:r>
      <w:r>
        <w:t xml:space="preserve"> </w:t>
      </w:r>
      <w:r>
        <w:rPr>
          <w:rStyle w:val="VerbatimChar"/>
        </w:rPr>
        <w:t xml:space="preserve">metricversion</w:t>
      </w:r>
      <w:r>
        <w:t xml:space="preserve">,</w:t>
      </w:r>
      <w:r>
        <w:t xml:space="preserve"> </w:t>
      </w:r>
      <w:r>
        <w:rPr>
          <w:rStyle w:val="VerbatimChar"/>
        </w:rPr>
        <w:t xml:space="preserve">citation</w:t>
      </w:r>
      <w:r>
        <w:t xml:space="preserve">,</w:t>
      </w:r>
      <w:r>
        <w:t xml:space="preserve"> </w:t>
      </w:r>
      <w:r>
        <w:rPr>
          <w:rStyle w:val="VerbatimChar"/>
        </w:rPr>
        <w:t xml:space="preserve">contenthash</w:t>
      </w:r>
      <w:r>
        <w:t xml:space="preserve">,</w:t>
      </w:r>
      <w:r>
        <w:t xml:space="preserve"> </w:t>
      </w:r>
      <w:r>
        <w:rPr>
          <w:rStyle w:val="VerbatimChar"/>
        </w:rPr>
        <w:t xml:space="preserve">prevhash</w:t>
      </w:r>
      <w:r>
        <w:t xml:space="preserve"> </w:t>
      </w:r>
      <w:r>
        <w:t xml:space="preserve">(CloudEvents 1.0.2 forbids underscores in extension names);</w:t>
      </w:r>
      <w:r>
        <w:t xml:space="preserve"> </w:t>
      </w:r>
      <w:r>
        <w:rPr>
          <w:rStyle w:val="VerbatimChar"/>
        </w:rPr>
        <w:t xml:space="preserve">PeriodClosed</w:t>
      </w:r>
      <w:r>
        <w:t xml:space="preserve"> </w:t>
      </w:r>
      <w:r>
        <w:t xml:space="preserve">carries</w:t>
      </w:r>
      <w:r>
        <w:t xml:space="preserve"> </w:t>
      </w:r>
      <w:r>
        <w:rPr>
          <w:rStyle w:val="VerbatimChar"/>
        </w:rPr>
        <w:t xml:space="preserve">lock_version</w:t>
      </w:r>
      <w:r>
        <w:t xml:space="preserve">;</w:t>
      </w:r>
      <w:r>
        <w:t xml:space="preserve"> </w:t>
      </w:r>
      <w:r>
        <w:rPr>
          <w:rStyle w:val="VerbatimChar"/>
        </w:rPr>
        <w:t xml:space="preserve">MatterAllocated</w:t>
      </w:r>
      <w:r>
        <w:t xml:space="preserve"> </w:t>
      </w:r>
      <w:r>
        <w:t xml:space="preserve">carries</w:t>
      </w:r>
      <w:r>
        <w:t xml:space="preserve"> </w:t>
      </w:r>
      <w:r>
        <w:rPr>
          <w:rStyle w:val="VerbatimChar"/>
        </w:rPr>
        <w:t xml:space="preserve">status</w:t>
      </w:r>
      <w:r>
        <w:t xml:space="preserve"> </w:t>
      </w:r>
      <w:r>
        <w:t xml:space="preserve">and</w:t>
      </w:r>
      <w:r>
        <w:t xml:space="preserve"> </w:t>
      </w:r>
      <w:r>
        <w:rPr>
          <w:rStyle w:val="VerbatimChar"/>
        </w:rPr>
        <w:t xml:space="preserve">update_seq</w:t>
      </w:r>
      <w:r>
        <w:t xml:space="preserve">; the Hub APIs are</w:t>
      </w:r>
      <w:r>
        <w:t xml:space="preserve"> </w:t>
      </w:r>
      <w:r>
        <w:rPr>
          <w:rStyle w:val="VerbatimChar"/>
        </w:rPr>
        <w:t xml:space="preserve">GET /v1/catalogue/versions/{v}</w:t>
      </w:r>
      <w:r>
        <w:t xml:space="preserve">,</w:t>
      </w:r>
      <w:r>
        <w:t xml:space="preserve"> </w:t>
      </w:r>
      <w:r>
        <w:rPr>
          <w:rStyle w:val="VerbatimChar"/>
        </w:rPr>
        <w:t xml:space="preserve">GET /v1/directory/professionals</w:t>
      </w:r>
      <w:r>
        <w:t xml:space="preserve"> </w:t>
      </w:r>
      <w:r>
        <w:t xml:space="preserve">and</w:t>
      </w:r>
      <w:r>
        <w:t xml:space="preserve"> </w:t>
      </w:r>
      <w:r>
        <w:rPr>
          <w:rStyle w:val="VerbatimChar"/>
        </w:rPr>
        <w:t xml:space="preserve">POST /v1/conflicts/check</w:t>
      </w:r>
      <w:r>
        <w:t xml:space="preserve">;</w:t>
      </w:r>
      <w:r>
        <w:t xml:space="preserve"> </w:t>
      </w:r>
      <w:r>
        <w:rPr>
          <w:rStyle w:val="VerbatimChar"/>
        </w:rPr>
        <w:t xml:space="preserve">AccessReviewCompleted</w:t>
      </w:r>
      <w:r>
        <w:t xml:space="preserve"> </w:t>
      </w:r>
      <w:r>
        <w:t xml:space="preserve">carries</w:t>
      </w:r>
      <w:r>
        <w:t xml:space="preserve"> </w:t>
      </w:r>
      <w:r>
        <w:rPr>
          <w:rStyle w:val="VerbatimChar"/>
        </w:rPr>
        <w:t xml:space="preserve">review_scope</w:t>
      </w:r>
      <w:r>
        <w:t xml:space="preserve">; archive datasets are named</w:t>
      </w:r>
      <w:r>
        <w:t xml:space="preserve"> </w:t>
      </w:r>
      <w:r>
        <w:rPr>
          <w:rStyle w:val="VerbatimChar"/>
        </w:rPr>
        <w:t xml:space="preserve">[dataset].csv</w:t>
      </w:r>
      <w:r>
        <w:t xml:space="preserve"> </w:t>
      </w:r>
      <w:r>
        <w:t xml:space="preserve">and the start folder is</w:t>
      </w:r>
      <w:r>
        <w:t xml:space="preserve"> </w:t>
      </w:r>
      <w:r>
        <w:rPr>
          <w:rStyle w:val="VerbatimChar"/>
        </w:rPr>
        <w:t xml:space="preserve">00 Start Here</w:t>
      </w:r>
      <w:r>
        <w:t xml:space="preserve"> </w:t>
      </w:r>
      <w:r>
        <w:t xml:space="preserve">in every profile.</w:t>
      </w:r>
    </w:p>
    <w:p>
      <w:pPr>
        <w:pStyle w:val="BodyText"/>
      </w:pPr>
      <w:r>
        <w:rPr>
          <w:bCs/>
          <w:b/>
        </w:rPr>
        <w:t xml:space="preserve">Approvals required.</w:t>
      </w:r>
      <w:r>
        <w:t xml:space="preserve"> </w:t>
      </w:r>
      <w:r>
        <w:t xml:space="preserve">Finbyx, Udofin and Operations Hub product owners (all Parts); Equator (4.6 wall and the directory conflict API); LawDocsComply (6.22 feed and inbound KRI and obligation pull). Until both Finbyx and Udofin approvals are recorded for a cross-product event, the (A) rule in 6.1 applies.</w:t>
      </w:r>
    </w:p>
    <w:p>
      <w:pPr>
        <w:pStyle w:val="BodyText"/>
      </w:pPr>
      <w:r>
        <w:rPr>
          <w:bCs/>
          <w:b/>
        </w:rPr>
        <w:t xml:space="preserve">Propagation.</w:t>
      </w:r>
      <w:r>
        <w:t xml:space="preserve"> </w:t>
      </w:r>
      <w:r>
        <w:t xml:space="preserve">Every repository adopts v1.1 within 10 working days of approval (by 6 November 2026 if approved today, adjusted for holidays) [REC]; connectors using the new domains are certified against the 14.3 groups added in v1.1 before touching real data.</w:t>
      </w:r>
    </w:p>
    <w:p>
      <w:pPr>
        <w:pStyle w:val="BodyText"/>
      </w:pPr>
      <w:r>
        <w:rPr>
          <w:bCs/>
          <w:b/>
        </w:rPr>
        <w:t xml:space="preserve">Open items carried as [VERIFY].</w:t>
      </w:r>
      <w:r>
        <w:t xml:space="preserve"> </w:t>
      </w:r>
      <w:r>
        <w:t xml:space="preserve">CIMS ADF availability for NBFCs and UCBs; HFC returns to NHB; CIC encryption rules for correction files; CIC membership for credit co-operative societies; Income-tax Act 2025 section and form concordance (s.22, s.123, s.129; Form 140 utility; SAC for SaaS); Microsoft 365 data-location evidence through Graph; State Labour Code rules; MFI contact window under the RBC Third Amendment; app-store policy for non-RE lenders; Insurance Act s.40 after 2025; counsel opinion on notifying REs of direct RBI requests.</w:t>
      </w:r>
    </w:p>
    <w:p>
      <w:r>
        <w:pict>
          <v:rect style="width:0;height:1.5pt" o:hralign="center" o:hrstd="t" o:hr="t"/>
        </w:pict>
      </w:r>
    </w:p>
    <w:bookmarkEnd w:id="122"/>
    <w:bookmarkStart w:id="123" w:name="appendix-a-example-payloads"/>
    <w:p>
      <w:pPr>
        <w:pStyle w:val="Heading1"/>
      </w:pPr>
      <w:r>
        <w:t xml:space="preserve">APPENDIX A — EXAMPLE PAYLOADS</w:t>
      </w:r>
    </w:p>
    <w:p>
      <w:pPr>
        <w:pStyle w:val="FirstParagraph"/>
      </w:pPr>
      <w:r>
        <w:t xml:space="preserve">Illustrative: identifiers, hosts and values are synthetic;</w:t>
      </w:r>
      <w:r>
        <w:t xml:space="preserve"> </w:t>
      </w:r>
      <w:r>
        <w:rPr>
          <w:rStyle w:val="VerbatimChar"/>
        </w:rPr>
        <w:t xml:space="preserve">registry.infrabyx.example</w:t>
      </w:r>
      <w:r>
        <w:t xml:space="preserve"> </w:t>
      </w:r>
      <w:r>
        <w:t xml:space="preserve">stands for the registry host fixed by ADR. A.1 shows the full envelope; A.2–A.5 abbreviate the common attributes as</w:t>
      </w:r>
      <w:r>
        <w:t xml:space="preserve"> </w:t>
      </w:r>
      <w:r>
        <w:rPr>
          <w:rStyle w:val="VerbatimChar"/>
        </w:rPr>
        <w:t xml:space="preserve">"…"</w:t>
      </w:r>
      <w:r>
        <w:t xml:space="preserve">.</w:t>
      </w:r>
    </w:p>
    <w:p>
      <w:pPr>
        <w:pStyle w:val="BodyText"/>
      </w:pPr>
      <w:r>
        <w:rPr>
          <w:bCs/>
          <w:b/>
        </w:rPr>
        <w:t xml:space="preserve">A.1</w:t>
      </w:r>
      <w:r>
        <w:rPr>
          <w:bCs/>
          <w:b/>
        </w:rPr>
        <w:t xml:space="preserve"> </w:t>
      </w:r>
      <w:r>
        <w:rPr>
          <w:rStyle w:val="VerbatimChar"/>
          <w:bCs/>
          <w:b/>
        </w:rPr>
        <w:t xml:space="preserve">ApplicationSubmitted</w:t>
      </w:r>
      <w:r>
        <w:rPr>
          <w:bCs/>
          <w:b/>
        </w:rPr>
        <w:t xml:space="preserve"> </w:t>
      </w:r>
      <w:r>
        <w:rPr>
          <w:bCs/>
          <w:b/>
        </w:rPr>
        <w:t xml:space="preserve">(Udofin → Finbyx)</w:t>
      </w:r>
    </w:p>
    <w:p>
      <w:pPr>
        <w:pStyle w:val="SourceCode"/>
      </w:pPr>
      <w:r>
        <w:rPr>
          <w:rStyle w:val="FunctionTok"/>
        </w:rPr>
        <w:t xml:space="preserve">{</w:t>
      </w:r>
      <w:r>
        <w:rPr>
          <w:rStyle w:val="DataTypeTok"/>
        </w:rPr>
        <w:t xml:space="preserve">"specversion"</w:t>
      </w:r>
      <w:r>
        <w:rPr>
          <w:rStyle w:val="FunctionTok"/>
        </w:rPr>
        <w:t xml:space="preserve">:</w:t>
      </w:r>
      <w:r>
        <w:rPr>
          <w:rStyle w:val="NormalTok"/>
        </w:rPr>
        <w:t xml:space="preserve"> </w:t>
      </w:r>
      <w:r>
        <w:rPr>
          <w:rStyle w:val="StringTok"/>
        </w:rPr>
        <w:t xml:space="preserve">"1.0"</w:t>
      </w:r>
      <w:r>
        <w:rPr>
          <w:rStyle w:val="FunctionTok"/>
        </w:rPr>
        <w:t xml:space="preserve">,</w:t>
      </w:r>
      <w:r>
        <w:rPr>
          <w:rStyle w:val="NormalTok"/>
        </w:rPr>
        <w:t xml:space="preserve"> </w:t>
      </w:r>
      <w:r>
        <w:rPr>
          <w:rStyle w:val="DataTypeTok"/>
        </w:rPr>
        <w:t xml:space="preserve">"id"</w:t>
      </w:r>
      <w:r>
        <w:rPr>
          <w:rStyle w:val="FunctionTok"/>
        </w:rPr>
        <w:t xml:space="preserve">:</w:t>
      </w:r>
      <w:r>
        <w:rPr>
          <w:rStyle w:val="NormalTok"/>
        </w:rPr>
        <w:t xml:space="preserve"> </w:t>
      </w:r>
      <w:r>
        <w:rPr>
          <w:rStyle w:val="StringTok"/>
        </w:rPr>
        <w:t xml:space="preserve">"01a152c9-ead8-7b2e-9a1d-3f6c2b8e4d10"</w:t>
      </w:r>
      <w:r>
        <w:rPr>
          <w:rStyle w:val="FunctionTok"/>
        </w:rPr>
        <w:t xml:space="preserve">,</w:t>
      </w:r>
      <w:r>
        <w:br/>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"urn:infrabyx:udofin:ten_01J9ZQ8K7H"</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"in.infrabyx.origination.ApplicationSubmitted.v1"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"app_01J9ZQB3W4X6"</w:t>
      </w:r>
      <w:r>
        <w:rPr>
          <w:rStyle w:val="FunctionTok"/>
        </w:rPr>
        <w:t xml:space="preserve">,</w:t>
      </w:r>
      <w:r>
        <w:rPr>
          <w:rStyle w:val="NormalTok"/>
        </w:rPr>
        <w:t xml:space="preserve"> </w:t>
      </w:r>
      <w:r>
        <w:rPr>
          <w:rStyle w:val="DataTypeTok"/>
        </w:rPr>
        <w:t xml:space="preserve">"time"</w:t>
      </w:r>
      <w:r>
        <w:rPr>
          <w:rStyle w:val="FunctionTok"/>
        </w:rPr>
        <w:t xml:space="preserve">:</w:t>
      </w:r>
      <w:r>
        <w:rPr>
          <w:rStyle w:val="NormalTok"/>
        </w:rPr>
        <w:t xml:space="preserve"> </w:t>
      </w:r>
      <w:r>
        <w:rPr>
          <w:rStyle w:val="StringTok"/>
        </w:rPr>
        <w:t xml:space="preserve">"2026-10-19T11:42:07+05:30"</w:t>
      </w:r>
      <w:r>
        <w:rPr>
          <w:rStyle w:val="FunctionTok"/>
        </w:rPr>
        <w:t xml:space="preserve">,</w:t>
      </w:r>
      <w:r>
        <w:rPr>
          <w:rStyle w:val="NormalTok"/>
        </w:rPr>
        <w:t xml:space="preserve"> </w:t>
      </w:r>
      <w:r>
        <w:rPr>
          <w:rStyle w:val="DataTypeTok"/>
        </w:rPr>
        <w:t xml:space="preserve">"datacontenttype"</w:t>
      </w:r>
      <w:r>
        <w:rPr>
          <w:rStyle w:val="FunctionTok"/>
        </w:rPr>
        <w:t xml:space="preserve">:</w:t>
      </w:r>
      <w:r>
        <w:rPr>
          <w:rStyle w:val="NormalTok"/>
        </w:rPr>
        <w:t xml:space="preserve"> </w:t>
      </w:r>
      <w:r>
        <w:rPr>
          <w:rStyle w:val="StringTok"/>
        </w:rPr>
        <w:t xml:space="preserve">"application/json"</w:t>
      </w:r>
      <w:r>
        <w:rPr>
          <w:rStyle w:val="FunctionTok"/>
        </w:rPr>
        <w:t xml:space="preserve">,</w:t>
      </w:r>
      <w:r>
        <w:br/>
      </w:r>
      <w:r>
        <w:rPr>
          <w:rStyle w:val="NormalTok"/>
        </w:rPr>
        <w:t xml:space="preserve"> </w:t>
      </w:r>
      <w:r>
        <w:rPr>
          <w:rStyle w:val="DataTypeTok"/>
        </w:rPr>
        <w:t xml:space="preserve">"dataschema"</w:t>
      </w:r>
      <w:r>
        <w:rPr>
          <w:rStyle w:val="FunctionTok"/>
        </w:rPr>
        <w:t xml:space="preserve">:</w:t>
      </w:r>
      <w:r>
        <w:rPr>
          <w:rStyle w:val="NormalTok"/>
        </w:rPr>
        <w:t xml:space="preserve"> </w:t>
      </w:r>
      <w:r>
        <w:rPr>
          <w:rStyle w:val="StringTok"/>
        </w:rPr>
        <w:t xml:space="preserve">"https://registry.infrabyx.example/schemas/origination/ApplicationSubmitted/1.2.0.json"</w:t>
      </w:r>
      <w:r>
        <w:rPr>
          <w:rStyle w:val="FunctionTok"/>
        </w:rPr>
        <w:t xml:space="preserve">,</w:t>
      </w:r>
      <w:r>
        <w:br/>
      </w:r>
      <w:r>
        <w:rPr>
          <w:rStyle w:val="NormalTok"/>
        </w:rPr>
        <w:t xml:space="preserve"> </w:t>
      </w:r>
      <w:r>
        <w:rPr>
          <w:rStyle w:val="DataTypeTok"/>
        </w:rPr>
        <w:t xml:space="preserve">"tenantid"</w:t>
      </w:r>
      <w:r>
        <w:rPr>
          <w:rStyle w:val="FunctionTok"/>
        </w:rPr>
        <w:t xml:space="preserve">:</w:t>
      </w:r>
      <w:r>
        <w:rPr>
          <w:rStyle w:val="NormalTok"/>
        </w:rPr>
        <w:t xml:space="preserve"> </w:t>
      </w:r>
      <w:r>
        <w:rPr>
          <w:rStyle w:val="StringTok"/>
        </w:rPr>
        <w:t xml:space="preserve">"ten_01J9ZQ8K7H"</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"PL"</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"app_01J9ZQB3W4X6"</w:t>
      </w:r>
      <w:r>
        <w:rPr>
          <w:rStyle w:val="FunctionTok"/>
        </w:rPr>
        <w:t xml:space="preserve">,</w:t>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"cns_01J9ZQA9R2T5"</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"PII"</w:t>
      </w:r>
      <w:r>
        <w:rPr>
          <w:rStyle w:val="FunctionTok"/>
        </w:rPr>
        <w:t xml:space="preserve">,</w:t>
      </w:r>
      <w:r>
        <w:br/>
      </w:r>
      <w:r>
        <w:rPr>
          <w:rStyle w:val="NormalTok"/>
        </w:rPr>
        <w:t xml:space="preserve"> </w:t>
      </w:r>
      <w:r>
        <w:rPr>
          <w:rStyle w:val="DataTypeTok"/>
        </w:rPr>
        <w:t xml:space="preserve">"schemaver"</w:t>
      </w:r>
      <w:r>
        <w:rPr>
          <w:rStyle w:val="FunctionTok"/>
        </w:rPr>
        <w:t xml:space="preserve">:</w:t>
      </w:r>
      <w:r>
        <w:rPr>
          <w:rStyle w:val="NormalTok"/>
        </w:rPr>
        <w:t xml:space="preserve"> </w:t>
      </w:r>
      <w:r>
        <w:rPr>
          <w:rStyle w:val="StringTok"/>
        </w:rPr>
        <w:t xml:space="preserve">"1.2.0"</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"traceparent"</w:t>
      </w:r>
      <w:r>
        <w:rPr>
          <w:rStyle w:val="FunctionTok"/>
        </w:rPr>
        <w:t xml:space="preserve">:</w:t>
      </w:r>
      <w:r>
        <w:rPr>
          <w:rStyle w:val="NormalTok"/>
        </w:rPr>
        <w:t xml:space="preserve"> </w:t>
      </w:r>
      <w:r>
        <w:rPr>
          <w:rStyle w:val="StringTok"/>
        </w:rPr>
        <w:t xml:space="preserve">"00-4bf92f3577b34da6a3ce929d0e0e4736-00f067aa0ba902b7-01"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"lsp_application_ref"</w:t>
      </w:r>
      <w:r>
        <w:rPr>
          <w:rStyle w:val="FunctionTok"/>
        </w:rPr>
        <w:t xml:space="preserve">:</w:t>
      </w:r>
      <w:r>
        <w:rPr>
          <w:rStyle w:val="NormalTok"/>
        </w:rPr>
        <w:t xml:space="preserve"> </w:t>
      </w:r>
      <w:r>
        <w:rPr>
          <w:rStyle w:val="StringTok"/>
        </w:rPr>
        <w:t xml:space="preserve">"UDF-APP-2026-000184321"</w:t>
      </w:r>
      <w:r>
        <w:rPr>
          <w:rStyle w:val="FunctionTok"/>
        </w:rPr>
        <w:t xml:space="preserve">,</w:t>
      </w:r>
      <w:r>
        <w:rPr>
          <w:rStyle w:val="NormalTok"/>
        </w:rPr>
        <w:t xml:space="preserve"> </w:t>
      </w:r>
      <w:r>
        <w:rPr>
          <w:rStyle w:val="DataTypeTok"/>
        </w:rPr>
        <w:t xml:space="preserve">"product_code"</w:t>
      </w:r>
      <w:r>
        <w:rPr>
          <w:rStyle w:val="FunctionTok"/>
        </w:rPr>
        <w:t xml:space="preserve">:</w:t>
      </w:r>
      <w:r>
        <w:rPr>
          <w:rStyle w:val="NormalTok"/>
        </w:rPr>
        <w:t xml:space="preserve"> </w:t>
      </w:r>
      <w:r>
        <w:rPr>
          <w:rStyle w:val="StringTok"/>
        </w:rPr>
        <w:t xml:space="preserve">"PL-SAL-01"</w:t>
      </w:r>
      <w:r>
        <w:rPr>
          <w:rStyle w:val="FunctionTok"/>
        </w:rPr>
        <w:t xml:space="preserve">,</w:t>
      </w:r>
      <w:r>
        <w:rPr>
          <w:rStyle w:val="NormalTok"/>
        </w:rPr>
        <w:t xml:space="preserve"> </w:t>
      </w:r>
      <w:r>
        <w:rPr>
          <w:rStyle w:val="DataTypeTok"/>
        </w:rPr>
        <w:t xml:space="preserve">"dla_id"</w:t>
      </w:r>
      <w:r>
        <w:rPr>
          <w:rStyle w:val="FunctionTok"/>
        </w:rPr>
        <w:t xml:space="preserve">:</w:t>
      </w:r>
      <w:r>
        <w:rPr>
          <w:rStyle w:val="NormalTok"/>
        </w:rPr>
        <w:t xml:space="preserve"> </w:t>
      </w:r>
      <w:r>
        <w:rPr>
          <w:rStyle w:val="StringTok"/>
        </w:rPr>
        <w:t xml:space="preserve">"dla_01J5UDFANDR"</w:t>
      </w:r>
      <w:r>
        <w:rPr>
          <w:rStyle w:val="FunctionTok"/>
        </w:rPr>
        <w:t xml:space="preserve">,</w:t>
      </w:r>
      <w:r>
        <w:br/>
      </w:r>
      <w:r>
        <w:rPr>
          <w:rStyle w:val="NormalTok"/>
        </w:rPr>
        <w:t xml:space="preserve">  </w:t>
      </w:r>
      <w:r>
        <w:rPr>
          <w:rStyle w:val="DataTypeTok"/>
        </w:rPr>
        <w:t xml:space="preserve">"requested_amount"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"250000.00"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"tenor_months"</w:t>
      </w:r>
      <w:r>
        <w:rPr>
          <w:rStyle w:val="FunctionTok"/>
        </w:rPr>
        <w:t xml:space="preserve">:</w:t>
      </w:r>
      <w:r>
        <w:rPr>
          <w:rStyle w:val="NormalTok"/>
        </w:rPr>
        <w:t xml:space="preserve"> </w:t>
      </w:r>
      <w:r>
        <w:rPr>
          <w:rStyle w:val="DecValTok"/>
        </w:rPr>
        <w:t xml:space="preserve">24</w:t>
      </w:r>
      <w:r>
        <w:rPr>
          <w:rStyle w:val="FunctionTok"/>
        </w:rPr>
        <w:t xml:space="preserve">,</w:t>
      </w:r>
      <w:r>
        <w:br/>
      </w:r>
      <w:r>
        <w:rPr>
          <w:rStyle w:val="NormalTok"/>
        </w:rPr>
        <w:t xml:space="preserve">  </w:t>
      </w:r>
      <w:r>
        <w:rPr>
          <w:rStyle w:val="DataTypeTok"/>
        </w:rPr>
        <w:t xml:space="preserve">"applicants"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"PRIMARY"</w:t>
      </w:r>
      <w:r>
        <w:rPr>
          <w:rStyle w:val="FunctionTok"/>
        </w:rPr>
        <w:t xml:space="preserve">,</w:t>
      </w:r>
      <w:r>
        <w:rPr>
          <w:rStyle w:val="NormalTok"/>
        </w:rPr>
        <w:t xml:space="preserve"> </w:t>
      </w:r>
      <w:r>
        <w:rPr>
          <w:rStyle w:val="DataTypeTok"/>
        </w:rPr>
        <w:t xml:space="preserve">"party_ref"</w:t>
      </w:r>
      <w:r>
        <w:rPr>
          <w:rStyle w:val="FunctionTok"/>
        </w:rPr>
        <w:t xml:space="preserve">:</w:t>
      </w:r>
      <w:r>
        <w:rPr>
          <w:rStyle w:val="NormalTok"/>
        </w:rPr>
        <w:t xml:space="preserve"> </w:t>
      </w:r>
      <w:r>
        <w:rPr>
          <w:rStyle w:val="StringTok"/>
        </w:rPr>
        <w:t xml:space="preserve">"pty_ud_fx_01J9ZQC0MN"</w:t>
      </w:r>
      <w:r>
        <w:rPr>
          <w:rStyle w:val="FunctionTok"/>
        </w:rPr>
        <w:t xml:space="preserve">,</w:t>
      </w:r>
      <w:r>
        <w:rPr>
          <w:rStyle w:val="NormalTok"/>
        </w:rPr>
        <w:t xml:space="preserve"> </w:t>
      </w:r>
      <w:r>
        <w:rPr>
          <w:rStyle w:val="DataTypeTok"/>
        </w:rPr>
        <w:t xml:space="preserve">"pan_masked"</w:t>
      </w:r>
      <w:r>
        <w:rPr>
          <w:rStyle w:val="FunctionTok"/>
        </w:rPr>
        <w:t xml:space="preserve">:</w:t>
      </w:r>
      <w:r>
        <w:rPr>
          <w:rStyle w:val="NormalTok"/>
        </w:rPr>
        <w:t xml:space="preserve"> </w:t>
      </w:r>
      <w:r>
        <w:rPr>
          <w:rStyle w:val="StringTok"/>
        </w:rPr>
        <w:t xml:space="preserve">"XXXXX1234X"</w:t>
      </w:r>
      <w:r>
        <w:rPr>
          <w:rStyle w:val="FunctionTok"/>
        </w:rPr>
        <w:t xml:space="preserve">,</w:t>
      </w:r>
      <w:r>
        <w:br/>
      </w:r>
      <w:r>
        <w:rPr>
          <w:rStyle w:val="NormalTok"/>
        </w:rPr>
        <w:t xml:space="preserve">    </w:t>
      </w:r>
      <w:r>
        <w:rPr>
          <w:rStyle w:val="DataTypeTok"/>
        </w:rPr>
        <w:t xml:space="preserve">"pan_token"</w:t>
      </w:r>
      <w:r>
        <w:rPr>
          <w:rStyle w:val="FunctionTok"/>
        </w:rPr>
        <w:t xml:space="preserve">:</w:t>
      </w:r>
      <w:r>
        <w:rPr>
          <w:rStyle w:val="NormalTok"/>
        </w:rPr>
        <w:t xml:space="preserve"> </w:t>
      </w:r>
      <w:r>
        <w:rPr>
          <w:rStyle w:val="StringTok"/>
        </w:rPr>
        <w:t xml:space="preserve">"tok_pan_6f1c9e"</w:t>
      </w:r>
      <w:r>
        <w:rPr>
          <w:rStyle w:val="FunctionTok"/>
        </w:rPr>
        <w:t xml:space="preserve">,</w:t>
      </w:r>
      <w:r>
        <w:rPr>
          <w:rStyle w:val="NormalTok"/>
        </w:rPr>
        <w:t xml:space="preserve"> </w:t>
      </w:r>
      <w:r>
        <w:rPr>
          <w:rStyle w:val="DataTypeTok"/>
        </w:rPr>
        <w:t xml:space="preserve">"household"</w:t>
      </w:r>
      <w:r>
        <w:rPr>
          <w:rStyle w:val="FunctionTok"/>
        </w:rPr>
        <w:t xml:space="preserve">:</w:t>
      </w:r>
      <w:r>
        <w:rPr>
          <w:rStyle w:val="NormalTok"/>
        </w:rPr>
        <w:t xml:space="preserve"> </w:t>
      </w:r>
      <w:r>
        <w:rPr>
          <w:rStyle w:val="FunctionTok"/>
        </w:rPr>
        <w:t xml:space="preserve">{</w:t>
      </w:r>
      <w:r>
        <w:rPr>
          <w:rStyle w:val="DataTypeTok"/>
        </w:rPr>
        <w:t xml:space="preserve">"members"</w:t>
      </w:r>
      <w:r>
        <w:rPr>
          <w:rStyle w:val="FunctionTok"/>
        </w:rPr>
        <w:t xml:space="preserve">:</w:t>
      </w:r>
      <w:r>
        <w:rPr>
          <w:rStyle w:val="NormalTok"/>
        </w:rPr>
        <w:t xml:space="preserve"> </w:t>
      </w:r>
      <w:r>
        <w:rPr>
          <w:rStyle w:val="DecValTok"/>
        </w:rPr>
        <w:t xml:space="preserve">3</w:t>
      </w:r>
      <w:r>
        <w:rPr>
          <w:rStyle w:val="FunctionTok"/>
        </w:rPr>
        <w:t xml:space="preserve">,</w:t>
      </w:r>
      <w:r>
        <w:rPr>
          <w:rStyle w:val="NormalTok"/>
        </w:rPr>
        <w:t xml:space="preserve"> </w:t>
      </w:r>
      <w:r>
        <w:rPr>
          <w:rStyle w:val="DataTypeTok"/>
        </w:rPr>
        <w:t xml:space="preserve">"annual_income"</w:t>
      </w:r>
      <w:r>
        <w:rPr>
          <w:rStyle w:val="FunctionTok"/>
        </w:rPr>
        <w:t xml:space="preserve">:</w:t>
      </w:r>
      <w:r>
        <w:rPr>
          <w:rStyle w:val="NormalTok"/>
        </w:rPr>
        <w:t xml:space="preserve"> </w:t>
      </w:r>
      <w:r>
        <w:rPr>
          <w:rStyle w:val="StringTok"/>
        </w:rPr>
        <w:t xml:space="preserve">"1020000.00"</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"kyc_evidence_refs"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"DIGILOCKER_AADHAAR_XML"</w:t>
      </w:r>
      <w:r>
        <w:rPr>
          <w:rStyle w:val="FunctionTok"/>
        </w:rPr>
        <w:t xml:space="preserve">,</w:t>
      </w:r>
      <w:r>
        <w:rPr>
          <w:rStyle w:val="NormalTok"/>
        </w:rPr>
        <w:t xml:space="preserve"> </w:t>
      </w:r>
      <w:r>
        <w:rPr>
          <w:rStyle w:val="DataTypeTok"/>
        </w:rPr>
        <w:t xml:space="preserve">"evidence_id"</w:t>
      </w:r>
      <w:r>
        <w:rPr>
          <w:rStyle w:val="FunctionTok"/>
        </w:rPr>
        <w:t xml:space="preserve">:</w:t>
      </w:r>
      <w:r>
        <w:rPr>
          <w:rStyle w:val="NormalTok"/>
        </w:rPr>
        <w:t xml:space="preserve"> </w:t>
      </w:r>
      <w:r>
        <w:rPr>
          <w:rStyle w:val="StringTok"/>
        </w:rPr>
        <w:t xml:space="preserve">"evd_01J9ZQ9ABC"</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"9d3f…a5d7f9"</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"environment"</w:t>
      </w:r>
      <w:r>
        <w:rPr>
          <w:rStyle w:val="FunctionTok"/>
        </w:rPr>
        <w:t xml:space="preserve">:</w:t>
      </w:r>
      <w:r>
        <w:rPr>
          <w:rStyle w:val="NormalTok"/>
        </w:rPr>
        <w:t xml:space="preserve"> </w:t>
      </w:r>
      <w:r>
        <w:rPr>
          <w:rStyle w:val="StringTok"/>
        </w:rPr>
        <w:t xml:space="preserve">"PRODUCTION"</w:t>
      </w:r>
      <w:r>
        <w:rPr>
          <w:rStyle w:val="FunctionTok"/>
        </w:rPr>
        <w:t xml:space="preserve">}}</w:t>
      </w:r>
    </w:p>
    <w:p>
      <w:pPr>
        <w:pStyle w:val="FirstParagraph"/>
      </w:pPr>
      <w:r>
        <w:rPr>
          <w:bCs/>
          <w:b/>
        </w:rPr>
        <w:t xml:space="preserve">A.2</w:t>
      </w:r>
      <w:r>
        <w:rPr>
          <w:bCs/>
          <w:b/>
        </w:rPr>
        <w:t xml:space="preserve"> </w:t>
      </w:r>
      <w:r>
        <w:rPr>
          <w:rStyle w:val="VerbatimChar"/>
          <w:bCs/>
          <w:b/>
        </w:rPr>
        <w:t xml:space="preserve">CollateralPledgeCreated</w:t>
      </w:r>
      <w:r>
        <w:rPr>
          <w:bCs/>
          <w:b/>
        </w:rPr>
        <w:t xml:space="preserve"> </w:t>
      </w:r>
      <w:r>
        <w:rPr>
          <w:bCs/>
          <w:b/>
        </w:rPr>
        <w:t xml:space="preserve">for LAS (Finbyx → Udofin)</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"urn:infrabyx:finbyx:ten_01J8Y2M0PQ"</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"in.infrabyx.collateral.CollateralPledgeCreated.v1"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"col_01J9ZTR5KQ2M"</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"LAS"</w:t>
      </w:r>
      <w:r>
        <w:rPr>
          <w:rStyle w:val="FunctionTok"/>
        </w:rPr>
        <w:t xml:space="preserve">,</w:t>
      </w:r>
      <w:r>
        <w:rPr>
          <w:rStyle w:val="NormalTok"/>
        </w:rPr>
        <w:t xml:space="preserve"> </w:t>
      </w:r>
      <w:r>
        <w:rPr>
          <w:rStyle w:val="DataTypeTok"/>
        </w:rPr>
        <w:t xml:space="preserve">"consentref"</w:t>
      </w:r>
      <w:r>
        <w:rPr>
          <w:rStyle w:val="FunctionTok"/>
        </w:rPr>
        <w:t xml:space="preserve">:</w:t>
      </w:r>
      <w:r>
        <w:rPr>
          <w:rStyle w:val="NormalTok"/>
        </w:rPr>
        <w:t xml:space="preserve"> </w:t>
      </w:r>
      <w:r>
        <w:rPr>
          <w:rStyle w:val="StringTok"/>
        </w:rPr>
        <w:t xml:space="preserve">"cns_01J9ZT90QW"</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"FINANCIAL"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3</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"pledge_request_id"</w:t>
      </w:r>
      <w:r>
        <w:rPr>
          <w:rStyle w:val="FunctionTok"/>
        </w:rPr>
        <w:t xml:space="preserve">:</w:t>
      </w:r>
      <w:r>
        <w:rPr>
          <w:rStyle w:val="NormalTok"/>
        </w:rPr>
        <w:t xml:space="preserve"> </w:t>
      </w:r>
      <w:r>
        <w:rPr>
          <w:rStyle w:val="StringTok"/>
        </w:rPr>
        <w:t xml:space="preserve">"plr_01J9ZTQ0HH"</w:t>
      </w:r>
      <w:r>
        <w:rPr>
          <w:rStyle w:val="FunctionTok"/>
        </w:rPr>
        <w:t xml:space="preserve">,</w:t>
      </w:r>
      <w:r>
        <w:rPr>
          <w:rStyle w:val="NormalTok"/>
        </w:rPr>
        <w:t xml:space="preserve"> </w:t>
      </w:r>
      <w:r>
        <w:rPr>
          <w:rStyle w:val="DataTypeTok"/>
        </w:rPr>
        <w:t xml:space="preserve">"application_id"</w:t>
      </w:r>
      <w:r>
        <w:rPr>
          <w:rStyle w:val="FunctionTok"/>
        </w:rPr>
        <w:t xml:space="preserve">:</w:t>
      </w:r>
      <w:r>
        <w:rPr>
          <w:rStyle w:val="NormalTok"/>
        </w:rPr>
        <w:t xml:space="preserve"> </w:t>
      </w:r>
      <w:r>
        <w:rPr>
          <w:rStyle w:val="StringTok"/>
        </w:rPr>
        <w:t xml:space="preserve">"app_01J9ZT8P1A2B"</w:t>
      </w:r>
      <w:r>
        <w:rPr>
          <w:rStyle w:val="FunctionTok"/>
        </w:rPr>
        <w:t xml:space="preserve">,</w:t>
      </w:r>
      <w:r>
        <w:rPr>
          <w:rStyle w:val="NormalTok"/>
        </w:rPr>
        <w:t xml:space="preserve"> </w:t>
      </w:r>
      <w:r>
        <w:rPr>
          <w:rStyle w:val="DataTypeTok"/>
        </w:rPr>
        <w:t xml:space="preserve">"collateral_type"</w:t>
      </w:r>
      <w:r>
        <w:rPr>
          <w:rStyle w:val="FunctionTok"/>
        </w:rPr>
        <w:t xml:space="preserve">:</w:t>
      </w:r>
      <w:r>
        <w:rPr>
          <w:rStyle w:val="NormalTok"/>
        </w:rPr>
        <w:t xml:space="preserve"> </w:t>
      </w:r>
      <w:r>
        <w:rPr>
          <w:rStyle w:val="StringTok"/>
        </w:rPr>
        <w:t xml:space="preserve">"LISTED_SHARE_DEMAT"</w:t>
      </w:r>
      <w:r>
        <w:rPr>
          <w:rStyle w:val="FunctionTok"/>
        </w:rPr>
        <w:t xml:space="preserve">,</w:t>
      </w:r>
      <w:r>
        <w:br/>
      </w:r>
      <w:r>
        <w:rPr>
          <w:rStyle w:val="NormalTok"/>
        </w:rPr>
        <w:t xml:space="preserve">  </w:t>
      </w:r>
      <w:r>
        <w:rPr>
          <w:rStyle w:val="DataTypeTok"/>
        </w:rPr>
        <w:t xml:space="preserve">"provider"</w:t>
      </w:r>
      <w:r>
        <w:rPr>
          <w:rStyle w:val="FunctionTok"/>
        </w:rPr>
        <w:t xml:space="preserve">:</w:t>
      </w:r>
      <w:r>
        <w:rPr>
          <w:rStyle w:val="NormalTok"/>
        </w:rPr>
        <w:t xml:space="preserve"> </w:t>
      </w:r>
      <w:r>
        <w:rPr>
          <w:rStyle w:val="StringTok"/>
        </w:rPr>
        <w:t xml:space="preserve">"CDSL"</w:t>
      </w:r>
      <w:r>
        <w:rPr>
          <w:rStyle w:val="FunctionTok"/>
        </w:rPr>
        <w:t xml:space="preserve">,</w:t>
      </w:r>
      <w:r>
        <w:rPr>
          <w:rStyle w:val="NormalTok"/>
        </w:rPr>
        <w:t xml:space="preserve"> </w:t>
      </w:r>
      <w:r>
        <w:rPr>
          <w:rStyle w:val="DataTypeTok"/>
        </w:rPr>
        <w:t xml:space="preserve">"pledge_ref"</w:t>
      </w:r>
      <w:r>
        <w:rPr>
          <w:rStyle w:val="FunctionTok"/>
        </w:rPr>
        <w:t xml:space="preserve">:</w:t>
      </w:r>
      <w:r>
        <w:rPr>
          <w:rStyle w:val="NormalTok"/>
        </w:rPr>
        <w:t xml:space="preserve"> </w:t>
      </w:r>
      <w:r>
        <w:rPr>
          <w:rStyle w:val="StringTok"/>
        </w:rPr>
        <w:t xml:space="preserve">"PLG-2026101900045871"</w:t>
      </w:r>
      <w:r>
        <w:rPr>
          <w:rStyle w:val="FunctionTok"/>
        </w:rPr>
        <w:t xml:space="preserve">,</w:t>
      </w:r>
      <w:r>
        <w:rPr>
          <w:rStyle w:val="NormalTok"/>
        </w:rPr>
        <w:t xml:space="preserve"> </w:t>
      </w:r>
      <w:r>
        <w:rPr>
          <w:rStyle w:val="DataTypeTok"/>
        </w:rPr>
        <w:t xml:space="preserve">"pledgor_boid_token"</w:t>
      </w:r>
      <w:r>
        <w:rPr>
          <w:rStyle w:val="FunctionTok"/>
        </w:rPr>
        <w:t xml:space="preserve">:</w:t>
      </w:r>
      <w:r>
        <w:rPr>
          <w:rStyle w:val="NormalTok"/>
        </w:rPr>
        <w:t xml:space="preserve"> </w:t>
      </w:r>
      <w:r>
        <w:rPr>
          <w:rStyle w:val="StringTok"/>
        </w:rPr>
        <w:t xml:space="preserve">"tok_boid_44a1c0"</w:t>
      </w:r>
      <w:r>
        <w:rPr>
          <w:rStyle w:val="FunctionTok"/>
        </w:rPr>
        <w:t xml:space="preserve">,</w:t>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"CONFIRMED"</w:t>
      </w:r>
      <w:r>
        <w:rPr>
          <w:rStyle w:val="FunctionTok"/>
        </w:rPr>
        <w:t xml:space="preserve">,</w:t>
      </w:r>
      <w:r>
        <w:br/>
      </w:r>
      <w:r>
        <w:rPr>
          <w:rStyle w:val="NormalTok"/>
        </w:rPr>
        <w:t xml:space="preserve">  </w:t>
      </w:r>
      <w:r>
        <w:rPr>
          <w:rStyle w:val="DataTypeTok"/>
        </w:rPr>
        <w:t xml:space="preserve">"securities"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"isin"</w:t>
      </w:r>
      <w:r>
        <w:rPr>
          <w:rStyle w:val="FunctionTok"/>
        </w:rPr>
        <w:t xml:space="preserve">:</w:t>
      </w:r>
      <w:r>
        <w:rPr>
          <w:rStyle w:val="NormalTok"/>
        </w:rPr>
        <w:t xml:space="preserve"> </w:t>
      </w:r>
      <w:r>
        <w:rPr>
          <w:rStyle w:val="StringTok"/>
        </w:rPr>
        <w:t xml:space="preserve">"INE000A01019"</w:t>
      </w:r>
      <w:r>
        <w:rPr>
          <w:rStyle w:val="FunctionTok"/>
        </w:rPr>
        <w:t xml:space="preserve">,</w:t>
      </w:r>
      <w:r>
        <w:rPr>
          <w:rStyle w:val="NormalTok"/>
        </w:rPr>
        <w:t xml:space="preserve"> </w:t>
      </w:r>
      <w:r>
        <w:rPr>
          <w:rStyle w:val="DataTypeTok"/>
        </w:rPr>
        <w:t xml:space="preserve">"units"</w:t>
      </w:r>
      <w:r>
        <w:rPr>
          <w:rStyle w:val="FunctionTok"/>
        </w:rPr>
        <w:t xml:space="preserve">:</w:t>
      </w:r>
      <w:r>
        <w:rPr>
          <w:rStyle w:val="NormalTok"/>
        </w:rPr>
        <w:t xml:space="preserve"> </w:t>
      </w:r>
      <w:r>
        <w:rPr>
          <w:rStyle w:val="StringTok"/>
        </w:rPr>
        <w:t xml:space="preserve">"1200"</w:t>
      </w:r>
      <w:r>
        <w:rPr>
          <w:rStyle w:val="FunctionTok"/>
        </w:rPr>
        <w:t xml:space="preserve">,</w:t>
      </w:r>
      <w:r>
        <w:rPr>
          <w:rStyle w:val="NormalTok"/>
        </w:rPr>
        <w:t xml:space="preserve"> </w:t>
      </w:r>
      <w:r>
        <w:rPr>
          <w:rStyle w:val="DataTypeTok"/>
        </w:rPr>
        <w:t xml:space="preserve">"price"</w:t>
      </w:r>
      <w:r>
        <w:rPr>
          <w:rStyle w:val="FunctionTok"/>
        </w:rPr>
        <w:t xml:space="preserve">:</w:t>
      </w:r>
      <w:r>
        <w:rPr>
          <w:rStyle w:val="NormalTok"/>
        </w:rPr>
        <w:t xml:space="preserve"> </w:t>
      </w:r>
      <w:r>
        <w:rPr>
          <w:rStyle w:val="StringTok"/>
        </w:rPr>
        <w:t xml:space="preserve">"1530.25"</w:t>
      </w:r>
      <w:r>
        <w:rPr>
          <w:rStyle w:val="FunctionTok"/>
        </w:rPr>
        <w:t xml:space="preserve">,</w:t>
      </w:r>
      <w:r>
        <w:rPr>
          <w:rStyle w:val="NormalTok"/>
        </w:rPr>
        <w:t xml:space="preserve"> </w:t>
      </w:r>
      <w:r>
        <w:rPr>
          <w:rStyle w:val="DataTypeTok"/>
        </w:rPr>
        <w:t xml:space="preserve">"price_source"</w:t>
      </w:r>
      <w:r>
        <w:rPr>
          <w:rStyle w:val="FunctionTok"/>
        </w:rPr>
        <w:t xml:space="preserve">:</w:t>
      </w:r>
      <w:r>
        <w:rPr>
          <w:rStyle w:val="NormalTok"/>
        </w:rPr>
        <w:t xml:space="preserve"> </w:t>
      </w:r>
      <w:r>
        <w:rPr>
          <w:rStyle w:val="StringTok"/>
        </w:rPr>
        <w:t xml:space="preserve">"NSE_BHAVCOPY"</w:t>
      </w:r>
      <w:r>
        <w:rPr>
          <w:rStyle w:val="FunctionTok"/>
        </w:rPr>
        <w:t xml:space="preserve">,</w:t>
      </w:r>
      <w:r>
        <w:br/>
      </w:r>
      <w:r>
        <w:rPr>
          <w:rStyle w:val="NormalTok"/>
        </w:rPr>
        <w:t xml:space="preserve">    </w:t>
      </w:r>
      <w:r>
        <w:rPr>
          <w:rStyle w:val="DataTypeTok"/>
        </w:rPr>
        <w:t xml:space="preserve">"price_as_of"</w:t>
      </w:r>
      <w:r>
        <w:rPr>
          <w:rStyle w:val="FunctionTok"/>
        </w:rPr>
        <w:t xml:space="preserve">:</w:t>
      </w:r>
      <w:r>
        <w:rPr>
          <w:rStyle w:val="NormalTok"/>
        </w:rPr>
        <w:t xml:space="preserve"> </w:t>
      </w:r>
      <w:r>
        <w:rPr>
          <w:rStyle w:val="StringTok"/>
        </w:rPr>
        <w:t xml:space="preserve">"2026-10-16"</w:t>
      </w:r>
      <w:r>
        <w:rPr>
          <w:rStyle w:val="FunctionTok"/>
        </w:rPr>
        <w:t xml:space="preserve">,</w:t>
      </w:r>
      <w:r>
        <w:rPr>
          <w:rStyle w:val="NormalTok"/>
        </w:rPr>
        <w:t xml:space="preserve"> </w:t>
      </w:r>
      <w:r>
        <w:rPr>
          <w:rStyle w:val="DataTypeTok"/>
        </w:rPr>
        <w:t xml:space="preserve">"haircut_pct"</w:t>
      </w:r>
      <w:r>
        <w:rPr>
          <w:rStyle w:val="FunctionTok"/>
        </w:rPr>
        <w:t xml:space="preserve">:</w:t>
      </w:r>
      <w:r>
        <w:rPr>
          <w:rStyle w:val="NormalTok"/>
        </w:rPr>
        <w:t xml:space="preserve"> </w:t>
      </w:r>
      <w:r>
        <w:rPr>
          <w:rStyle w:val="StringTok"/>
        </w:rPr>
        <w:t xml:space="preserve">"50.00"</w:t>
      </w:r>
      <w:r>
        <w:rPr>
          <w:rStyle w:val="FunctionTok"/>
        </w:rPr>
        <w:t xml:space="preserve">,</w:t>
      </w:r>
      <w:r>
        <w:rPr>
          <w:rStyle w:val="NormalTok"/>
        </w:rPr>
        <w:t xml:space="preserve"> </w:t>
      </w:r>
      <w:r>
        <w:rPr>
          <w:rStyle w:val="DataTypeTok"/>
        </w:rPr>
        <w:t xml:space="preserve">"eligible_value"</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"918150.00"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"haircut_table_version"</w:t>
      </w:r>
      <w:r>
        <w:rPr>
          <w:rStyle w:val="FunctionTok"/>
        </w:rPr>
        <w:t xml:space="preserve">:</w:t>
      </w:r>
      <w:r>
        <w:rPr>
          <w:rStyle w:val="NormalTok"/>
        </w:rPr>
        <w:t xml:space="preserve"> </w:t>
      </w:r>
      <w:r>
        <w:rPr>
          <w:rStyle w:val="StringTok"/>
        </w:rPr>
        <w:t xml:space="preserve">"LAS-HC-2026.10.1"</w:t>
      </w:r>
      <w:r>
        <w:rPr>
          <w:rStyle w:val="FunctionTok"/>
        </w:rPr>
        <w:t xml:space="preserve">,</w:t>
      </w:r>
      <w:r>
        <w:rPr>
          <w:rStyle w:val="NormalTok"/>
        </w:rPr>
        <w:t xml:space="preserve"> </w:t>
      </w:r>
      <w:r>
        <w:rPr>
          <w:rStyle w:val="DataTypeTok"/>
        </w:rPr>
        <w:t xml:space="preserve">"regulatory_basis"</w:t>
      </w:r>
      <w:r>
        <w:rPr>
          <w:rStyle w:val="FunctionTok"/>
        </w:rPr>
        <w:t xml:space="preserve">:</w:t>
      </w:r>
      <w:r>
        <w:rPr>
          <w:rStyle w:val="NormalTok"/>
        </w:rPr>
        <w:t xml:space="preserve"> </w:t>
      </w:r>
      <w:r>
        <w:rPr>
          <w:rStyle w:val="StringTok"/>
        </w:rPr>
        <w:t xml:space="preserve">"CF para 106(1)"</w:t>
      </w:r>
      <w:r>
        <w:rPr>
          <w:rStyle w:val="FunctionTok"/>
        </w:rPr>
        <w:t xml:space="preserve">,</w:t>
      </w:r>
      <w:r>
        <w:br/>
      </w:r>
      <w:r>
        <w:rPr>
          <w:rStyle w:val="NormalTok"/>
        </w:rPr>
        <w:t xml:space="preserve">  </w:t>
      </w:r>
      <w:r>
        <w:rPr>
          <w:rStyle w:val="DataTypeTok"/>
        </w:rPr>
        <w:t xml:space="preserve">"confirmed_at"</w:t>
      </w:r>
      <w:r>
        <w:rPr>
          <w:rStyle w:val="FunctionTok"/>
        </w:rPr>
        <w:t xml:space="preserve">:</w:t>
      </w:r>
      <w:r>
        <w:rPr>
          <w:rStyle w:val="NormalTok"/>
        </w:rPr>
        <w:t xml:space="preserve"> </w:t>
      </w:r>
      <w:r>
        <w:rPr>
          <w:rStyle w:val="StringTok"/>
        </w:rPr>
        <w:t xml:space="preserve">"2026-10-19T15:07:58+05:30"</w:t>
      </w:r>
      <w:r>
        <w:rPr>
          <w:rStyle w:val="FunctionTok"/>
        </w:rPr>
        <w:t xml:space="preserve">,</w:t>
      </w:r>
      <w:r>
        <w:rPr>
          <w:rStyle w:val="NormalTok"/>
        </w:rPr>
        <w:t xml:space="preserve"> </w:t>
      </w:r>
      <w:r>
        <w:rPr>
          <w:rStyle w:val="DataTypeTok"/>
        </w:rPr>
        <w:t xml:space="preserve">"provider_evidence"</w:t>
      </w:r>
      <w:r>
        <w:rPr>
          <w:rStyle w:val="FunctionTok"/>
        </w:rPr>
        <w:t xml:space="preserve">:</w:t>
      </w:r>
      <w:r>
        <w:rPr>
          <w:rStyle w:val="NormalTok"/>
        </w:rPr>
        <w:t xml:space="preserve"> </w:t>
      </w:r>
      <w:r>
        <w:rPr>
          <w:rStyle w:val="FunctionTok"/>
        </w:rPr>
        <w:t xml:space="preserve">{</w:t>
      </w:r>
      <w:r>
        <w:rPr>
          <w:rStyle w:val="DataTypeTok"/>
        </w:rPr>
        <w:t xml:space="preserve">"provider_txn_id"</w:t>
      </w:r>
      <w:r>
        <w:rPr>
          <w:rStyle w:val="FunctionTok"/>
        </w:rPr>
        <w:t xml:space="preserve">:</w:t>
      </w:r>
      <w:r>
        <w:rPr>
          <w:rStyle w:val="NormalTok"/>
        </w:rPr>
        <w:t xml:space="preserve"> </w:t>
      </w:r>
      <w:r>
        <w:rPr>
          <w:rStyle w:val="StringTok"/>
        </w:rPr>
        <w:t xml:space="preserve">"CDSL-LAS-7781202"</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"e3b0…b855"</w:t>
      </w:r>
      <w:r>
        <w:rPr>
          <w:rStyle w:val="FunctionTok"/>
        </w:rPr>
        <w:t xml:space="preserve">},</w:t>
      </w:r>
      <w:r>
        <w:br/>
      </w:r>
      <w:r>
        <w:rPr>
          <w:rStyle w:val="NormalTok"/>
        </w:rPr>
        <w:t xml:space="preserve">  </w:t>
      </w:r>
      <w:r>
        <w:rPr>
          <w:rStyle w:val="DataTypeTok"/>
        </w:rPr>
        <w:t xml:space="preserve">"disbursement_gate_satisfied"</w:t>
      </w:r>
      <w:r>
        <w:rPr>
          <w:rStyle w:val="FunctionTok"/>
        </w:rPr>
        <w:t xml:space="preserve">:</w:t>
      </w:r>
      <w:r>
        <w:rPr>
          <w:rStyle w:val="NormalTok"/>
        </w:rPr>
        <w:t xml:space="preserve"> </w:t>
      </w:r>
      <w:r>
        <w:rPr>
          <w:rStyle w:val="KeywordTok"/>
        </w:rPr>
        <w:t xml:space="preserve">true</w:t>
      </w:r>
      <w:r>
        <w:rPr>
          <w:rStyle w:val="FunctionTok"/>
        </w:rPr>
        <w:t xml:space="preserve">}}</w:t>
      </w:r>
    </w:p>
    <w:p>
      <w:pPr>
        <w:pStyle w:val="FirstParagraph"/>
      </w:pPr>
      <w:r>
        <w:rPr>
          <w:bCs/>
          <w:b/>
        </w:rPr>
        <w:t xml:space="preserve">A.3</w:t>
      </w:r>
      <w:r>
        <w:rPr>
          <w:bCs/>
          <w:b/>
        </w:rPr>
        <w:t xml:space="preserve"> </w:t>
      </w:r>
      <w:r>
        <w:rPr>
          <w:rStyle w:val="VerbatimChar"/>
          <w:bCs/>
          <w:b/>
        </w:rPr>
        <w:t xml:space="preserve">LegalNoticeIssued</w:t>
      </w:r>
      <w:r>
        <w:rPr>
          <w:bCs/>
          <w:b/>
        </w:rPr>
        <w:t xml:space="preserve"> </w:t>
      </w:r>
      <w:r>
        <w:rPr>
          <w:bCs/>
          <w:b/>
        </w:rPr>
        <w:t xml:space="preserve">(Recovery Suite → dispatch adapters)</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"in.infrabyx.recovery.LegalNoticeIssued.v1"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"rc_01J9ZW1F4K7P"</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"LAP"</w:t>
      </w:r>
      <w:r>
        <w:rPr>
          <w:rStyle w:val="FunctionTok"/>
        </w:rPr>
        <w:t xml:space="preserve">,</w:t>
      </w:r>
      <w:r>
        <w:br/>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7</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"notice_id"</w:t>
      </w:r>
      <w:r>
        <w:rPr>
          <w:rStyle w:val="FunctionTok"/>
        </w:rPr>
        <w:t xml:space="preserve">:</w:t>
      </w:r>
      <w:r>
        <w:rPr>
          <w:rStyle w:val="NormalTok"/>
        </w:rPr>
        <w:t xml:space="preserve"> </w:t>
      </w:r>
      <w:r>
        <w:rPr>
          <w:rStyle w:val="StringTok"/>
        </w:rPr>
        <w:t xml:space="preserve">"ntc_01J9ZW8Q2R5T"</w:t>
      </w:r>
      <w:r>
        <w:rPr>
          <w:rStyle w:val="FunctionTok"/>
        </w:rPr>
        <w:t xml:space="preserve">,</w:t>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StringTok"/>
        </w:rPr>
        <w:t xml:space="preserve">"S13_2"</w:t>
      </w:r>
      <w:r>
        <w:rPr>
          <w:rStyle w:val="FunctionTok"/>
        </w:rPr>
        <w:t xml:space="preserve">,</w:t>
      </w:r>
      <w:r>
        <w:br/>
      </w:r>
      <w:r>
        <w:rPr>
          <w:rStyle w:val="NormalTok"/>
        </w:rPr>
        <w:t xml:space="preserve">  </w:t>
      </w:r>
      <w:r>
        <w:rPr>
          <w:rStyle w:val="DataTypeTok"/>
        </w:rPr>
        <w:t xml:space="preserve">"statute_ref"</w:t>
      </w:r>
      <w:r>
        <w:rPr>
          <w:rStyle w:val="FunctionTok"/>
        </w:rPr>
        <w:t xml:space="preserve">:</w:t>
      </w:r>
      <w:r>
        <w:rPr>
          <w:rStyle w:val="NormalTok"/>
        </w:rPr>
        <w:t xml:space="preserve"> </w:t>
      </w:r>
      <w:r>
        <w:rPr>
          <w:rStyle w:val="StringTok"/>
        </w:rPr>
        <w:t xml:space="preserve">"SARFAESI Act s.13(2); Security Interest (Enforcement) Rules r.3"</w:t>
      </w:r>
      <w:r>
        <w:rPr>
          <w:rStyle w:val="FunctionTok"/>
        </w:rPr>
        <w:t xml:space="preserve">,</w:t>
      </w:r>
      <w:r>
        <w:br/>
      </w:r>
      <w:r>
        <w:rPr>
          <w:rStyle w:val="NormalTok"/>
        </w:rPr>
        <w:t xml:space="preserve">  </w:t>
      </w:r>
      <w:r>
        <w:rPr>
          <w:rStyle w:val="DataTypeTok"/>
        </w:rPr>
        <w:t xml:space="preserve">"eligibility_checks"</w:t>
      </w:r>
      <w:r>
        <w:rPr>
          <w:rStyle w:val="FunctionTok"/>
        </w:rPr>
        <w:t xml:space="preserve">:</w:t>
      </w:r>
      <w:r>
        <w:rPr>
          <w:rStyle w:val="NormalTok"/>
        </w:rPr>
        <w:t xml:space="preserve"> </w:t>
      </w:r>
      <w:r>
        <w:rPr>
          <w:rStyle w:val="FunctionTok"/>
        </w:rPr>
        <w:t xml:space="preserve">{</w:t>
      </w:r>
      <w:r>
        <w:rPr>
          <w:rStyle w:val="DataTypeTok"/>
        </w:rPr>
        <w:t xml:space="preserve">"sarfaesi_notified"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"cersai_ref"</w:t>
      </w:r>
      <w:r>
        <w:rPr>
          <w:rStyle w:val="FunctionTok"/>
        </w:rPr>
        <w:t xml:space="preserve">:</w:t>
      </w:r>
      <w:r>
        <w:rPr>
          <w:rStyle w:val="NormalTok"/>
        </w:rPr>
        <w:t xml:space="preserve"> </w:t>
      </w:r>
      <w:r>
        <w:rPr>
          <w:rStyle w:val="StringTok"/>
        </w:rPr>
        <w:t xml:space="preserve">"CERSAI-SI-400012345678"</w:t>
      </w:r>
      <w:r>
        <w:rPr>
          <w:rStyle w:val="FunctionTok"/>
        </w:rPr>
        <w:t xml:space="preserve">,</w:t>
      </w:r>
      <w:r>
        <w:rPr>
          <w:rStyle w:val="NormalTok"/>
        </w:rPr>
        <w:t xml:space="preserve"> </w:t>
      </w:r>
      <w:r>
        <w:rPr>
          <w:rStyle w:val="DataTypeTok"/>
        </w:rPr>
        <w:t xml:space="preserve">"time_barred"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"template"</w:t>
      </w:r>
      <w:r>
        <w:rPr>
          <w:rStyle w:val="FunctionTok"/>
        </w:rPr>
        <w:t xml:space="preserve">:</w:t>
      </w:r>
      <w:r>
        <w:rPr>
          <w:rStyle w:val="NormalTok"/>
        </w:rPr>
        <w:t xml:space="preserve"> </w:t>
      </w:r>
      <w:r>
        <w:rPr>
          <w:rStyle w:val="FunctionTok"/>
        </w:rPr>
        <w:t xml:space="preserve">{</w:t>
      </w:r>
      <w:r>
        <w:rPr>
          <w:rStyle w:val="DataTypeTok"/>
        </w:rPr>
        <w:t xml:space="preserve">"template_id"</w:t>
      </w:r>
      <w:r>
        <w:rPr>
          <w:rStyle w:val="FunctionTok"/>
        </w:rPr>
        <w:t xml:space="preserve">:</w:t>
      </w:r>
      <w:r>
        <w:rPr>
          <w:rStyle w:val="NormalTok"/>
        </w:rPr>
        <w:t xml:space="preserve"> </w:t>
      </w:r>
      <w:r>
        <w:rPr>
          <w:rStyle w:val="StringTok"/>
        </w:rPr>
        <w:t xml:space="preserve">"tpl_s13_2"</w:t>
      </w:r>
      <w:r>
        <w:rPr>
          <w:rStyle w:val="FunctionTok"/>
        </w:rPr>
        <w:t xml:space="preserve">,</w:t>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"3.1.0"</w:t>
      </w:r>
      <w:r>
        <w:rPr>
          <w:rStyle w:val="FunctionTok"/>
        </w:rPr>
        <w:t xml:space="preserve">},</w:t>
      </w:r>
      <w:r>
        <w:br/>
      </w:r>
      <w:r>
        <w:rPr>
          <w:rStyle w:val="NormalTok"/>
        </w:rPr>
        <w:t xml:space="preserve">  </w:t>
      </w:r>
      <w:r>
        <w:rPr>
          <w:rStyle w:val="DataTypeTok"/>
        </w:rPr>
        <w:t xml:space="preserve">"addressees"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"party_ref"</w:t>
      </w:r>
      <w:r>
        <w:rPr>
          <w:rStyle w:val="FunctionTok"/>
        </w:rPr>
        <w:t xml:space="preserve">:</w:t>
      </w:r>
      <w:r>
        <w:rPr>
          <w:rStyle w:val="NormalTok"/>
        </w:rPr>
        <w:t xml:space="preserve"> </w:t>
      </w:r>
      <w:r>
        <w:rPr>
          <w:rStyle w:val="StringTok"/>
        </w:rPr>
        <w:t xml:space="preserve">"pty_fx_01J7MORTGAGOR"</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"BORROWER"</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"dues_snapshot"</w:t>
      </w:r>
      <w:r>
        <w:rPr>
          <w:rStyle w:val="FunctionTok"/>
        </w:rPr>
        <w:t xml:space="preserve">:</w:t>
      </w:r>
      <w:r>
        <w:rPr>
          <w:rStyle w:val="NormalTok"/>
        </w:rPr>
        <w:t xml:space="preserve"> </w:t>
      </w:r>
      <w:r>
        <w:rPr>
          <w:rStyle w:val="FunctionTok"/>
        </w:rPr>
        <w:t xml:space="preserve">{</w:t>
      </w:r>
      <w:r>
        <w:rPr>
          <w:rStyle w:val="DataTypeTok"/>
        </w:rPr>
        <w:t xml:space="preserve">"as_of"</w:t>
      </w:r>
      <w:r>
        <w:rPr>
          <w:rStyle w:val="FunctionTok"/>
        </w:rPr>
        <w:t xml:space="preserve">:</w:t>
      </w:r>
      <w:r>
        <w:rPr>
          <w:rStyle w:val="NormalTok"/>
        </w:rPr>
        <w:t xml:space="preserve"> </w:t>
      </w:r>
      <w:r>
        <w:rPr>
          <w:rStyle w:val="StringTok"/>
        </w:rPr>
        <w:t xml:space="preserve">"2026-10-19"</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"3710810.40"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"cure_period_days"</w:t>
      </w:r>
      <w:r>
        <w:rPr>
          <w:rStyle w:val="FunctionTok"/>
        </w:rPr>
        <w:t xml:space="preserve">:</w:t>
      </w:r>
      <w:r>
        <w:rPr>
          <w:rStyle w:val="NormalTok"/>
        </w:rPr>
        <w:t xml:space="preserve"> </w:t>
      </w:r>
      <w:r>
        <w:rPr>
          <w:rStyle w:val="DecValTok"/>
        </w:rPr>
        <w:t xml:space="preserve">60</w:t>
      </w:r>
      <w:r>
        <w:rPr>
          <w:rStyle w:val="FunctionTok"/>
        </w:rPr>
        <w:t xml:space="preserve">,</w:t>
      </w:r>
      <w:r>
        <w:br/>
      </w:r>
      <w:r>
        <w:rPr>
          <w:rStyle w:val="NormalTok"/>
        </w:rPr>
        <w:t xml:space="preserve">  </w:t>
      </w:r>
      <w:r>
        <w:rPr>
          <w:rStyle w:val="DataTypeTok"/>
        </w:rPr>
        <w:t xml:space="preserve">"document"</w:t>
      </w:r>
      <w:r>
        <w:rPr>
          <w:rStyle w:val="FunctionTok"/>
        </w:rPr>
        <w:t xml:space="preserve">:</w:t>
      </w:r>
      <w:r>
        <w:rPr>
          <w:rStyle w:val="NormalTok"/>
        </w:rPr>
        <w:t xml:space="preserve"> </w:t>
      </w:r>
      <w:r>
        <w:rPr>
          <w:rStyle w:val="FunctionTok"/>
        </w:rPr>
        <w:t xml:space="preserve">{</w:t>
      </w:r>
      <w:r>
        <w:rPr>
          <w:rStyle w:val="DataTypeTok"/>
        </w:rPr>
        <w:t xml:space="preserve">"document_id"</w:t>
      </w:r>
      <w:r>
        <w:rPr>
          <w:rStyle w:val="FunctionTok"/>
        </w:rPr>
        <w:t xml:space="preserve">:</w:t>
      </w:r>
      <w:r>
        <w:rPr>
          <w:rStyle w:val="NormalTok"/>
        </w:rPr>
        <w:t xml:space="preserve"> </w:t>
      </w:r>
      <w:r>
        <w:rPr>
          <w:rStyle w:val="StringTok"/>
        </w:rPr>
        <w:t xml:space="preserve">"doc_01J9ZW8Z0Y"</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"4f2a…4f6a"</w:t>
      </w:r>
      <w:r>
        <w:rPr>
          <w:rStyle w:val="FunctionTok"/>
        </w:rPr>
        <w:t xml:space="preserve">,</w:t>
      </w:r>
      <w:r>
        <w:rPr>
          <w:rStyle w:val="NormalTok"/>
        </w:rPr>
        <w:t xml:space="preserve"> </w:t>
      </w:r>
      <w:r>
        <w:rPr>
          <w:rStyle w:val="DataTypeTok"/>
        </w:rPr>
        <w:t xml:space="preserve">"pdfa"</w:t>
      </w:r>
      <w:r>
        <w:rPr>
          <w:rStyle w:val="FunctionTok"/>
        </w:rPr>
        <w:t xml:space="preserve">:</w:t>
      </w:r>
      <w:r>
        <w:rPr>
          <w:rStyle w:val="NormalTok"/>
        </w:rPr>
        <w:t xml:space="preserve"> </w:t>
      </w:r>
      <w:r>
        <w:rPr>
          <w:rStyle w:val="StringTok"/>
        </w:rPr>
        <w:t xml:space="preserve">"PDF/A-2b"</w:t>
      </w:r>
      <w:r>
        <w:rPr>
          <w:rStyle w:val="FunctionTok"/>
        </w:rPr>
        <w:t xml:space="preserve">},</w:t>
      </w:r>
      <w:r>
        <w:br/>
      </w:r>
      <w:r>
        <w:rPr>
          <w:rStyle w:val="NormalTok"/>
        </w:rPr>
        <w:t xml:space="preserve">  </w:t>
      </w:r>
      <w:r>
        <w:rPr>
          <w:rStyle w:val="DataTypeTok"/>
        </w:rPr>
        <w:t xml:space="preserve">"signer"</w:t>
      </w:r>
      <w:r>
        <w:rPr>
          <w:rStyle w:val="FunctionTok"/>
        </w:rPr>
        <w:t xml:space="preserve">:</w:t>
      </w:r>
      <w:r>
        <w:rPr>
          <w:rStyle w:val="NormalTok"/>
        </w:rPr>
        <w:t xml:space="preserve"> </w:t>
      </w:r>
      <w:r>
        <w:rPr>
          <w:rStyle w:val="FunctionTok"/>
        </w:rPr>
        <w:t xml:space="preserve">{</w:t>
      </w:r>
      <w:r>
        <w:rPr>
          <w:rStyle w:val="DataTypeTok"/>
        </w:rPr>
        <w:t xml:space="preserve">"role"</w:t>
      </w:r>
      <w:r>
        <w:rPr>
          <w:rStyle w:val="FunctionTok"/>
        </w:rPr>
        <w:t xml:space="preserve">:</w:t>
      </w:r>
      <w:r>
        <w:rPr>
          <w:rStyle w:val="NormalTok"/>
        </w:rPr>
        <w:t xml:space="preserve"> </w:t>
      </w:r>
      <w:r>
        <w:rPr>
          <w:rStyle w:val="StringTok"/>
        </w:rPr>
        <w:t xml:space="preserve">"AUTHORISED_OFFICER"</w:t>
      </w:r>
      <w:r>
        <w:rPr>
          <w:rStyle w:val="FunctionTok"/>
        </w:rPr>
        <w:t xml:space="preserve">,</w:t>
      </w:r>
      <w:r>
        <w:rPr>
          <w:rStyle w:val="NormalTok"/>
        </w:rPr>
        <w:t xml:space="preserve"> </w:t>
      </w:r>
      <w:r>
        <w:rPr>
          <w:rStyle w:val="DataTypeTok"/>
        </w:rPr>
        <w:t xml:space="preserve">"signature_type"</w:t>
      </w:r>
      <w:r>
        <w:rPr>
          <w:rStyle w:val="FunctionTok"/>
        </w:rPr>
        <w:t xml:space="preserve">:</w:t>
      </w:r>
      <w:r>
        <w:rPr>
          <w:rStyle w:val="NormalTok"/>
        </w:rPr>
        <w:t xml:space="preserve"> </w:t>
      </w:r>
      <w:r>
        <w:rPr>
          <w:rStyle w:val="StringTok"/>
        </w:rPr>
        <w:t xml:space="preserve">"DSC"</w:t>
      </w:r>
      <w:r>
        <w:rPr>
          <w:rStyle w:val="FunctionTok"/>
        </w:rPr>
        <w:t xml:space="preserve">},</w:t>
      </w:r>
      <w:r>
        <w:rPr>
          <w:rStyle w:val="NormalTok"/>
        </w:rPr>
        <w:t xml:space="preserve"> </w:t>
      </w:r>
      <w:r>
        <w:rPr>
          <w:rStyle w:val="DataTypeTok"/>
        </w:rPr>
        <w:t xml:space="preserve">"dispatch_modes"</w:t>
      </w:r>
      <w:r>
        <w:rPr>
          <w:rStyle w:val="FunctionTok"/>
        </w:rPr>
        <w:t xml:space="preserve">:</w:t>
      </w:r>
      <w:r>
        <w:rPr>
          <w:rStyle w:val="NormalTok"/>
        </w:rPr>
        <w:t xml:space="preserve"> </w:t>
      </w:r>
      <w:r>
        <w:rPr>
          <w:rStyle w:val="OtherTok"/>
        </w:rPr>
        <w:t xml:space="preserve">[</w:t>
      </w:r>
      <w:r>
        <w:rPr>
          <w:rStyle w:val="StringTok"/>
        </w:rPr>
        <w:t xml:space="preserve">"SPEED_POST_POD"</w:t>
      </w:r>
      <w:r>
        <w:rPr>
          <w:rStyle w:val="OtherTok"/>
        </w:rPr>
        <w:t xml:space="preserve">,</w:t>
      </w:r>
      <w:r>
        <w:rPr>
          <w:rStyle w:val="NormalTok"/>
        </w:rPr>
        <w:t xml:space="preserve"> </w:t>
      </w:r>
      <w:r>
        <w:rPr>
          <w:rStyle w:val="StringTok"/>
        </w:rPr>
        <w:t xml:space="preserve">"COURIER"</w:t>
      </w:r>
      <w:r>
        <w:rPr>
          <w:rStyle w:val="OtherTok"/>
        </w:rPr>
        <w:t xml:space="preserve">,</w:t>
      </w:r>
      <w:r>
        <w:rPr>
          <w:rStyle w:val="NormalTok"/>
        </w:rPr>
        <w:t xml:space="preserve"> </w:t>
      </w:r>
      <w:r>
        <w:rPr>
          <w:rStyle w:val="StringTok"/>
        </w:rPr>
        <w:t xml:space="preserve">"EMAIL"</w:t>
      </w:r>
      <w:r>
        <w:rPr>
          <w:rStyle w:val="OtherTok"/>
        </w:rPr>
        <w:t xml:space="preserve">]</w:t>
      </w:r>
      <w:r>
        <w:rPr>
          <w:rStyle w:val="FunctionTok"/>
        </w:rPr>
        <w:t xml:space="preserve">}}</w:t>
      </w:r>
    </w:p>
    <w:p>
      <w:pPr>
        <w:pStyle w:val="FirstParagraph"/>
      </w:pPr>
      <w:r>
        <w:rPr>
          <w:bCs/>
          <w:b/>
        </w:rPr>
        <w:t xml:space="preserve">A.4</w:t>
      </w:r>
      <w:r>
        <w:rPr>
          <w:bCs/>
          <w:b/>
        </w:rPr>
        <w:t xml:space="preserve"> </w:t>
      </w:r>
      <w:r>
        <w:rPr>
          <w:rStyle w:val="VerbatimChar"/>
          <w:bCs/>
          <w:b/>
        </w:rPr>
        <w:t xml:space="preserve">ADRReferralCreated</w:t>
      </w:r>
      <w:r>
        <w:rPr>
          <w:bCs/>
          <w:b/>
        </w:rPr>
        <w:t xml:space="preserve"> </w:t>
      </w:r>
      <w:r>
        <w:rPr>
          <w:bCs/>
          <w:b/>
        </w:rPr>
        <w:t xml:space="preserve">(Recovery Suite → Equator)</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"in.infrabyx.adr.ADRReferralCreated.v1"</w:t>
      </w:r>
      <w:r>
        <w:rPr>
          <w:rStyle w:val="FunctionTok"/>
        </w:rPr>
        <w:t xml:space="preserve">,</w:t>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"adrref_01J9ZX4M8N2Q"</w:t>
      </w:r>
      <w:r>
        <w:rPr>
          <w:rStyle w:val="FunctionTok"/>
        </w:rPr>
        <w:t xml:space="preserve">,</w:t>
      </w:r>
      <w:r>
        <w:rPr>
          <w:rStyle w:val="NormalTok"/>
        </w:rPr>
        <w:t xml:space="preserve"> </w:t>
      </w:r>
      <w:r>
        <w:rPr>
          <w:rStyle w:val="DataTypeTok"/>
        </w:rPr>
        <w:t xml:space="preserve">"productfamily"</w:t>
      </w:r>
      <w:r>
        <w:rPr>
          <w:rStyle w:val="FunctionTok"/>
        </w:rPr>
        <w:t xml:space="preserve">:</w:t>
      </w:r>
      <w:r>
        <w:rPr>
          <w:rStyle w:val="NormalTok"/>
        </w:rPr>
        <w:t xml:space="preserve"> </w:t>
      </w:r>
      <w:r>
        <w:rPr>
          <w:rStyle w:val="StringTok"/>
        </w:rPr>
        <w:t xml:space="preserve">"PL"</w:t>
      </w:r>
      <w:r>
        <w:rPr>
          <w:rStyle w:val="FunctionTok"/>
        </w:rPr>
        <w:t xml:space="preserve">,</w:t>
      </w:r>
      <w:r>
        <w:br/>
      </w:r>
      <w:r>
        <w:rPr>
          <w:rStyle w:val="NormalTok"/>
        </w:rPr>
        <w:t xml:space="preserve"> </w:t>
      </w:r>
      <w:r>
        <w:rPr>
          <w:rStyle w:val="DataTypeTok"/>
        </w:rPr>
        <w:t xml:space="preserve">"correlationid"</w:t>
      </w:r>
      <w:r>
        <w:rPr>
          <w:rStyle w:val="FunctionTok"/>
        </w:rPr>
        <w:t xml:space="preserve">:</w:t>
      </w:r>
      <w:r>
        <w:rPr>
          <w:rStyle w:val="NormalTok"/>
        </w:rPr>
        <w:t xml:space="preserve"> </w:t>
      </w:r>
      <w:r>
        <w:rPr>
          <w:rStyle w:val="StringTok"/>
        </w:rPr>
        <w:t xml:space="preserve">"rc_01J9ZX0A1B2C"</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"provider"</w:t>
      </w:r>
      <w:r>
        <w:rPr>
          <w:rStyle w:val="FunctionTok"/>
        </w:rPr>
        <w:t xml:space="preserve">:</w:t>
      </w:r>
      <w:r>
        <w:rPr>
          <w:rStyle w:val="NormalTok"/>
        </w:rPr>
        <w:t xml:space="preserve"> </w:t>
      </w:r>
      <w:r>
        <w:rPr>
          <w:rStyle w:val="StringTok"/>
        </w:rPr>
        <w:t xml:space="preserve">"EQUATOR"</w:t>
      </w:r>
      <w:r>
        <w:rPr>
          <w:rStyle w:val="FunctionTok"/>
        </w:rPr>
        <w:t xml:space="preserve">,</w:t>
      </w:r>
      <w:r>
        <w:rPr>
          <w:rStyle w:val="NormalTok"/>
        </w:rPr>
        <w:t xml:space="preserve"> </w:t>
      </w:r>
      <w:r>
        <w:rPr>
          <w:rStyle w:val="DataTypeTok"/>
        </w:rPr>
        <w:t xml:space="preserve">"process"</w:t>
      </w:r>
      <w:r>
        <w:rPr>
          <w:rStyle w:val="FunctionTok"/>
        </w:rPr>
        <w:t xml:space="preserve">:</w:t>
      </w:r>
      <w:r>
        <w:rPr>
          <w:rStyle w:val="NormalTok"/>
        </w:rPr>
        <w:t xml:space="preserve"> </w:t>
      </w:r>
      <w:r>
        <w:rPr>
          <w:rStyle w:val="StringTok"/>
        </w:rPr>
        <w:t xml:space="preserve">"CONCILIATION"</w:t>
      </w:r>
      <w:r>
        <w:rPr>
          <w:rStyle w:val="FunctionTok"/>
        </w:rPr>
        <w:t xml:space="preserve">,</w:t>
      </w:r>
      <w:r>
        <w:rPr>
          <w:rStyle w:val="NormalTok"/>
        </w:rPr>
        <w:t xml:space="preserve"> </w:t>
      </w:r>
      <w:r>
        <w:rPr>
          <w:rStyle w:val="DataTypeTok"/>
        </w:rPr>
        <w:t xml:space="preserve">"basis"</w:t>
      </w:r>
      <w:r>
        <w:rPr>
          <w:rStyle w:val="FunctionTok"/>
        </w:rPr>
        <w:t xml:space="preserve">:</w:t>
      </w:r>
      <w:r>
        <w:rPr>
          <w:rStyle w:val="NormalTok"/>
        </w:rPr>
        <w:t xml:space="preserve"> </w:t>
      </w:r>
      <w:r>
        <w:rPr>
          <w:rStyle w:val="StringTok"/>
        </w:rPr>
        <w:t xml:space="preserve">"CONCILIATION_INVITATION"</w:t>
      </w:r>
      <w:r>
        <w:rPr>
          <w:rStyle w:val="FunctionTok"/>
        </w:rPr>
        <w:t xml:space="preserve">,</w:t>
      </w:r>
      <w:r>
        <w:br/>
      </w:r>
      <w:r>
        <w:rPr>
          <w:rStyle w:val="NormalTok"/>
        </w:rPr>
        <w:t xml:space="preserve">  </w:t>
      </w:r>
      <w:r>
        <w:rPr>
          <w:rStyle w:val="DataTypeTok"/>
        </w:rPr>
        <w:t xml:space="preserve">"clause"</w:t>
      </w:r>
      <w:r>
        <w:rPr>
          <w:rStyle w:val="FunctionTok"/>
        </w:rPr>
        <w:t xml:space="preserve">:</w:t>
      </w:r>
      <w:r>
        <w:rPr>
          <w:rStyle w:val="NormalTok"/>
        </w:rPr>
        <w:t xml:space="preserve"> </w:t>
      </w:r>
      <w:r>
        <w:rPr>
          <w:rStyle w:val="FunctionTok"/>
        </w:rPr>
        <w:t xml:space="preserve">{</w:t>
      </w:r>
      <w:r>
        <w:rPr>
          <w:rStyle w:val="DataTypeTok"/>
        </w:rPr>
        <w:t xml:space="preserve">"names_institution"</w:t>
      </w:r>
      <w:r>
        <w:rPr>
          <w:rStyle w:val="FunctionTok"/>
        </w:rPr>
        <w:t xml:space="preserve">:</w:t>
      </w:r>
      <w:r>
        <w:rPr>
          <w:rStyle w:val="NormalTok"/>
        </w:rPr>
        <w:t xml:space="preserve"> </w:t>
      </w:r>
      <w:r>
        <w:rPr>
          <w:rStyle w:val="StringTok"/>
        </w:rPr>
        <w:t xml:space="preserve">"EQUATOR"</w:t>
      </w:r>
      <w:r>
        <w:rPr>
          <w:rStyle w:val="FunctionTok"/>
        </w:rPr>
        <w:t xml:space="preserve">,</w:t>
      </w:r>
      <w:r>
        <w:rPr>
          <w:rStyle w:val="NormalTok"/>
        </w:rPr>
        <w:t xml:space="preserve"> </w:t>
      </w:r>
      <w:r>
        <w:rPr>
          <w:rStyle w:val="DataTypeTok"/>
        </w:rPr>
        <w:t xml:space="preserve">"clause_ref"</w:t>
      </w:r>
      <w:r>
        <w:rPr>
          <w:rStyle w:val="FunctionTok"/>
        </w:rPr>
        <w:t xml:space="preserve">:</w:t>
      </w:r>
      <w:r>
        <w:rPr>
          <w:rStyle w:val="NormalTok"/>
        </w:rPr>
        <w:t xml:space="preserve"> </w:t>
      </w:r>
      <w:r>
        <w:rPr>
          <w:rStyle w:val="StringTok"/>
        </w:rPr>
        <w:t xml:space="preserve">"LA-PL-2025-v4 cl.21"</w:t>
      </w:r>
      <w:r>
        <w:rPr>
          <w:rStyle w:val="FunctionTok"/>
        </w:rPr>
        <w:t xml:space="preserve">,</w:t>
      </w:r>
      <w:r>
        <w:rPr>
          <w:rStyle w:val="NormalTok"/>
        </w:rPr>
        <w:t xml:space="preserve"> </w:t>
      </w:r>
      <w:r>
        <w:rPr>
          <w:rStyle w:val="DataTypeTok"/>
        </w:rPr>
        <w:t xml:space="preserve">"stamp_certificate"</w:t>
      </w:r>
      <w:r>
        <w:rPr>
          <w:rStyle w:val="FunctionTok"/>
        </w:rPr>
        <w:t xml:space="preserve">:</w:t>
      </w:r>
      <w:r>
        <w:rPr>
          <w:rStyle w:val="NormalTok"/>
        </w:rPr>
        <w:t xml:space="preserve"> </w:t>
      </w:r>
      <w:r>
        <w:rPr>
          <w:rStyle w:val="StringTok"/>
        </w:rPr>
        <w:t xml:space="preserve">"IN-DL-2025-0091812"</w:t>
      </w:r>
      <w:r>
        <w:rPr>
          <w:rStyle w:val="FunctionTok"/>
        </w:rPr>
        <w:t xml:space="preserve">},</w:t>
      </w:r>
      <w:r>
        <w:br/>
      </w:r>
      <w:r>
        <w:rPr>
          <w:rStyle w:val="NormalTok"/>
        </w:rPr>
        <w:t xml:space="preserve">  </w:t>
      </w:r>
      <w:r>
        <w:rPr>
          <w:rStyle w:val="DataTypeTok"/>
        </w:rPr>
        <w:t xml:space="preserve">"gate_result"</w:t>
      </w:r>
      <w:r>
        <w:rPr>
          <w:rStyle w:val="FunctionTok"/>
        </w:rPr>
        <w:t xml:space="preserve">:</w:t>
      </w:r>
      <w:r>
        <w:rPr>
          <w:rStyle w:val="NormalTok"/>
        </w:rPr>
        <w:t xml:space="preserve"> </w:t>
      </w:r>
      <w:r>
        <w:rPr>
          <w:rStyle w:val="FunctionTok"/>
        </w:rPr>
        <w:t xml:space="preserve">{</w:t>
      </w:r>
      <w:r>
        <w:rPr>
          <w:rStyle w:val="DataTypeTok"/>
        </w:rPr>
        <w:t xml:space="preserve">"rule_version"</w:t>
      </w:r>
      <w:r>
        <w:rPr>
          <w:rStyle w:val="FunctionTok"/>
        </w:rPr>
        <w:t xml:space="preserve">:</w:t>
      </w:r>
      <w:r>
        <w:rPr>
          <w:rStyle w:val="NormalTok"/>
        </w:rPr>
        <w:t xml:space="preserve"> </w:t>
      </w:r>
      <w:r>
        <w:rPr>
          <w:rStyle w:val="StringTok"/>
        </w:rPr>
        <w:t xml:space="preserve">"ADR-GATES-2026.10"</w:t>
      </w:r>
      <w:r>
        <w:rPr>
          <w:rStyle w:val="FunctionTok"/>
        </w:rPr>
        <w:t xml:space="preserve">,</w:t>
      </w:r>
      <w:r>
        <w:rPr>
          <w:rStyle w:val="NormalTok"/>
        </w:rPr>
        <w:t xml:space="preserve"> </w:t>
      </w:r>
      <w:r>
        <w:rPr>
          <w:rStyle w:val="DataTypeTok"/>
        </w:rPr>
        <w:t xml:space="preserve">"blocked"</w:t>
      </w:r>
      <w:r>
        <w:rPr>
          <w:rStyle w:val="FunctionTok"/>
        </w:rPr>
        <w:t xml:space="preserve">:</w:t>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"claim"</w:t>
      </w:r>
      <w:r>
        <w:rPr>
          <w:rStyle w:val="FunctionTok"/>
        </w:rPr>
        <w:t xml:space="preserve">:</w:t>
      </w:r>
      <w:r>
        <w:rPr>
          <w:rStyle w:val="NormalTok"/>
        </w:rPr>
        <w:t xml:space="preserve"> </w:t>
      </w:r>
      <w:r>
        <w:rPr>
          <w:rStyle w:val="FunctionTok"/>
        </w:rPr>
        <w:t xml:space="preserve">{</w:t>
      </w:r>
      <w:r>
        <w:rPr>
          <w:rStyle w:val="DataTypeTok"/>
        </w:rPr>
        <w:t xml:space="preserve">"as_of"</w:t>
      </w:r>
      <w:r>
        <w:rPr>
          <w:rStyle w:val="FunctionTok"/>
        </w:rPr>
        <w:t xml:space="preserve">:</w:t>
      </w:r>
      <w:r>
        <w:rPr>
          <w:rStyle w:val="NormalTok"/>
        </w:rPr>
        <w:t xml:space="preserve"> </w:t>
      </w:r>
      <w:r>
        <w:rPr>
          <w:rStyle w:val="StringTok"/>
        </w:rPr>
        <w:t xml:space="preserve">"2026-10-19"</w:t>
      </w:r>
      <w:r>
        <w:rPr>
          <w:rStyle w:val="FunctionTok"/>
        </w:rPr>
        <w:t xml:space="preserve">,</w:t>
      </w:r>
      <w:r>
        <w:rPr>
          <w:rStyle w:val="NormalTok"/>
        </w:rPr>
        <w:t xml:space="preserve"> </w:t>
      </w:r>
      <w:r>
        <w:rPr>
          <w:rStyle w:val="DataTypeTok"/>
        </w:rPr>
        <w:t xml:space="preserve">"total"</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"158711.55"</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br/>
      </w:r>
      <w:r>
        <w:rPr>
          <w:rStyle w:val="NormalTok"/>
        </w:rPr>
        <w:t xml:space="preserve">  </w:t>
      </w:r>
      <w:r>
        <w:rPr>
          <w:rStyle w:val="DataTypeTok"/>
        </w:rPr>
        <w:t xml:space="preserve">"parties"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"party_ref"</w:t>
      </w:r>
      <w:r>
        <w:rPr>
          <w:rStyle w:val="FunctionTok"/>
        </w:rPr>
        <w:t xml:space="preserve">:</w:t>
      </w:r>
      <w:r>
        <w:rPr>
          <w:rStyle w:val="NormalTok"/>
        </w:rPr>
        <w:t xml:space="preserve"> </w:t>
      </w:r>
      <w:r>
        <w:rPr>
          <w:rStyle w:val="StringTok"/>
        </w:rPr>
        <w:t xml:space="preserve">"pty_fx_eq_01J9ZX5P"</w:t>
      </w:r>
      <w:r>
        <w:rPr>
          <w:rStyle w:val="FunctionTok"/>
        </w:rPr>
        <w:t xml:space="preserve">,</w:t>
      </w:r>
      <w:r>
        <w:rPr>
          <w:rStyle w:val="NormalTok"/>
        </w:rPr>
        <w:t xml:space="preserve"> </w:t>
      </w:r>
      <w:r>
        <w:rPr>
          <w:rStyle w:val="DataTypeTok"/>
        </w:rPr>
        <w:t xml:space="preserve">"role"</w:t>
      </w:r>
      <w:r>
        <w:rPr>
          <w:rStyle w:val="FunctionTok"/>
        </w:rPr>
        <w:t xml:space="preserve">:</w:t>
      </w:r>
      <w:r>
        <w:rPr>
          <w:rStyle w:val="NormalTok"/>
        </w:rPr>
        <w:t xml:space="preserve"> </w:t>
      </w:r>
      <w:r>
        <w:rPr>
          <w:rStyle w:val="StringTok"/>
        </w:rPr>
        <w:t xml:space="preserve">"RESPONDENT"</w:t>
      </w:r>
      <w:r>
        <w:rPr>
          <w:rStyle w:val="FunctionTok"/>
        </w:rPr>
        <w:t xml:space="preserve">,</w:t>
      </w:r>
      <w:r>
        <w:rPr>
          <w:rStyle w:val="NormalTok"/>
        </w:rPr>
        <w:t xml:space="preserve"> </w:t>
      </w:r>
      <w:r>
        <w:rPr>
          <w:rStyle w:val="DataTypeTok"/>
        </w:rPr>
        <w:t xml:space="preserve">"contact_tokens"</w:t>
      </w:r>
      <w:r>
        <w:rPr>
          <w:rStyle w:val="FunctionTok"/>
        </w:rPr>
        <w:t xml:space="preserve">:</w:t>
      </w:r>
      <w:r>
        <w:rPr>
          <w:rStyle w:val="NormalTok"/>
        </w:rPr>
        <w:t xml:space="preserve"> </w:t>
      </w:r>
      <w:r>
        <w:rPr>
          <w:rStyle w:val="OtherTok"/>
        </w:rPr>
        <w:t xml:space="preserve">[</w:t>
      </w:r>
      <w:r>
        <w:rPr>
          <w:rStyle w:val="StringTok"/>
        </w:rPr>
        <w:t xml:space="preserve">"tok_mob_19ab"</w:t>
      </w:r>
      <w:r>
        <w:rPr>
          <w:rStyle w:val="OtherTok"/>
        </w:rPr>
        <w:t xml:space="preserve">,</w:t>
      </w:r>
      <w:r>
        <w:rPr>
          <w:rStyle w:val="NormalTok"/>
        </w:rPr>
        <w:t xml:space="preserve"> </w:t>
      </w:r>
      <w:r>
        <w:rPr>
          <w:rStyle w:val="StringTok"/>
        </w:rPr>
        <w:t xml:space="preserve">"tok_eml_77cd"</w:t>
      </w:r>
      <w:r>
        <w:rPr>
          <w:rStyle w:val="OtherTok"/>
        </w:rPr>
        <w:t xml:space="preserve">]</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"referral_pack"</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"type"</w:t>
      </w:r>
      <w:r>
        <w:rPr>
          <w:rStyle w:val="FunctionTok"/>
        </w:rPr>
        <w:t xml:space="preserve">:</w:t>
      </w:r>
      <w:r>
        <w:rPr>
          <w:rStyle w:val="NormalTok"/>
        </w:rPr>
        <w:t xml:space="preserve"> </w:t>
      </w:r>
      <w:r>
        <w:rPr>
          <w:rStyle w:val="StringTok"/>
        </w:rPr>
        <w:t xml:space="preserve">"LOAN_AGREEMENT"</w:t>
      </w:r>
      <w:r>
        <w:rPr>
          <w:rStyle w:val="FunctionTok"/>
        </w:rPr>
        <w:t xml:space="preserve">,</w:t>
      </w:r>
      <w:r>
        <w:rPr>
          <w:rStyle w:val="NormalTok"/>
        </w:rPr>
        <w:t xml:space="preserve"> </w:t>
      </w:r>
      <w:r>
        <w:rPr>
          <w:rStyle w:val="DataTypeTok"/>
        </w:rPr>
        <w:t xml:space="preserve">"document_id"</w:t>
      </w:r>
      <w:r>
        <w:rPr>
          <w:rStyle w:val="FunctionTok"/>
        </w:rPr>
        <w:t xml:space="preserve">:</w:t>
      </w:r>
      <w:r>
        <w:rPr>
          <w:rStyle w:val="NormalTok"/>
        </w:rPr>
        <w:t xml:space="preserve"> </w:t>
      </w:r>
      <w:r>
        <w:rPr>
          <w:rStyle w:val="StringTok"/>
        </w:rPr>
        <w:t xml:space="preserve">"doc_01J5LA0001"</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"aa11…dd66"</w:t>
      </w:r>
      <w:r>
        <w:rPr>
          <w:rStyle w:val="FunctionTok"/>
        </w:rPr>
        <w:t xml:space="preserve">}</w:t>
      </w:r>
      <w:r>
        <w:rPr>
          <w:rStyle w:val="OtherTok"/>
        </w:rPr>
        <w:t xml:space="preserve">]</w:t>
      </w:r>
      <w:r>
        <w:rPr>
          <w:rStyle w:val="FunctionTok"/>
        </w:rPr>
        <w:t xml:space="preserve">,</w:t>
      </w:r>
      <w:r>
        <w:br/>
      </w:r>
      <w:r>
        <w:rPr>
          <w:rStyle w:val="NormalTok"/>
        </w:rPr>
        <w:t xml:space="preserve">  </w:t>
      </w:r>
      <w:r>
        <w:rPr>
          <w:rStyle w:val="DataTypeTok"/>
        </w:rPr>
        <w:t xml:space="preserve">"settlement_mandate_ref"</w:t>
      </w:r>
      <w:r>
        <w:rPr>
          <w:rStyle w:val="FunctionTok"/>
        </w:rPr>
        <w:t xml:space="preserve">:</w:t>
      </w:r>
      <w:r>
        <w:rPr>
          <w:rStyle w:val="NormalTok"/>
        </w:rPr>
        <w:t xml:space="preserve"> </w:t>
      </w:r>
      <w:r>
        <w:rPr>
          <w:rStyle w:val="StringTok"/>
        </w:rPr>
        <w:t xml:space="preserve">"mdt_01J9ZX4SEAL"</w:t>
      </w:r>
      <w:r>
        <w:rPr>
          <w:rStyle w:val="FunctionTok"/>
        </w:rPr>
        <w:t xml:space="preserve">,</w:t>
      </w:r>
      <w:r>
        <w:rPr>
          <w:rStyle w:val="NormalTok"/>
        </w:rPr>
        <w:t xml:space="preserve"> </w:t>
      </w:r>
      <w:r>
        <w:rPr>
          <w:rStyle w:val="DataTypeTok"/>
        </w:rPr>
        <w:t xml:space="preserve">"udofin_presentation_permitted"</w:t>
      </w:r>
      <w:r>
        <w:rPr>
          <w:rStyle w:val="FunctionTok"/>
        </w:rPr>
        <w:t xml:space="preserve">:</w:t>
      </w:r>
      <w:r>
        <w:rPr>
          <w:rStyle w:val="NormalTok"/>
        </w:rPr>
        <w:t xml:space="preserve"> </w:t>
      </w:r>
      <w:r>
        <w:rPr>
          <w:rStyle w:val="KeywordTok"/>
        </w:rPr>
        <w:t xml:space="preserve">true</w:t>
      </w:r>
      <w:r>
        <w:rPr>
          <w:rStyle w:val="FunctionTok"/>
        </w:rPr>
        <w:t xml:space="preserve">,</w:t>
      </w:r>
      <w:r>
        <w:br/>
      </w:r>
      <w:r>
        <w:rPr>
          <w:rStyle w:val="NormalTok"/>
        </w:rPr>
        <w:t xml:space="preserve">  </w:t>
      </w:r>
      <w:r>
        <w:rPr>
          <w:rStyle w:val="DataTypeTok"/>
        </w:rPr>
        <w:t xml:space="preserve">"approval_ref"</w:t>
      </w:r>
      <w:r>
        <w:rPr>
          <w:rStyle w:val="FunctionTok"/>
        </w:rPr>
        <w:t xml:space="preserve">:</w:t>
      </w:r>
      <w:r>
        <w:rPr>
          <w:rStyle w:val="NormalTok"/>
        </w:rPr>
        <w:t xml:space="preserve"> </w:t>
      </w:r>
      <w:r>
        <w:rPr>
          <w:rStyle w:val="StringTok"/>
        </w:rPr>
        <w:t xml:space="preserve">"apr_01J9ZX49QQ"</w:t>
      </w:r>
      <w:r>
        <w:rPr>
          <w:rStyle w:val="FunctionTok"/>
        </w:rPr>
        <w:t xml:space="preserve">}}</w:t>
      </w:r>
    </w:p>
    <w:p>
      <w:pPr>
        <w:pStyle w:val="FirstParagraph"/>
      </w:pPr>
      <w:r>
        <w:rPr>
          <w:bCs/>
          <w:b/>
        </w:rPr>
        <w:t xml:space="preserve">A.5</w:t>
      </w:r>
      <w:r>
        <w:rPr>
          <w:bCs/>
          <w:b/>
        </w:rPr>
        <w:t xml:space="preserve"> </w:t>
      </w:r>
      <w:r>
        <w:rPr>
          <w:rStyle w:val="VerbatimChar"/>
          <w:bCs/>
          <w:b/>
        </w:rPr>
        <w:t xml:space="preserve">ADROutcomeRecorded</w:t>
      </w:r>
      <w:r>
        <w:rPr>
          <w:bCs/>
          <w:b/>
        </w:rPr>
        <w:t xml:space="preserve"> </w:t>
      </w:r>
      <w:r>
        <w:rPr>
          <w:bCs/>
          <w:b/>
        </w:rPr>
        <w:t xml:space="preserve">(Equator → Recovery Suite)</w:t>
      </w:r>
    </w:p>
    <w:p>
      <w:pPr>
        <w:pStyle w:val="SourceCode"/>
      </w:pPr>
      <w:r>
        <w:rPr>
          <w:rStyle w:val="FunctionTok"/>
        </w:rPr>
        <w:t xml:space="preserve">{</w:t>
      </w:r>
      <w:r>
        <w:rPr>
          <w:rStyle w:val="DataTypeTok"/>
        </w:rPr>
        <w:t xml:space="preserve">"…"</w:t>
      </w:r>
      <w:r>
        <w:rPr>
          <w:rStyle w:val="FunctionTok"/>
        </w:rPr>
        <w:t xml:space="preserve">:</w:t>
      </w:r>
      <w:r>
        <w:rPr>
          <w:rStyle w:val="NormalTok"/>
        </w:rPr>
        <w:t xml:space="preserve"> </w:t>
      </w:r>
      <w:r>
        <w:rPr>
          <w:rStyle w:val="StringTok"/>
        </w:rPr>
        <w:t xml:space="preserve">"…"</w:t>
      </w:r>
      <w:r>
        <w:rPr>
          <w:rStyle w:val="FunctionTok"/>
        </w:rPr>
        <w:t xml:space="preserve">,</w:t>
      </w:r>
      <w:r>
        <w:rPr>
          <w:rStyle w:val="NormalTok"/>
        </w:rPr>
        <w:t xml:space="preserve"> </w:t>
      </w:r>
      <w:r>
        <w:rPr>
          <w:rStyle w:val="DataTypeTok"/>
        </w:rPr>
        <w:t xml:space="preserve">"source"</w:t>
      </w:r>
      <w:r>
        <w:rPr>
          <w:rStyle w:val="FunctionTok"/>
        </w:rPr>
        <w:t xml:space="preserve">:</w:t>
      </w:r>
      <w:r>
        <w:rPr>
          <w:rStyle w:val="NormalTok"/>
        </w:rPr>
        <w:t xml:space="preserve"> </w:t>
      </w:r>
      <w:r>
        <w:rPr>
          <w:rStyle w:val="StringTok"/>
        </w:rPr>
        <w:t xml:space="preserve">"urn:infrabyx:equator:ten_eq_01J8Y2RE"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"in.infrabyx.adr.ADROutcomeRecorded.v1"</w:t>
      </w:r>
      <w:r>
        <w:rPr>
          <w:rStyle w:val="FunctionTok"/>
        </w:rPr>
        <w:t xml:space="preserve">,</w:t>
      </w:r>
      <w:r>
        <w:br/>
      </w:r>
      <w:r>
        <w:rPr>
          <w:rStyle w:val="NormalTok"/>
        </w:rPr>
        <w:t xml:space="preserve"> </w:t>
      </w:r>
      <w:r>
        <w:rPr>
          <w:rStyle w:val="DataTypeTok"/>
        </w:rPr>
        <w:t xml:space="preserve">"subject"</w:t>
      </w:r>
      <w:r>
        <w:rPr>
          <w:rStyle w:val="FunctionTok"/>
        </w:rPr>
        <w:t xml:space="preserve">:</w:t>
      </w:r>
      <w:r>
        <w:rPr>
          <w:rStyle w:val="NormalTok"/>
        </w:rPr>
        <w:t xml:space="preserve"> </w:t>
      </w:r>
      <w:r>
        <w:rPr>
          <w:rStyle w:val="StringTok"/>
        </w:rPr>
        <w:t xml:space="preserve">"adr_01J9ZX7C3D4E"</w:t>
      </w:r>
      <w:r>
        <w:rPr>
          <w:rStyle w:val="FunctionTok"/>
        </w:rPr>
        <w:t xml:space="preserve">,</w:t>
      </w:r>
      <w:r>
        <w:rPr>
          <w:rStyle w:val="NormalTok"/>
        </w:rPr>
        <w:t xml:space="preserve"> </w:t>
      </w:r>
      <w:r>
        <w:rPr>
          <w:rStyle w:val="DataTypeTok"/>
        </w:rPr>
        <w:t xml:space="preserve">"reid"</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"LEGAL_CLAIM"</w:t>
      </w:r>
      <w:r>
        <w:rPr>
          <w:rStyle w:val="FunctionTok"/>
        </w:rPr>
        <w:t xml:space="preserve">,</w:t>
      </w:r>
      <w:r>
        <w:rPr>
          <w:rStyle w:val="NormalTok"/>
        </w:rPr>
        <w:t xml:space="preserve"> </w:t>
      </w:r>
      <w:r>
        <w:rPr>
          <w:rStyle w:val="DataTypeTok"/>
        </w:rPr>
        <w:t xml:space="preserve">"dataclass"</w:t>
      </w:r>
      <w:r>
        <w:rPr>
          <w:rStyle w:val="FunctionTok"/>
        </w:rPr>
        <w:t xml:space="preserve">:</w:t>
      </w:r>
      <w:r>
        <w:rPr>
          <w:rStyle w:val="NormalTok"/>
        </w:rPr>
        <w:t xml:space="preserve"> </w:t>
      </w:r>
      <w:r>
        <w:rPr>
          <w:rStyle w:val="StringTok"/>
        </w:rPr>
        <w:t xml:space="preserve">"LEGAL"</w:t>
      </w:r>
      <w:r>
        <w:rPr>
          <w:rStyle w:val="FunctionTok"/>
        </w:rPr>
        <w:t xml:space="preserve">,</w:t>
      </w:r>
      <w:r>
        <w:rPr>
          <w:rStyle w:val="NormalTok"/>
        </w:rPr>
        <w:t xml:space="preserve"> </w:t>
      </w:r>
      <w:r>
        <w:rPr>
          <w:rStyle w:val="DataTypeTok"/>
        </w:rPr>
        <w:t xml:space="preserve">"seq"</w:t>
      </w:r>
      <w:r>
        <w:rPr>
          <w:rStyle w:val="FunctionTok"/>
        </w:rPr>
        <w:t xml:space="preserve">:</w:t>
      </w:r>
      <w:r>
        <w:rPr>
          <w:rStyle w:val="NormalTok"/>
        </w:rPr>
        <w:t xml:space="preserve"> </w:t>
      </w:r>
      <w:r>
        <w:rPr>
          <w:rStyle w:val="DecValTok"/>
        </w:rPr>
        <w:t xml:space="preserve">14</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DataTypeTok"/>
        </w:rPr>
        <w:t xml:space="preserve">"outcome_seq"</w:t>
      </w:r>
      <w:r>
        <w:rPr>
          <w:rStyle w:val="FunctionTok"/>
        </w:rPr>
        <w:t xml:space="preserve">:</w:t>
      </w:r>
      <w:r>
        <w:rPr>
          <w:rStyle w:val="NormalTok"/>
        </w:rPr>
        <w:t xml:space="preserve"> </w:t>
      </w:r>
      <w:r>
        <w:rPr>
          <w:rStyle w:val="DecValTok"/>
        </w:rPr>
        <w:t xml:space="preserve">1</w:t>
      </w:r>
      <w:r>
        <w:rPr>
          <w:rStyle w:val="FunctionTok"/>
        </w:rPr>
        <w:t xml:space="preserve">,</w:t>
      </w:r>
      <w:r>
        <w:rPr>
          <w:rStyle w:val="NormalTok"/>
        </w:rPr>
        <w:t xml:space="preserve"> </w:t>
      </w:r>
      <w:r>
        <w:rPr>
          <w:rStyle w:val="DataTypeTok"/>
        </w:rPr>
        <w:t xml:space="preserve">"outcome_type"</w:t>
      </w:r>
      <w:r>
        <w:rPr>
          <w:rStyle w:val="FunctionTok"/>
        </w:rPr>
        <w:t xml:space="preserve">:</w:t>
      </w:r>
      <w:r>
        <w:rPr>
          <w:rStyle w:val="NormalTok"/>
        </w:rPr>
        <w:t xml:space="preserve"> </w:t>
      </w:r>
      <w:r>
        <w:rPr>
          <w:rStyle w:val="StringTok"/>
        </w:rPr>
        <w:t xml:space="preserve">"CONCILIATION_SETTLEMENT_S73"</w:t>
      </w:r>
      <w:r>
        <w:rPr>
          <w:rStyle w:val="FunctionTok"/>
        </w:rPr>
        <w:t xml:space="preserve">,</w:t>
      </w:r>
      <w:r>
        <w:br/>
      </w:r>
      <w:r>
        <w:rPr>
          <w:rStyle w:val="NormalTok"/>
        </w:rPr>
        <w:t xml:space="preserve">  </w:t>
      </w:r>
      <w:r>
        <w:rPr>
          <w:rStyle w:val="DataTypeTok"/>
        </w:rPr>
        <w:t xml:space="preserve">"legal_effect"</w:t>
      </w:r>
      <w:r>
        <w:rPr>
          <w:rStyle w:val="FunctionTok"/>
        </w:rPr>
        <w:t xml:space="preserve">:</w:t>
      </w:r>
      <w:r>
        <w:rPr>
          <w:rStyle w:val="NormalTok"/>
        </w:rPr>
        <w:t xml:space="preserve"> </w:t>
      </w:r>
      <w:r>
        <w:rPr>
          <w:rStyle w:val="StringTok"/>
        </w:rPr>
        <w:t xml:space="preserve">"Arbitral award on agreed terms (A&amp;C Act ss.74, 30); enforceable under s.36"</w:t>
      </w:r>
      <w:r>
        <w:rPr>
          <w:rStyle w:val="FunctionTok"/>
        </w:rPr>
        <w:t xml:space="preserve">,</w:t>
      </w:r>
      <w:r>
        <w:br/>
      </w:r>
      <w:r>
        <w:rPr>
          <w:rStyle w:val="NormalTok"/>
        </w:rPr>
        <w:t xml:space="preserve">  </w:t>
      </w:r>
      <w:r>
        <w:rPr>
          <w:rStyle w:val="DataTypeTok"/>
        </w:rPr>
        <w:t xml:space="preserve">"within_re_mandate"</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"settlement_approval_ref"</w:t>
      </w:r>
      <w:r>
        <w:rPr>
          <w:rStyle w:val="FunctionTok"/>
        </w:rPr>
        <w:t xml:space="preserve">:</w:t>
      </w:r>
      <w:r>
        <w:rPr>
          <w:rStyle w:val="NormalTok"/>
        </w:rPr>
        <w:t xml:space="preserve"> </w:t>
      </w:r>
      <w:r>
        <w:rPr>
          <w:rStyle w:val="StringTok"/>
        </w:rPr>
        <w:t xml:space="preserve">"stl_01J9ZY0APP"</w:t>
      </w:r>
      <w:r>
        <w:rPr>
          <w:rStyle w:val="FunctionTok"/>
        </w:rPr>
        <w:t xml:space="preserve">,</w:t>
      </w:r>
      <w:r>
        <w:br/>
      </w:r>
      <w:r>
        <w:rPr>
          <w:rStyle w:val="NormalTok"/>
        </w:rPr>
        <w:t xml:space="preserve">  </w:t>
      </w:r>
      <w:r>
        <w:rPr>
          <w:rStyle w:val="DataTypeTok"/>
        </w:rPr>
        <w:t xml:space="preserve">"terms"</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FunctionTok"/>
        </w:rPr>
        <w:t xml:space="preserve">{</w:t>
      </w:r>
      <w:r>
        <w:rPr>
          <w:rStyle w:val="DataTypeTok"/>
        </w:rPr>
        <w:t xml:space="preserve">"amount"</w:t>
      </w:r>
      <w:r>
        <w:rPr>
          <w:rStyle w:val="FunctionTok"/>
        </w:rPr>
        <w:t xml:space="preserve">:</w:t>
      </w:r>
      <w:r>
        <w:rPr>
          <w:rStyle w:val="NormalTok"/>
        </w:rPr>
        <w:t xml:space="preserve"> </w:t>
      </w:r>
      <w:r>
        <w:rPr>
          <w:rStyle w:val="StringTok"/>
        </w:rPr>
        <w:t xml:space="preserve">"132000.00"</w:t>
      </w:r>
      <w:r>
        <w:rPr>
          <w:rStyle w:val="FunctionTok"/>
        </w:rPr>
        <w:t xml:space="preserve">,</w:t>
      </w:r>
      <w:r>
        <w:rPr>
          <w:rStyle w:val="NormalTok"/>
        </w:rPr>
        <w:t xml:space="preserve"> </w:t>
      </w:r>
      <w:r>
        <w:rPr>
          <w:rStyle w:val="DataTypeTok"/>
        </w:rPr>
        <w:t xml:space="preserve">"currency"</w:t>
      </w:r>
      <w:r>
        <w:rPr>
          <w:rStyle w:val="FunctionTok"/>
        </w:rPr>
        <w:t xml:space="preserve">:</w:t>
      </w:r>
      <w:r>
        <w:rPr>
          <w:rStyle w:val="NormalTok"/>
        </w:rPr>
        <w:t xml:space="preserve"> </w:t>
      </w:r>
      <w:r>
        <w:rPr>
          <w:rStyle w:val="StringTok"/>
        </w:rPr>
        <w:t xml:space="preserve">"INR"</w:t>
      </w:r>
      <w:r>
        <w:rPr>
          <w:rStyle w:val="FunctionTok"/>
        </w:rPr>
        <w:t xml:space="preserve">},</w:t>
      </w:r>
      <w:r>
        <w:rPr>
          <w:rStyle w:val="NormalTok"/>
        </w:rPr>
        <w:t xml:space="preserve"> </w:t>
      </w:r>
      <w:r>
        <w:rPr>
          <w:rStyle w:val="DataTypeTok"/>
        </w:rPr>
        <w:t xml:space="preserve">"instalments"</w:t>
      </w:r>
      <w:r>
        <w:rPr>
          <w:rStyle w:val="FunctionTok"/>
        </w:rPr>
        <w:t xml:space="preserve">:</w:t>
      </w:r>
      <w:r>
        <w:rPr>
          <w:rStyle w:val="NormalTok"/>
        </w:rPr>
        <w:t xml:space="preserve"> </w:t>
      </w:r>
      <w:r>
        <w:rPr>
          <w:rStyle w:val="OtherTok"/>
        </w:rPr>
        <w:t xml:space="preserve">[</w:t>
      </w:r>
      <w:r>
        <w:rPr>
          <w:rStyle w:val="FunctionTok"/>
        </w:rPr>
        <w:t xml:space="preserve">{</w:t>
      </w:r>
      <w:r>
        <w:rPr>
          <w:rStyle w:val="DataTypeTok"/>
        </w:rPr>
        <w:t xml:space="preserve">"due_date"</w:t>
      </w:r>
      <w:r>
        <w:rPr>
          <w:rStyle w:val="FunctionTok"/>
        </w:rPr>
        <w:t xml:space="preserve">:</w:t>
      </w:r>
      <w:r>
        <w:rPr>
          <w:rStyle w:val="NormalTok"/>
        </w:rPr>
        <w:t xml:space="preserve"> </w:t>
      </w:r>
      <w:r>
        <w:rPr>
          <w:rStyle w:val="StringTok"/>
        </w:rPr>
        <w:t xml:space="preserve">"2026-12-05"</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"66000.00"</w:t>
      </w:r>
      <w:r>
        <w:rPr>
          <w:rStyle w:val="FunctionTok"/>
        </w:rPr>
        <w:t xml:space="preserve">}</w:t>
      </w:r>
      <w:r>
        <w:rPr>
          <w:rStyle w:val="OtherTok"/>
        </w:rPr>
        <w:t xml:space="preserve">,</w:t>
      </w:r>
      <w:r>
        <w:br/>
      </w:r>
      <w:r>
        <w:rPr>
          <w:rStyle w:val="NormalTok"/>
        </w:rPr>
        <w:t xml:space="preserve">    </w:t>
      </w:r>
      <w:r>
        <w:rPr>
          <w:rStyle w:val="FunctionTok"/>
        </w:rPr>
        <w:t xml:space="preserve">{</w:t>
      </w:r>
      <w:r>
        <w:rPr>
          <w:rStyle w:val="DataTypeTok"/>
        </w:rPr>
        <w:t xml:space="preserve">"due_date"</w:t>
      </w:r>
      <w:r>
        <w:rPr>
          <w:rStyle w:val="FunctionTok"/>
        </w:rPr>
        <w:t xml:space="preserve">:</w:t>
      </w:r>
      <w:r>
        <w:rPr>
          <w:rStyle w:val="NormalTok"/>
        </w:rPr>
        <w:t xml:space="preserve"> </w:t>
      </w:r>
      <w:r>
        <w:rPr>
          <w:rStyle w:val="StringTok"/>
        </w:rPr>
        <w:t xml:space="preserve">"2027-01-05"</w:t>
      </w:r>
      <w:r>
        <w:rPr>
          <w:rStyle w:val="FunctionTok"/>
        </w:rPr>
        <w:t xml:space="preserve">,</w:t>
      </w:r>
      <w:r>
        <w:rPr>
          <w:rStyle w:val="NormalTok"/>
        </w:rPr>
        <w:t xml:space="preserve"> </w:t>
      </w:r>
      <w:r>
        <w:rPr>
          <w:rStyle w:val="DataTypeTok"/>
        </w:rPr>
        <w:t xml:space="preserve">"amount"</w:t>
      </w:r>
      <w:r>
        <w:rPr>
          <w:rStyle w:val="FunctionTok"/>
        </w:rPr>
        <w:t xml:space="preserve">:</w:t>
      </w:r>
      <w:r>
        <w:rPr>
          <w:rStyle w:val="NormalTok"/>
        </w:rPr>
        <w:t xml:space="preserve"> </w:t>
      </w:r>
      <w:r>
        <w:rPr>
          <w:rStyle w:val="StringTok"/>
        </w:rPr>
        <w:t xml:space="preserve">"66000.00"</w:t>
      </w:r>
      <w:r>
        <w:rPr>
          <w:rStyle w:val="FunctionTok"/>
        </w:rPr>
        <w:t xml:space="preserve">}</w:t>
      </w:r>
      <w:r>
        <w:rPr>
          <w:rStyle w:val="OtherTok"/>
        </w:rPr>
        <w:t xml:space="preserve">]</w:t>
      </w:r>
      <w:r>
        <w:rPr>
          <w:rStyle w:val="FunctionTok"/>
        </w:rPr>
        <w:t xml:space="preserve">,</w:t>
      </w:r>
      <w:r>
        <w:rPr>
          <w:rStyle w:val="NormalTok"/>
        </w:rPr>
        <w:t xml:space="preserve"> </w:t>
      </w:r>
      <w:r>
        <w:rPr>
          <w:rStyle w:val="DataTypeTok"/>
        </w:rPr>
        <w:t xml:space="preserve">"payee"</w:t>
      </w:r>
      <w:r>
        <w:rPr>
          <w:rStyle w:val="FunctionTok"/>
        </w:rPr>
        <w:t xml:space="preserve">:</w:t>
      </w:r>
      <w:r>
        <w:rPr>
          <w:rStyle w:val="NormalTok"/>
        </w:rPr>
        <w:t xml:space="preserve"> </w:t>
      </w:r>
      <w:r>
        <w:rPr>
          <w:rStyle w:val="StringTok"/>
        </w:rPr>
        <w:t xml:space="preserve">"re_01J8Y2M0PQ"</w:t>
      </w:r>
      <w:r>
        <w:rPr>
          <w:rStyle w:val="FunctionTok"/>
        </w:rPr>
        <w:t xml:space="preserve">,</w:t>
      </w:r>
      <w:r>
        <w:rPr>
          <w:rStyle w:val="NormalTok"/>
        </w:rPr>
        <w:t xml:space="preserve"> </w:t>
      </w:r>
      <w:r>
        <w:rPr>
          <w:rStyle w:val="DataTypeTok"/>
        </w:rPr>
        <w:t xml:space="preserve">"restructuring_flag"</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"instrument"</w:t>
      </w:r>
      <w:r>
        <w:rPr>
          <w:rStyle w:val="FunctionTok"/>
        </w:rPr>
        <w:t xml:space="preserve">:</w:t>
      </w:r>
      <w:r>
        <w:rPr>
          <w:rStyle w:val="NormalTok"/>
        </w:rPr>
        <w:t xml:space="preserve"> </w:t>
      </w:r>
      <w:r>
        <w:rPr>
          <w:rStyle w:val="FunctionTok"/>
        </w:rPr>
        <w:t xml:space="preserve">{</w:t>
      </w:r>
      <w:r>
        <w:rPr>
          <w:rStyle w:val="DataTypeTok"/>
        </w:rPr>
        <w:t xml:space="preserve">"document_id"</w:t>
      </w:r>
      <w:r>
        <w:rPr>
          <w:rStyle w:val="FunctionTok"/>
        </w:rPr>
        <w:t xml:space="preserve">:</w:t>
      </w:r>
      <w:r>
        <w:rPr>
          <w:rStyle w:val="NormalTok"/>
        </w:rPr>
        <w:t xml:space="preserve"> </w:t>
      </w:r>
      <w:r>
        <w:rPr>
          <w:rStyle w:val="StringTok"/>
        </w:rPr>
        <w:t xml:space="preserve">"doc_eq_01J9ZZ1SET"</w:t>
      </w:r>
      <w:r>
        <w:rPr>
          <w:rStyle w:val="FunctionTok"/>
        </w:rPr>
        <w:t xml:space="preserve">,</w:t>
      </w:r>
      <w:r>
        <w:rPr>
          <w:rStyle w:val="NormalTok"/>
        </w:rPr>
        <w:t xml:space="preserve"> </w:t>
      </w:r>
      <w:r>
        <w:rPr>
          <w:rStyle w:val="DataTypeTok"/>
        </w:rPr>
        <w:t xml:space="preserve">"sha256"</w:t>
      </w:r>
      <w:r>
        <w:rPr>
          <w:rStyle w:val="FunctionTok"/>
        </w:rPr>
        <w:t xml:space="preserve">:</w:t>
      </w:r>
      <w:r>
        <w:rPr>
          <w:rStyle w:val="NormalTok"/>
        </w:rPr>
        <w:t xml:space="preserve"> </w:t>
      </w:r>
      <w:r>
        <w:rPr>
          <w:rStyle w:val="StringTok"/>
        </w:rPr>
        <w:t xml:space="preserve">"5a6b…5a6b"</w:t>
      </w:r>
      <w:r>
        <w:rPr>
          <w:rStyle w:val="FunctionTok"/>
        </w:rPr>
        <w:t xml:space="preserve">,</w:t>
      </w:r>
      <w:r>
        <w:rPr>
          <w:rStyle w:val="NormalTok"/>
        </w:rPr>
        <w:t xml:space="preserve"> </w:t>
      </w:r>
      <w:r>
        <w:rPr>
          <w:rStyle w:val="DataTypeTok"/>
        </w:rPr>
        <w:t xml:space="preserve">"pdfa"</w:t>
      </w:r>
      <w:r>
        <w:rPr>
          <w:rStyle w:val="FunctionTok"/>
        </w:rPr>
        <w:t xml:space="preserve">:</w:t>
      </w:r>
      <w:r>
        <w:rPr>
          <w:rStyle w:val="NormalTok"/>
        </w:rPr>
        <w:t xml:space="preserve"> </w:t>
      </w:r>
      <w:r>
        <w:rPr>
          <w:rStyle w:val="StringTok"/>
        </w:rPr>
        <w:t xml:space="preserve">"PDF/A-2b"</w:t>
      </w:r>
      <w:r>
        <w:rPr>
          <w:rStyle w:val="FunctionTok"/>
        </w:rPr>
        <w:t xml:space="preserve">,</w:t>
      </w:r>
      <w:r>
        <w:br/>
      </w:r>
      <w:r>
        <w:rPr>
          <w:rStyle w:val="NormalTok"/>
        </w:rPr>
        <w:t xml:space="preserve">    </w:t>
      </w:r>
      <w:r>
        <w:rPr>
          <w:rStyle w:val="DataTypeTok"/>
        </w:rPr>
        <w:t xml:space="preserve">"signatures"</w:t>
      </w:r>
      <w:r>
        <w:rPr>
          <w:rStyle w:val="FunctionTok"/>
        </w:rPr>
        <w:t xml:space="preserve">:</w:t>
      </w:r>
      <w:r>
        <w:rPr>
          <w:rStyle w:val="NormalTok"/>
        </w:rPr>
        <w:t xml:space="preserve"> </w:t>
      </w:r>
      <w:r>
        <w:rPr>
          <w:rStyle w:val="OtherTok"/>
        </w:rPr>
        <w:t xml:space="preserve">[</w:t>
      </w:r>
      <w:r>
        <w:rPr>
          <w:rStyle w:val="StringTok"/>
        </w:rPr>
        <w:t xml:space="preserve">"ESIGN_PARTY"</w:t>
      </w:r>
      <w:r>
        <w:rPr>
          <w:rStyle w:val="OtherTok"/>
        </w:rPr>
        <w:t xml:space="preserve">,</w:t>
      </w:r>
      <w:r>
        <w:rPr>
          <w:rStyle w:val="NormalTok"/>
        </w:rPr>
        <w:t xml:space="preserve"> </w:t>
      </w:r>
      <w:r>
        <w:rPr>
          <w:rStyle w:val="StringTok"/>
        </w:rPr>
        <w:t xml:space="preserve">"DSC_RE"</w:t>
      </w:r>
      <w:r>
        <w:rPr>
          <w:rStyle w:val="OtherTok"/>
        </w:rPr>
        <w:t xml:space="preserve">,</w:t>
      </w:r>
      <w:r>
        <w:rPr>
          <w:rStyle w:val="NormalTok"/>
        </w:rPr>
        <w:t xml:space="preserve"> </w:t>
      </w:r>
      <w:r>
        <w:rPr>
          <w:rStyle w:val="StringTok"/>
        </w:rPr>
        <w:t xml:space="preserve">"DSC_CONCILIATOR"</w:t>
      </w:r>
      <w:r>
        <w:rPr>
          <w:rStyle w:val="OtherTok"/>
        </w:rPr>
        <w:t xml:space="preserve">]</w:t>
      </w:r>
      <w:r>
        <w:rPr>
          <w:rStyle w:val="FunctionTok"/>
        </w:rPr>
        <w:t xml:space="preserve">},</w:t>
      </w:r>
      <w:r>
        <w:br/>
      </w:r>
      <w:r>
        <w:rPr>
          <w:rStyle w:val="NormalTok"/>
        </w:rPr>
        <w:t xml:space="preserve">  </w:t>
      </w:r>
      <w:r>
        <w:rPr>
          <w:rStyle w:val="DataTypeTok"/>
        </w:rPr>
        <w:t xml:space="preserve">"e_stamp"</w:t>
      </w:r>
      <w:r>
        <w:rPr>
          <w:rStyle w:val="FunctionTok"/>
        </w:rPr>
        <w:t xml:space="preserve">:</w:t>
      </w:r>
      <w:r>
        <w:rPr>
          <w:rStyle w:val="NormalTok"/>
        </w:rPr>
        <w:t xml:space="preserve"> </w:t>
      </w:r>
      <w:r>
        <w:rPr>
          <w:rStyle w:val="FunctionTok"/>
        </w:rPr>
        <w:t xml:space="preserve">{</w:t>
      </w:r>
      <w:r>
        <w:rPr>
          <w:rStyle w:val="DataTypeTok"/>
        </w:rPr>
        <w:t xml:space="preserve">"certificate_no"</w:t>
      </w:r>
      <w:r>
        <w:rPr>
          <w:rStyle w:val="FunctionTok"/>
        </w:rPr>
        <w:t xml:space="preserve">:</w:t>
      </w:r>
      <w:r>
        <w:rPr>
          <w:rStyle w:val="NormalTok"/>
        </w:rPr>
        <w:t xml:space="preserve"> </w:t>
      </w:r>
      <w:r>
        <w:rPr>
          <w:rStyle w:val="StringTok"/>
        </w:rPr>
        <w:t xml:space="preserve">"IN-DL-2026-11-0041771"</w:t>
      </w:r>
      <w:r>
        <w:rPr>
          <w:rStyle w:val="FunctionTok"/>
        </w:rPr>
        <w:t xml:space="preserve">,</w:t>
      </w:r>
      <w:r>
        <w:rPr>
          <w:rStyle w:val="NormalTok"/>
        </w:rPr>
        <w:t xml:space="preserve"> </w:t>
      </w:r>
      <w:r>
        <w:rPr>
          <w:rStyle w:val="DataTypeTok"/>
        </w:rPr>
        <w:t xml:space="preserve">"state"</w:t>
      </w:r>
      <w:r>
        <w:rPr>
          <w:rStyle w:val="FunctionTok"/>
        </w:rPr>
        <w:t xml:space="preserve">:</w:t>
      </w:r>
      <w:r>
        <w:rPr>
          <w:rStyle w:val="NormalTok"/>
        </w:rPr>
        <w:t xml:space="preserve"> </w:t>
      </w:r>
      <w:r>
        <w:rPr>
          <w:rStyle w:val="StringTok"/>
        </w:rPr>
        <w:t xml:space="preserve">"DL"</w:t>
      </w:r>
      <w:r>
        <w:rPr>
          <w:rStyle w:val="FunctionTok"/>
        </w:rPr>
        <w:t xml:space="preserve">,</w:t>
      </w:r>
      <w:r>
        <w:rPr>
          <w:rStyle w:val="NormalTok"/>
        </w:rPr>
        <w:t xml:space="preserve"> </w:t>
      </w:r>
      <w:r>
        <w:rPr>
          <w:rStyle w:val="DataTypeTok"/>
        </w:rPr>
        <w:t xml:space="preserve">"stamped_at"</w:t>
      </w:r>
      <w:r>
        <w:rPr>
          <w:rStyle w:val="FunctionTok"/>
        </w:rPr>
        <w:t xml:space="preserve">:</w:t>
      </w:r>
      <w:r>
        <w:rPr>
          <w:rStyle w:val="NormalTok"/>
        </w:rPr>
        <w:t xml:space="preserve"> </w:t>
      </w:r>
      <w:r>
        <w:rPr>
          <w:rStyle w:val="StringTok"/>
        </w:rPr>
        <w:t xml:space="preserve">"2026-11-21T16:40:02+05:30"</w:t>
      </w:r>
      <w:r>
        <w:rPr>
          <w:rStyle w:val="FunctionTok"/>
        </w:rPr>
        <w:t xml:space="preserve">},</w:t>
      </w:r>
      <w:r>
        <w:br/>
      </w:r>
      <w:r>
        <w:rPr>
          <w:rStyle w:val="NormalTok"/>
        </w:rPr>
        <w:t xml:space="preserve">  </w:t>
      </w:r>
      <w:r>
        <w:rPr>
          <w:rStyle w:val="DataTypeTok"/>
        </w:rPr>
        <w:t xml:space="preserve">"served_at"</w:t>
      </w:r>
      <w:r>
        <w:rPr>
          <w:rStyle w:val="FunctionTok"/>
        </w:rPr>
        <w:t xml:space="preserve">:</w:t>
      </w:r>
      <w:r>
        <w:rPr>
          <w:rStyle w:val="NormalTok"/>
        </w:rPr>
        <w:t xml:space="preserve"> </w:t>
      </w:r>
      <w:r>
        <w:rPr>
          <w:rStyle w:val="StringTok"/>
        </w:rPr>
        <w:t xml:space="preserve">"2026-11-21T18:05:11+05:30"</w:t>
      </w:r>
      <w:r>
        <w:rPr>
          <w:rStyle w:val="FunctionTok"/>
        </w:rPr>
        <w:t xml:space="preserve">,</w:t>
      </w:r>
      <w:r>
        <w:rPr>
          <w:rStyle w:val="NormalTok"/>
        </w:rPr>
        <w:t xml:space="preserve"> </w:t>
      </w:r>
      <w:r>
        <w:rPr>
          <w:rStyle w:val="DataTypeTok"/>
        </w:rPr>
        <w:t xml:space="preserve">"clocks"</w:t>
      </w:r>
      <w:r>
        <w:rPr>
          <w:rStyle w:val="FunctionTok"/>
        </w:rPr>
        <w:t xml:space="preserve">:</w:t>
      </w:r>
      <w:r>
        <w:rPr>
          <w:rStyle w:val="NormalTok"/>
        </w:rPr>
        <w:t xml:space="preserve"> </w:t>
      </w:r>
      <w:r>
        <w:rPr>
          <w:rStyle w:val="FunctionTok"/>
        </w:rPr>
        <w:t xml:space="preserve">{</w:t>
      </w:r>
      <w:r>
        <w:rPr>
          <w:rStyle w:val="DataTypeTok"/>
        </w:rPr>
        <w:t xml:space="preserve">"s33_correction_end"</w:t>
      </w:r>
      <w:r>
        <w:rPr>
          <w:rStyle w:val="FunctionTok"/>
        </w:rPr>
        <w:t xml:space="preserve">:</w:t>
      </w:r>
      <w:r>
        <w:rPr>
          <w:rStyle w:val="NormalTok"/>
        </w:rPr>
        <w:t xml:space="preserve"> </w:t>
      </w:r>
      <w:r>
        <w:rPr>
          <w:rStyle w:val="StringTok"/>
        </w:rPr>
        <w:t xml:space="preserve">"2026-12-21"</w:t>
      </w:r>
      <w:r>
        <w:rPr>
          <w:rStyle w:val="FunctionTok"/>
        </w:rPr>
        <w:t xml:space="preserve">,</w:t>
      </w:r>
      <w:r>
        <w:rPr>
          <w:rStyle w:val="NormalTok"/>
        </w:rPr>
        <w:t xml:space="preserve"> </w:t>
      </w:r>
      <w:r>
        <w:rPr>
          <w:rStyle w:val="DataTypeTok"/>
        </w:rPr>
        <w:t xml:space="preserve">"s34_challenge_end"</w:t>
      </w:r>
      <w:r>
        <w:rPr>
          <w:rStyle w:val="FunctionTok"/>
        </w:rPr>
        <w:t xml:space="preserve">:</w:t>
      </w:r>
      <w:r>
        <w:rPr>
          <w:rStyle w:val="NormalTok"/>
        </w:rPr>
        <w:t xml:space="preserve"> </w:t>
      </w:r>
      <w:r>
        <w:rPr>
          <w:rStyle w:val="StringTok"/>
        </w:rPr>
        <w:t xml:space="preserve">"2027-02-21"</w:t>
      </w:r>
      <w:r>
        <w:rPr>
          <w:rStyle w:val="FunctionTok"/>
        </w:rPr>
        <w:t xml:space="preserve">,</w:t>
      </w:r>
      <w:r>
        <w:rPr>
          <w:rStyle w:val="NormalTok"/>
        </w:rPr>
        <w:t xml:space="preserve"> </w:t>
      </w:r>
      <w:r>
        <w:rPr>
          <w:rStyle w:val="DataTypeTok"/>
        </w:rPr>
        <w:t xml:space="preserve">"s34_outer_limit"</w:t>
      </w:r>
      <w:r>
        <w:rPr>
          <w:rStyle w:val="FunctionTok"/>
        </w:rPr>
        <w:t xml:space="preserve">:</w:t>
      </w:r>
      <w:r>
        <w:rPr>
          <w:rStyle w:val="NormalTok"/>
        </w:rPr>
        <w:t xml:space="preserve"> </w:t>
      </w:r>
      <w:r>
        <w:rPr>
          <w:rStyle w:val="StringTok"/>
        </w:rPr>
        <w:t xml:space="preserve">"2027-03-23"</w:t>
      </w:r>
      <w:r>
        <w:rPr>
          <w:rStyle w:val="FunctionTok"/>
        </w:rPr>
        <w:t xml:space="preserve">}}}</w:t>
      </w:r>
    </w:p>
    <w:p>
      <w:r>
        <w:pict>
          <v:rect style="width:0;height:1.5pt" o:hralign="center" o:hrstd="t" o:hr="t"/>
        </w:pict>
      </w:r>
    </w:p>
    <w:bookmarkEnd w:id="123"/>
    <w:bookmarkStart w:id="125" w:name="appendix-b-glossary"/>
    <w:p>
      <w:pPr>
        <w:pStyle w:val="Heading1"/>
      </w:pPr>
      <w:r>
        <w:t xml:space="preserve">APPENDIX B — GLOSSARY</w:t>
      </w:r>
    </w:p>
    <w:p>
      <w:pPr>
        <w:pStyle w:val="FirstParagraph"/>
      </w:pPr>
      <w:r>
        <w:rPr>
          <w:bCs/>
          <w:b/>
        </w:rPr>
        <w:t xml:space="preserve">A&amp;C Act</w:t>
      </w:r>
      <w:r>
        <w:t xml:space="preserve"> </w:t>
      </w:r>
      <w:r>
        <w:t xml:space="preserve">Arbitration and Conciliation Act 1996 ·</w:t>
      </w:r>
      <w:r>
        <w:t xml:space="preserve"> </w:t>
      </w:r>
      <w:r>
        <w:rPr>
          <w:bCs/>
          <w:b/>
        </w:rPr>
        <w:t xml:space="preserve">AA</w:t>
      </w:r>
      <w:r>
        <w:t xml:space="preserve"> </w:t>
      </w:r>
      <w:r>
        <w:t xml:space="preserve">Account Aggregator ·</w:t>
      </w:r>
      <w:r>
        <w:t xml:space="preserve"> </w:t>
      </w:r>
      <w:r>
        <w:rPr>
          <w:bCs/>
          <w:b/>
        </w:rPr>
        <w:t xml:space="preserve">ADR</w:t>
      </w:r>
      <w:r>
        <w:t xml:space="preserve"> </w:t>
      </w:r>
      <w:r>
        <w:t xml:space="preserve">negotiation, conciliation, mediation, arbitration, Lok Adalat ·</w:t>
      </w:r>
      <w:r>
        <w:t xml:space="preserve"> </w:t>
      </w:r>
      <w:r>
        <w:rPr>
          <w:bCs/>
          <w:b/>
        </w:rPr>
        <w:t xml:space="preserve">CERSAI</w:t>
      </w:r>
      <w:r>
        <w:t xml:space="preserve"> </w:t>
      </w:r>
      <w:r>
        <w:t xml:space="preserve">Central Registry of Securitisation Asset Reconstruction and Security Interest of India ·</w:t>
      </w:r>
      <w:r>
        <w:t xml:space="preserve"> </w:t>
      </w:r>
      <w:r>
        <w:rPr>
          <w:bCs/>
          <w:b/>
        </w:rPr>
        <w:t xml:space="preserve">CF</w:t>
      </w:r>
      <w:r>
        <w:t xml:space="preserve"> </w:t>
      </w:r>
      <w:r>
        <w:t xml:space="preserve">NBFC Credit Facilities Directions 2025 (RBI/DOR/2025-26/347) ·</w:t>
      </w:r>
      <w:r>
        <w:t xml:space="preserve"> </w:t>
      </w:r>
      <w:r>
        <w:rPr>
          <w:bCs/>
          <w:b/>
        </w:rPr>
        <w:t xml:space="preserve">CIR</w:t>
      </w:r>
      <w:r>
        <w:t xml:space="preserve"> </w:t>
      </w:r>
      <w:r>
        <w:t xml:space="preserve">Credit Information Reporting Directions (349) ·</w:t>
      </w:r>
      <w:r>
        <w:t xml:space="preserve"> </w:t>
      </w:r>
      <w:r>
        <w:rPr>
          <w:bCs/>
          <w:b/>
        </w:rPr>
        <w:t xml:space="preserve">CYB</w:t>
      </w:r>
      <w:r>
        <w:t xml:space="preserve"> </w:t>
      </w:r>
      <w:r>
        <w:t xml:space="preserve">Cybersecurity, Technology Risk, Resilience and Assurance Directions (461) ·</w:t>
      </w:r>
      <w:r>
        <w:t xml:space="preserve"> </w:t>
      </w:r>
      <w:r>
        <w:rPr>
          <w:bCs/>
          <w:b/>
        </w:rPr>
        <w:t xml:space="preserve">CLA</w:t>
      </w:r>
      <w:r>
        <w:t xml:space="preserve"> </w:t>
      </w:r>
      <w:r>
        <w:t xml:space="preserve">co-lending arrangement ·</w:t>
      </w:r>
      <w:r>
        <w:t xml:space="preserve"> </w:t>
      </w:r>
      <w:r>
        <w:rPr>
          <w:bCs/>
          <w:b/>
        </w:rPr>
        <w:t xml:space="preserve">DLA</w:t>
      </w:r>
      <w:r>
        <w:t xml:space="preserve"> </w:t>
      </w:r>
      <w:r>
        <w:t xml:space="preserve">digital lending app ·</w:t>
      </w:r>
      <w:r>
        <w:t xml:space="preserve"> </w:t>
      </w:r>
      <w:r>
        <w:rPr>
          <w:bCs/>
          <w:b/>
        </w:rPr>
        <w:t xml:space="preserve">DLG</w:t>
      </w:r>
      <w:r>
        <w:t xml:space="preserve"> </w:t>
      </w:r>
      <w:r>
        <w:t xml:space="preserve">default loss guarantee ·</w:t>
      </w:r>
      <w:r>
        <w:t xml:space="preserve"> </w:t>
      </w:r>
      <w:r>
        <w:rPr>
          <w:bCs/>
          <w:b/>
        </w:rPr>
        <w:t xml:space="preserve">DP</w:t>
      </w:r>
      <w:r>
        <w:t xml:space="preserve"> </w:t>
      </w:r>
      <w:r>
        <w:t xml:space="preserve">drawing power (or depository participant) ·</w:t>
      </w:r>
      <w:r>
        <w:t xml:space="preserve"> </w:t>
      </w:r>
      <w:r>
        <w:rPr>
          <w:bCs/>
          <w:b/>
        </w:rPr>
        <w:t xml:space="preserve">DPDP</w:t>
      </w:r>
      <w:r>
        <w:t xml:space="preserve"> </w:t>
      </w:r>
      <w:r>
        <w:t xml:space="preserve">Digital Personal Data Protection Act 2023 and Rules 2025 ·</w:t>
      </w:r>
      <w:r>
        <w:t xml:space="preserve"> </w:t>
      </w:r>
      <w:r>
        <w:rPr>
          <w:bCs/>
          <w:b/>
        </w:rPr>
        <w:t xml:space="preserve">FAPI 2.0</w:t>
      </w:r>
      <w:r>
        <w:t xml:space="preserve"> </w:t>
      </w:r>
      <w:r>
        <w:t xml:space="preserve">OpenID Financial-grade API Security Profile ·</w:t>
      </w:r>
      <w:r>
        <w:t xml:space="preserve"> </w:t>
      </w:r>
      <w:r>
        <w:rPr>
          <w:bCs/>
          <w:b/>
        </w:rPr>
        <w:t xml:space="preserve">ICA</w:t>
      </w:r>
      <w:r>
        <w:t xml:space="preserve"> </w:t>
      </w:r>
      <w:r>
        <w:t xml:space="preserve">inter-creditor agreement ·</w:t>
      </w:r>
      <w:r>
        <w:t xml:space="preserve"> </w:t>
      </w:r>
      <w:r>
        <w:rPr>
          <w:bCs/>
          <w:b/>
        </w:rPr>
        <w:t xml:space="preserve">IRACP</w:t>
      </w:r>
      <w:r>
        <w:t xml:space="preserve"> </w:t>
      </w:r>
      <w:r>
        <w:t xml:space="preserve">Income Recognition, Asset Classification and Provisioning Directions (356) ·</w:t>
      </w:r>
      <w:r>
        <w:t xml:space="preserve"> </w:t>
      </w:r>
      <w:r>
        <w:rPr>
          <w:bCs/>
          <w:b/>
        </w:rPr>
        <w:t xml:space="preserve">KFS</w:t>
      </w:r>
      <w:r>
        <w:t xml:space="preserve"> </w:t>
      </w:r>
      <w:r>
        <w:t xml:space="preserve">Key Facts Statement ·</w:t>
      </w:r>
      <w:r>
        <w:t xml:space="preserve"> </w:t>
      </w:r>
      <w:r>
        <w:rPr>
          <w:bCs/>
          <w:b/>
        </w:rPr>
        <w:t xml:space="preserve">LAS, LAMF</w:t>
      </w:r>
      <w:r>
        <w:t xml:space="preserve"> </w:t>
      </w:r>
      <w:r>
        <w:t xml:space="preserve">loans against securities and mutual funds ·</w:t>
      </w:r>
      <w:r>
        <w:t xml:space="preserve"> </w:t>
      </w:r>
      <w:r>
        <w:rPr>
          <w:bCs/>
          <w:b/>
        </w:rPr>
        <w:t xml:space="preserve">LSP</w:t>
      </w:r>
      <w:r>
        <w:t xml:space="preserve"> </w:t>
      </w:r>
      <w:r>
        <w:t xml:space="preserve">lending service provider ·</w:t>
      </w:r>
      <w:r>
        <w:t xml:space="preserve"> </w:t>
      </w:r>
      <w:r>
        <w:rPr>
          <w:bCs/>
          <w:b/>
        </w:rPr>
        <w:t xml:space="preserve">ODR</w:t>
      </w:r>
      <w:r>
        <w:t xml:space="preserve"> </w:t>
      </w:r>
      <w:r>
        <w:t xml:space="preserve">online dispute resolution ·</w:t>
      </w:r>
      <w:r>
        <w:t xml:space="preserve"> </w:t>
      </w:r>
      <w:r>
        <w:rPr>
          <w:bCs/>
          <w:b/>
        </w:rPr>
        <w:t xml:space="preserve">OSCAL</w:t>
      </w:r>
      <w:r>
        <w:t xml:space="preserve"> </w:t>
      </w:r>
      <w:r>
        <w:t xml:space="preserve">NIST Open Security Controls Assessment Language ·</w:t>
      </w:r>
      <w:r>
        <w:t xml:space="preserve"> </w:t>
      </w:r>
      <w:r>
        <w:rPr>
          <w:bCs/>
          <w:b/>
        </w:rPr>
        <w:t xml:space="preserve">OUT</w:t>
      </w:r>
      <w:r>
        <w:t xml:space="preserve"> </w:t>
      </w:r>
      <w:r>
        <w:t xml:space="preserve">Managing Risks in Outsourcing Directions (363) ·</w:t>
      </w:r>
      <w:r>
        <w:t xml:space="preserve"> </w:t>
      </w:r>
      <w:r>
        <w:rPr>
          <w:bCs/>
          <w:b/>
        </w:rPr>
        <w:t xml:space="preserve">RBC</w:t>
      </w:r>
      <w:r>
        <w:t xml:space="preserve"> </w:t>
      </w:r>
      <w:r>
        <w:t xml:space="preserve">Responsible Business Conduct Directions (362) ·</w:t>
      </w:r>
      <w:r>
        <w:t xml:space="preserve"> </w:t>
      </w:r>
      <w:r>
        <w:rPr>
          <w:bCs/>
          <w:b/>
        </w:rPr>
        <w:t xml:space="preserve">RE</w:t>
      </w:r>
      <w:r>
        <w:t xml:space="preserve"> </w:t>
      </w:r>
      <w:r>
        <w:t xml:space="preserve">regulated entity ·</w:t>
      </w:r>
      <w:r>
        <w:t xml:space="preserve"> </w:t>
      </w:r>
      <w:r>
        <w:rPr>
          <w:bCs/>
          <w:b/>
        </w:rPr>
        <w:t xml:space="preserve">RS</w:t>
      </w:r>
      <w:r>
        <w:t xml:space="preserve"> </w:t>
      </w:r>
      <w:r>
        <w:t xml:space="preserve">Recovery, Litigation and ADR Suite ·</w:t>
      </w:r>
      <w:r>
        <w:t xml:space="preserve"> </w:t>
      </w:r>
      <w:r>
        <w:rPr>
          <w:bCs/>
          <w:b/>
        </w:rPr>
        <w:t xml:space="preserve">RSA</w:t>
      </w:r>
      <w:r>
        <w:t xml:space="preserve"> </w:t>
      </w:r>
      <w:r>
        <w:t xml:space="preserve">Resolution of Stressed Assets Directions (357) ·</w:t>
      </w:r>
      <w:r>
        <w:t xml:space="preserve"> </w:t>
      </w:r>
      <w:r>
        <w:rPr>
          <w:bCs/>
          <w:b/>
        </w:rPr>
        <w:t xml:space="preserve">RTA</w:t>
      </w:r>
      <w:r>
        <w:t xml:space="preserve"> </w:t>
      </w:r>
      <w:r>
        <w:t xml:space="preserve">registrar and transfer agent ·</w:t>
      </w:r>
      <w:r>
        <w:t xml:space="preserve"> </w:t>
      </w:r>
      <w:r>
        <w:rPr>
          <w:bCs/>
          <w:b/>
        </w:rPr>
        <w:t xml:space="preserve">SEC</w:t>
      </w:r>
      <w:r>
        <w:t xml:space="preserve"> </w:t>
      </w:r>
      <w:r>
        <w:t xml:space="preserve">Securitisation Transactions Directions (353) ·</w:t>
      </w:r>
      <w:r>
        <w:t xml:space="preserve"> </w:t>
      </w:r>
      <w:r>
        <w:rPr>
          <w:bCs/>
          <w:b/>
        </w:rPr>
        <w:t xml:space="preserve">TDCR</w:t>
      </w:r>
      <w:r>
        <w:t xml:space="preserve"> </w:t>
      </w:r>
      <w:r>
        <w:t xml:space="preserve">Transfer and Distribution of Credit Risk Directions (352) ·</w:t>
      </w:r>
      <w:r>
        <w:t xml:space="preserve"> </w:t>
      </w:r>
      <w:r>
        <w:rPr>
          <w:bCs/>
          <w:b/>
        </w:rPr>
        <w:t xml:space="preserve">TReDS</w:t>
      </w:r>
      <w:r>
        <w:t xml:space="preserve"> </w:t>
      </w:r>
      <w:r>
        <w:t xml:space="preserve">Trade Receivables Discounting System ·</w:t>
      </w:r>
      <w:r>
        <w:t xml:space="preserve"> </w:t>
      </w:r>
      <w:r>
        <w:rPr>
          <w:bCs/>
          <w:b/>
        </w:rPr>
        <w:t xml:space="preserve">Udolex</w:t>
      </w:r>
      <w:r>
        <w:t xml:space="preserve"> </w:t>
      </w:r>
      <w:r>
        <w:t xml:space="preserve">standalone Recovery Suite ·</w:t>
      </w:r>
      <w:r>
        <w:t xml:space="preserve"> </w:t>
      </w:r>
      <w:r>
        <w:rPr>
          <w:bCs/>
          <w:b/>
        </w:rPr>
        <w:t xml:space="preserve">OH</w:t>
      </w:r>
      <w:r>
        <w:t xml:space="preserve"> </w:t>
      </w:r>
      <w:r>
        <w:t xml:space="preserve">Infrabyx Operations Hub ·</w:t>
      </w:r>
      <w:r>
        <w:t xml:space="preserve"> </w:t>
      </w:r>
      <w:r>
        <w:rPr>
          <w:bCs/>
          <w:b/>
        </w:rPr>
        <w:t xml:space="preserve">CIC</w:t>
      </w:r>
      <w:r>
        <w:t xml:space="preserve"> </w:t>
      </w:r>
      <w:r>
        <w:t xml:space="preserve">credit information company (in this specification; core investment companies are</w:t>
      </w:r>
      <w:r>
        <w:t xml:space="preserve"> </w:t>
      </w:r>
      <w:r>
        <w:rPr>
          <w:rStyle w:val="VerbatimChar"/>
        </w:rPr>
        <w:t xml:space="preserve">CICD</w:t>
      </w:r>
      <w:r>
        <w:t xml:space="preserve">) ·</w:t>
      </w:r>
      <w:r>
        <w:t xml:space="preserve"> </w:t>
      </w:r>
      <w:r>
        <w:rPr>
          <w:bCs/>
          <w:b/>
        </w:rPr>
        <w:t xml:space="preserve">CICRA</w:t>
      </w:r>
      <w:r>
        <w:t xml:space="preserve"> </w:t>
      </w:r>
      <w:r>
        <w:t xml:space="preserve">Credit Information Companies (Regulation) Act 2005 ·</w:t>
      </w:r>
      <w:r>
        <w:t xml:space="preserve"> </w:t>
      </w:r>
      <w:r>
        <w:rPr>
          <w:bCs/>
          <w:b/>
        </w:rPr>
        <w:t xml:space="preserve">UCRF</w:t>
      </w:r>
      <w:r>
        <w:t xml:space="preserve"> </w:t>
      </w:r>
      <w:r>
        <w:t xml:space="preserve">Uniform Credit Reporting Format ·</w:t>
      </w:r>
      <w:r>
        <w:t xml:space="preserve"> </w:t>
      </w:r>
      <w:r>
        <w:rPr>
          <w:bCs/>
          <w:b/>
        </w:rPr>
        <w:t xml:space="preserve">JLG, SHG</w:t>
      </w:r>
      <w:r>
        <w:t xml:space="preserve"> </w:t>
      </w:r>
      <w:r>
        <w:t xml:space="preserve">joint liability group, self-help group ·</w:t>
      </w:r>
      <w:r>
        <w:t xml:space="preserve"> </w:t>
      </w:r>
      <w:r>
        <w:rPr>
          <w:bCs/>
          <w:b/>
        </w:rPr>
        <w:t xml:space="preserve">MSCS</w:t>
      </w:r>
      <w:r>
        <w:t xml:space="preserve"> </w:t>
      </w:r>
      <w:r>
        <w:t xml:space="preserve">Multi-State Co-operative Societies Act 2002 ·</w:t>
      </w:r>
      <w:r>
        <w:t xml:space="preserve"> </w:t>
      </w:r>
      <w:r>
        <w:rPr>
          <w:bCs/>
          <w:b/>
        </w:rPr>
        <w:t xml:space="preserve">SR</w:t>
      </w:r>
      <w:r>
        <w:t xml:space="preserve"> </w:t>
      </w:r>
      <w:r>
        <w:t xml:space="preserve">security receipt ·</w:t>
      </w:r>
      <w:r>
        <w:t xml:space="preserve"> </w:t>
      </w:r>
      <w:r>
        <w:rPr>
          <w:bCs/>
          <w:b/>
        </w:rPr>
        <w:t xml:space="preserve">SPE</w:t>
      </w:r>
      <w:r>
        <w:t xml:space="preserve"> </w:t>
      </w:r>
      <w:r>
        <w:t xml:space="preserve">special purpose entity ·</w:t>
      </w:r>
      <w:r>
        <w:t xml:space="preserve"> </w:t>
      </w:r>
      <w:r>
        <w:rPr>
          <w:bCs/>
          <w:b/>
        </w:rPr>
        <w:t xml:space="preserve">RB-IOS</w:t>
      </w:r>
      <w:r>
        <w:t xml:space="preserve"> </w:t>
      </w:r>
      <w:r>
        <w:t xml:space="preserve">RBI Ombudsman Scheme (2026 scheme from 1 July 2026) ·</w:t>
      </w:r>
      <w:r>
        <w:t xml:space="preserve"> </w:t>
      </w:r>
      <w:r>
        <w:rPr>
          <w:bCs/>
          <w:b/>
        </w:rPr>
        <w:t xml:space="preserve">BYOK, HYOK</w:t>
      </w:r>
      <w:r>
        <w:t xml:space="preserve"> </w:t>
      </w:r>
      <w:r>
        <w:t xml:space="preserve">bring or hold your own key ·</w:t>
      </w:r>
      <w:r>
        <w:t xml:space="preserve"> </w:t>
      </w:r>
      <w:r>
        <w:rPr>
          <w:bCs/>
          <w:b/>
        </w:rPr>
        <w:t xml:space="preserve">PCA</w:t>
      </w:r>
      <w:r>
        <w:t xml:space="preserve"> </w:t>
      </w:r>
      <w:r>
        <w:t xml:space="preserve">prompt corrective action.</w:t>
      </w:r>
    </w:p>
    <w:p>
      <w:r>
        <w:pict>
          <v:rect style="width:0;height:1.5pt" o:hralign="center" o:hrstd="t" o:hr="t"/>
        </w:pict>
      </w:r>
    </w:p>
    <w:bookmarkStart w:id="124" w:name="sources"/>
    <w:p>
      <w:pPr>
        <w:pStyle w:val="Heading2"/>
      </w:pPr>
      <w:r>
        <w:t xml:space="preserve">SOURCES</w:t>
      </w:r>
    </w:p>
    <w:p>
      <w:pPr>
        <w:pStyle w:val="FirstParagraph"/>
      </w:pPr>
      <w:r>
        <w:rPr>
          <w:bCs/>
          <w:b/>
        </w:rPr>
        <w:t xml:space="preserve">RBI Directions supplied by the project owner</w:t>
      </w:r>
      <w:r>
        <w:t xml:space="preserve"> </w:t>
      </w:r>
      <w:r>
        <w:t xml:space="preserve">(paragraphs checked against the texts in</w:t>
      </w:r>
      <w:r>
        <w:t xml:space="preserve"> </w:t>
      </w:r>
      <w:r>
        <w:rPr>
          <w:rStyle w:val="VerbatimChar"/>
        </w:rPr>
        <w:t xml:space="preserve">md/</w:t>
      </w:r>
      <w:r>
        <w:t xml:space="preserve"> </w:t>
      </w:r>
      <w:r>
        <w:t xml:space="preserve">and</w:t>
      </w:r>
      <w:r>
        <w:t xml:space="preserve"> </w:t>
      </w:r>
      <w:r>
        <w:rPr>
          <w:rStyle w:val="VerbatimChar"/>
        </w:rPr>
        <w:t xml:space="preserve">md2/</w:t>
      </w:r>
      <w:r>
        <w:t xml:space="preserve">): CF 347; CIR 349; TDCR 352; SEC 353; IRACP 356; RSA 357; RBC 362; OUT 363; KYC 361; CYB 461; FRM 463; CMP 460.</w:t>
      </w:r>
    </w:p>
    <w:p>
      <w:pPr>
        <w:pStyle w:val="BodyText"/>
      </w:pPr>
      <w:r>
        <w:rPr>
          <w:bCs/>
          <w:b/>
        </w:rPr>
        <w:t xml:space="preserve">Research notes (19 Oct 2026):</w:t>
      </w:r>
      <w:r>
        <w:t xml:space="preserve"> </w:t>
      </w:r>
      <w:r>
        <w:rPr>
          <w:rStyle w:val="VerbatimChar"/>
        </w:rPr>
        <w:t xml:space="preserve">v14/research_A_recovery_law.md</w:t>
      </w:r>
      <w:r>
        <w:t xml:space="preserve">,</w:t>
      </w:r>
      <w:r>
        <w:t xml:space="preserve"> </w:t>
      </w:r>
      <w:r>
        <w:rPr>
          <w:rStyle w:val="VerbatimChar"/>
        </w:rPr>
        <w:t xml:space="preserve">v14/research_B_adr_odr.md</w:t>
      </w:r>
      <w:r>
        <w:t xml:space="preserve">,</w:t>
      </w:r>
      <w:r>
        <w:t xml:space="preserve"> </w:t>
      </w:r>
      <w:r>
        <w:rPr>
          <w:rStyle w:val="VerbatimChar"/>
        </w:rPr>
        <w:t xml:space="preserve">v14/research_C_recovery_tech.md</w:t>
      </w:r>
      <w:r>
        <w:t xml:space="preserve">,</w:t>
      </w:r>
      <w:r>
        <w:t xml:space="preserve"> </w:t>
      </w:r>
      <w:r>
        <w:rPr>
          <w:rStyle w:val="VerbatimChar"/>
        </w:rPr>
        <w:t xml:space="preserve">v14/research_D_integration.md</w:t>
      </w:r>
      <w:r>
        <w:t xml:space="preserve"> </w:t>
      </w:r>
      <w:r>
        <w:t xml:space="preserve">(full case citations and URLs).</w:t>
      </w:r>
      <w:r>
        <w:t xml:space="preserve"> </w:t>
      </w:r>
      <w:r>
        <w:rPr>
          <w:bCs/>
          <w:b/>
        </w:rPr>
        <w:t xml:space="preserve">Owner files:</w:t>
      </w:r>
      <w:r>
        <w:t xml:space="preserve"> </w:t>
      </w:r>
      <w:r>
        <w:rPr>
          <w:rStyle w:val="VerbatimChar"/>
        </w:rPr>
        <w:t xml:space="preserve">v14in/las.txt</w:t>
      </w:r>
      <w:r>
        <w:t xml:space="preserve"> </w:t>
      </w:r>
      <w:r>
        <w:t xml:space="preserve">(LAS proposal, 15 Oct 2026; corrected in 7.3); Finbyx Master Prompt v1.3 (Parts 2, 5, 6, 9, 10, M14, M15, M21); Udofin Master Prompt v1.0 (Parts 2, 4, 5, 6, 9, 10, U18, U21).</w:t>
      </w:r>
    </w:p>
    <w:p>
      <w:pPr>
        <w:pStyle w:val="BodyText"/>
      </w:pPr>
      <w:r>
        <w:rPr>
          <w:bCs/>
          <w:b/>
        </w:rPr>
        <w:t xml:space="preserve">Standards:</w:t>
      </w:r>
      <w:r>
        <w:t xml:space="preserve"> </w:t>
      </w:r>
      <w:r>
        <w:t xml:space="preserve">CloudEvents 1.0.2; OpenAPI 3.1.1 and 3.2.0; AsyncAPI 3.0; JSON Schema 2020-12; Standard Webhooks; draft-ietf-httpapi-idempotency-key-header-07; RFC 9421, 9530, 9457, 9562, 7515, 7797, 8705, 7523, 9126, 9449, 8693, 9700, 7643, 7644, 8594, 9745; OAuth 2.1 draft; FAPI 2.0 Security Profile (Final, Feb 2025); NIST OSCAL v1.2.x; W3C Trace Context; OpenFeature.</w:t>
      </w:r>
    </w:p>
    <w:p>
      <w:pPr>
        <w:pStyle w:val="BodyText"/>
      </w:pPr>
      <w:r>
        <w:rPr>
          <w:bCs/>
          <w:b/>
        </w:rPr>
        <w:t xml:space="preserve">Market infrastructure:</w:t>
      </w:r>
      <w:r>
        <w:t xml:space="preserve"> </w:t>
      </w:r>
      <w:r>
        <w:t xml:space="preserve">NSDL pledge services; CDSL LAS and communiqué CDSL/OPS/DP/POLICY/2026/468; TReDS Directions 2026 (RBI/DPSS/2026-27/406); India Post CEPT SOP v6.1; TallyPrime XML reference; MetricStream, IBM OpenPages, ServiceNow IRM and Archer documentation; IBBI BAANKNET circulars; WhatsApp Business Messaging Policy.</w:t>
      </w:r>
    </w:p>
    <w:p>
      <w:pPr>
        <w:pStyle w:val="BodyText"/>
      </w:pPr>
      <w:r>
        <w:rPr>
          <w:bCs/>
          <w:b/>
        </w:rPr>
        <w:t xml:space="preserve">v1.1 (24 October 2026).</w:t>
      </w:r>
      <w:r>
        <w:t xml:space="preserve"> </w:t>
      </w:r>
      <w:r>
        <w:rPr>
          <w:bCs/>
          <w:b/>
        </w:rPr>
        <w:t xml:space="preserve">Products:</w:t>
      </w:r>
      <w:r>
        <w:t xml:space="preserve"> </w:t>
      </w:r>
      <w:r>
        <w:t xml:space="preserve">Finbyx Master Build Prompt v1.5 (Parts 7B–7L), Udofin Master Build Prompt v1.2 (Parts 7B–7H) and Infrabyx Operations Hub Master Build Prompt v1.0 (OH1–OH14).</w:t>
      </w:r>
      <w:r>
        <w:t xml:space="preserve"> </w:t>
      </w:r>
      <w:r>
        <w:rPr>
          <w:bCs/>
          <w:b/>
        </w:rPr>
        <w:t xml:space="preserve">RBI:</w:t>
      </w:r>
      <w:r>
        <w:t xml:space="preserve"> </w:t>
      </w:r>
      <w:r>
        <w:t xml:space="preserve">NBFC – Supervisory Returns Directions 2026 (RBI/DoS/2026-27/466, 31 July 2026); RBI (NBFC – Credit Information Reporting) Amendment Directions 2025 (RBI/DOR/2025-26/117, DoR.FIN.REC.No.324/20.16.056/2025-26, 4 December 2025, in force 1 July 2026) and RBI (Credit Information Companies) Amendment Directions 2025 (RBI/DOR/2025-26/119, DoR.FIN.REC.No.326/20.16.056/2025-26); MSD (PCA), GOV, CAP, ALM, CON, INV, ORM, IAF, SA, FS, MFI, SEC; Commercial Banks – Internal Audit Function Directions 2026 (RBI/DoS/2026-27/413); ARC Directions 2025; RBI Ombudsman Scheme 2026 (notified 16 January 2026, effective 1 July 2026); NBFC Internal Ombudsman Directions 2026; RBC Second Amendment (15 June 2026) and Third Amendment (RBI/2026-27/230); E-mandate Directions 2026 (RBI/DPSS/2026-27/396); Payment Aggregator Directions 2025.</w:t>
      </w:r>
      <w:r>
        <w:t xml:space="preserve"> </w:t>
      </w:r>
      <w:r>
        <w:rPr>
          <w:bCs/>
          <w:b/>
        </w:rPr>
        <w:t xml:space="preserve">Other law and standards:</w:t>
      </w:r>
      <w:r>
        <w:t xml:space="preserve"> </w:t>
      </w:r>
      <w:r>
        <w:t xml:space="preserve">CICRA 2005; Companies Act 2013 and Companies (Accounts) Rules; ICSI SS-1 and SS-2; SEBI LODR, PIT and AIF Regulations; IFSCA Finance Company and Fund Management Regulations; MSCS Act 2002 and Maharashtra Co-operative Societies Act 1960; BUDS Act 2019; Code on Wages, Industrial Relations Code, Code on Social Security, OSHWC Code and the Central Rules of 8 May 2026; Income-tax Act 2025; CGST Act 2017; DPDP Act 2023 and Rules 2025; CERT-In Directions (28 April 2022); TRAI TCCCPR 2018 and the 1600-series Direction (19 November 2025); Insurance Act 1938 and IRDAI intermediary regulations; BCI Rules Part VI Chapter II Rule 36; UCRF Consumer v3.74, Commercial v3.10 and MFI v3.3.1; MFIN Guardrails 2.0; PCI DSS v4.0.1; AICPA SOC 2 Trust Services Criteria; ISO/IEC 27001:2022 and ISO/IEC 27701:2025; Microsoft Graph</w:t>
      </w:r>
      <w:r>
        <w:t xml:space="preserve"> </w:t>
      </w:r>
      <w:r>
        <w:rPr>
          <w:rStyle w:val="VerbatimChar"/>
        </w:rPr>
        <w:t xml:space="preserve">Sites.Selected</w:t>
      </w:r>
      <w:r>
        <w:t xml:space="preserve">; AWS S3 Object Lock and KMS External Key Store; Azure immutable blob storage; Google Cloud Storage bucket lock; Razorpay webhook documentation; TallyPrime 7.0 integration reference; CloudEvents 1.0.2 extension-attribute naming rules.</w:t>
      </w:r>
    </w:p>
    <w:bookmarkEnd w:id="124"/>
    <w:bookmarkEnd w:id="125"/>
    <w:sectPr>
      <w:footerReference w:type="default" r:id="rId9"/>
      <w:pgSz w:h="16838" w:w="11906"/>
      <w:pgMar w:bottom="1134" w:left="1134" w:right="1134"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color w:val="666666"/>
        <w:sz w:val="16"/>
      </w:rPr>
      <w:t xml:space="preserve">Infrabyx — Ecosystem Integration Specification · v1.1 · Page </w:t>
    </w:r>
    <w:r>
      <w:rPr>
        <w:color w:val="666666"/>
        <w:sz w:val="16"/>
      </w:rPr>
      <w:fldChar w:fldCharType="begin"/>
    </w:r>
    <w:r>
      <w:rPr>
        <w:color w:val="666666"/>
        <w:sz w:val="16"/>
      </w:rPr>
      <w:instrText xml:space="preserve">PAGE</w:instrText>
    </w:r>
    <w:r>
      <w:rPr>
        <w:color w:val="666666"/>
        <w:sz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cs="Calibri" w:eastAsia="Calibri" w:hAnsi="Calibri"/>
      <w:sz w:val="21"/>
    </w:rPr>
  </w:style>
  <w:style w:styleId="BodyText" w:type="paragraph">
    <w:name w:val="Body Text"/>
    <w:basedOn w:val="Normal"/>
    <w:link w:val="BodyTextChar"/>
    <w:pPr>
      <w:spacing w:after="120" w:before="180"/>
    </w:pPr>
    <w:qFormat/>
    <w:rPr>
      <w:rFonts w:ascii="Calibri" w:cs="Calibri" w:eastAsia="Calibri" w:hAnsi="Calibri"/>
      <w:sz w:val="21"/>
    </w:rPr>
  </w:style>
  <w:style w:customStyle="1" w:styleId="FirstParagraph" w:type="paragraph">
    <w:name w:val="First Paragraph"/>
    <w:basedOn w:val="BodyText"/>
    <w:next w:val="BodyText"/>
    <w:qFormat/>
    <w:pPr>
      <w:spacing w:after="120"/>
    </w:pPr>
    <w:rPr>
      <w:rFonts w:ascii="Calibri" w:cs="Calibri" w:eastAsia="Calibri" w:hAnsi="Calibri"/>
      <w:sz w:val="21"/>
    </w:rPr>
  </w:style>
  <w:style w:customStyle="1" w:styleId="Compact" w:type="paragraph">
    <w:name w:val="Compact"/>
    <w:basedOn w:val="BodyText"/>
    <w:qFormat/>
    <w:pPr>
      <w:spacing w:after="36" w:before="36"/>
    </w:pPr>
    <w:rPr>
      <w:rFonts w:ascii="Calibri" w:cs="Calibri" w:eastAsia="Calibri" w:hAnsi="Calibri"/>
      <w:sz w:val="21"/>
    </w:rPr>
  </w:style>
  <w:style w:styleId="Title" w:type="paragraph">
    <w:name w:val="Title"/>
    <w:basedOn w:val="Normal"/>
    <w:next w:val="BodyText"/>
    <w:qFormat/>
    <w:pPr>
      <w:keepNext/>
      <w:keepLines/>
      <w:spacing w:after="240" w:before="480"/>
      <w:jc w:val="center"/>
    </w:pPr>
    <w:rPr>
      <w:rFonts w:ascii="Calibri" w:cs="Calibri" w:eastAsia="Calibri" w:hAnsi="Calibri"/>
      <w:b/>
      <w:bCs/>
      <w:color w:val="1F3A5F"/>
      <w:sz w:val="44"/>
      <w:szCs w:val="36"/>
    </w:rPr>
  </w:style>
  <w:style w:styleId="Subtitle" w:type="paragraph">
    <w:name w:val="Subtitle"/>
    <w:basedOn w:val="Title"/>
    <w:next w:val="BodyText"/>
    <w:qFormat/>
    <w:pPr>
      <w:keepNext/>
      <w:keepLines/>
      <w:spacing w:after="240" w:before="240"/>
      <w:jc w:val="center"/>
    </w:pPr>
    <w:rPr>
      <w:rFonts w:ascii="Calibri" w:cs="Calibri" w:eastAsia="Calibri" w:hAnsi="Calibri"/>
      <w:b/>
      <w:color w:val="1F3A5F"/>
      <w:sz w:val="26"/>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pBdr>
        <w:left w:color="1F3A5F" w:space="6" w:sz="18" w:val="single"/>
      </w:pBdr>
      <w:spacing w:after="100" w:before="100"/>
      <w:ind w:firstLine="0" w:left="480" w:right="480"/>
      <w:shd w:color="auto" w:fill="EAF1F8" w:val="clear"/>
    </w:pPr>
    <w:rPr>
      <w:rFonts w:ascii="Calibri" w:cs="Calibri" w:eastAsia="Calibri" w:hAnsi="Calibri"/>
      <w:i w:val="0"/>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rPr>
      <w:rFonts w:ascii="Consolas" w:hAnsi="Consolas" w:cs="Consolas"/>
      <w:sz w:val="17"/>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2026-10-24T06:42:42Z</dcterms:created>
  <dcterms:modified xsi:type="dcterms:W3CDTF">2026-10-24T06:42:42Z</dcterms:modified>
</cp:coreProperties>
</file>

<file path=docProps/custom.xml><?xml version="1.0" encoding="utf-8"?>
<Properties xmlns="http://schemas.openxmlformats.org/officeDocument/2006/custom-properties" xmlns:vt="http://schemas.openxmlformats.org/officeDocument/2006/docPropsVTypes"/>
</file>