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finbyx-phase-wise-claude-code-runbook"/>
    <w:p>
      <w:pPr>
        <w:pStyle w:val="Heading1"/>
      </w:pPr>
      <w:r>
        <w:t xml:space="preserve">FINBYX — Phase-wise Claude Code Runbook</w:t>
      </w:r>
    </w:p>
    <w:p>
      <w:pPr>
        <w:pStyle w:val="FirstParagraph"/>
      </w:pPr>
      <w:r>
        <w:rPr>
          <w:bCs/>
          <w:b/>
        </w:rPr>
        <w:t xml:space="preserve">Companion to the Finbyx Master Build Prompt v1.3</w:t>
      </w:r>
      <w:r>
        <w:t xml:space="preserve"> </w:t>
      </w:r>
      <w:r>
        <w:t xml:space="preserve">· 18 October 2026 · ready-to-paste instructions for every build phase</w:t>
      </w:r>
    </w:p>
    <w:p>
      <w:r>
        <w:pict>
          <v:rect style="width:0;height:1.5pt" o:hralign="center" o:hrstd="t" o:hr="t"/>
        </w:pict>
      </w:r>
    </w:p>
    <w:bookmarkStart w:id="20" w:name="how-to-use-this-runbook"/>
    <w:p>
      <w:pPr>
        <w:pStyle w:val="Heading2"/>
      </w:pPr>
      <w:r>
        <w:t xml:space="preserve">1. How to use this runbook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 Session 1:</w:t>
      </w:r>
      <w:r>
        <w:t xml:space="preserve"> </w:t>
      </w:r>
      <w:r>
        <w:t xml:space="preserve">commit the master prompt as</w:t>
      </w:r>
      <w:r>
        <w:t xml:space="preserve"> </w:t>
      </w:r>
      <w:r>
        <w:rPr>
          <w:rStyle w:val="VerbatimChar"/>
        </w:rPr>
        <w:t xml:space="preserve">docs/00-master-prompt.md</w:t>
      </w:r>
      <w:r>
        <w:t xml:space="preserve"> </w:t>
      </w:r>
      <w:r>
        <w:t xml:space="preserve">and the RBI PDFs to</w:t>
      </w:r>
      <w:r>
        <w:t xml:space="preserve"> </w:t>
      </w:r>
      <w:r>
        <w:rPr>
          <w:rStyle w:val="VerbatimChar"/>
        </w:rPr>
        <w:t xml:space="preserve">docs/regulations/rbi/</w:t>
      </w:r>
      <w:r>
        <w:t xml:space="preserve">. You can also commit this runbook as</w:t>
      </w:r>
      <w:r>
        <w:t xml:space="preserve"> </w:t>
      </w:r>
      <w:r>
        <w:rPr>
          <w:rStyle w:val="VerbatimChar"/>
        </w:rPr>
        <w:t xml:space="preserve">docs/01-phase-runbook.md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phase per session.</w:t>
      </w:r>
      <w:r>
        <w:t xml:space="preserve"> </w:t>
      </w:r>
      <w:r>
        <w:t xml:space="preserve">Start a fresh Claude Code session for each phase or sub-module, and paste only that phase’s block.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Each block is self-contained.</w:t>
      </w:r>
      <w:r>
        <w:t xml:space="preserve"> </w:t>
      </w:r>
      <w:r>
        <w:t xml:space="preserve">It already includes:</w:t>
      </w:r>
    </w:p>
    <w:p>
      <w:pPr>
        <w:numPr>
          <w:ilvl w:val="1"/>
          <w:numId w:val="1002"/>
        </w:numPr>
        <w:pStyle w:val="Compact"/>
      </w:pPr>
      <w:r>
        <w:t xml:space="preserve">the Part 12 instruction;</w:t>
      </w:r>
    </w:p>
    <w:p>
      <w:pPr>
        <w:numPr>
          <w:ilvl w:val="1"/>
          <w:numId w:val="1002"/>
        </w:numPr>
        <w:pStyle w:val="Compact"/>
      </w:pPr>
      <w:r>
        <w:t xml:space="preserve">the v1.3 regulatory additions from Part 8A.36.4;</w:t>
      </w:r>
    </w:p>
    <w:p>
      <w:pPr>
        <w:numPr>
          <w:ilvl w:val="1"/>
          <w:numId w:val="1002"/>
        </w:numPr>
        <w:pStyle w:val="Compact"/>
      </w:pPr>
      <w:r>
        <w:t xml:space="preserve">the standard closing that makes Claude Code list the REQ-IDs, write the specification and stop for your approval before coding.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Approve, then build.</w:t>
      </w:r>
      <w:r>
        <w:t xml:space="preserve"> </w:t>
      </w:r>
      <w:r>
        <w:t xml:space="preserve">Read the specification, reply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(or give changes), and let Claude Code build, test and open the pull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the review gate</w:t>
      </w:r>
      <w:r>
        <w:t xml:space="preserve"> </w:t>
      </w:r>
      <w:r>
        <w:t xml:space="preserve">(the checklist under each phase) before merging. Use prompt U6 in Section 4 to have Claude Code run it for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phases:</w:t>
      </w:r>
      <w:r>
        <w:t xml:space="preserve"> </w:t>
      </w:r>
      <w:r>
        <w:t xml:space="preserve">use the sub-module split shown for the phase. Paste the full block once, then use prompt U1 for each sub-module.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Order:</w:t>
      </w:r>
      <w:r>
        <w:t xml:space="preserve"> </w:t>
      </w:r>
      <w:r>
        <w:t xml:space="preserve">0 → 1 → 2 → 3 → 3b → 4 → 5 → 6 → 7 → 8 → 8b → 8c → 9 → 10 → 11 → 12 → 13 → 14 → 15 → P → 16 → 17 → 18 → 19 → 20. Do not start a phase until the phases it depends on are merged.</w:t>
      </w:r>
    </w:p>
    <w:p>
      <w:r>
        <w:pict>
          <v:rect style="width:0;height:1.5pt" o:hralign="center" o:hrstd="t" o:hr="t"/>
        </w:pict>
      </w:r>
    </w:p>
    <w:bookmarkEnd w:id="20"/>
    <w:bookmarkStart w:id="21" w:name="X4b722bfc7ee39314e881b4ce025baae87bb129b"/>
    <w:p>
      <w:pPr>
        <w:pStyle w:val="Heading2"/>
      </w:pPr>
      <w:r>
        <w:t xml:space="preserve">2. Standard closing (already included in every block)</w:t>
      </w:r>
    </w:p>
    <w:p>
      <w:pPr>
        <w:pStyle w:val="SourceCode"/>
      </w:pP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docs/specs/phase-&lt;n&gt;-&lt;name&gt;.md: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&lt;branch&gt; in small commits; run unit, integration, tenant-isolation and security tests; update the regulatory register, docs/status and the ADRs; open a PR with the test output pasted. Never claim a test passed unless you ran it.</w:t>
      </w:r>
    </w:p>
    <w:p>
      <w:r>
        <w:pict>
          <v:rect style="width:0;height:1.5pt" o:hralign="center" o:hrstd="t" o:hr="t"/>
        </w:pict>
      </w:r>
    </w:p>
    <w:bookmarkEnd w:id="21"/>
    <w:bookmarkStart w:id="47" w:name="phase-instructions"/>
    <w:p>
      <w:pPr>
        <w:pStyle w:val="Heading2"/>
      </w:pPr>
      <w:r>
        <w:t xml:space="preserve">3. Phase instructions</w:t>
      </w:r>
    </w:p>
    <w:bookmarkStart w:id="22" w:name="X9c0ddc9339227ee95af308bbf94e6e6f57e199a"/>
    <w:p>
      <w:pPr>
        <w:pStyle w:val="Heading3"/>
      </w:pPr>
      <w:r>
        <w:t xml:space="preserve">Phase 0 — Repository audit and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Verified repo facts; audit of the current Finbyx product; competitor benchmark; architecture proposal; ADRs; Fineract adoption decision; regulatory register v1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nothing (first phase)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feat/repo-baseline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Read docs/00-master-prompt.md in full, then execute Part 13 (Phase 0 only).</w:t>
      </w:r>
      <w:r>
        <w:br/>
      </w:r>
      <w:r>
        <w:br/>
      </w:r>
      <w:r>
        <w:rPr>
          <w:rStyle w:val="VerbatimChar"/>
        </w:rPr>
        <w:t xml:space="preserve">In addition to the Phase 0 instruction in Part 12:</w:t>
      </w:r>
      <w:r>
        <w:br/>
      </w:r>
      <w:r>
        <w:rPr>
          <w:rStyle w:val="VerbatimChar"/>
        </w:rPr>
        <w:t xml:space="preserve">- seed docs/regulations/errata.md from Appendix F;</w:t>
      </w:r>
      <w:r>
        <w:br/>
      </w:r>
      <w:r>
        <w:rPr>
          <w:rStyle w:val="VerbatimChar"/>
        </w:rPr>
        <w:t xml:space="preserve">- store the RBI PDFs in docs/regulations/rbi/ and record each file's SHA-256 hash and "updated as on" date in docs/regulations/index.md (Part 8A.0.1).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ADR on V-CIP hosting: tenant-exclusive owned/leased storage (cloud allowed), immediate transfer of recordings, vendor retains no data (KYC 27(1)(i)). Add the tenant's s.11A PML Act notification status (Aadhaar e-KYC authentication) to the Appendix B item 4 decision [KYC]</w:t>
      </w:r>
      <w:r>
        <w:br/>
      </w:r>
      <w:r>
        <w:rPr>
          <w:rStyle w:val="VerbatimChar"/>
        </w:rPr>
        <w:t xml:space="preserve">- ADR classifying Finbyx under OUT for each deployment model and each tenant layer (BL → CYB Ch III/IV; CYB 117 residual) (OUT 3(2), 5, 58). Standard MSA/DPA clause matrix against OUT 34, 74, 87–88 and 97(xvi). Add GOV, OUT and ORM to regulatory register v1, with ORM marked "guidance" [GOV / OUT / ORM]</w:t>
      </w:r>
      <w:r>
        <w:br/>
      </w:r>
      <w:r>
        <w:br/>
      </w:r>
      <w:r>
        <w:rPr>
          <w:rStyle w:val="VerbatimChar"/>
        </w:rPr>
        <w:t xml:space="preserve">Present everything for my approval before modifying the repository.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4"/>
        </w:numPr>
        <w:pStyle w:val="Compact"/>
      </w:pPr>
      <w:r>
        <w:t xml:space="preserve">☐ Every Part 8A requirement is in regulatory register v1 with its REQ-ID; the count per code matches Part 8A (8A.1–8A.35).</w:t>
      </w:r>
    </w:p>
    <w:p>
      <w:pPr>
        <w:numPr>
          <w:ilvl w:val="0"/>
          <w:numId w:val="1004"/>
        </w:numPr>
        <w:pStyle w:val="Compact"/>
      </w:pPr>
      <w:r>
        <w:t xml:space="preserve">☐ Every [VERIFY] item is mapped to the phase that will verify it.</w:t>
      </w:r>
    </w:p>
    <w:p>
      <w:pPr>
        <w:numPr>
          <w:ilvl w:val="0"/>
          <w:numId w:val="1004"/>
        </w:numPr>
        <w:pStyle w:val="Compact"/>
      </w:pPr>
      <w:r>
        <w:t xml:space="preserve">☐ The data-residency check covers every host and SaaS sub-processor; nothing outside India holds real data.</w:t>
      </w:r>
    </w:p>
    <w:p>
      <w:pPr>
        <w:numPr>
          <w:ilvl w:val="0"/>
          <w:numId w:val="1004"/>
        </w:numPr>
        <w:pStyle w:val="Compact"/>
      </w:pPr>
      <w:r>
        <w:t xml:space="preserve">☐ ADRs exist for Fineract adoption, V-CIP hosting (KYC 27(1)(i)) and the outsourcing classification of Finbyx (OUT).</w:t>
      </w:r>
    </w:p>
    <w:p>
      <w:pPr>
        <w:numPr>
          <w:ilvl w:val="0"/>
          <w:numId w:val="1004"/>
        </w:numPr>
        <w:pStyle w:val="Compact"/>
      </w:pPr>
      <w:r>
        <w:t xml:space="preserve">☐ You have answered the Appendix B decisions, or recorded a date for each.</w:t>
      </w:r>
    </w:p>
    <w:p>
      <w:pPr>
        <w:numPr>
          <w:ilvl w:val="0"/>
          <w:numId w:val="1004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2"/>
    <w:bookmarkStart w:id="23" w:name="phase-1-platform-foundation"/>
    <w:p>
      <w:pPr>
        <w:pStyle w:val="Heading3"/>
      </w:pPr>
      <w:r>
        <w:t xml:space="preserve">Phase 1 — Platform foundation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Monorepo, CI/CD, environments, auth abstraction, design system, observability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feat/platform-foundation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 — Platform foundation. Governing brief: docs/00-master-prompt.md (Part 12, Phase 1; Part 8A prevails on regulatory points).</w:t>
      </w:r>
      <w:r>
        <w:br/>
      </w:r>
      <w:r>
        <w:br/>
      </w:r>
      <w:r>
        <w:rPr>
          <w:rStyle w:val="VerbatimChar"/>
        </w:rPr>
        <w:t xml:space="preserve">On branch `feat/platform-foundation`, initialise the approved monorepo. Set up:</w:t>
      </w:r>
      <w:r>
        <w:br/>
      </w:r>
      <w:r>
        <w:br/>
      </w:r>
      <w:r>
        <w:rPr>
          <w:rStyle w:val="VerbatimChar"/>
        </w:rPr>
        <w:t xml:space="preserve">- pnpm + Turborepo, TypeScript strict, ESLint/Prettier;</w:t>
      </w:r>
      <w:r>
        <w:br/>
      </w:r>
      <w:r>
        <w:rPr>
          <w:rStyle w:val="VerbatimChar"/>
        </w:rPr>
        <w:t xml:space="preserve">- the `apps/web` (Next.js), `apps/api` (NestJS) and `apps/worker` skeletons;</w:t>
      </w:r>
      <w:r>
        <w:br/>
      </w:r>
      <w:r>
        <w:rPr>
          <w:rStyle w:val="VerbatimChar"/>
        </w:rPr>
        <w:t xml:space="preserve">- the `packages/` for contracts, domain-kernel (money, dates, IDs), ui (design tokens + shadcn), config and testing;</w:t>
      </w:r>
      <w:r>
        <w:br/>
      </w:r>
      <w:r>
        <w:rPr>
          <w:rStyle w:val="VerbatimChar"/>
        </w:rPr>
        <w:t xml:space="preserve">- Docker Compose for local Postgres, Temporal and Gotenberg;</w:t>
      </w:r>
      <w:r>
        <w:br/>
      </w:r>
      <w:r>
        <w:rPr>
          <w:rStyle w:val="VerbatimChar"/>
        </w:rPr>
        <w:t xml:space="preserve">- GitHub Actions CI (lint, typecheck, test, build, secret scan, dependency scan);</w:t>
      </w:r>
      <w:r>
        <w:br/>
      </w:r>
      <w:r>
        <w:rPr>
          <w:rStyle w:val="VerbatimChar"/>
        </w:rPr>
        <w:t xml:space="preserve">- `.env.example` files;</w:t>
      </w:r>
      <w:r>
        <w:br/>
      </w:r>
      <w:r>
        <w:rPr>
          <w:rStyle w:val="VerbatimChar"/>
        </w:rPr>
        <w:t xml:space="preserve">- an OpenTelemetry baseline, with PII scrubbing and India-resident error tracking per the ADR;</w:t>
      </w:r>
      <w:r>
        <w:br/>
      </w:r>
      <w:r>
        <w:rPr>
          <w:rStyle w:val="VerbatimChar"/>
        </w:rPr>
        <w:t xml:space="preserve">- Storybook.</w:t>
      </w:r>
      <w:r>
        <w:br/>
      </w:r>
      <w:r>
        <w:br/>
      </w:r>
      <w:r>
        <w:rPr>
          <w:rStyle w:val="VerbatimChar"/>
        </w:rPr>
        <w:t xml:space="preserve">Implement the domain-kernel `Money` and `Rate` types on decimal.js (precision ≥ 40, explicit rounding policies), with property-based tests. Build no business features yet. Open a PR with the test output.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docs/specs/phase-1-platform-foundation.md: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feat/platform-foundation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6"/>
        </w:numPr>
        <w:pStyle w:val="Compact"/>
      </w:pPr>
      <w:r>
        <w:t xml:space="preserve">☐ CI is green on the PR, including the secret scan and dependency scan.</w:t>
      </w:r>
    </w:p>
    <w:p>
      <w:pPr>
        <w:numPr>
          <w:ilvl w:val="0"/>
          <w:numId w:val="1006"/>
        </w:numPr>
        <w:pStyle w:val="Compact"/>
      </w:pPr>
      <w:r>
        <w:t xml:space="preserve">☐ Money and Rate property-based tests pass; no float arithmetic anywhere.</w:t>
      </w:r>
    </w:p>
    <w:p>
      <w:pPr>
        <w:numPr>
          <w:ilvl w:val="0"/>
          <w:numId w:val="1006"/>
        </w:numPr>
        <w:pStyle w:val="Compact"/>
      </w:pPr>
      <w:r>
        <w:t xml:space="preserve">☐ No business features were built.</w:t>
      </w:r>
    </w:p>
    <w:p>
      <w:pPr>
        <w:numPr>
          <w:ilvl w:val="0"/>
          <w:numId w:val="1006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3"/>
    <w:bookmarkStart w:id="24" w:name="phase-2-database-tenancy-and-security"/>
    <w:p>
      <w:pPr>
        <w:pStyle w:val="Heading3"/>
      </w:pPr>
      <w:r>
        <w:t xml:space="preserve">Phase 2 — Database, tenancy and security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Tenant/entity/branch model, RBAC/ABAC, enforced RLS, audit events, maker-checker framework, isolation tests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feat/db-tenancy-security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2 — Database, tenancy and security. Governing brief: docs/00-master-prompt.md (Part 12, Phase 2; Part 8A prevails on regulatory points).</w:t>
      </w:r>
      <w:r>
        <w:br/>
      </w:r>
      <w:r>
        <w:br/>
      </w:r>
      <w:r>
        <w:rPr>
          <w:rStyle w:val="VerbatimChar"/>
        </w:rPr>
        <w:t xml:space="preserve">Design and create the migrations for:</w:t>
      </w:r>
      <w:r>
        <w:br/>
      </w:r>
      <w:r>
        <w:br/>
      </w:r>
      <w:r>
        <w:rPr>
          <w:rStyle w:val="VerbatimChar"/>
        </w:rPr>
        <w:t xml:space="preserve">- tenants, legal_entities, branches (hierarchy), users, roles, permissions, role_permissions, user_scopes (entity/branch/product/amount limits);</w:t>
      </w:r>
      <w:r>
        <w:br/>
      </w:r>
      <w:r>
        <w:rPr>
          <w:rStyle w:val="VerbatimChar"/>
        </w:rPr>
        <w:t xml:space="preserve">- maker_checker_requests;</w:t>
      </w:r>
      <w:r>
        <w:br/>
      </w:r>
      <w:r>
        <w:rPr>
          <w:rStyle w:val="VerbatimChar"/>
        </w:rPr>
        <w:t xml:space="preserve">- audit_events (hash-chained);</w:t>
      </w:r>
      <w:r>
        <w:br/>
      </w:r>
      <w:r>
        <w:rPr>
          <w:rStyle w:val="VerbatimChar"/>
        </w:rPr>
        <w:t xml:space="preserve">- consent_records;</w:t>
      </w:r>
      <w:r>
        <w:br/>
      </w:r>
      <w:r>
        <w:rPr>
          <w:rStyle w:val="VerbatimChar"/>
        </w:rPr>
        <w:t xml:space="preserve">- idempotency_keys;</w:t>
      </w:r>
      <w:r>
        <w:br/>
      </w:r>
      <w:r>
        <w:rPr>
          <w:rStyle w:val="VerbatimChar"/>
        </w:rPr>
        <w:t xml:space="preserve">- outbox_events.</w:t>
      </w:r>
      <w:r>
        <w:br/>
      </w:r>
      <w:r>
        <w:br/>
      </w:r>
      <w:r>
        <w:rPr>
          <w:rStyle w:val="VerbatimChar"/>
        </w:rPr>
        <w:t xml:space="preserve">Implement:</w:t>
      </w:r>
      <w:r>
        <w:br/>
      </w:r>
      <w:r>
        <w:br/>
      </w:r>
      <w:r>
        <w:rPr>
          <w:rStyle w:val="VerbatimChar"/>
        </w:rPr>
        <w:t xml:space="preserve">- server-side authorisation (RBAC + ABAC);</w:t>
      </w:r>
      <w:r>
        <w:br/>
      </w:r>
      <w:r>
        <w:rPr>
          <w:rStyle w:val="VerbatimChar"/>
        </w:rPr>
        <w:t xml:space="preserve">- Postgres RLS on every tenant-scoped table, enforced:</w:t>
      </w:r>
      <w:r>
        <w:br/>
      </w:r>
      <w:r>
        <w:rPr>
          <w:rStyle w:val="VerbatimChar"/>
        </w:rPr>
        <w:t xml:space="preserve">  - the API connects as a non-owner role without BYPASSRLS;</w:t>
      </w:r>
      <w:r>
        <w:br/>
      </w:r>
      <w:r>
        <w:rPr>
          <w:rStyle w:val="VerbatimChar"/>
        </w:rPr>
        <w:t xml:space="preserve">  - every tenant table uses `ALTER TABLE … FORCE ROW LEVEL SECURITY`;</w:t>
      </w:r>
      <w:r>
        <w:br/>
      </w:r>
      <w:r>
        <w:rPr>
          <w:rStyle w:val="VerbatimChar"/>
        </w:rPr>
        <w:t xml:space="preserve">  - tenant, entity and branch context is set with `SET LOCAL` / `set_config(…, true)` inside every transaction, so it works with transaction pooling;</w:t>
      </w:r>
      <w:r>
        <w:br/>
      </w:r>
      <w:r>
        <w:rPr>
          <w:rStyle w:val="VerbatimChar"/>
        </w:rPr>
        <w:t xml:space="preserve">- the auth abstraction over Supabase Auth, with MFA for staff;</w:t>
      </w:r>
      <w:r>
        <w:br/>
      </w:r>
      <w:r>
        <w:rPr>
          <w:rStyle w:val="VerbatimChar"/>
        </w:rPr>
        <w:t xml:space="preserve">- the generic maker-checker framework.</w:t>
      </w:r>
      <w:r>
        <w:br/>
      </w:r>
      <w:r>
        <w:br/>
      </w:r>
      <w:r>
        <w:rPr>
          <w:rStyle w:val="VerbatimChar"/>
        </w:rPr>
        <w:t xml:space="preserve">Write tenant-isolation and privilege-escalation tests that try to read and write across tenants, entities and branches, and prove they fail. Include a test proving that a query run without tenant context returns zero rows. Report results.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Extended entity_regulatory_profile and group tables (Part 8A.25) [CAP / SBR / DIV / MISC]</w:t>
      </w:r>
      <w:r>
        <w:br/>
      </w:r>
      <w:r>
        <w:rPr>
          <w:rStyle w:val="VerbatimChar"/>
        </w:rPr>
        <w:t xml:space="preserve">- Tenant-controlled keys (BYOK/HYOK, KMS/HSM) (OUT 97(vii)(b)). Break-glass access workflow with tenant-visible logs (OUT 24, 70). Tenant-isolation test suite (OUT 70, 97(vii)(c)). MFA and role-conflict matrix (OUT 97(viii)) [GOV / OUT / ORM]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docs/specs/phase-2-db-tenancy-security.md: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feat/db-tenancy-security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8"/>
        </w:numPr>
        <w:pStyle w:val="Compact"/>
      </w:pPr>
      <w:r>
        <w:t xml:space="preserve">☐ Cross-tenant, cross-entity and cross-branch read/write tests all fail as intended.</w:t>
      </w:r>
    </w:p>
    <w:p>
      <w:pPr>
        <w:numPr>
          <w:ilvl w:val="0"/>
          <w:numId w:val="1008"/>
        </w:numPr>
        <w:pStyle w:val="Compact"/>
      </w:pPr>
      <w:r>
        <w:t xml:space="preserve">☐ A query without tenant context returns zero rows; the API role has no BYPASSRLS.</w:t>
      </w:r>
    </w:p>
    <w:p>
      <w:pPr>
        <w:numPr>
          <w:ilvl w:val="0"/>
          <w:numId w:val="1008"/>
        </w:numPr>
        <w:pStyle w:val="Compact"/>
      </w:pPr>
      <w:r>
        <w:t xml:space="preserve">☐ The audit-event hash chain verifies end to end.</w:t>
      </w:r>
    </w:p>
    <w:p>
      <w:pPr>
        <w:numPr>
          <w:ilvl w:val="0"/>
          <w:numId w:val="1008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4"/>
    <w:bookmarkStart w:id="25" w:name="Xea000e7460edf905a4ad3293ca7fd6ff6f227b2"/>
    <w:p>
      <w:pPr>
        <w:pStyle w:val="Heading3"/>
      </w:pPr>
      <w:r>
        <w:t xml:space="preserve">Phase 3 — Masters, configuration and product factory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Org hierarchy, calendars, masters, product factory, charges, rule packs, workflow designer v1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feat/masters-product-factory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3 — Masters, configuration and product factory. Governing brief: docs/00-master-prompt.md (Part 12, Phase 3;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org hierarchy, holiday calendars and business-date management;</w:t>
      </w:r>
      <w:r>
        <w:br/>
      </w:r>
      <w:r>
        <w:rPr>
          <w:rStyle w:val="VerbatimChar"/>
        </w:rPr>
        <w:t xml:space="preserve">- masters (pincode, IFSC, purpose and sector codes, reason codes, NACH return codes as configurable data);</w:t>
      </w:r>
      <w:r>
        <w:br/>
      </w:r>
      <w:r>
        <w:rPr>
          <w:rStyle w:val="VerbatimChar"/>
        </w:rPr>
        <w:t xml:space="preserve">- the product factory implementing every Fineract-equivalent parameter in Part 4.2A, with validation guard-rails from the regulatory rule packs (Part 10.2 #24);</w:t>
      </w:r>
      <w:r>
        <w:br/>
      </w:r>
      <w:r>
        <w:rPr>
          <w:rStyle w:val="VerbatimChar"/>
        </w:rPr>
        <w:t xml:space="preserve">- the charges engine with GST profiles, including the penal-charge GST flag;</w:t>
      </w:r>
      <w:r>
        <w:br/>
      </w:r>
      <w:r>
        <w:rPr>
          <w:rStyle w:val="VerbatimChar"/>
        </w:rPr>
        <w:t xml:space="preserve">- effective-dated versioning and maker-checker for all configuration.</w:t>
      </w:r>
      <w:r>
        <w:br/>
      </w:r>
      <w:r>
        <w:br/>
      </w:r>
      <w:r>
        <w:rPr>
          <w:rStyle w:val="VerbatimChar"/>
        </w:rPr>
        <w:t xml:space="preserve">Produce the product specification template `docs/products/_template.md` and the first two product specs (Personal Loan, MSME Term Loan) for my approval.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CRO vetting step in the product factory (GOV 23). ORM 47 heads in product approval. Service-provider and MFI declarations in templates (OUT 55–56) [GOV / OUT / ORM]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docs/specs/phase-3-masters-product-factory.md: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feat/masters-product-factory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0"/>
        </w:numPr>
        <w:pStyle w:val="Compact"/>
      </w:pPr>
      <w:r>
        <w:t xml:space="preserve">☐ The product factory rejects any parameter that breaches a rule-pack guard-rail.</w:t>
      </w:r>
    </w:p>
    <w:p>
      <w:pPr>
        <w:numPr>
          <w:ilvl w:val="0"/>
          <w:numId w:val="1010"/>
        </w:numPr>
        <w:pStyle w:val="Compact"/>
      </w:pPr>
      <w:r>
        <w:t xml:space="preserve">☐ Every configuration change is effective-dated and passes maker-checker.</w:t>
      </w:r>
    </w:p>
    <w:p>
      <w:pPr>
        <w:numPr>
          <w:ilvl w:val="0"/>
          <w:numId w:val="1010"/>
        </w:numPr>
        <w:pStyle w:val="Compact"/>
      </w:pPr>
      <w:r>
        <w:t xml:space="preserve">☐ The Personal Loan and MSME Term Loan product specs are approved.</w:t>
      </w:r>
    </w:p>
    <w:p>
      <w:pPr>
        <w:numPr>
          <w:ilvl w:val="0"/>
          <w:numId w:val="1010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5"/>
    <w:bookmarkStart w:id="26" w:name="phase-3b-communications-foundation"/>
    <w:p>
      <w:pPr>
        <w:pStyle w:val="Heading3"/>
      </w:pPr>
      <w:r>
        <w:t xml:space="preserve">Phase 3b — Communications foundation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M18 templates, DLT/WhatsApp/email channels, consent and preference store, contact-policy engine skeleton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feat/communications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3b — Communications foundation. Governing brief: docs/00-master-prompt.md (Part 12, Phase 3b; Part 8A prevails on regulatory points).</w:t>
      </w:r>
      <w:r>
        <w:br/>
      </w:r>
      <w:r>
        <w:br/>
      </w:r>
      <w:r>
        <w:rPr>
          <w:rStyle w:val="VerbatimChar"/>
        </w:rPr>
        <w:t xml:space="preserve">Build the M18 foundation:</w:t>
      </w:r>
      <w:r>
        <w:br/>
      </w:r>
      <w:r>
        <w:br/>
      </w:r>
      <w:r>
        <w:rPr>
          <w:rStyle w:val="VerbatimChar"/>
        </w:rPr>
        <w:t xml:space="preserve">- multilingual, versioned template management with approval workflow and DLT template IDs;</w:t>
      </w:r>
      <w:r>
        <w:br/>
      </w:r>
      <w:r>
        <w:rPr>
          <w:rStyle w:val="VerbatimChar"/>
        </w:rPr>
        <w:t xml:space="preserve">- SMS (DLT), WhatsApp Business Cloud API and email adapters (mock + sandbox);</w:t>
      </w:r>
      <w:r>
        <w:br/>
      </w:r>
      <w:r>
        <w:rPr>
          <w:rStyle w:val="VerbatimChar"/>
        </w:rPr>
        <w:t xml:space="preserve">- consent, preference and DND store;</w:t>
      </w:r>
      <w:r>
        <w:br/>
      </w:r>
      <w:r>
        <w:rPr>
          <w:rStyle w:val="VerbatimChar"/>
        </w:rPr>
        <w:t xml:space="preserve">- the effective-dated contact-policy engine, with separate recovery and sales/marketing windows (Part 7, M8 and M18).</w:t>
      </w:r>
      <w:r>
        <w:br/>
      </w:r>
      <w:r>
        <w:br/>
      </w:r>
      <w:r>
        <w:rPr>
          <w:rStyle w:val="VerbatimChar"/>
        </w:rPr>
        <w:t xml:space="preserve">Later phases (KFS delivery, reminders, default intimation, collections) must use this module, not their own messaging code.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Language preference store; block dispatch when no approved vernacular template exists (RBC 10)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docs/specs/phase-3b-communications.md: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feat/communications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2"/>
        </w:numPr>
        <w:pStyle w:val="Compact"/>
      </w:pPr>
      <w:r>
        <w:t xml:space="preserve">☐ No other module sends messages directly; everything goes through M18.</w:t>
      </w:r>
    </w:p>
    <w:p>
      <w:pPr>
        <w:numPr>
          <w:ilvl w:val="0"/>
          <w:numId w:val="1012"/>
        </w:numPr>
        <w:pStyle w:val="Compact"/>
      </w:pPr>
      <w:r>
        <w:t xml:space="preserve">☐ The contact-policy engine blocks a recovery contact outside the permitted window.</w:t>
      </w:r>
    </w:p>
    <w:p>
      <w:pPr>
        <w:numPr>
          <w:ilvl w:val="0"/>
          <w:numId w:val="1012"/>
        </w:numPr>
        <w:pStyle w:val="Compact"/>
      </w:pPr>
      <w:r>
        <w:t xml:space="preserve">☐ SMS cannot be sent without a DLT template ID.</w:t>
      </w:r>
    </w:p>
    <w:p>
      <w:pPr>
        <w:numPr>
          <w:ilvl w:val="0"/>
          <w:numId w:val="1012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6"/>
    <w:bookmarkStart w:id="27" w:name="phase-4-ledger-and-accounting-core"/>
    <w:p>
      <w:pPr>
        <w:pStyle w:val="Heading3"/>
      </w:pPr>
      <w:r>
        <w:t xml:space="preserve">Phase 4 — Ledger and accounting core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CoA, journal engine, posting rules (including Ind AS deferred-fee postings), period close, trial balance — before any loan money moves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feat/ledger-core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chart of accounts and journal engine; posting rules (including Ind AS deferred fees); period close and trial balance.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4 — Ledger and accounting core. Governing brief: docs/00-master-prompt.md (Part 12, Phase 4; Part 8A prevails on regulatory points).</w:t>
      </w:r>
      <w:r>
        <w:br/>
      </w:r>
      <w:r>
        <w:br/>
      </w:r>
      <w:r>
        <w:rPr>
          <w:rStyle w:val="VerbatimChar"/>
        </w:rPr>
        <w:t xml:space="preserve">Before any loan money moves, build the double-entry ledger:</w:t>
      </w:r>
      <w:r>
        <w:br/>
      </w:r>
      <w:r>
        <w:br/>
      </w:r>
      <w:r>
        <w:rPr>
          <w:rStyle w:val="VerbatimChar"/>
        </w:rPr>
        <w:t xml:space="preserve">- chart of accounts with the NBFC Ind AS template;</w:t>
      </w:r>
      <w:r>
        <w:br/>
      </w:r>
      <w:r>
        <w:rPr>
          <w:rStyle w:val="VerbatimChar"/>
        </w:rPr>
        <w:t xml:space="preserve">- append-only journals with database-enforced balance;</w:t>
      </w:r>
      <w:r>
        <w:br/>
      </w:r>
      <w:r>
        <w:rPr>
          <w:rStyle w:val="VerbatimChar"/>
        </w:rPr>
        <w:t xml:space="preserve">- reversal-only corrections;</w:t>
      </w:r>
      <w:r>
        <w:br/>
      </w:r>
      <w:r>
        <w:rPr>
          <w:rStyle w:val="VerbatimChar"/>
        </w:rPr>
        <w:t xml:space="preserve">- value, business and system dates;</w:t>
      </w:r>
      <w:r>
        <w:br/>
      </w:r>
      <w:r>
        <w:rPr>
          <w:rStyle w:val="VerbatimChar"/>
        </w:rPr>
        <w:t xml:space="preserve">- period locks;</w:t>
      </w:r>
      <w:r>
        <w:br/>
      </w:r>
      <w:r>
        <w:rPr>
          <w:rStyle w:val="VerbatimChar"/>
        </w:rPr>
        <w:t xml:space="preserve">- materialised balances;</w:t>
      </w:r>
      <w:r>
        <w:br/>
      </w:r>
      <w:r>
        <w:rPr>
          <w:rStyle w:val="VerbatimChar"/>
        </w:rPr>
        <w:t xml:space="preserve">- trial balance;</w:t>
      </w:r>
      <w:r>
        <w:br/>
      </w:r>
      <w:r>
        <w:rPr>
          <w:rStyle w:val="VerbatimChar"/>
        </w:rPr>
        <w:t xml:space="preserve">- accounting rule mapping (Fineract mapping keys + India extensions);</w:t>
      </w:r>
      <w:r>
        <w:br/>
      </w:r>
      <w:r>
        <w:rPr>
          <w:rStyle w:val="VerbatimChar"/>
        </w:rPr>
        <w:t xml:space="preserve">- sub-ledger framework;</w:t>
      </w:r>
      <w:r>
        <w:br/>
      </w:r>
      <w:r>
        <w:rPr>
          <w:rStyle w:val="VerbatimChar"/>
        </w:rPr>
        <w:t xml:space="preserve">- reconciliation checks.</w:t>
      </w:r>
      <w:r>
        <w:br/>
      </w:r>
      <w:r>
        <w:br/>
      </w:r>
      <w:r>
        <w:rPr>
          <w:rStyle w:val="VerbatimChar"/>
        </w:rPr>
        <w:t xml:space="preserve">For Ind AS entities, the posting matrix must defer processing fees and directly attributable costs at disbursement (deferred-fee/cost accounts), so nothing has to be re-posted when EIR amortisation arrives. Write golden test cases for every posting rule, and property tests proving the ledger always balances. Show me the posting matrix for approval.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Capital-component tags in the chart of accounts (CAP 7–16) [CAP / SBR / DIV / MISC]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docs/specs/phase-4-ledger-core.md: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feat/ledger-core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4"/>
        </w:numPr>
        <w:pStyle w:val="Compact"/>
      </w:pPr>
      <w:r>
        <w:t xml:space="preserve">☐ The trial balance balances after a randomised posting test.</w:t>
      </w:r>
    </w:p>
    <w:p>
      <w:pPr>
        <w:numPr>
          <w:ilvl w:val="0"/>
          <w:numId w:val="1014"/>
        </w:numPr>
        <w:pStyle w:val="Compact"/>
      </w:pPr>
      <w:r>
        <w:t xml:space="preserve">☐ Corrections happen only by reversal; posted journals are immutable.</w:t>
      </w:r>
    </w:p>
    <w:p>
      <w:pPr>
        <w:numPr>
          <w:ilvl w:val="0"/>
          <w:numId w:val="1014"/>
        </w:numPr>
        <w:pStyle w:val="Compact"/>
      </w:pPr>
      <w:r>
        <w:t xml:space="preserve">☐ A closed period rejects new postings.</w:t>
      </w:r>
    </w:p>
    <w:p>
      <w:pPr>
        <w:numPr>
          <w:ilvl w:val="0"/>
          <w:numId w:val="1014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7"/>
    <w:bookmarkStart w:id="28" w:name="phase-5-schedule-and-allocation-engine"/>
    <w:p>
      <w:pPr>
        <w:pStyle w:val="Heading3"/>
      </w:pPr>
      <w:r>
        <w:t xml:space="preserve">Phase 5 — Schedule and allocation engine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Fineract-equivalent schedules and allocation strategies, replay, Fineract oracle fixtures, golden cases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3, 4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feat/schedule-engine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schedule generation (all interest methods); allocation strategies; replay and the Fineract oracle harness.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5 — Schedule and allocation engine. Governing brief: docs/00-master-prompt.md (Part 12, Phase 5; Part 8A prevails on regulatory points).</w:t>
      </w:r>
      <w:r>
        <w:br/>
      </w:r>
      <w:r>
        <w:br/>
      </w:r>
      <w:r>
        <w:rPr>
          <w:rStyle w:val="VerbatimChar"/>
        </w:rPr>
        <w:t xml:space="preserve">Implement the loan calculation engine as pure functions over an immutable loan event log. Cover:</w:t>
      </w:r>
      <w:r>
        <w:br/>
      </w:r>
      <w:r>
        <w:br/>
      </w:r>
      <w:r>
        <w:rPr>
          <w:rStyle w:val="VerbatimChar"/>
        </w:rPr>
        <w:t xml:space="preserve">- EMI and equal-principal;</w:t>
      </w:r>
      <w:r>
        <w:br/>
      </w:r>
      <w:r>
        <w:rPr>
          <w:rStyle w:val="VerbatimChar"/>
        </w:rPr>
        <w:t xml:space="preserve">- declining and flat;</w:t>
      </w:r>
      <w:r>
        <w:br/>
      </w:r>
      <w:r>
        <w:rPr>
          <w:rStyle w:val="VerbatimChar"/>
        </w:rPr>
        <w:t xml:space="preserve">- daily and period interest;</w:t>
      </w:r>
      <w:r>
        <w:br/>
      </w:r>
      <w:r>
        <w:rPr>
          <w:rStyle w:val="VerbatimChar"/>
        </w:rPr>
        <w:t xml:space="preserve">- day-count conventions;</w:t>
      </w:r>
      <w:r>
        <w:br/>
      </w:r>
      <w:r>
        <w:rPr>
          <w:rStyle w:val="VerbatimChar"/>
        </w:rPr>
        <w:t xml:space="preserve">- broken period;</w:t>
      </w:r>
      <w:r>
        <w:br/>
      </w:r>
      <w:r>
        <w:rPr>
          <w:rStyle w:val="VerbatimChar"/>
        </w:rPr>
        <w:t xml:space="preserve">- grace and moratorium;</w:t>
      </w:r>
      <w:r>
        <w:br/>
      </w:r>
      <w:r>
        <w:rPr>
          <w:rStyle w:val="VerbatimChar"/>
        </w:rPr>
        <w:t xml:space="preserve">- tranches;</w:t>
      </w:r>
      <w:r>
        <w:br/>
      </w:r>
      <w:r>
        <w:rPr>
          <w:rStyle w:val="VerbatimChar"/>
        </w:rPr>
        <w:t xml:space="preserve">- step-up/down and balloon;</w:t>
      </w:r>
      <w:r>
        <w:br/>
      </w:r>
      <w:r>
        <w:rPr>
          <w:rStyle w:val="VerbatimChar"/>
        </w:rPr>
        <w:t xml:space="preserve">- interest recalculation and all four prepayment outcomes;</w:t>
      </w:r>
      <w:r>
        <w:br/>
      </w:r>
      <w:r>
        <w:rPr>
          <w:rStyle w:val="VerbatimChar"/>
        </w:rPr>
        <w:t xml:space="preserve">- all allocation strategies, including the RBI-order rule set (Part 4.2B);</w:t>
      </w:r>
      <w:r>
        <w:br/>
      </w:r>
      <w:r>
        <w:rPr>
          <w:rStyle w:val="VerbatimChar"/>
        </w:rPr>
        <w:t xml:space="preserve">- back-dated replay with snapshots.</w:t>
      </w:r>
      <w:r>
        <w:br/>
      </w:r>
      <w:r>
        <w:br/>
      </w:r>
      <w:r>
        <w:rPr>
          <w:rStyle w:val="VerbatimChar"/>
        </w:rPr>
        <w:t xml:space="preserve">Run Fineract 1.15.0 (PostgreSQL 18, large runner) as a nightly or on-demand oracle job, not on every PR. Generate versioned golden fixtures (JSON) across a scenario matrix that uses the correct Fineract engine (CUMULATIVE or PROGRESSIVE) for each scenario. PR CI compares Finbyx output against these fixtures. Report paisa-level differences and classify each as a bug or an approved deviation.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Rupee-rounding policy at billing/posting (MISC 27) [CAP / SBR / DIV / MISC]</w:t>
      </w:r>
      <w:r>
        <w:br/>
      </w:r>
      <w:r>
        <w:rPr>
          <w:rStyle w:val="VerbatimChar"/>
        </w:rPr>
        <w:t xml:space="preserve">- Golden cases for each MSD para 7(1)–(5) scenario: cheque handover later than cheque date, EMI on a partially disbursed tranche, mid-month disbursal and repayment, advance EMI [MFI / IAF / SA / SR / MSD]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docs/specs/phase-5-schedule-engine.md: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feat/schedule-engine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6"/>
        </w:numPr>
        <w:pStyle w:val="Compact"/>
      </w:pPr>
      <w:r>
        <w:t xml:space="preserve">☐ Schedules and allocations match the Fineract 1.15.0 oracle on the golden cases.</w:t>
      </w:r>
    </w:p>
    <w:p>
      <w:pPr>
        <w:numPr>
          <w:ilvl w:val="0"/>
          <w:numId w:val="1016"/>
        </w:numPr>
        <w:pStyle w:val="Compact"/>
      </w:pPr>
      <w:r>
        <w:t xml:space="preserve">☐ Your CA reviewer has signed off the golden accounting cases.</w:t>
      </w:r>
    </w:p>
    <w:p>
      <w:pPr>
        <w:numPr>
          <w:ilvl w:val="0"/>
          <w:numId w:val="1016"/>
        </w:numPr>
        <w:pStyle w:val="Compact"/>
      </w:pPr>
      <w:r>
        <w:t xml:space="preserve">☐ Rupee rounding happens at billing/posting only (MISC 27; RBC 103).</w:t>
      </w:r>
    </w:p>
    <w:p>
      <w:pPr>
        <w:numPr>
          <w:ilvl w:val="0"/>
          <w:numId w:val="1016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8"/>
    <w:bookmarkStart w:id="29" w:name="phase-6-customer-kyc-and-consent"/>
    <w:p>
      <w:pPr>
        <w:pStyle w:val="Heading3"/>
      </w:pPr>
      <w:r>
        <w:t xml:space="preserve">Phase 6 — Customer, KYC and consent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CIF, de-dupe, KYC adapters (mock → Surepass sandbox), consent ledger, AML screening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feat/customer-kyc-consent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CIF and de-duplication; KYC adapters and CKYC; consent ledger; AML/sanctions screening and risk categorisation.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6 — Customer, KYC and consent. Governing brief: docs/00-master-prompt.md (Part 12, Phase 6;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the CIF with relationships;</w:t>
      </w:r>
      <w:r>
        <w:br/>
      </w:r>
      <w:r>
        <w:rPr>
          <w:rStyle w:val="VerbatimChar"/>
        </w:rPr>
        <w:t xml:space="preserve">- de-dupe;</w:t>
      </w:r>
      <w:r>
        <w:br/>
      </w:r>
      <w:r>
        <w:rPr>
          <w:rStyle w:val="VerbatimChar"/>
        </w:rPr>
        <w:t xml:space="preserve">- risk categorisation;</w:t>
      </w:r>
      <w:r>
        <w:br/>
      </w:r>
      <w:r>
        <w:rPr>
          <w:rStyle w:val="VerbatimChar"/>
        </w:rPr>
        <w:t xml:space="preserve">- the consent ledger with exact notice versions;</w:t>
      </w:r>
      <w:r>
        <w:br/>
      </w:r>
      <w:r>
        <w:rPr>
          <w:rStyle w:val="VerbatimChar"/>
        </w:rPr>
        <w:t xml:space="preserve">- KYC flows per Part 8A.21 (CKYC search/download/upload with 10/7-day clocks, Aadhaar mode selection by s.11A status, OKYC/DigiLocker, PAN/Form 60, V-CIP, OVD and deemed-OVD capture, BO thresholds, NFTF EDD, para 25 limits);</w:t>
      </w:r>
      <w:r>
        <w:br/>
      </w:r>
      <w:r>
        <w:rPr>
          <w:rStyle w:val="VerbatimChar"/>
        </w:rPr>
        <w:t xml:space="preserve">- sanctions and PEP screening;</w:t>
      </w:r>
      <w:r>
        <w:br/>
      </w:r>
      <w:r>
        <w:rPr>
          <w:rStyle w:val="VerbatimChar"/>
        </w:rPr>
        <w:t xml:space="preserve">- the periodic-updation scheduler.</w:t>
      </w:r>
      <w:r>
        <w:br/>
      </w:r>
      <w:r>
        <w:br/>
      </w:r>
      <w:r>
        <w:rPr>
          <w:rStyle w:val="VerbatimChar"/>
        </w:rPr>
        <w:t xml:space="preserve">Adapters: mock first, then a Surepass sandbox adapter behind `KycProvider`. Never store the full Aadhaar number unless the vault design approved in Phase 0 meets UIDAI Circular No. 14 of 2025. Prefer OKYC/DigiLocker flows that avoid storage. Load the KYC REQ-IDs from Part 8A.21 into the register.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docs/specs/phase-6-customer-kyc-consent.md: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feat/customer-kyc-consent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8"/>
        </w:numPr>
        <w:pStyle w:val="Compact"/>
      </w:pPr>
      <w:r>
        <w:t xml:space="preserve">☐ CKYC search/download/upload clocks work (10 days / 7 days) and UCIC is unique per individual.</w:t>
      </w:r>
    </w:p>
    <w:p>
      <w:pPr>
        <w:numPr>
          <w:ilvl w:val="0"/>
          <w:numId w:val="1018"/>
        </w:numPr>
        <w:pStyle w:val="Compact"/>
      </w:pPr>
      <w:r>
        <w:t xml:space="preserve">☐ No full Aadhaar number is stored outside the vault design approved in Phase 0.</w:t>
      </w:r>
    </w:p>
    <w:p>
      <w:pPr>
        <w:numPr>
          <w:ilvl w:val="0"/>
          <w:numId w:val="1018"/>
        </w:numPr>
        <w:pStyle w:val="Compact"/>
      </w:pPr>
      <w:r>
        <w:t xml:space="preserve">☐ Sanctions and PEP screening run at onboarding and on list updates.</w:t>
      </w:r>
    </w:p>
    <w:p>
      <w:pPr>
        <w:numPr>
          <w:ilvl w:val="0"/>
          <w:numId w:val="1018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29"/>
    <w:bookmarkStart w:id="30" w:name="phase-7-origination-los"/>
    <w:p>
      <w:pPr>
        <w:pStyle w:val="Heading3"/>
      </w:pPr>
      <w:r>
        <w:t xml:space="preserve">Phase 7 — Origination (LOS)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Leads, applications, bureau/AA, BRE, verifications, deviations/DoA, CAM, sanction, KFS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3b, 5, 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feat/origination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leads and applications; bureau/AA data pulls; BRE and deviations/DoA; CAM, sanction and KFS.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7 — Origination (LOS). Governing brief: docs/00-master-prompt.md (Part 12, Phase 7; Part 8A prevails on regulatory points).</w:t>
      </w:r>
      <w:r>
        <w:br/>
      </w:r>
      <w:r>
        <w:br/>
      </w:r>
      <w:r>
        <w:rPr>
          <w:rStyle w:val="VerbatimChar"/>
        </w:rPr>
        <w:t xml:space="preserve">Implement:</w:t>
      </w:r>
      <w:r>
        <w:br/>
      </w:r>
      <w:r>
        <w:br/>
      </w:r>
      <w:r>
        <w:rPr>
          <w:rStyle w:val="VerbatimChar"/>
        </w:rPr>
        <w:t xml:space="preserve">- leads, and DSA/connector management with payouts;</w:t>
      </w:r>
      <w:r>
        <w:br/>
      </w:r>
      <w:r>
        <w:rPr>
          <w:rStyle w:val="VerbatimChar"/>
        </w:rPr>
        <w:t xml:space="preserve">- dynamic application forms from product templates;</w:t>
      </w:r>
      <w:r>
        <w:br/>
      </w:r>
      <w:r>
        <w:rPr>
          <w:rStyle w:val="VerbatimChar"/>
        </w:rPr>
        <w:t xml:space="preserve">- bureau and AA adapters (mock + sandbox);</w:t>
      </w:r>
      <w:r>
        <w:br/>
      </w:r>
      <w:r>
        <w:rPr>
          <w:rStyle w:val="VerbatimChar"/>
        </w:rPr>
        <w:t xml:space="preserve">- the GoRules-based BRE with simulation;</w:t>
      </w:r>
      <w:r>
        <w:br/>
      </w:r>
      <w:r>
        <w:rPr>
          <w:rStyle w:val="VerbatimChar"/>
        </w:rPr>
        <w:t xml:space="preserve">- verification management (FI/PD/technical/legal/RCU) with vendor allocation;</w:t>
      </w:r>
      <w:r>
        <w:br/>
      </w:r>
      <w:r>
        <w:rPr>
          <w:rStyle w:val="VerbatimChar"/>
        </w:rPr>
        <w:t xml:space="preserve">- the deviation matrix and DoA routing;</w:t>
      </w:r>
      <w:r>
        <w:br/>
      </w:r>
      <w:r>
        <w:rPr>
          <w:rStyle w:val="VerbatimChar"/>
        </w:rPr>
        <w:t xml:space="preserve">- the CAM generator (template + AI-drafted narrative with citations, edited by a human, locked at sanction);</w:t>
      </w:r>
      <w:r>
        <w:br/>
      </w:r>
      <w:r>
        <w:rPr>
          <w:rStyle w:val="VerbatimChar"/>
        </w:rPr>
        <w:t xml:space="preserve">- sanction;</w:t>
      </w:r>
      <w:r>
        <w:br/>
      </w:r>
      <w:r>
        <w:rPr>
          <w:rStyle w:val="VerbatimChar"/>
        </w:rPr>
        <w:t xml:space="preserve">- the KFS/APR engine per RBC para 29 and Annex I, with the KFS validity period (≥ 3 working days, or ≥ 1 for tenor &lt; 7 days). This is not a waiting period. Include the unique proposal number, the Part 2 disclosures and the APR golden test (₹20,000 / 24 months / 15% / ₹400 fees → 17.07%; RBC para 29(3)).</w:t>
      </w:r>
      <w:r>
        <w:br/>
      </w:r>
      <w:r>
        <w:br/>
      </w:r>
      <w:r>
        <w:rPr>
          <w:rStyle w:val="VerbatimChar"/>
        </w:rPr>
        <w:t xml:space="preserve">Model the application state machine explicitly. Include a full E2E test from lead to sanction for the two MVP products.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KFS unique proposal number, acknowledgement, Annex I Part 2 disclosures and the APR golden test (₹20,000 / 24 months / 15% / ₹400 fees → 17.07%) (RBC 29); vernacular sanction letter (RBC 13); LWD/large-defaulter gate (WD 7, 19) [RBC / WD]</w:t>
      </w:r>
      <w:r>
        <w:br/>
      </w:r>
      <w:r>
        <w:rPr>
          <w:rStyle w:val="VerbatimChar"/>
        </w:rPr>
        <w:t xml:space="preserve">- rw_class, guarantee cover, cancellability flag and HQ-infrastructure data captured at sanction (CAP 18) [CAP / SBR / DIV / MISC]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docs/specs/phase-7-origination.md: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feat/origination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0"/>
        </w:numPr>
        <w:pStyle w:val="Compact"/>
      </w:pPr>
      <w:r>
        <w:t xml:space="preserve">☐ The KFS APR golden test returns 17.07% (₹20,000 / 24 months / 15% / ₹400 fees; RBC 29(3)).</w:t>
      </w:r>
    </w:p>
    <w:p>
      <w:pPr>
        <w:numPr>
          <w:ilvl w:val="0"/>
          <w:numId w:val="1020"/>
        </w:numPr>
        <w:pStyle w:val="Compact"/>
      </w:pPr>
      <w:r>
        <w:t xml:space="preserve">☐ New-to-credit applicants are never auto-rejected for lack of history (CIR 38(5)).</w:t>
      </w:r>
    </w:p>
    <w:p>
      <w:pPr>
        <w:numPr>
          <w:ilvl w:val="0"/>
          <w:numId w:val="1020"/>
        </w:numPr>
        <w:pStyle w:val="Compact"/>
      </w:pPr>
      <w:r>
        <w:t xml:space="preserve">☐ Related-party, exposure-limit, LEI, fraud-debarment and wilful-defaulter gates block sanction where required.</w:t>
      </w:r>
    </w:p>
    <w:p>
      <w:pPr>
        <w:numPr>
          <w:ilvl w:val="0"/>
          <w:numId w:val="1020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0"/>
    <w:bookmarkStart w:id="31" w:name="X32a943d3d0ab653faeab9540007f18be7db9563"/>
    <w:p>
      <w:pPr>
        <w:pStyle w:val="Heading3"/>
      </w:pPr>
      <w:r>
        <w:t xml:space="preserve">Phase 8 — Documentation, execution, DMS and disbursement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Templates, signing evidence, physical-execution path, OTC/PDD, mandate registration, payout, loan booking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7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feat/docs-esign-disbursement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8 — Documentation, execution, DMS and disbursement. Governing brief: docs/00-master-prompt.md (Part 12, Phase 8;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document templates and generation (Gotenberg);</w:t>
      </w:r>
      <w:r>
        <w:br/>
      </w:r>
      <w:r>
        <w:rPr>
          <w:rStyle w:val="VerbatimChar"/>
        </w:rPr>
        <w:t xml:space="preserve">- eSign, eStamp and NeSL DDE adapters that store verifiable signing evidence;</w:t>
      </w:r>
      <w:r>
        <w:br/>
      </w:r>
      <w:r>
        <w:rPr>
          <w:rStyle w:val="VerbatimChar"/>
        </w:rPr>
        <w:t xml:space="preserve">- the physical-execution path for instruments the IT Act First Schedule excludes (DP notes and other negotiable instruments except cheques, powers of attorney, immovable-property conveyances);</w:t>
      </w:r>
      <w:r>
        <w:br/>
      </w:r>
      <w:r>
        <w:rPr>
          <w:rStyle w:val="VerbatimChar"/>
        </w:rPr>
        <w:t xml:space="preserve">- the DMS with hashes, versions, retention and access logs;</w:t>
      </w:r>
      <w:r>
        <w:br/>
      </w:r>
      <w:r>
        <w:rPr>
          <w:rStyle w:val="VerbatimChar"/>
        </w:rPr>
        <w:t xml:space="preserve">- OTC/PDD tracking;</w:t>
      </w:r>
      <w:r>
        <w:br/>
      </w:r>
      <w:r>
        <w:rPr>
          <w:rStyle w:val="VerbatimChar"/>
        </w:rPr>
        <w:t xml:space="preserve">- mandate registration (eNACH/UPI AutoPay);</w:t>
      </w:r>
      <w:r>
        <w:br/>
      </w:r>
      <w:r>
        <w:rPr>
          <w:rStyle w:val="VerbatimChar"/>
        </w:rPr>
        <w:t xml:space="preserve">- the disbursement memo with pre-disbursement checks;</w:t>
      </w:r>
      <w:r>
        <w:br/>
      </w:r>
      <w:r>
        <w:rPr>
          <w:rStyle w:val="VerbatimChar"/>
        </w:rPr>
        <w:t xml:space="preserve">- penny-drop and payout adapters with duplicate-payment prevention;</w:t>
      </w:r>
      <w:r>
        <w:br/>
      </w:r>
      <w:r>
        <w:rPr>
          <w:rStyle w:val="VerbatimChar"/>
        </w:rPr>
        <w:t xml:space="preserve">- atomic loan booking with opening entries, including Ind AS deferred fees.</w:t>
      </w:r>
      <w:r>
        <w:br/>
      </w:r>
      <w:r>
        <w:br/>
      </w:r>
      <w:r>
        <w:rPr>
          <w:rStyle w:val="VerbatimChar"/>
        </w:rPr>
        <w:t xml:space="preserve">Interest starts from the actual disbursement date. Include cooling-off handling for digital loans.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docs/specs/phase-8-docs-esign-disbursement.md: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feat/docs-esign-disbursement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2"/>
        </w:numPr>
        <w:pStyle w:val="Compact"/>
      </w:pPr>
      <w:r>
        <w:t xml:space="preserve">☐ Signing evidence is stored and linked to the sanctioned KFS version.</w:t>
      </w:r>
    </w:p>
    <w:p>
      <w:pPr>
        <w:numPr>
          <w:ilvl w:val="0"/>
          <w:numId w:val="1022"/>
        </w:numPr>
        <w:pStyle w:val="Compact"/>
      </w:pPr>
      <w:r>
        <w:t xml:space="preserve">☐ Digital-loan disbursement goes directly to the borrower’s bank account, with no pass-through or LSP pool account, except where CF para 10 permits.</w:t>
      </w:r>
    </w:p>
    <w:p>
      <w:pPr>
        <w:numPr>
          <w:ilvl w:val="0"/>
          <w:numId w:val="1022"/>
        </w:numPr>
        <w:pStyle w:val="Compact"/>
      </w:pPr>
      <w:r>
        <w:t xml:space="preserve">☐ Loan booking posts to the ledger and the trial balance still balances.</w:t>
      </w:r>
    </w:p>
    <w:p>
      <w:pPr>
        <w:numPr>
          <w:ilvl w:val="0"/>
          <w:numId w:val="1022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1"/>
    <w:bookmarkStart w:id="32" w:name="phase-8b-field-app-foundation"/>
    <w:p>
      <w:pPr>
        <w:pStyle w:val="Heading3"/>
      </w:pPr>
      <w:r>
        <w:t xml:space="preserve">Phase 8b — Field app foundation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Expo app shell, offline sync, device binding, assisted KYC/document capture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2, 6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feat/field-app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8b — Field app foundation. Governing brief: docs/00-master-prompt.md (Part 12, Phase 8b; Part 8A prevails on regulatory points).</w:t>
      </w:r>
      <w:r>
        <w:br/>
      </w:r>
      <w:r>
        <w:br/>
      </w:r>
      <w:r>
        <w:rPr>
          <w:rStyle w:val="VerbatimChar"/>
        </w:rPr>
        <w:t xml:space="preserve">Scaffold `apps/field` (Expo React Native + TypeScript). Build:</w:t>
      </w:r>
      <w:r>
        <w:br/>
      </w:r>
      <w:r>
        <w:br/>
      </w:r>
      <w:r>
        <w:rPr>
          <w:rStyle w:val="VerbatimChar"/>
        </w:rPr>
        <w:t xml:space="preserve">- offline-first storage and sync with conflict resolution;</w:t>
      </w:r>
      <w:r>
        <w:br/>
      </w:r>
      <w:r>
        <w:rPr>
          <w:rStyle w:val="VerbatimChar"/>
        </w:rPr>
        <w:t xml:space="preserve">- device binding and remote wipe;</w:t>
      </w:r>
      <w:r>
        <w:br/>
      </w:r>
      <w:r>
        <w:rPr>
          <w:rStyle w:val="VerbatimChar"/>
        </w:rPr>
        <w:t xml:space="preserve">- just-in-time permissions (camera and location only when needed; never contacts, SMS or call logs);</w:t>
      </w:r>
      <w:r>
        <w:br/>
      </w:r>
      <w:r>
        <w:rPr>
          <w:rStyle w:val="VerbatimChar"/>
        </w:rPr>
        <w:t xml:space="preserve">- assisted KYC and document capture, including the KYC para 24 digital-KYC flow (live photo with watermark, officer-mobile block, dual OTP; Part 8A.21);</w:t>
      </w:r>
      <w:r>
        <w:br/>
      </w:r>
      <w:r>
        <w:rPr>
          <w:rStyle w:val="VerbatimChar"/>
        </w:rPr>
        <w:t xml:space="preserve">- FI/PD report capture.</w:t>
      </w:r>
      <w:r>
        <w:br/>
      </w:r>
      <w:r>
        <w:br/>
      </w:r>
      <w:r>
        <w:rPr>
          <w:rStyle w:val="VerbatimChar"/>
        </w:rPr>
        <w:t xml:space="preserve">Plan distribution through managed Play Store/App Store or MDM, with a forced-update policy for incompatible versions.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docs/specs/phase-8b-field-app.md: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feat/field-app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4"/>
        </w:numPr>
        <w:pStyle w:val="Compact"/>
      </w:pPr>
      <w:r>
        <w:t xml:space="preserve">☐ Offline sync resolves conflicts without data loss.</w:t>
      </w:r>
    </w:p>
    <w:p>
      <w:pPr>
        <w:numPr>
          <w:ilvl w:val="0"/>
          <w:numId w:val="1024"/>
        </w:numPr>
        <w:pStyle w:val="Compact"/>
      </w:pPr>
      <w:r>
        <w:t xml:space="preserve">☐ Device binding works and a lost device can be revoked.</w:t>
      </w:r>
    </w:p>
    <w:p>
      <w:pPr>
        <w:numPr>
          <w:ilvl w:val="0"/>
          <w:numId w:val="1024"/>
        </w:numPr>
        <w:pStyle w:val="Compact"/>
      </w:pPr>
      <w:r>
        <w:t xml:space="preserve">☐ The digital-KYC flow meets KYC para 24 (live photo with watermark, dual OTP, officer-mobile block).</w:t>
      </w:r>
    </w:p>
    <w:p>
      <w:pPr>
        <w:numPr>
          <w:ilvl w:val="0"/>
          <w:numId w:val="1024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2"/>
    <w:bookmarkStart w:id="33" w:name="Xb083a816e815b199027778856994b4dc6be2dc1"/>
    <w:p>
      <w:pPr>
        <w:pStyle w:val="Heading3"/>
      </w:pPr>
      <w:r>
        <w:t xml:space="preserve">Phase 8c — Udofin / LSP inbound connector (minimal)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LSP contract v1, application intake, status callbacks, signing-evidence intake, disbursement and repayment events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7, 8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feat/lsp-connector-v1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8c — Udofin / LSP inbound connector (minimal). Governing brief: docs/00-master-prompt.md (Part 12, Phase 8c; Part 8A prevails on regulatory points).</w:t>
      </w:r>
      <w:r>
        <w:br/>
      </w:r>
      <w:r>
        <w:br/>
      </w:r>
      <w:r>
        <w:rPr>
          <w:rStyle w:val="VerbatimChar"/>
        </w:rPr>
        <w:t xml:space="preserve">Implement LSP contract v1 per Part 5:</w:t>
      </w:r>
      <w:r>
        <w:br/>
      </w:r>
      <w:r>
        <w:br/>
      </w:r>
      <w:r>
        <w:rPr>
          <w:rStyle w:val="VerbatimChar"/>
        </w:rPr>
        <w:t xml:space="preserve">- OpenAPI/AsyncAPI;</w:t>
      </w:r>
      <w:r>
        <w:br/>
      </w:r>
      <w:r>
        <w:rPr>
          <w:rStyle w:val="VerbatimChar"/>
        </w:rPr>
        <w:t xml:space="preserve">- signed webhooks;</w:t>
      </w:r>
      <w:r>
        <w:br/>
      </w:r>
      <w:r>
        <w:rPr>
          <w:rStyle w:val="VerbatimChar"/>
        </w:rPr>
        <w:t xml:space="preserve">- idempotency;</w:t>
      </w:r>
      <w:r>
        <w:br/>
      </w:r>
      <w:r>
        <w:rPr>
          <w:rStyle w:val="VerbatimChar"/>
        </w:rPr>
        <w:t xml:space="preserve">- application intake with consent artefacts;</w:t>
      </w:r>
      <w:r>
        <w:br/>
      </w:r>
      <w:r>
        <w:rPr>
          <w:rStyle w:val="VerbatimChar"/>
        </w:rPr>
        <w:t xml:space="preserve">- status and decision callbacks;</w:t>
      </w:r>
      <w:r>
        <w:br/>
      </w:r>
      <w:r>
        <w:rPr>
          <w:rStyle w:val="VerbatimChar"/>
        </w:rPr>
        <w:t xml:space="preserve">- KFS and sanction publication;</w:t>
      </w:r>
      <w:r>
        <w:br/>
      </w:r>
      <w:r>
        <w:rPr>
          <w:rStyle w:val="VerbatimChar"/>
        </w:rPr>
        <w:t xml:space="preserve">- intake of signing evidence;</w:t>
      </w:r>
      <w:r>
        <w:br/>
      </w:r>
      <w:r>
        <w:rPr>
          <w:rStyle w:val="VerbatimChar"/>
        </w:rPr>
        <w:t xml:space="preserve">- disbursement and repayment events;</w:t>
      </w:r>
      <w:r>
        <w:br/>
      </w:r>
      <w:r>
        <w:rPr>
          <w:rStyle w:val="VerbatimChar"/>
        </w:rPr>
        <w:t xml:space="preserve">- daily reconciliation file.</w:t>
      </w:r>
      <w:r>
        <w:br/>
      </w:r>
      <w:r>
        <w:br/>
      </w:r>
      <w:r>
        <w:rPr>
          <w:rStyle w:val="VerbatimChar"/>
        </w:rPr>
        <w:t xml:space="preserve">Add Pact contract tests with Udofin. Prove that Finbyx keeps operating when Udofin is unavailable.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docs/specs/phase-8c-lsp-connector-v1.md: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feat/lsp-connector-v1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6"/>
        </w:numPr>
        <w:pStyle w:val="Compact"/>
      </w:pPr>
      <w:r>
        <w:t xml:space="preserve">☐ The LSP contract is versioned and every inbound event is idempotent.</w:t>
      </w:r>
    </w:p>
    <w:p>
      <w:pPr>
        <w:numPr>
          <w:ilvl w:val="0"/>
          <w:numId w:val="1026"/>
        </w:numPr>
        <w:pStyle w:val="Compact"/>
      </w:pPr>
      <w:r>
        <w:t xml:space="preserve">☐ The LSP never receives or holds loan funds.</w:t>
      </w:r>
    </w:p>
    <w:p>
      <w:pPr>
        <w:numPr>
          <w:ilvl w:val="0"/>
          <w:numId w:val="1026"/>
        </w:numPr>
        <w:pStyle w:val="Compact"/>
      </w:pPr>
      <w:r>
        <w:t xml:space="preserve">☐ Status callbacks and repayment events reconcile with Finbyx records.</w:t>
      </w:r>
    </w:p>
    <w:p>
      <w:pPr>
        <w:numPr>
          <w:ilvl w:val="0"/>
          <w:numId w:val="1026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3"/>
    <w:bookmarkStart w:id="34" w:name="phase-9-servicing-lms-and-cob"/>
    <w:p>
      <w:pPr>
        <w:pStyle w:val="Heading3"/>
      </w:pPr>
      <w:r>
        <w:t xml:space="preserve">Phase 9 — Servicing (LMS) and COB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Accruals, EIR amortisation stub, repayments, prepayment/foreclosure, resets, restructuring, service requests, COB with classification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5, 8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feat/servicing-cob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accruals and repayments; prepayment, foreclosure and resets; restructuring; service requests, closure and NOC; COB orchestrator and classification.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9 — Servicing (LMS) and COB. Governing brief: docs/00-master-prompt.md (Part 12, Phase 9;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the loan 360 view;</w:t>
      </w:r>
      <w:r>
        <w:br/>
      </w:r>
      <w:r>
        <w:rPr>
          <w:rStyle w:val="VerbatimChar"/>
        </w:rPr>
        <w:t xml:space="preserve">- daily accrual;</w:t>
      </w:r>
      <w:r>
        <w:br/>
      </w:r>
      <w:r>
        <w:rPr>
          <w:rStyle w:val="VerbatimChar"/>
        </w:rPr>
        <w:t xml:space="preserve">- an EIR amortisation stub driven by the Phase 4 rules;</w:t>
      </w:r>
      <w:r>
        <w:br/>
      </w:r>
      <w:r>
        <w:rPr>
          <w:rStyle w:val="VerbatimChar"/>
        </w:rPr>
        <w:t xml:space="preserve">- penal charges as charges;</w:t>
      </w:r>
      <w:r>
        <w:br/>
      </w:r>
      <w:r>
        <w:rPr>
          <w:rStyle w:val="VerbatimChar"/>
        </w:rPr>
        <w:t xml:space="preserve">- repayments with allocation;</w:t>
      </w:r>
      <w:r>
        <w:br/>
      </w:r>
      <w:r>
        <w:rPr>
          <w:rStyle w:val="VerbatimChar"/>
        </w:rPr>
        <w:t xml:space="preserve">- part-prepayment and foreclosure quotes with the prepayment-charge engine (RBC paras 33–34, 81);</w:t>
      </w:r>
      <w:r>
        <w:br/>
      </w:r>
      <w:r>
        <w:rPr>
          <w:rStyle w:val="VerbatimChar"/>
        </w:rPr>
        <w:t xml:space="preserve">- floating-rate resets with borrower options;</w:t>
      </w:r>
      <w:r>
        <w:br/>
      </w:r>
      <w:r>
        <w:rPr>
          <w:rStyle w:val="VerbatimChar"/>
        </w:rPr>
        <w:t xml:space="preserve">- restructuring and rescheduling with classification impact;</w:t>
      </w:r>
      <w:r>
        <w:br/>
      </w:r>
      <w:r>
        <w:rPr>
          <w:rStyle w:val="VerbatimChar"/>
        </w:rPr>
        <w:t xml:space="preserve">- top-up and balance transfer;</w:t>
      </w:r>
      <w:r>
        <w:br/>
      </w:r>
      <w:r>
        <w:rPr>
          <w:rStyle w:val="VerbatimChar"/>
        </w:rPr>
        <w:t xml:space="preserve">- service requests and certificates;</w:t>
      </w:r>
      <w:r>
        <w:br/>
      </w:r>
      <w:r>
        <w:rPr>
          <w:rStyle w:val="VerbatimChar"/>
        </w:rPr>
        <w:t xml:space="preserve">- closure, NOC, and the document-release SLA with compensation;</w:t>
      </w:r>
      <w:r>
        <w:br/>
      </w:r>
      <w:r>
        <w:rPr>
          <w:rStyle w:val="VerbatimChar"/>
        </w:rPr>
        <w:t xml:space="preserve">- write-off.</w:t>
      </w:r>
      <w:r>
        <w:br/>
      </w:r>
      <w:r>
        <w:br/>
      </w:r>
      <w:r>
        <w:rPr>
          <w:rStyle w:val="VerbatimChar"/>
        </w:rPr>
        <w:t xml:space="preserve">Build the COB orchestrator using the two-pass design in Part 4.2E:</w:t>
      </w:r>
      <w:r>
        <w:br/>
      </w:r>
      <w:r>
        <w:br/>
      </w:r>
      <w:r>
        <w:rPr>
          <w:rStyle w:val="VerbatimChar"/>
        </w:rPr>
        <w:t xml:space="preserve">- per-loan pass A;</w:t>
      </w:r>
      <w:r>
        <w:br/>
      </w:r>
      <w:r>
        <w:rPr>
          <w:rStyle w:val="VerbatimChar"/>
        </w:rPr>
        <w:t xml:space="preserve">- a cross-loan barrier for borrower-level SMA/NPA classification and upgrade;</w:t>
      </w:r>
      <w:r>
        <w:br/>
      </w:r>
      <w:r>
        <w:rPr>
          <w:rStyle w:val="VerbatimChar"/>
        </w:rPr>
        <w:t xml:space="preserve">- per-loan pass B for income recognition and derecognition, EIR and provisioning.</w:t>
      </w:r>
      <w:r>
        <w:br/>
      </w:r>
      <w:r>
        <w:br/>
      </w:r>
      <w:r>
        <w:rPr>
          <w:rStyle w:val="VerbatimChar"/>
        </w:rPr>
        <w:t xml:space="preserve">Add catch-up, inline COB, partitioned workers and the EOD exceptions dashboard. Load-test COB at 1 million loans.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Illustration I golden test and +1 DPD convention (IRACP 19); Part A/B restructuring workbench and monitoring/specified-period tests (RSA 53–62, 159, 189–194) [IRACP / RSA]</w:t>
      </w:r>
      <w:r>
        <w:br/>
      </w:r>
      <w:r>
        <w:rPr>
          <w:rStyle w:val="VerbatimChar"/>
        </w:rPr>
        <w:t xml:space="preserve">- Prepayment engine incl. RBC 34(3)–(9) and 81; penal rules RBC 30; reset elections and quarterly statement (RBC 31); account-transfer request (RBC 19); rounding (RBC 103); release clocks 30/60 days (RBC 35–40)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docs/specs/phase-9-servicing-cob.md: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feat/servicing-cob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8"/>
        </w:numPr>
        <w:pStyle w:val="Compact"/>
      </w:pPr>
      <w:r>
        <w:t xml:space="preserve">☐ The IRACP Illustration I golden test passes (DPD = COB date − oldest unpaid due date + 1).</w:t>
      </w:r>
    </w:p>
    <w:p>
      <w:pPr>
        <w:numPr>
          <w:ilvl w:val="0"/>
          <w:numId w:val="1028"/>
        </w:numPr>
        <w:pStyle w:val="Compact"/>
      </w:pPr>
      <w:r>
        <w:t xml:space="preserve">☐ Classification is borrower-wise across all the borrower’s accounts; no income accrues on an account turning NPA.</w:t>
      </w:r>
    </w:p>
    <w:p>
      <w:pPr>
        <w:numPr>
          <w:ilvl w:val="0"/>
          <w:numId w:val="1028"/>
        </w:numPr>
        <w:pStyle w:val="Compact"/>
      </w:pPr>
      <w:r>
        <w:t xml:space="preserve">☐ COB completes the 1 million-loan load test within the agreed window.</w:t>
      </w:r>
    </w:p>
    <w:p>
      <w:pPr>
        <w:numPr>
          <w:ilvl w:val="0"/>
          <w:numId w:val="1028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4"/>
    <w:bookmarkStart w:id="35" w:name="phase-10-payments-and-reconciliation"/>
    <w:p>
      <w:pPr>
        <w:pStyle w:val="Heading3"/>
      </w:pPr>
      <w:r>
        <w:t xml:space="preserve">Phase 10 — Payments and reconciliation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eNACH/UPI AutoPay presentation, bounces, virtual accounts, BBPS, payment-gateway links, three-way reconciliation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9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feat/payments-recon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10 — Payments and reconciliation. Governing brief: docs/00-master-prompt.md (Part 12, Phase 10;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the mandate lifecycle;</w:t>
      </w:r>
      <w:r>
        <w:br/>
      </w:r>
      <w:r>
        <w:rPr>
          <w:rStyle w:val="VerbatimChar"/>
        </w:rPr>
        <w:t xml:space="preserve">- the presentation engine per sponsor bank, with cut-offs;</w:t>
      </w:r>
      <w:r>
        <w:br/>
      </w:r>
      <w:r>
        <w:rPr>
          <w:rStyle w:val="VerbatimChar"/>
        </w:rPr>
        <w:t xml:space="preserve">- re-presentation, and bounce processing with charges;</w:t>
      </w:r>
      <w:r>
        <w:br/>
      </w:r>
      <w:r>
        <w:rPr>
          <w:rStyle w:val="VerbatimChar"/>
        </w:rPr>
        <w:t xml:space="preserve">- UPI intent, QR and payment links;</w:t>
      </w:r>
      <w:r>
        <w:br/>
      </w:r>
      <w:r>
        <w:rPr>
          <w:rStyle w:val="VerbatimChar"/>
        </w:rPr>
        <w:t xml:space="preserve">- virtual accounts;</w:t>
      </w:r>
      <w:r>
        <w:br/>
      </w:r>
      <w:r>
        <w:rPr>
          <w:rStyle w:val="VerbatimChar"/>
        </w:rPr>
        <w:t xml:space="preserve">- the BBPS biller adapter;</w:t>
      </w:r>
      <w:r>
        <w:br/>
      </w:r>
      <w:r>
        <w:rPr>
          <w:rStyle w:val="VerbatimChar"/>
        </w:rPr>
        <w:t xml:space="preserve">- branch cash and cheque deposit tracking;</w:t>
      </w:r>
      <w:r>
        <w:br/>
      </w:r>
      <w:r>
        <w:rPr>
          <w:rStyle w:val="VerbatimChar"/>
        </w:rPr>
        <w:t xml:space="preserve">- three-way reconciliation with exception queues and suspense ageing.</w:t>
      </w:r>
      <w:r>
        <w:br/>
      </w:r>
      <w:r>
        <w:br/>
      </w:r>
      <w:r>
        <w:rPr>
          <w:rStyle w:val="VerbatimChar"/>
        </w:rPr>
        <w:t xml:space="preserve">A provider success response never finalises a payment without settlement confirmation. Add Stripe/PayPal adapters only for cross-border or SaaS billing, with an ADR.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PDC capture block where NACH is available (MISC 23) [CAP / SBR / DIV / MISC]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docs/specs/phase-10-payments-recon.md: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feat/payments-recon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0"/>
        </w:numPr>
        <w:pStyle w:val="Compact"/>
      </w:pPr>
      <w:r>
        <w:t xml:space="preserve">☐ Three-way reconciliation (bank, gateway/NACH, ledger) runs daily with aged breaks.</w:t>
      </w:r>
    </w:p>
    <w:p>
      <w:pPr>
        <w:numPr>
          <w:ilvl w:val="0"/>
          <w:numId w:val="1030"/>
        </w:numPr>
        <w:pStyle w:val="Compact"/>
      </w:pPr>
      <w:r>
        <w:t xml:space="preserve">☐ Bounce charges follow the penal-charge rules and GST flag.</w:t>
      </w:r>
    </w:p>
    <w:p>
      <w:pPr>
        <w:numPr>
          <w:ilvl w:val="0"/>
          <w:numId w:val="1030"/>
        </w:numPr>
        <w:pStyle w:val="Compact"/>
      </w:pPr>
      <w:r>
        <w:t xml:space="preserve">☐ Every receipt is allocated and posted the same day.</w:t>
      </w:r>
    </w:p>
    <w:p>
      <w:pPr>
        <w:numPr>
          <w:ilvl w:val="0"/>
          <w:numId w:val="1030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5"/>
    <w:bookmarkStart w:id="36" w:name="phase-11-collections"/>
    <w:p>
      <w:pPr>
        <w:pStyle w:val="Heading3"/>
      </w:pPr>
      <w:r>
        <w:t xml:space="preserve">Phase 11 — Collections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Strategies, allocation, telecalling, field collections, agencies, contact-policy engine, call recording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3b, 8b, 9, 10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feat/collections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strategies and allocation; telecalling and contact engine; field collections and agencies.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11 — Collections. Governing brief: docs/00-master-prompt.md (Part 12, Phase 11; Part 8A prevails on regulatory points).</w:t>
      </w:r>
      <w:r>
        <w:br/>
      </w:r>
      <w:r>
        <w:br/>
      </w:r>
      <w:r>
        <w:rPr>
          <w:rStyle w:val="VerbatimChar"/>
        </w:rPr>
        <w:t xml:space="preserve">Verify the RBC Third Amendment Directions, 2026 text first. Then build:</w:t>
      </w:r>
      <w:r>
        <w:br/>
      </w:r>
      <w:r>
        <w:br/>
      </w:r>
      <w:r>
        <w:rPr>
          <w:rStyle w:val="VerbatimChar"/>
        </w:rPr>
        <w:t xml:space="preserve">- segmentation and bucket strategies triggered by COB DPD changes;</w:t>
      </w:r>
      <w:r>
        <w:br/>
      </w:r>
      <w:r>
        <w:rPr>
          <w:rStyle w:val="VerbatimChar"/>
        </w:rPr>
        <w:t xml:space="preserve">- rule-based allocation;</w:t>
      </w:r>
      <w:r>
        <w:br/>
      </w:r>
      <w:r>
        <w:rPr>
          <w:rStyle w:val="VerbatimChar"/>
        </w:rPr>
        <w:t xml:space="preserve">- the telecalling workspace with dispositions and PTP;</w:t>
      </w:r>
      <w:r>
        <w:br/>
      </w:r>
      <w:r>
        <w:rPr>
          <w:rStyle w:val="VerbatimChar"/>
        </w:rPr>
        <w:t xml:space="preserve">- field collections in the field app (offline, geo-tag, digital receipts, cash limits, same-day deposit);</w:t>
      </w:r>
      <w:r>
        <w:br/>
      </w:r>
      <w:r>
        <w:rPr>
          <w:rStyle w:val="VerbatimChar"/>
        </w:rPr>
        <w:t xml:space="preserve">- agency management with the IIBF certification register;</w:t>
      </w:r>
      <w:r>
        <w:br/>
      </w:r>
      <w:r>
        <w:rPr>
          <w:rStyle w:val="VerbatimChar"/>
        </w:rPr>
        <w:t xml:space="preserve">- the effective-dated contact-policy engine from Phase 3b (current RBC paras 89–100; paras 100A–100AB from 1 Jan 2027 [VERIFY: Third Amendment text not supplied]);</w:t>
      </w:r>
      <w:r>
        <w:br/>
      </w:r>
      <w:r>
        <w:rPr>
          <w:rStyle w:val="VerbatimChar"/>
        </w:rPr>
        <w:t xml:space="preserve">- mandatory call recording and retention (para 100P);</w:t>
      </w:r>
      <w:r>
        <w:br/>
      </w:r>
      <w:r>
        <w:rPr>
          <w:rStyle w:val="VerbatimChar"/>
        </w:rPr>
        <w:t xml:space="preserve">- pre-visit intimation (para 100L) and visit conditions (para 100Y(5));</w:t>
      </w:r>
      <w:r>
        <w:br/>
      </w:r>
      <w:r>
        <w:rPr>
          <w:rStyle w:val="VerbatimChar"/>
        </w:rPr>
        <w:t xml:space="preserve">- borrower default/DPD alerts sent with each CIC submission (CIR para 34(1)(i)), and recovery-agent particulars sent before first contact on digital loans (CF para 9(6)).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Contact engine for current RBC paras 89–100 (microfinance window under 91(2); para 100 excludes microfinance); Third Amendment rules behind [VERIFY: amendment text not supplied]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docs/specs/phase-11-collections.md: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feat/collections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2"/>
        </w:numPr>
        <w:pStyle w:val="Compact"/>
      </w:pPr>
      <w:r>
        <w:t xml:space="preserve">☐ Recovery-agent particulars reach the borrower before the first contact on digital loans (CF 9(6)).</w:t>
      </w:r>
    </w:p>
    <w:p>
      <w:pPr>
        <w:numPr>
          <w:ilvl w:val="0"/>
          <w:numId w:val="1032"/>
        </w:numPr>
        <w:pStyle w:val="Compact"/>
      </w:pPr>
      <w:r>
        <w:t xml:space="preserve">☐ Contact windows and frequency limits are enforced by the engine, not by users.</w:t>
      </w:r>
    </w:p>
    <w:p>
      <w:pPr>
        <w:numPr>
          <w:ilvl w:val="0"/>
          <w:numId w:val="1032"/>
        </w:numPr>
        <w:pStyle w:val="Compact"/>
      </w:pPr>
      <w:r>
        <w:t xml:space="preserve">☐ Calls are recorded and linked to the contact attempt.</w:t>
      </w:r>
    </w:p>
    <w:p>
      <w:pPr>
        <w:numPr>
          <w:ilvl w:val="0"/>
          <w:numId w:val="1032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6"/>
    <w:bookmarkStart w:id="37" w:name="X1360d596f0c273e9a28195b8f45f5797f061d17"/>
    <w:p>
      <w:pPr>
        <w:pStyle w:val="Heading3"/>
      </w:pPr>
      <w:r>
        <w:t xml:space="preserve">Phase 12 — Recovery and legal (unsecured) + Equator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Sec 138 / Sec 25 PSS Act, arbitration and mediation via Equator, Lok Adalat, IBC/NeSL, OTS, write-off, wilful defaulters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11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feat/recovery-legal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legal case management (Sec 138, arbitration, Lok Adalat); Equator ODR adapter; settlements and write-offs; wilful-defaulter workflow.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12 — Recovery and legal (unsecured) + Equator. Governing brief: docs/00-master-prompt.md (Part 12, Phase 12;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legal case management;</w:t>
      </w:r>
      <w:r>
        <w:br/>
      </w:r>
      <w:r>
        <w:rPr>
          <w:rStyle w:val="VerbatimChar"/>
        </w:rPr>
        <w:t xml:space="preserve">- the Sec 138 NI Act and Sec 25 PSS Act workflows, with statutory timelines and templates;</w:t>
      </w:r>
      <w:r>
        <w:br/>
      </w:r>
      <w:r>
        <w:rPr>
          <w:rStyle w:val="VerbatimChar"/>
        </w:rPr>
        <w:t xml:space="preserve">- arbitration and mediation referral to Equator through the ODR adapter, with outcomes flowing back;</w:t>
      </w:r>
      <w:r>
        <w:br/>
      </w:r>
      <w:r>
        <w:rPr>
          <w:rStyle w:val="VerbatimChar"/>
        </w:rPr>
        <w:t xml:space="preserve">- Lok Adalat;</w:t>
      </w:r>
      <w:r>
        <w:br/>
      </w:r>
      <w:r>
        <w:rPr>
          <w:rStyle w:val="VerbatimChar"/>
        </w:rPr>
        <w:t xml:space="preserve">- the IBC/NeSL IU filing workflow;</w:t>
      </w:r>
      <w:r>
        <w:br/>
      </w:r>
      <w:r>
        <w:rPr>
          <w:rStyle w:val="VerbatimChar"/>
        </w:rPr>
        <w:t xml:space="preserve">- the OTS/settlement calculator with approval matrix;</w:t>
      </w:r>
      <w:r>
        <w:br/>
      </w:r>
      <w:r>
        <w:rPr>
          <w:rStyle w:val="VerbatimChar"/>
        </w:rPr>
        <w:t xml:space="preserve">- the wilful-defaulter workflow (WD paras 5–7, 10, 13–15; Part 8A.20), with monthly Annex I/II CIC files, penal-measure clocks and the pre-transfer wilful-default gate;</w:t>
      </w:r>
      <w:r>
        <w:br/>
      </w:r>
      <w:r>
        <w:rPr>
          <w:rStyle w:val="VerbatimChar"/>
        </w:rPr>
        <w:t xml:space="preserve">- write-off and post-write-off recovery accounting.</w:t>
      </w:r>
      <w:r>
        <w:br/>
      </w:r>
      <w:r>
        <w:br/>
      </w:r>
      <w:r>
        <w:rPr>
          <w:rStyle w:val="VerbatimChar"/>
        </w:rPr>
        <w:t xml:space="preserve">SARFAESI, repossession and auction are built in Phase 17, with the secured products.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Settlement rules (RSA 16, 86–100), cooling-period gate (95), consent decree (100), fraud/WD Board approval (16(5)(ii)) [IRACP / RSA]</w:t>
      </w:r>
      <w:r>
        <w:br/>
      </w:r>
      <w:r>
        <w:rPr>
          <w:rStyle w:val="VerbatimChar"/>
        </w:rPr>
        <w:t xml:space="preserve">- Wilful-defaulter workflow per WD paras 5–7, 10, 13–15, gated to ML+ tenants; pre-transfer gate (WD 14)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docs/specs/phase-12-recovery-legal.md: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feat/recovery-legal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4"/>
        </w:numPr>
        <w:pStyle w:val="Compact"/>
      </w:pPr>
      <w:r>
        <w:t xml:space="preserve">☐ Settlements with fraud or wilful-defaulter borrowers route to the Board (RSA 16(5)(ii)).</w:t>
      </w:r>
    </w:p>
    <w:p>
      <w:pPr>
        <w:numPr>
          <w:ilvl w:val="0"/>
          <w:numId w:val="1034"/>
        </w:numPr>
        <w:pStyle w:val="Compact"/>
      </w:pPr>
      <w:r>
        <w:t xml:space="preserve">☐ The cooling-period gate blocks fresh exposure for at least 12 months after a settlement (RSA 95).</w:t>
      </w:r>
    </w:p>
    <w:p>
      <w:pPr>
        <w:numPr>
          <w:ilvl w:val="0"/>
          <w:numId w:val="1034"/>
        </w:numPr>
        <w:pStyle w:val="Compact"/>
      </w:pPr>
      <w:r>
        <w:t xml:space="preserve">☐ The wilful-defaulter workflow produces the monthly Annex I/II CIC files (WD).</w:t>
      </w:r>
    </w:p>
    <w:p>
      <w:pPr>
        <w:numPr>
          <w:ilvl w:val="0"/>
          <w:numId w:val="1034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7"/>
    <w:bookmarkStart w:id="38" w:name="X2d5da1e9561c6430b6e8df3ab9ed9816ba9ec65"/>
    <w:p>
      <w:pPr>
        <w:pStyle w:val="Heading3"/>
      </w:pPr>
      <w:r>
        <w:t xml:space="preserve">Phase 13 — Finance, Ind AS 109 and accounting integrations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EIR, ECL, provisioning, tax, liabilities, accounting integrations, financial statements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4, 9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feat/finance-indas-iracp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EIR and ECL; IRACP provisioning and Impairment Reserve; GST/TDS; borrowings and treasury; Tally/SAP integration and financial statements; capital adequacy (CAP).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13 — Finance, Ind AS 109 and accounting integrations. Governing brief: docs/00-master-prompt.md (Part 12, Phase 13; Part 8A prevails on regulatory points).</w:t>
      </w:r>
      <w:r>
        <w:br/>
      </w:r>
      <w:r>
        <w:br/>
      </w:r>
      <w:r>
        <w:rPr>
          <w:rStyle w:val="VerbatimChar"/>
        </w:rPr>
        <w:t xml:space="preserve">Implement:</w:t>
      </w:r>
      <w:r>
        <w:br/>
      </w:r>
      <w:r>
        <w:br/>
      </w:r>
      <w:r>
        <w:rPr>
          <w:rStyle w:val="VerbatimChar"/>
        </w:rPr>
        <w:t xml:space="preserve">- EIR (IRR-based) and amortisation;</w:t>
      </w:r>
      <w:r>
        <w:br/>
      </w:r>
      <w:r>
        <w:rPr>
          <w:rStyle w:val="VerbatimChar"/>
        </w:rPr>
        <w:t xml:space="preserve">- ECL staging with a pluggable model and a default provision matrix;</w:t>
      </w:r>
      <w:r>
        <w:br/>
      </w:r>
      <w:r>
        <w:rPr>
          <w:rStyle w:val="VerbatimChar"/>
        </w:rPr>
        <w:t xml:space="preserve">- parallel IRACP provisioning by layer, with Impairment Reserve logic;</w:t>
      </w:r>
      <w:r>
        <w:br/>
      </w:r>
      <w:r>
        <w:rPr>
          <w:rStyle w:val="VerbatimChar"/>
        </w:rPr>
        <w:t xml:space="preserve">- GST invoicing and extracts (NBFCs are exempt from e-invoicing), and TDS;</w:t>
      </w:r>
      <w:r>
        <w:br/>
      </w:r>
      <w:r>
        <w:rPr>
          <w:rStyle w:val="VerbatimChar"/>
        </w:rPr>
        <w:t xml:space="preserve">- bank reconciliation;</w:t>
      </w:r>
      <w:r>
        <w:br/>
      </w:r>
      <w:r>
        <w:rPr>
          <w:rStyle w:val="VerbatimChar"/>
        </w:rPr>
        <w:t xml:space="preserve">- the borrowings/liabilities module;</w:t>
      </w:r>
      <w:r>
        <w:br/>
      </w:r>
      <w:r>
        <w:rPr>
          <w:rStyle w:val="VerbatimChar"/>
        </w:rPr>
        <w:t xml:space="preserve">- month-end close;</w:t>
      </w:r>
      <w:r>
        <w:br/>
      </w:r>
      <w:r>
        <w:rPr>
          <w:rStyle w:val="VerbatimChar"/>
        </w:rPr>
        <w:t xml:space="preserve">- financial statements per Schedule III (Division III for Ind AS, Division I otherwise) and the FS Directions disclosure engine (Part 8A.8), including the Impairment Reserve, the IRACP-vs-Ind AS table, and the SICR-rebuttal and &gt; 90 DPD-not-impaired registers;</w:t>
      </w:r>
      <w:r>
        <w:br/>
      </w:r>
      <w:r>
        <w:rPr>
          <w:rStyle w:val="VerbatimChar"/>
        </w:rPr>
        <w:t xml:space="preserve">- the investment portfolio module (Part 8A.5);</w:t>
      </w:r>
      <w:r>
        <w:br/>
      </w:r>
      <w:r>
        <w:rPr>
          <w:rStyle w:val="VerbatimChar"/>
        </w:rPr>
        <w:t xml:space="preserve">- TallyPrime (local connector, JSON), SAP and Zoho adapters, with reconciliation.</w:t>
      </w:r>
      <w:r>
        <w:br/>
      </w:r>
      <w:r>
        <w:br/>
      </w:r>
      <w:r>
        <w:rPr>
          <w:rStyle w:val="VerbatimChar"/>
        </w:rPr>
        <w:t xml:space="preserve">Our finance reviewer must approve the golden cases.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IRACP rate tables (30, 32, 33, 48, 55, 58) and DLG ECL recompute (36A–36C); fair-value diminution, Sundry Liabilities account and RSA provisions (RSA 23, 48, 64, 118, 137, 198–211) [IRACP / RSA]</w:t>
      </w:r>
      <w:r>
        <w:br/>
      </w:r>
      <w:r>
        <w:rPr>
          <w:rStyle w:val="VerbatimChar"/>
        </w:rPr>
        <w:t xml:space="preserve">- Owned fund / NOF / EPt computation; dividend eligibility checker; PDI, sub-debt and NCD private-placement controls (CAP 9–13; DIV; MISC 9–11) [CAP / SBR / DIV / MISC]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docs/specs/phase-13-finance-indas-iracp.md: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feat/finance-indas-iracp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6"/>
        </w:numPr>
        <w:pStyle w:val="Compact"/>
      </w:pPr>
      <w:r>
        <w:t xml:space="preserve">☐ ECL and IRACP provisions reconcile to the GL; any shortfall goes to the Impairment Reserve (FS 12(2)).</w:t>
      </w:r>
    </w:p>
    <w:p>
      <w:pPr>
        <w:numPr>
          <w:ilvl w:val="0"/>
          <w:numId w:val="1036"/>
        </w:numPr>
        <w:pStyle w:val="Compact"/>
      </w:pPr>
      <w:r>
        <w:t xml:space="preserve">☐ CRAR and leverage figures trace back to the GL with lineage (CAP).</w:t>
      </w:r>
    </w:p>
    <w:p>
      <w:pPr>
        <w:numPr>
          <w:ilvl w:val="0"/>
          <w:numId w:val="1036"/>
        </w:numPr>
        <w:pStyle w:val="Compact"/>
      </w:pPr>
      <w:r>
        <w:t xml:space="preserve">☐ Your CA reviewer has signed off the golden ECL and provisioning cases.</w:t>
      </w:r>
    </w:p>
    <w:p>
      <w:pPr>
        <w:numPr>
          <w:ilvl w:val="0"/>
          <w:numId w:val="1036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8"/>
    <w:bookmarkStart w:id="39" w:name="X4c04bfd09c8c57653dbbc0040d1f3fa4f10e6a6"/>
    <w:p>
      <w:pPr>
        <w:pStyle w:val="Heading3"/>
      </w:pPr>
      <w:r>
        <w:t xml:space="preserve">Phase 14 — Regulatory reporting, risk and compliance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CIC UCRF, CIMS returns (SR return catalogue), CRILC/DNBS09/FMR as applicable, FIU-IND, ALM, concentration, ICAAP mart, compliance module, LawDocsComply bridge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9, 13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feat/regulatory-reporting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CIC submissions; SR return catalogue and CIMS returns; CRILC/DNBS09 and FMR; ALM and concentration; compliance module and LawDocsComply bridge.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14 — Regulatory reporting, risk and compliance. Governing brief: docs/00-master-prompt.md (Part 12, Phase 14;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CIC UCRF generation on the current reference dates, with rejection handling;</w:t>
      </w:r>
      <w:r>
        <w:br/>
      </w:r>
      <w:r>
        <w:rPr>
          <w:rStyle w:val="VerbatimChar"/>
        </w:rPr>
        <w:t xml:space="preserve">- the supervisory-return framework (online portal/CIMS formats per return spec), driven by the data-driven return catalogue in Part 8A.34, with reconciliation to GL, recorded aggregation rules, DQ metrics and ad-hoc subset queries (SR paras 13–19); start with the returns that apply to the pilot tenant's layer;</w:t>
      </w:r>
      <w:r>
        <w:br/>
      </w:r>
      <w:r>
        <w:rPr>
          <w:rStyle w:val="VerbatimChar"/>
        </w:rPr>
        <w:t xml:space="preserve">- CRILC monthly and the weekly Friday default report / DNBS09 (RSA 20–21, 106; SR 21–22; M13 row);</w:t>
      </w:r>
      <w:r>
        <w:br/>
      </w:r>
      <w:r>
        <w:rPr>
          <w:rStyle w:val="VerbatimChar"/>
        </w:rPr>
        <w:t xml:space="preserve">- the fraud module's per-case FMR/FUA, law-enforcement reporting, closure and RBR (Part 8A.14);</w:t>
      </w:r>
      <w:r>
        <w:br/>
      </w:r>
      <w:r>
        <w:rPr>
          <w:rStyle w:val="VerbatimChar"/>
        </w:rPr>
        <w:t xml:space="preserve">- FIU-IND reports, transaction-monitoring alerts and sanctions-match reporting (Part 8A.21);</w:t>
      </w:r>
      <w:r>
        <w:br/>
      </w:r>
      <w:r>
        <w:rPr>
          <w:rStyle w:val="VerbatimChar"/>
        </w:rPr>
        <w:t xml:space="preserve">- the ALM engine and daily LCR (Part 8A.7), with DNBS04A/04B and the public liquidity disclosure;</w:t>
      </w:r>
      <w:r>
        <w:br/>
      </w:r>
      <w:r>
        <w:rPr>
          <w:rStyle w:val="VerbatimChar"/>
        </w:rPr>
        <w:t xml:space="preserve">- the exposure engine, Large Exposure return and breach block (Part 8A.4);</w:t>
      </w:r>
      <w:r>
        <w:br/>
      </w:r>
      <w:r>
        <w:rPr>
          <w:rStyle w:val="VerbatimChar"/>
        </w:rPr>
        <w:t xml:space="preserve">- the Compliance Function suite (Part 8A.11);</w:t>
      </w:r>
      <w:r>
        <w:br/>
      </w:r>
      <w:r>
        <w:rPr>
          <w:rStyle w:val="VerbatimChar"/>
        </w:rPr>
        <w:t xml:space="preserve">- Auditor's Report evidence packs and DNBS10 (Part 8A.15);</w:t>
      </w:r>
      <w:r>
        <w:br/>
      </w:r>
      <w:r>
        <w:rPr>
          <w:rStyle w:val="VerbatimChar"/>
        </w:rPr>
        <w:t xml:space="preserve">- the AA consent-artefact store (Part 8A.10);</w:t>
      </w:r>
      <w:r>
        <w:br/>
      </w:r>
      <w:r>
        <w:rPr>
          <w:rStyle w:val="VerbatimChar"/>
        </w:rPr>
        <w:t xml:space="preserve">- the ICAAP data mart;</w:t>
      </w:r>
      <w:r>
        <w:br/>
      </w:r>
      <w:r>
        <w:rPr>
          <w:rStyle w:val="VerbatimChar"/>
        </w:rPr>
        <w:t xml:space="preserve">- the model inventory;</w:t>
      </w:r>
      <w:r>
        <w:br/>
      </w:r>
      <w:r>
        <w:rPr>
          <w:rStyle w:val="VerbatimChar"/>
        </w:rPr>
        <w:t xml:space="preserve">- the embedded compliance module (register, controls testing, calendar, product approval);</w:t>
      </w:r>
      <w:r>
        <w:br/>
      </w:r>
      <w:r>
        <w:rPr>
          <w:rStyle w:val="VerbatimChar"/>
        </w:rPr>
        <w:t xml:space="preserve">- the LawDocsComply bridge, with the compliance-mode and grievance-host switches.</w:t>
      </w:r>
      <w:r>
        <w:br/>
      </w:r>
      <w:r>
        <w:br/>
      </w:r>
      <w:r>
        <w:rPr>
          <w:rStyle w:val="VerbatimChar"/>
        </w:rPr>
        <w:t xml:space="preserve">Take return applicability, periodicity and due dates from Part 8A.34; take formats and validation rules from the RBI portal for each return.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Monthly Annex I and Annex II CIC files with 30-day removal logic (WD 11–13, 18) [RBC / WD]</w:t>
      </w:r>
      <w:r>
        <w:br/>
      </w:r>
      <w:r>
        <w:rPr>
          <w:rStyle w:val="VerbatimChar"/>
        </w:rPr>
        <w:t xml:space="preserve">- "the RWA/CRAR and leverage engine (Part 8A.24) with lineage and the para 48 golden test; SBR applicability and group/UL calendar (Part 8A.25); MISC intimation clocks (Part 8A.27)" [CAP / SBR / DIV / MISC]</w:t>
      </w:r>
      <w:r>
        <w:br/>
      </w:r>
      <w:r>
        <w:rPr>
          <w:rStyle w:val="VerbatimChar"/>
        </w:rPr>
        <w:t xml:space="preserve">- Governance register and its returns (8A.28). Third-party and outsourcing register with half-yearly Board/RMC packs and ACB vendor-reconciliation ageing (8A.29). ORM suite (8A.30) [GOV / OUT / ORM]</w:t>
      </w:r>
      <w:r>
        <w:br/>
      </w:r>
      <w:r>
        <w:rPr>
          <w:rStyle w:val="VerbatimChar"/>
        </w:rPr>
        <w:t xml:space="preserve">- Add bullets: the RBIA module (Part 8A.32); statutory-auditor register with Form A/B and branch-coverage report (Part 8A.33); PCA monitor and CFSS progress reporting (Part 8A.35); MFI qualifying-asset monitor and provision floor (Part 8A.31) [MFI / IAF / SA / SR / MSD]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docs/specs/phase-14-regulatory-reporting.md: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feat/regulatory-reporting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8"/>
        </w:numPr>
        <w:pStyle w:val="Compact"/>
      </w:pPr>
      <w:r>
        <w:t xml:space="preserve">☐ Return applicability for a test tenant matches the SR catalogue in Part 8A.34.</w:t>
      </w:r>
    </w:p>
    <w:p>
      <w:pPr>
        <w:numPr>
          <w:ilvl w:val="0"/>
          <w:numId w:val="1038"/>
        </w:numPr>
        <w:pStyle w:val="Compact"/>
      </w:pPr>
      <w:r>
        <w:t xml:space="preserve">☐ CRILC, DNBS09, CIC and FMR test files pass format validation.</w:t>
      </w:r>
    </w:p>
    <w:p>
      <w:pPr>
        <w:numPr>
          <w:ilvl w:val="0"/>
          <w:numId w:val="1038"/>
        </w:numPr>
        <w:pStyle w:val="Compact"/>
      </w:pPr>
      <w:r>
        <w:t xml:space="preserve">☐ The compliance module tracks every REQ-ID with an owner and a control test.</w:t>
      </w:r>
    </w:p>
    <w:p>
      <w:pPr>
        <w:numPr>
          <w:ilvl w:val="0"/>
          <w:numId w:val="1038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39"/>
    <w:bookmarkStart w:id="40" w:name="X4ec9c2b3575add66ecd97fcc988ed3b5ce6b048"/>
    <w:p>
      <w:pPr>
        <w:pStyle w:val="Heading3"/>
      </w:pPr>
      <w:r>
        <w:t xml:space="preserve">Phase 15 — Grievance, borrower portal and feedback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Complaints, Internal Ombudsman, RB-IOS 2026, Equator referral (re-using the Phase 12 ODR adapter), borrower portal, feedback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3b, 9, 12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feat/grievance-portal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15 — Grievance, borrower portal and feedback. Governing brief: docs/00-master-prompt.md (Part 12, Phase 15;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the complaint management system, with automated Internal Ombudsman escalation where applicable, and RB-IOS 2026 support;</w:t>
      </w:r>
      <w:r>
        <w:br/>
      </w:r>
      <w:r>
        <w:rPr>
          <w:rStyle w:val="VerbatimChar"/>
        </w:rPr>
        <w:t xml:space="preserve">- Equator referral, re-using the Phase 12 ODR adapter;</w:t>
      </w:r>
      <w:r>
        <w:br/>
      </w:r>
      <w:r>
        <w:rPr>
          <w:rStyle w:val="VerbatimChar"/>
        </w:rPr>
        <w:t xml:space="preserve">- the AI support assistant, restricted to approved sources;</w:t>
      </w:r>
      <w:r>
        <w:br/>
      </w:r>
      <w:r>
        <w:rPr>
          <w:rStyle w:val="VerbatimChar"/>
        </w:rPr>
        <w:t xml:space="preserve">- the optional borrower self-service portal;</w:t>
      </w:r>
      <w:r>
        <w:br/>
      </w:r>
      <w:r>
        <w:rPr>
          <w:rStyle w:val="VerbatimChar"/>
        </w:rPr>
        <w:t xml:space="preserve">- feedback (CSAT/NPS, plus sales feedback within 30 days under RBC para 101Y [VERIFY: amendment text not supplied]).</w:t>
      </w:r>
      <w:r>
        <w:br/>
      </w:r>
      <w:r>
        <w:br/>
      </w:r>
      <w:r>
        <w:rPr>
          <w:rStyle w:val="VerbatimChar"/>
        </w:rPr>
        <w:t xml:space="preserve">Use the Phase 3b communications module for all messages.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Next-higher-level grievance disposal (RBC 7(2)); Second Amendment para 101Y feedback behind [VERIFY: amendment text not supplied]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docs/specs/phase-15-grievance-portal.md: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feat/grievance-portal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40"/>
        </w:numPr>
        <w:pStyle w:val="Compact"/>
      </w:pPr>
      <w:r>
        <w:t xml:space="preserve">☐ CIR complaint clocks (21/30 days) and ₹100/day compensation work (CIR 34–35).</w:t>
      </w:r>
    </w:p>
    <w:p>
      <w:pPr>
        <w:numPr>
          <w:ilvl w:val="0"/>
          <w:numId w:val="1040"/>
        </w:numPr>
        <w:pStyle w:val="Compact"/>
      </w:pPr>
      <w:r>
        <w:t xml:space="preserve">☐ Complaint replies carry the RB-IOS 2026 escalation text and follow its escalation timelines [VERIFY: RB-IOS 2026 text not yet supplied].</w:t>
      </w:r>
    </w:p>
    <w:p>
      <w:pPr>
        <w:numPr>
          <w:ilvl w:val="0"/>
          <w:numId w:val="1040"/>
        </w:numPr>
        <w:pStyle w:val="Compact"/>
      </w:pPr>
      <w:r>
        <w:t xml:space="preserve">☐ Every complaint is disposed at the next-higher level where RBC 7(2) requires it.</w:t>
      </w:r>
    </w:p>
    <w:p>
      <w:pPr>
        <w:numPr>
          <w:ilvl w:val="0"/>
          <w:numId w:val="1040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0"/>
    <w:bookmarkStart w:id="41" w:name="phase-p-mvp-hardening-and-pilot-go-live"/>
    <w:p>
      <w:pPr>
        <w:pStyle w:val="Heading3"/>
      </w:pPr>
      <w:r>
        <w:t xml:space="preserve">Phase P — MVP hardening and pilot go-live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E2E, independent VAPT, COB load test, DR restore drill, India-region production cut-over for the two MVP products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0–15 (Phase 14 only for the returns that apply to the pilot’s layer)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release/pilot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P — MVP hardening and pilot go-live. Governing brief: docs/00-master-prompt.md (Part 12, Phase P; Part 8A prevails on regulatory points).</w:t>
      </w:r>
      <w:r>
        <w:br/>
      </w:r>
      <w:r>
        <w:br/>
      </w:r>
      <w:r>
        <w:rPr>
          <w:rStyle w:val="VerbatimChar"/>
        </w:rPr>
        <w:t xml:space="preserve">For the two MVP products and the pilot tenant, deliver:</w:t>
      </w:r>
      <w:r>
        <w:br/>
      </w:r>
      <w:r>
        <w:br/>
      </w:r>
      <w:r>
        <w:rPr>
          <w:rStyle w:val="VerbatimChar"/>
        </w:rPr>
        <w:t xml:space="preserve">- a full E2E regression;</w:t>
      </w:r>
      <w:r>
        <w:br/>
      </w:r>
      <w:r>
        <w:rPr>
          <w:rStyle w:val="VerbatimChar"/>
        </w:rPr>
        <w:t xml:space="preserve">- independent VA and PT on production by a CERT-In-empanelled firm, CVSS-scored, with all Critical/High findings closed and re-tested (CYB paras 121–126);</w:t>
      </w:r>
      <w:r>
        <w:br/>
      </w:r>
      <w:r>
        <w:rPr>
          <w:rStyle w:val="VerbatimChar"/>
        </w:rPr>
        <w:t xml:space="preserve">- a source-code-escrow deposit and the vendor security certificate for the release (CYB paras 105–106);</w:t>
      </w:r>
      <w:r>
        <w:br/>
      </w:r>
      <w:r>
        <w:rPr>
          <w:rStyle w:val="VerbatimChar"/>
        </w:rPr>
        <w:t xml:space="preserve">- a COB load test;</w:t>
      </w:r>
      <w:r>
        <w:br/>
      </w:r>
      <w:r>
        <w:rPr>
          <w:rStyle w:val="VerbatimChar"/>
        </w:rPr>
        <w:t xml:space="preserve">- a DR switchover drill running production on the DR site for one full business day including COB, with post-drill reconciliation (CYB paras 129–137);</w:t>
      </w:r>
      <w:r>
        <w:br/>
      </w:r>
      <w:r>
        <w:rPr>
          <w:rStyle w:val="VerbatimChar"/>
        </w:rPr>
        <w:t xml:space="preserve">- an incident drill proving that tenant notification fits a 6-hour RBI/DAKSH filing measured from Finbyx's own detection timestamp (CYB paras 28, 141, 146; OUT para 61);</w:t>
      </w:r>
      <w:r>
        <w:br/>
      </w:r>
      <w:r>
        <w:rPr>
          <w:rStyle w:val="VerbatimChar"/>
        </w:rPr>
        <w:t xml:space="preserve">- a data-residency check of every environment and sub-processor;</w:t>
      </w:r>
      <w:r>
        <w:br/>
      </w:r>
      <w:r>
        <w:rPr>
          <w:rStyle w:val="VerbatimChar"/>
        </w:rPr>
        <w:t xml:space="preserve">- a production runbook;</w:t>
      </w:r>
      <w:r>
        <w:br/>
      </w:r>
      <w:r>
        <w:rPr>
          <w:rStyle w:val="VerbatimChar"/>
        </w:rPr>
        <w:t xml:space="preserve">- a migration and cut-over plan;</w:t>
      </w:r>
      <w:r>
        <w:br/>
      </w:r>
      <w:r>
        <w:rPr>
          <w:rStyle w:val="VerbatimChar"/>
        </w:rPr>
        <w:t xml:space="preserve">- a controlled go-live checklist for my approval.</w:t>
      </w:r>
      <w:r>
        <w:br/>
      </w:r>
      <w:r>
        <w:br/>
      </w:r>
      <w:r>
        <w:rPr>
          <w:rStyle w:val="VerbatimChar"/>
        </w:rPr>
        <w:t xml:space="preserve">Do not deploy to production without my explicit authorisation.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an exit drill (full tenant export, re-import into a clean instance, purge certificate) (OUT 87–88, 97(xvi)); vendor assurance pack issued (OUT 30, 71; ORM 73); SOC log feed live (OUT 97(xi)) [GOV / OUT / ORM]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docs/specs/phase-p-pilot.md: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release/pilot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42"/>
        </w:numPr>
        <w:pStyle w:val="Compact"/>
      </w:pPr>
      <w:r>
        <w:t xml:space="preserve">☐ The independent VAPT has no open critical or high findings.</w:t>
      </w:r>
    </w:p>
    <w:p>
      <w:pPr>
        <w:numPr>
          <w:ilvl w:val="0"/>
          <w:numId w:val="1042"/>
        </w:numPr>
        <w:pStyle w:val="Compact"/>
      </w:pPr>
      <w:r>
        <w:t xml:space="preserve">☐ The DR restore drill and the 6-hour incident-notification drill both pass.</w:t>
      </w:r>
    </w:p>
    <w:p>
      <w:pPr>
        <w:numPr>
          <w:ilvl w:val="0"/>
          <w:numId w:val="1042"/>
        </w:numPr>
        <w:pStyle w:val="Compact"/>
      </w:pPr>
      <w:r>
        <w:t xml:space="preserve">☐ Production runs on India-region hosting only; the exit drill (export, re-import, purge certificate) passes.</w:t>
      </w:r>
    </w:p>
    <w:p>
      <w:pPr>
        <w:numPr>
          <w:ilvl w:val="0"/>
          <w:numId w:val="1042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1"/>
    <w:bookmarkStart w:id="42" w:name="X4c1ff946f17dc1fb38b579d5f30ab681b22e462"/>
    <w:p>
      <w:pPr>
        <w:pStyle w:val="Heading3"/>
      </w:pPr>
      <w:r>
        <w:t xml:space="preserve">Phase 16 — Partner connectors, co-lending, loan transfers and securitisation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Full LSP framework, DLG ledger, co-lending/DA/securitisation engine, partner portals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8c, 9, 10, 13, 14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feat/partners-colending-transfers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full LSP framework and DLG ledger; co-lending engine; loan-transfer engine (TDCR); securitisation engine and investor module (SEC); partner portals.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16 — Partner connectors, co-lending, loan transfers and securitisation. Governing brief: docs/00-master-prompt.md (Part 12, Phase 16; Part 8A prevails on regulatory points).</w:t>
      </w:r>
      <w:r>
        <w:br/>
      </w:r>
      <w:r>
        <w:br/>
      </w:r>
      <w:r>
        <w:rPr>
          <w:rStyle w:val="VerbatimChar"/>
        </w:rPr>
        <w:t xml:space="preserve">Extend the Phase 8c connector into the full LSP/channel-partner framework (Part 5). Add:</w:t>
      </w:r>
      <w:r>
        <w:br/>
      </w:r>
      <w:r>
        <w:br/>
      </w:r>
      <w:r>
        <w:rPr>
          <w:rStyle w:val="VerbatimChar"/>
        </w:rPr>
        <w:t xml:space="preserve">- the DLG ledger (≤ 5% of the amount disbursed out of the covered portfolio, invoked within 120 days overdue);</w:t>
      </w:r>
      <w:r>
        <w:br/>
      </w:r>
      <w:r>
        <w:rPr>
          <w:rStyle w:val="VerbatimChar"/>
        </w:rPr>
        <w:t xml:space="preserve">- the collection-agent appointment model, kept separate from DLG;</w:t>
      </w:r>
      <w:r>
        <w:br/>
      </w:r>
      <w:r>
        <w:rPr>
          <w:rStyle w:val="VerbatimChar"/>
        </w:rPr>
        <w:t xml:space="preserve">- the CIMS DLA register;</w:t>
      </w:r>
      <w:r>
        <w:br/>
      </w:r>
      <w:r>
        <w:rPr>
          <w:rStyle w:val="VerbatimChar"/>
        </w:rPr>
        <w:t xml:space="preserve">- the co-lending engine (10% retention, 15-day booking, bank escrow, blended rate, next-working-day classification sync, each lender's own CIC reporting, originator-only DLG ≤ 5% of CLA outstanding (TDCR 123), website partner list (TDCR 126));</w:t>
      </w:r>
      <w:r>
        <w:br/>
      </w:r>
      <w:r>
        <w:rPr>
          <w:rStyle w:val="VerbatimChar"/>
        </w:rPr>
        <w:t xml:space="preserve">- the loan-transfer engine (TDCR Part A): MHP, one-third DD/10% retention, no re-acquisition, 30-day replacement, stressed-loan sale with valuation and Swiss challenge, ARC/SR accounting, trade-reporting database;</w:t>
      </w:r>
      <w:r>
        <w:br/>
      </w:r>
      <w:r>
        <w:rPr>
          <w:rStyle w:val="VerbatimChar"/>
        </w:rPr>
        <w:t xml:space="preserve">- the securitisation engine (SEC): eligibility, MRR, 20% cap, SPE checks, CE/liquidity/servicing facilities, STC checker, Annex I and quarterly RBI report;</w:t>
      </w:r>
      <w:r>
        <w:br/>
      </w:r>
      <w:r>
        <w:rPr>
          <w:rStyle w:val="VerbatimChar"/>
        </w:rPr>
        <w:t xml:space="preserve">- the investor-side securitisation module (SEC Ch V, paras 97–107);</w:t>
      </w:r>
      <w:r>
        <w:br/>
      </w:r>
      <w:r>
        <w:rPr>
          <w:rStyle w:val="VerbatimChar"/>
        </w:rPr>
        <w:t xml:space="preserve">- partner portals.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Securitisation SEC-ERBA capital; DLG and co-lending capital deductions (CAP 15, 19–51) [CAP / SBR / DIV / MISC]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docs/specs/phase-16-partners-colending-transfers.md: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feat/partners-colending-transfers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44"/>
        </w:numPr>
        <w:pStyle w:val="Compact"/>
      </w:pPr>
      <w:r>
        <w:t xml:space="preserve">☐ The CF 24 DLG ledger and the TDCR 123 co-lending DLG ledger are separate.</w:t>
      </w:r>
    </w:p>
    <w:p>
      <w:pPr>
        <w:numPr>
          <w:ilvl w:val="0"/>
          <w:numId w:val="1044"/>
        </w:numPr>
        <w:pStyle w:val="Compact"/>
      </w:pPr>
      <w:r>
        <w:t xml:space="preserve">☐ Loan transfers enforce MHP, retention and the no-re-acquisition rule (TDCR).</w:t>
      </w:r>
    </w:p>
    <w:p>
      <w:pPr>
        <w:numPr>
          <w:ilvl w:val="0"/>
          <w:numId w:val="1044"/>
        </w:numPr>
        <w:pStyle w:val="Compact"/>
      </w:pPr>
      <w:r>
        <w:t xml:space="preserve">☐ Fraud accounts cannot be transferred until the FRM 54 and TDCR 28/78 gates are cleared.</w:t>
      </w:r>
    </w:p>
    <w:p>
      <w:pPr>
        <w:numPr>
          <w:ilvl w:val="0"/>
          <w:numId w:val="1044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2"/>
    <w:bookmarkStart w:id="43" w:name="phase-17-secured-products-expansion"/>
    <w:p>
      <w:pPr>
        <w:pStyle w:val="Heading3"/>
      </w:pPr>
      <w:r>
        <w:t xml:space="preserve">Phase 17 — Secured products expansion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LAP/Home, Vehicle, Gold, LAS/LAMF templates; collateral flows; SARFAESI; repossession and auction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P, 12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feat/secured-products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LAP/Home; Vehicle; Gold; LAS/LAMF.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17 — Secured products expansion. Governing brief: docs/00-master-prompt.md (Part 12, Phase 17; Part 8A prevails on regulatory points).</w:t>
      </w:r>
      <w:r>
        <w:br/>
      </w:r>
      <w:r>
        <w:br/>
      </w:r>
      <w:r>
        <w:rPr>
          <w:rStyle w:val="VerbatimChar"/>
        </w:rPr>
        <w:t xml:space="preserve">For each secured product (LAP/Home, Vehicle, Gold, LAS/LAMF):</w:t>
      </w:r>
      <w:r>
        <w:br/>
      </w:r>
      <w:r>
        <w:br/>
      </w:r>
      <w:r>
        <w:rPr>
          <w:rStyle w:val="VerbatimChar"/>
        </w:rPr>
        <w:t xml:space="preserve">1. produce the product spec and feasibility notes;</w:t>
      </w:r>
      <w:r>
        <w:br/>
      </w:r>
      <w:r>
        <w:rPr>
          <w:rStyle w:val="VerbatimChar"/>
        </w:rPr>
        <w:t xml:space="preserve">2. implement the collateral workflows (M5), integrations and regulatory checks;</w:t>
      </w:r>
      <w:r>
        <w:br/>
      </w:r>
      <w:r>
        <w:rPr>
          <w:rStyle w:val="VerbatimChar"/>
        </w:rPr>
        <w:t xml:space="preserve">3. build SARFAESI (with the NBFC eligibility gate), repossession and auction, including the gold release, auction, compensation and unclaimed-collateral rules (RBC paras 58–72) and the vehicle repossession clause contents (RBC paras 26–27).</w:t>
      </w:r>
      <w:r>
        <w:br/>
      </w:r>
      <w:r>
        <w:br/>
      </w:r>
      <w:r>
        <w:rPr>
          <w:rStyle w:val="VerbatimChar"/>
        </w:rPr>
        <w:t xml:space="preserve">v1.3 regulatory additions for this phase (Part 8A.36.4) — include them:</w:t>
      </w:r>
      <w:r>
        <w:br/>
      </w:r>
      <w:r>
        <w:rPr>
          <w:rStyle w:val="VerbatimChar"/>
        </w:rPr>
        <w:t xml:space="preserve">- Gold conduct module (RBC 43–75), not only paras 60–66; vehicle repossession clause (RBC 26–27) [RBC / WD]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docs/specs/phase-17-secured-products.md: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feat/secured-products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46"/>
        </w:numPr>
        <w:pStyle w:val="Compact"/>
      </w:pPr>
      <w:r>
        <w:t xml:space="preserve">☐ Gold-loan LTV, valuation, release, auction and compensation rules match RBC 58–72 and CF 32–50.</w:t>
      </w:r>
    </w:p>
    <w:p>
      <w:pPr>
        <w:numPr>
          <w:ilvl w:val="0"/>
          <w:numId w:val="1046"/>
        </w:numPr>
        <w:pStyle w:val="Compact"/>
      </w:pPr>
      <w:r>
        <w:t xml:space="preserve">☐ SARFAESI actions are blocked for tenants that do not meet the eligibility gate.</w:t>
      </w:r>
    </w:p>
    <w:p>
      <w:pPr>
        <w:numPr>
          <w:ilvl w:val="0"/>
          <w:numId w:val="1046"/>
        </w:numPr>
        <w:pStyle w:val="Compact"/>
      </w:pPr>
      <w:r>
        <w:t xml:space="preserve">☐ Every charge type is filed with CERSAI (CRM 27–28).</w:t>
      </w:r>
    </w:p>
    <w:p>
      <w:pPr>
        <w:numPr>
          <w:ilvl w:val="0"/>
          <w:numId w:val="1046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3"/>
    <w:bookmarkStart w:id="44" w:name="phase-18-analytics-ai-layer-and-mcp"/>
    <w:p>
      <w:pPr>
        <w:pStyle w:val="Heading3"/>
      </w:pPr>
      <w:r>
        <w:t xml:space="preserve">Phase 18 — Analytics, AI layer and MCP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MIS catalogue, BI embedding, governed AI copilots, read-only MCP server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P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feat/analytics-ai-mcp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18 — Analytics, AI layer and MCP. Governing brief: docs/00-master-prompt.md (Part 12, Phase 18; Part 8A prevails on regulatory points).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- the MIS catalogue;</w:t>
      </w:r>
      <w:r>
        <w:br/>
      </w:r>
      <w:r>
        <w:rPr>
          <w:rStyle w:val="VerbatimChar"/>
        </w:rPr>
        <w:t xml:space="preserve">- embedded BI with row-level security;</w:t>
      </w:r>
      <w:r>
        <w:br/>
      </w:r>
      <w:r>
        <w:rPr>
          <w:rStyle w:val="VerbatimChar"/>
        </w:rPr>
        <w:t xml:space="preserve">- governed AI copilots (M20), with an AI model inventory;</w:t>
      </w:r>
      <w:r>
        <w:br/>
      </w:r>
      <w:r>
        <w:rPr>
          <w:rStyle w:val="VerbatimChar"/>
        </w:rPr>
        <w:t xml:space="preserve">- the read-only, tenant-scoped MCP server.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docs/specs/phase-18-analytics-ai-mcp.md: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feat/analytics-ai-mcp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48"/>
        </w:numPr>
        <w:pStyle w:val="Compact"/>
      </w:pPr>
      <w:r>
        <w:t xml:space="preserve">☐ AI never approves, rejects or prices a loan, moves money or rejects a complaint.</w:t>
      </w:r>
    </w:p>
    <w:p>
      <w:pPr>
        <w:numPr>
          <w:ilvl w:val="0"/>
          <w:numId w:val="1048"/>
        </w:numPr>
        <w:pStyle w:val="Compact"/>
      </w:pPr>
      <w:r>
        <w:t xml:space="preserve">☐ The MCP server is read-only and tenant-scoped.</w:t>
      </w:r>
    </w:p>
    <w:p>
      <w:pPr>
        <w:numPr>
          <w:ilvl w:val="0"/>
          <w:numId w:val="1048"/>
        </w:numPr>
        <w:pStyle w:val="Compact"/>
      </w:pPr>
      <w:r>
        <w:t xml:space="preserve">☐ Every model is in the model inventory with an owner and validation record.</w:t>
      </w:r>
    </w:p>
    <w:p>
      <w:pPr>
        <w:numPr>
          <w:ilvl w:val="0"/>
          <w:numId w:val="1048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4"/>
    <w:bookmarkStart w:id="45" w:name="phase-19-migration-tooling"/>
    <w:p>
      <w:pPr>
        <w:pStyle w:val="Heading3"/>
      </w:pPr>
      <w:r>
        <w:t xml:space="preserve">Phase 19 — Migration tooling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Legacy loan boarding and reconciliation sign-off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9, 13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feat/migration-tooling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19 — Migration tooling. Governing brief: docs/00-master-prompt.md (Part 12, Phase 19; Part 8A prevails on regulatory points).</w:t>
      </w:r>
      <w:r>
        <w:br/>
      </w:r>
      <w:r>
        <w:br/>
      </w:r>
      <w:r>
        <w:rPr>
          <w:rStyle w:val="VerbatimChar"/>
        </w:rPr>
        <w:t xml:space="preserve">Build the legacy loan-boarding toolkit, with history, opening balances, DPD reconstruction and reconciliation sign-off reports.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docs/specs/phase-19-migration-tooling.md: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feat/migration-tooling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50"/>
        </w:numPr>
        <w:pStyle w:val="Compact"/>
      </w:pPr>
      <w:r>
        <w:t xml:space="preserve">☐ Migrated balances reconcile to the legacy trial balance, loan by loan.</w:t>
      </w:r>
    </w:p>
    <w:p>
      <w:pPr>
        <w:numPr>
          <w:ilvl w:val="0"/>
          <w:numId w:val="1050"/>
        </w:numPr>
        <w:pStyle w:val="Compact"/>
      </w:pPr>
      <w:r>
        <w:t xml:space="preserve">☐ Classification history and DPD are preserved, not recomputed silently.</w:t>
      </w:r>
    </w:p>
    <w:p>
      <w:pPr>
        <w:numPr>
          <w:ilvl w:val="0"/>
          <w:numId w:val="1050"/>
        </w:numPr>
        <w:pStyle w:val="Compact"/>
      </w:pPr>
      <w:r>
        <w:t xml:space="preserve">☐ The tenant signs off the reconciliation.</w:t>
      </w:r>
    </w:p>
    <w:p>
      <w:pPr>
        <w:numPr>
          <w:ilvl w:val="0"/>
          <w:numId w:val="1050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bookmarkEnd w:id="45"/>
    <w:bookmarkStart w:id="46" w:name="X5dc0d2542a1a959311b733ef08dd364d01e2c9f"/>
    <w:p>
      <w:pPr>
        <w:pStyle w:val="Heading3"/>
      </w:pPr>
      <w:r>
        <w:t xml:space="preserve">Phase 20 — Scale hardening and AWS migration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Multi-tenant scale tests, AWS ap-south-1 / ap-south-2 migration, DR at scale, performance tuning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P, 16–19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feat/scale-aws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20 — Scale hardening and AWS migration. Governing brief: docs/00-master-prompt.md (Part 12, Phase 20; Part 8A prevails on regulatory points).</w:t>
      </w:r>
      <w:r>
        <w:br/>
      </w:r>
      <w:r>
        <w:br/>
      </w:r>
      <w:r>
        <w:rPr>
          <w:rStyle w:val="VerbatimChar"/>
        </w:rPr>
        <w:t xml:space="preserve">Run multi-tenant scale tests. Then:</w:t>
      </w:r>
      <w:r>
        <w:br/>
      </w:r>
      <w:r>
        <w:br/>
      </w:r>
      <w:r>
        <w:rPr>
          <w:rStyle w:val="VerbatimChar"/>
        </w:rPr>
        <w:t xml:space="preserve">- write and rehearse the AWS ap-south-1 / ap-south-2 migration runbook;</w:t>
      </w:r>
      <w:r>
        <w:br/>
      </w:r>
      <w:r>
        <w:rPr>
          <w:rStyle w:val="VerbatimChar"/>
        </w:rPr>
        <w:t xml:space="preserve">- run DR at scale;</w:t>
      </w:r>
      <w:r>
        <w:br/>
      </w:r>
      <w:r>
        <w:rPr>
          <w:rStyle w:val="VerbatimChar"/>
        </w:rPr>
        <w:t xml:space="preserve">- do performance tuning;</w:t>
      </w:r>
      <w:r>
        <w:br/>
      </w:r>
      <w:r>
        <w:rPr>
          <w:rStyle w:val="VerbatimChar"/>
        </w:rPr>
        <w:t xml:space="preserve">- repeat independent VAPT.</w:t>
      </w:r>
      <w:r>
        <w:br/>
      </w:r>
      <w:r>
        <w:br/>
      </w:r>
      <w:r>
        <w:rPr>
          <w:rStyle w:val="VerbatimChar"/>
        </w:rPr>
        <w:t xml:space="preserve">Present a controlled migration plan for my approval.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REQ-IDs (Part 8A) and module items (Parts 7, 8A.16 and 8A.36)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docs/specs/phase-20-scale-aws.md: scope, data model changes, APIs and events, state machines, rule-pack parameters,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feat/scale-aws in small commits; run unit, integration, tenant-isolation and security tests; update the regulatory register,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52"/>
        </w:numPr>
        <w:pStyle w:val="Compact"/>
      </w:pPr>
      <w:r>
        <w:t xml:space="preserve">☐ Scale tests meet the agreed throughput and COB window.</w:t>
      </w:r>
    </w:p>
    <w:p>
      <w:pPr>
        <w:numPr>
          <w:ilvl w:val="0"/>
          <w:numId w:val="1052"/>
        </w:numPr>
        <w:pStyle w:val="Compact"/>
      </w:pPr>
      <w:r>
        <w:t xml:space="preserve">☐ The AWS migration stays in ap-south-1 / ap-south-2.</w:t>
      </w:r>
    </w:p>
    <w:p>
      <w:pPr>
        <w:numPr>
          <w:ilvl w:val="0"/>
          <w:numId w:val="1052"/>
        </w:numPr>
        <w:pStyle w:val="Compact"/>
      </w:pPr>
      <w:r>
        <w:t xml:space="preserve">☐ The DR drill passes at production scale.</w:t>
      </w:r>
    </w:p>
    <w:p>
      <w:pPr>
        <w:numPr>
          <w:ilvl w:val="0"/>
          <w:numId w:val="1052"/>
        </w:numPr>
        <w:pStyle w:val="Compact"/>
      </w:pPr>
      <w:r>
        <w:t xml:space="preserve">☐ The PR shows the test output; the ledger balances (if money moved); the regulatory register and docs/status are updated.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utility-prompts"/>
    <w:p>
      <w:pPr>
        <w:pStyle w:val="Heading2"/>
      </w:pPr>
      <w:r>
        <w:t xml:space="preserve">4. Utility prompts</w:t>
      </w:r>
    </w:p>
    <w:p>
      <w:pPr>
        <w:pStyle w:val="FirstParagraph"/>
      </w:pPr>
      <w:r>
        <w:t xml:space="preserve">Replace the text in square brackets before pasting.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space="0" w:color="9AAAC0"/>
          <w:left w:val="single" w:sz="4" w:space="0" w:color="9AAAC0"/>
          <w:bottom w:val="single" w:sz="4" w:space="0" w:color="9AAAC0"/>
          <w:right w:val="single" w:sz="4" w:space="0" w:color="9AAAC0"/>
          <w:insideH w:val="single" w:sz="4" w:space="0" w:color="9AAAC0"/>
          <w:insideV w:val="single" w:sz="4" w:space="0" w:color="9AAAC0"/>
        </w:tblBorders>
        <w:tblLayout w:type="fixed"/>
      </w:tblPr>
      <w:tblGrid>
        <w:gridCol w:w="1204"/>
        <w:gridCol w:w="2349"/>
        <w:gridCol w:w="6085"/>
      </w:tblGrid>
      <w:tr>
        <w:trPr>
          <w:tblHeader w:val="true"/>
          <w:tblHeader w:val="true"/>
        </w:trPr>
        <w:tc>
          <w:tcPr>
            <w:tcW w:w="1204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w="2349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When to use</w:t>
            </w:r>
          </w:p>
        </w:tc>
        <w:tc>
          <w:tcPr>
            <w:tcW w:w="6085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Prompt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U1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Start a sub-module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Continue Phase [n]. This session covers only the sub-module: [name]. Re-read the approved spec docs/specs/[file].md and the related REQ-IDs, confirm the scope in five lines, then build it. Do not touch other sub-modules.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U2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Resume after an interruption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Read CLAUDE.md, docs/status and the open PR for Phase [n]. Summarise what is done, what is pending and any failing tests, then continue from the next pending item.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U3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 check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Give me a status report for Phase [n]: items done, items pending, tests run and their results, open [VERIFY] items, and any decision you need from me. Do not write code.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U4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Fix failing tests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following tests fail: [paste output]. Find the root cause, explain it in plain English, propose the fix, and apply it only after I approve. Re-run the full test suite and paste the results.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U5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New RBI circular or amendment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have added [RBI number, date] to docs/regulations/rbi/. Read it in full. List every requirement with a new REQ-ID, every existing REQ-ID it amends or withdraws, and every module, rule pack, return and test affected. Propose the changes with effective dates. Do not change code until I approve.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U6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Run the review gate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Run the review gate for Phase [n] from docs/01-phase-runbook.md. For each item, show the evidence (test name and output, query result, screenshot or file path). Mark any item you cannot evidence as NOT MET.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U7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Change a specification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want to change the approved spec for Phase [n]: [change]. Update docs/specs/[file].md, list the regulatory and ledger impact, update the tests, and wait for my approval before changing code.</w:t>
            </w:r>
          </w:p>
        </w:tc>
      </w:tr>
      <w:tr>
        <w:tc>
          <w:tcPr>
            <w:tcW w:w="1204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U8</w:t>
            </w:r>
          </w:p>
        </w:tc>
        <w:tc>
          <w:tcPr>
            <w:tcW w:w="234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Regulatory check before a regulated workflow</w:t>
            </w:r>
          </w:p>
        </w:tc>
        <w:tc>
          <w:tcPr>
            <w:tcW w:w="6085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Before building [workflow], list the applicable REQ-IDs, the entity-profile flags that decide applicability (layer, asset size, deposit-taking, HFC and so on), and any [VERIFY] item. Confirm what is law and what is our interpretation.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rogress-tracker"/>
    <w:p>
      <w:pPr>
        <w:pStyle w:val="Heading2"/>
      </w:pPr>
      <w:r>
        <w:t xml:space="preserve">5. Progress tracker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space="0" w:color="9AAAC0"/>
          <w:left w:val="single" w:sz="4" w:space="0" w:color="9AAAC0"/>
          <w:bottom w:val="single" w:sz="4" w:space="0" w:color="9AAAC0"/>
          <w:right w:val="single" w:sz="4" w:space="0" w:color="9AAAC0"/>
          <w:insideH w:val="single" w:sz="4" w:space="0" w:color="9AAAC0"/>
          <w:insideV w:val="single" w:sz="4" w:space="0" w:color="9AAAC0"/>
        </w:tblBorders>
        <w:tblLayout w:type="fixed"/>
      </w:tblPr>
      <w:tblGrid>
        <w:gridCol w:w="3362"/>
        <w:gridCol w:w="1724"/>
        <w:gridCol w:w="1311"/>
        <w:gridCol w:w="1928"/>
        <w:gridCol w:w="1313"/>
      </w:tblGrid>
      <w:tr>
        <w:trPr>
          <w:tblHeader w:val="true"/>
          <w:tblHeader w:val="true"/>
        </w:trPr>
        <w:tc>
          <w:tcPr>
            <w:tcW w:w="3362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tcW w:w="1724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Spec approved (date)</w:t>
            </w:r>
          </w:p>
        </w:tc>
        <w:tc>
          <w:tcPr>
            <w:tcW w:w="1311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PR</w:t>
            </w:r>
          </w:p>
        </w:tc>
        <w:tc>
          <w:tcPr>
            <w:tcW w:w="1928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Review gate passed (date)</w:t>
            </w:r>
          </w:p>
        </w:tc>
        <w:tc>
          <w:tcPr>
            <w:tcW w:w="1313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0 — Repository audit and architecture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 — Platform foundation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2 — Database, tenancy and security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3 — Masters, configuration and product factory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3b — Communications foundation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4 — Ledger and accounting core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5 — Schedule and allocation engine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6 — Customer, KYC and consent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7 — Origination (LOS)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8 — Documentation, execution, DMS and disbursement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8b — Field app foundation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8c — Udofin / LSP inbound connector (minimal)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9 — Servicing (LMS) and COB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10 — Payments and reconciliation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11 — Collections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12 — Recovery and legal (unsecured) + Equator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13 — Finance, Ind AS 109 and accounting integrations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14 — Regulatory reporting, risk and compliance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15 — Grievance, borrower portal and feedback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P — MVP hardening and pilot go-live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16 — Partner connectors, co-lending, loan transfers and securitisation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17 — Secured products expansion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18 — Analytics, AI layer and MCP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19 — Migration tooling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36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20 — Scale hardening and AWS migration</w:t>
            </w:r>
          </w:p>
        </w:tc>
        <w:tc>
          <w:tcPr>
            <w:tcW w:w="1724" w:type="dxa"/>
          </w:tcPr>
          <w:p>
            <w:pPr>
              <w:pStyle w:val="Compact"/>
              <w:spacing w:after="40"/>
            </w:pPr>
          </w:p>
        </w:tc>
        <w:tc>
          <w:tcPr>
            <w:tcW w:w="1311" w:type="dxa"/>
          </w:tcPr>
          <w:p>
            <w:pPr>
              <w:pStyle w:val="Compact"/>
              <w:spacing w:after="40"/>
            </w:pPr>
          </w:p>
        </w:tc>
        <w:tc>
          <w:tcPr>
            <w:tcW w:w="1928" w:type="dxa"/>
          </w:tcPr>
          <w:p>
            <w:pPr>
              <w:pStyle w:val="Compact"/>
              <w:spacing w:after="40"/>
            </w:pPr>
          </w:p>
        </w:tc>
        <w:tc>
          <w:tcPr>
            <w:tcW w:w="1313" w:type="dxa"/>
          </w:tcPr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iCs/>
          <w:i/>
        </w:rPr>
        <w:t xml:space="preserve">End of runbook.</w:t>
      </w:r>
    </w:p>
    <w:bookmarkEnd w:id="49"/>
    <w:bookmarkEnd w:id="50"/>
    <w:sectPr>
      <w:footerReference w:type="default" r:id="rId9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 xml:space="preserve">Finbyx — Phase-wise Claude Code Runbook · v1.3 ·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PAGE</w:instrTex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3A5F" w:space="6" w:sz="18" w:val="single"/>
      </w:pBdr>
      <w:spacing w:after="100" w:before="100"/>
      <w:ind w:firstLine="0" w:left="480" w:right="480"/>
      <w:shd w:color="auto" w:fill="EAF1F8" w:val="clear"/>
    </w:pPr>
    <w:rPr>
      <w:rFonts w:ascii="Calibri" w:cs="Calibri" w:eastAsia="Calibri" w:hAnsi="Calibri"/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2026-10-18T17:33:41Z</dcterms:created>
  <dcterms:modified xsi:type="dcterms:W3CDTF">2026-10-18T17:33:41Z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