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finbyx-phase-wise-claude-code-runbook"/>
    <w:p>
      <w:pPr>
        <w:pStyle w:val="Heading1"/>
      </w:pPr>
      <w:r>
        <w:t xml:space="preserve">FINBYX — Phase-wise Claude Code Runbook</w:t>
      </w:r>
    </w:p>
    <w:p>
      <w:pPr>
        <w:pStyle w:val="FirstParagraph"/>
      </w:pPr>
      <w:r>
        <w:rPr>
          <w:bCs/>
          <w:b/>
        </w:rPr>
        <w:t xml:space="preserve">Companion to the Finbyx Master Build Prompt v1.5</w:t>
      </w:r>
      <w:r>
        <w:t xml:space="preserve"> </w:t>
      </w:r>
      <w:r>
        <w:t xml:space="preserve">· 24 October 2026 · ready-to-paste instructions for every build phase</w:t>
      </w:r>
    </w:p>
    <w:p>
      <w:r>
        <w:pict>
          <v:rect style="width:0;height:1.5pt" o:hralign="center" o:hrstd="t" o:hr="t"/>
        </w:pict>
      </w:r>
    </w:p>
    <w:bookmarkStart w:id="20" w:name="how-to-use-this-runbook"/>
    <w:p>
      <w:pPr>
        <w:pStyle w:val="Heading2"/>
      </w:pPr>
      <w:r>
        <w:t xml:space="preserve">1. How to use this runbook</w:t>
      </w:r>
    </w:p>
    <w:p>
      <w:pPr>
        <w:numPr>
          <w:ilvl w:val="0"/>
          <w:numId w:val="1001"/>
        </w:numPr>
        <w:pStyle w:val="Compact"/>
      </w:pPr>
      <w:r>
        <w:rPr>
          <w:bCs/>
          <w:b/>
        </w:rPr>
        <w:t xml:space="preserve">Before Session 1:</w:t>
      </w:r>
      <w:r>
        <w:t xml:space="preserve"> </w:t>
      </w:r>
      <w:r>
        <w:t xml:space="preserve">commit the master prompt as</w:t>
      </w:r>
      <w:r>
        <w:t xml:space="preserve"> </w:t>
      </w:r>
      <w:r>
        <w:rPr>
          <w:rStyle w:val="VerbatimChar"/>
        </w:rPr>
        <w:t xml:space="preserve">docs/00-master-prompt.md</w:t>
      </w:r>
      <w:r>
        <w:t xml:space="preserve">, the RBI PDFs to</w:t>
      </w:r>
      <w:r>
        <w:t xml:space="preserve"> </w:t>
      </w:r>
      <w:r>
        <w:rPr>
          <w:rStyle w:val="VerbatimChar"/>
        </w:rPr>
        <w:t xml:space="preserve">docs/regulations/rbi/</w:t>
      </w:r>
      <w:r>
        <w:t xml:space="preserve"> </w:t>
      </w:r>
      <w:r>
        <w:t xml:space="preserve">and the Infrabyx Ecosystem Integration Specification to</w:t>
      </w:r>
      <w:r>
        <w:t xml:space="preserve"> </w:t>
      </w:r>
      <w:r>
        <w:rPr>
          <w:rStyle w:val="VerbatimChar"/>
        </w:rPr>
        <w:t xml:space="preserve">docs/ecosystem/infrabyx-integration-spec.md</w:t>
      </w:r>
      <w:r>
        <w:t xml:space="preserve">. You can also commit this runbook as</w:t>
      </w:r>
      <w:r>
        <w:t xml:space="preserve"> </w:t>
      </w:r>
      <w:r>
        <w:rPr>
          <w:rStyle w:val="VerbatimChar"/>
        </w:rPr>
        <w:t xml:space="preserve">docs/01-phase-runbook.md</w:t>
      </w:r>
      <w:r>
        <w:t xml:space="preserve">.</w:t>
      </w:r>
    </w:p>
    <w:p>
      <w:pPr>
        <w:numPr>
          <w:ilvl w:val="0"/>
          <w:numId w:val="1001"/>
        </w:numPr>
        <w:pStyle w:val="Compact"/>
      </w:pPr>
      <w:r>
        <w:rPr>
          <w:bCs/>
          <w:b/>
        </w:rPr>
        <w:t xml:space="preserve">One phase per session.</w:t>
      </w:r>
      <w:r>
        <w:t xml:space="preserve"> </w:t>
      </w:r>
      <w:r>
        <w:t xml:space="preserve">Start a fresh Claude Code session for each phase or sub-module, and paste only that phase’s block.</w:t>
      </w:r>
    </w:p>
    <w:p>
      <w:pPr>
        <w:numPr>
          <w:ilvl w:val="0"/>
          <w:numId w:val="1001"/>
        </w:numPr>
        <w:pStyle w:val="Compact"/>
      </w:pPr>
      <w:r>
        <w:rPr>
          <w:bCs/>
          <w:b/>
        </w:rPr>
        <w:t xml:space="preserve">Each block is self-contained.</w:t>
      </w:r>
      <w:r>
        <w:t xml:space="preserve"> </w:t>
      </w:r>
      <w:r>
        <w:t xml:space="preserve">From Phase 1 onward it already includes (Phase 0 instead ends with the approval presentation of Part 13):</w:t>
      </w:r>
    </w:p>
    <w:p>
      <w:pPr>
        <w:numPr>
          <w:ilvl w:val="1"/>
          <w:numId w:val="1002"/>
        </w:numPr>
        <w:pStyle w:val="Compact"/>
      </w:pPr>
      <w:r>
        <w:t xml:space="preserve">the Part 12 instruction;</w:t>
      </w:r>
    </w:p>
    <w:p>
      <w:pPr>
        <w:numPr>
          <w:ilvl w:val="1"/>
          <w:numId w:val="1002"/>
        </w:numPr>
        <w:pStyle w:val="Compact"/>
      </w:pPr>
      <w:r>
        <w:t xml:space="preserve">the v1.3 regulatory additions from Part 8A.36.4;</w:t>
      </w:r>
    </w:p>
    <w:p>
      <w:pPr>
        <w:numPr>
          <w:ilvl w:val="1"/>
          <w:numId w:val="1002"/>
        </w:numPr>
        <w:pStyle w:val="Compact"/>
      </w:pPr>
      <w:r>
        <w:t xml:space="preserve">the standard closing that makes Claude Code list the REQ-IDs, write the specification and stop for your approval before coding.</w:t>
      </w:r>
    </w:p>
    <w:p>
      <w:pPr>
        <w:numPr>
          <w:ilvl w:val="0"/>
          <w:numId w:val="1001"/>
        </w:numPr>
        <w:pStyle w:val="Compact"/>
      </w:pPr>
      <w:r>
        <w:rPr>
          <w:bCs/>
          <w:b/>
        </w:rPr>
        <w:t xml:space="preserve">Approve, then build.</w:t>
      </w:r>
      <w:r>
        <w:t xml:space="preserve"> </w:t>
      </w:r>
      <w:r>
        <w:t xml:space="preserve">Read the specification, reply</w:t>
      </w:r>
      <w:r>
        <w:t xml:space="preserve"> </w:t>
      </w:r>
      <w:r>
        <w:t xml:space="preserve">“</w:t>
      </w:r>
      <w:r>
        <w:t xml:space="preserve">Approved</w:t>
      </w:r>
      <w:r>
        <w:t xml:space="preserve">”</w:t>
      </w:r>
      <w:r>
        <w:t xml:space="preserve"> </w:t>
      </w:r>
      <w:r>
        <w:t xml:space="preserve">(or give changes), and let Claude Code build, test and open the pull request.</w:t>
      </w:r>
    </w:p>
    <w:p>
      <w:pPr>
        <w:numPr>
          <w:ilvl w:val="0"/>
          <w:numId w:val="1001"/>
        </w:numPr>
        <w:pStyle w:val="Compact"/>
      </w:pPr>
      <w:r>
        <w:rPr>
          <w:bCs/>
          <w:b/>
        </w:rPr>
        <w:t xml:space="preserve">Run the review gate</w:t>
      </w:r>
      <w:r>
        <w:t xml:space="preserve"> </w:t>
      </w:r>
      <w:r>
        <w:t xml:space="preserve">(the checklist under each phase) before merging. Use prompt U6 in Section 4 to have Claude Code run it for you.</w:t>
      </w:r>
    </w:p>
    <w:p>
      <w:pPr>
        <w:numPr>
          <w:ilvl w:val="0"/>
          <w:numId w:val="1001"/>
        </w:numPr>
        <w:pStyle w:val="Compact"/>
      </w:pPr>
      <w:r>
        <w:rPr>
          <w:bCs/>
          <w:b/>
        </w:rPr>
        <w:t xml:space="preserve">Large phases:</w:t>
      </w:r>
      <w:r>
        <w:t xml:space="preserve"> </w:t>
      </w:r>
      <w:r>
        <w:t xml:space="preserve">use the sub-module split shown for the phase. Paste the full block in the first session, which writes and gets approval for the whole-phase specification; in each later sub-module session paste prompt U1, which re-reads that approved specification.</w:t>
      </w:r>
    </w:p>
    <w:p>
      <w:pPr>
        <w:numPr>
          <w:ilvl w:val="0"/>
          <w:numId w:val="1001"/>
        </w:numPr>
        <w:pStyle w:val="Compact"/>
      </w:pPr>
      <w:r>
        <w:rPr>
          <w:bCs/>
          <w:b/>
        </w:rPr>
        <w:t xml:space="preserve">Order:</w:t>
      </w:r>
      <w:r>
        <w:t xml:space="preserve"> </w:t>
      </w:r>
      <w:r>
        <w:t xml:space="preserve">0 → 1 → 2 → 3 → 3b → 4 → 5 → 6 → 7 → 8 → 8b → 8c → 9 → 10 → 11 → 12 → 12b → 13 → 13b → 14 → 14b → 14c → 14d → 15 → 15b → P → 16 → 16b → 16c → 16d → 16e → 17 → 17b → 17c → 17d → 18 → 18b → 19 → 20 → 20b. Phases 12, 12b and 17b build the Recovery Suite (Part 7A) and 16b the ecosystem integration hub; the v1.5 phases 13b–20b build Parts 7B–7L. Build them all: whether a tenant uses an attachable module is decided at runtime by licence, institution profile and feature flag (Parts 7A.0, 7G IP1, 7K). Do not start a phase until the phases it depends on are merged.</w:t>
      </w:r>
    </w:p>
    <w:p>
      <w:pPr>
        <w:numPr>
          <w:ilvl w:val="0"/>
          <w:numId w:val="1001"/>
        </w:numPr>
        <w:pStyle w:val="Compact"/>
      </w:pPr>
      <w:r>
        <w:rPr>
          <w:bCs/>
          <w:b/>
        </w:rPr>
        <w:t xml:space="preserve">Menus, screens and settings:</w:t>
      </w:r>
      <w:r>
        <w:t xml:space="preserve"> </w:t>
      </w:r>
      <w:r>
        <w:t xml:space="preserve">every phase builds the menu items, screens and settings its Part specifies, following Appendix G (Navigation, menus, screens and settings map). Settings marked as regulatory floors cannot be relaxed (</w:t>
      </w:r>
      <w:r>
        <w:rPr>
          <w:rStyle w:val="VerbatimChar"/>
        </w:rPr>
        <w:t xml:space="preserve">floor_violation</w:t>
      </w:r>
      <w:r>
        <w:t xml:space="preserve">).</w:t>
      </w:r>
    </w:p>
    <w:p>
      <w:pPr>
        <w:numPr>
          <w:ilvl w:val="0"/>
          <w:numId w:val="1001"/>
        </w:numPr>
        <w:pStyle w:val="Compact"/>
      </w:pPr>
      <w:r>
        <w:rPr>
          <w:bCs/>
          <w:b/>
        </w:rPr>
        <w:t xml:space="preserve">Companion prompts:</w:t>
      </w:r>
      <w:r>
        <w:t xml:space="preserve"> </w:t>
      </w:r>
      <w:r>
        <w:t xml:space="preserve">Phase 16e needs Operations Hub phase O6 (billing) at least in staging; Phase 20b sends evidence to Operations Hub O12. The Operations Hub has its own master prompt and runbook.</w:t>
      </w:r>
    </w:p>
    <w:p>
      <w:r>
        <w:pict>
          <v:rect style="width:0;height:1.5pt" o:hralign="center" o:hrstd="t" o:hr="t"/>
        </w:pict>
      </w:r>
    </w:p>
    <w:bookmarkEnd w:id="20"/>
    <w:bookmarkStart w:id="21" w:name="X4b722bfc7ee39314e881b4ce025baae87bb129b"/>
    <w:p>
      <w:pPr>
        <w:pStyle w:val="Heading2"/>
      </w:pPr>
      <w:r>
        <w:t xml:space="preserve">2. Standard closing (already included in every block)</w:t>
      </w:r>
    </w:p>
    <w:p>
      <w:pPr>
        <w:pStyle w:val="SourceCode"/>
      </w:pP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docs/specs/phase-&lt;n&gt;-&lt;name&gt;.md: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&lt;branch&gt; in small commits; run unit, integration, tenant-isolation and security tests; update the regulatory register, docs/status and the ADRs; open a PR with the test output pasted. Never claim a test passed unless you ran it.</w:t>
      </w:r>
    </w:p>
    <w:p>
      <w:r>
        <w:pict>
          <v:rect style="width:0;height:1.5pt" o:hralign="center" o:hrstd="t" o:hr="t"/>
        </w:pict>
      </w:r>
    </w:p>
    <w:bookmarkEnd w:id="21"/>
    <w:bookmarkStart w:id="62" w:name="phase-instructions"/>
    <w:p>
      <w:pPr>
        <w:pStyle w:val="Heading2"/>
      </w:pPr>
      <w:r>
        <w:t xml:space="preserve">3. Phase instructions</w:t>
      </w:r>
    </w:p>
    <w:bookmarkStart w:id="22" w:name="X9c0ddc9339227ee95af308bbf94e6e6f57e199a"/>
    <w:p>
      <w:pPr>
        <w:pStyle w:val="Heading3"/>
      </w:pPr>
      <w:r>
        <w:t xml:space="preserve">Phase 0 — Repository audit and architecture</w:t>
      </w:r>
    </w:p>
    <w:p>
      <w:pPr>
        <w:numPr>
          <w:ilvl w:val="0"/>
          <w:numId w:val="1003"/>
        </w:numPr>
        <w:pStyle w:val="Compact"/>
      </w:pPr>
      <w:r>
        <w:rPr>
          <w:bCs/>
          <w:b/>
        </w:rPr>
        <w:t xml:space="preserve">Outcome:</w:t>
      </w:r>
      <w:r>
        <w:t xml:space="preserve"> </w:t>
      </w:r>
      <w:r>
        <w:t xml:space="preserve">Verified repo facts; audit of the current Finbyx product; competitor benchmark; architecture proposal; ADRs; Fineract adoption decision; regulatory register v1</w:t>
      </w:r>
    </w:p>
    <w:p>
      <w:pPr>
        <w:numPr>
          <w:ilvl w:val="0"/>
          <w:numId w:val="1003"/>
        </w:numPr>
        <w:pStyle w:val="Compact"/>
      </w:pPr>
      <w:r>
        <w:rPr>
          <w:bCs/>
          <w:b/>
        </w:rPr>
        <w:t xml:space="preserve">Depends on:</w:t>
      </w:r>
      <w:r>
        <w:t xml:space="preserve"> </w:t>
      </w:r>
      <w:r>
        <w:t xml:space="preserve">nothing (first phase)</w:t>
      </w:r>
    </w:p>
    <w:p>
      <w:pPr>
        <w:numPr>
          <w:ilvl w:val="0"/>
          <w:numId w:val="1003"/>
        </w:numPr>
        <w:pStyle w:val="Compact"/>
      </w:pPr>
      <w:r>
        <w:rPr>
          <w:bCs/>
          <w:b/>
        </w:rPr>
        <w:t xml:space="preserve">Branch:</w:t>
      </w:r>
      <w:r>
        <w:t xml:space="preserve"> </w:t>
      </w:r>
      <w:r>
        <w:rPr>
          <w:rStyle w:val="VerbatimChar"/>
        </w:rPr>
        <w:t xml:space="preserve">feat/repo-baseline</w:t>
      </w:r>
    </w:p>
    <w:p>
      <w:pPr>
        <w:pStyle w:val="FirstParagraph"/>
      </w:pPr>
      <w:r>
        <w:rPr>
          <w:bCs/>
          <w:b/>
        </w:rPr>
        <w:t xml:space="preserve">Paste into Claude Code:</w:t>
      </w:r>
    </w:p>
    <w:p>
      <w:pPr>
        <w:pStyle w:val="SourceCode"/>
      </w:pPr>
      <w:r>
        <w:rPr>
          <w:rStyle w:val="VerbatimChar"/>
        </w:rPr>
        <w:t xml:space="preserve">Read docs/00-master-prompt.md and docs/ecosystem/infrabyx-integration-spec.md in full, then execute Part 13 (Phase 0 only).</w:t>
      </w:r>
      <w:r>
        <w:br/>
      </w:r>
      <w:r>
        <w:br/>
      </w:r>
      <w:r>
        <w:rPr>
          <w:rStyle w:val="VerbatimChar"/>
        </w:rPr>
        <w:t xml:space="preserve">In addition to the Phase 0 instruction in Part 12:</w:t>
      </w:r>
      <w:r>
        <w:br/>
      </w:r>
      <w:r>
        <w:rPr>
          <w:rStyle w:val="VerbatimChar"/>
        </w:rPr>
        <w:t xml:space="preserve">- confirm that the RBI PDFs are in docs/regulations/rbi/ and the Infrabyx Ecosystem Integration Specification is in docs/ecosystem/infrabyx-integration-spec.md (I committed them before this session);</w:t>
      </w:r>
      <w:r>
        <w:br/>
      </w:r>
      <w:r>
        <w:rPr>
          <w:rStyle w:val="VerbatimChar"/>
        </w:rPr>
        <w:t xml:space="preserve">- prepare docs/regulations/errata.md (from Appendix F) and docs/regulations/index.md (SHA-256 hash and "updated as on" date of each RBI file, Part 8A.0.1) for the baseline PR after approval.</w:t>
      </w:r>
      <w:r>
        <w:br/>
      </w:r>
      <w:r>
        <w:br/>
      </w:r>
      <w:r>
        <w:rPr>
          <w:rStyle w:val="VerbatimChar"/>
        </w:rPr>
        <w:t xml:space="preserve">v1.3 regulatory additions for this phase (Part 8A.36.4) — include them:</w:t>
      </w:r>
      <w:r>
        <w:br/>
      </w:r>
      <w:r>
        <w:rPr>
          <w:rStyle w:val="VerbatimChar"/>
        </w:rPr>
        <w:t xml:space="preserve">- ADR on V-CIP hosting: tenant-exclusive owned/leased storage (cloud allowed), immediate transfer of recordings, vendor retains no data (KYC 27(1)(i)). Add the tenant's s.11A PML Act notification status (Aadhaar e-KYC authentication) to the Appendix B item 4 decision [KYC]</w:t>
      </w:r>
      <w:r>
        <w:br/>
      </w:r>
      <w:r>
        <w:rPr>
          <w:rStyle w:val="VerbatimChar"/>
        </w:rPr>
        <w:t xml:space="preserve">- ADR classifying Finbyx under OUT for each deployment model and each tenant layer (BL → CYB Ch III/IV; CYB 117 residual) (OUT 3(2), 5, 58). Standard MSA/DPA clause matrix against OUT 34, 74, 87–88 and 97(xvi). Add GOV, OUT and ORM to regulatory register v1, with ORM marked "guidance" [GOV / OUT / ORM]</w:t>
      </w:r>
      <w:r>
        <w:br/>
      </w:r>
      <w:r>
        <w:br/>
      </w:r>
      <w:r>
        <w:rPr>
          <w:rStyle w:val="VerbatimChar"/>
        </w:rPr>
        <w:t xml:space="preserve">Present everything for my approval before modifying the repository.</w:t>
      </w:r>
    </w:p>
    <w:p>
      <w:pPr>
        <w:pStyle w:val="FirstParagraph"/>
      </w:pPr>
      <w:r>
        <w:rPr>
          <w:bCs/>
          <w:b/>
        </w:rPr>
        <w:t xml:space="preserve">Review gate (check before merging):</w:t>
      </w:r>
    </w:p>
    <w:p>
      <w:pPr>
        <w:numPr>
          <w:ilvl w:val="0"/>
          <w:numId w:val="1004"/>
        </w:numPr>
        <w:pStyle w:val="Compact"/>
      </w:pPr>
      <w:r>
        <w:t xml:space="preserve">☐ Every Part 8A requirement is in regulatory register v1 with its REQ-ID; the count per code matches Part 8A (8A.1–8A.35).</w:t>
      </w:r>
    </w:p>
    <w:p>
      <w:pPr>
        <w:numPr>
          <w:ilvl w:val="0"/>
          <w:numId w:val="1004"/>
        </w:numPr>
        <w:pStyle w:val="Compact"/>
      </w:pPr>
      <w:r>
        <w:t xml:space="preserve">☐ Every [VERIFY] item is mapped to the phase that will verify it.</w:t>
      </w:r>
    </w:p>
    <w:p>
      <w:pPr>
        <w:numPr>
          <w:ilvl w:val="0"/>
          <w:numId w:val="1004"/>
        </w:numPr>
        <w:pStyle w:val="Compact"/>
      </w:pPr>
      <w:r>
        <w:t xml:space="preserve">☐ The data-residency check covers every host and SaaS sub-processor; nothing outside India holds real data.</w:t>
      </w:r>
    </w:p>
    <w:p>
      <w:pPr>
        <w:numPr>
          <w:ilvl w:val="0"/>
          <w:numId w:val="1004"/>
        </w:numPr>
        <w:pStyle w:val="Compact"/>
      </w:pPr>
      <w:r>
        <w:t xml:space="preserve">☐ ADRs exist for Fineract adoption, V-CIP hosting (KYC 27(1)(i)) and the outsourcing classification of Finbyx (OUT).</w:t>
      </w:r>
    </w:p>
    <w:p>
      <w:pPr>
        <w:numPr>
          <w:ilvl w:val="0"/>
          <w:numId w:val="1004"/>
        </w:numPr>
        <w:pStyle w:val="Compact"/>
      </w:pPr>
      <w:r>
        <w:t xml:space="preserve">☐ You have answered the Appendix B decisions, or recorded a date for each.</w:t>
      </w:r>
    </w:p>
    <w:p>
      <w:pPr>
        <w:numPr>
          <w:ilvl w:val="0"/>
          <w:numId w:val="1004"/>
        </w:numPr>
        <w:pStyle w:val="Compact"/>
      </w:pPr>
      <w:r>
        <w:t xml:space="preserve">☐ The Udofin/LSP contract outline uses the canonical names in docs/ecosystem/infrabyx-integration-spec.md, and any event not in it is logged as a proposal, not invented (Integration Spec Part 14.2).</w:t>
      </w:r>
    </w:p>
    <w:p>
      <w:pPr>
        <w:numPr>
          <w:ilvl w:val="0"/>
          <w:numId w:val="1004"/>
        </w:numPr>
        <w:pStyle w:val="Compact"/>
      </w:pPr>
      <w:r>
        <w:t xml:space="preserve">☐ The baseline PR contains only CLAUDE.md, the ADRs, docs/, the registers and errata.md (Part 13); no application scaffolding.</w:t>
      </w:r>
    </w:p>
    <w:bookmarkEnd w:id="22"/>
    <w:bookmarkStart w:id="23" w:name="phase-1-platform-foundation"/>
    <w:p>
      <w:pPr>
        <w:pStyle w:val="Heading3"/>
      </w:pPr>
      <w:r>
        <w:t xml:space="preserve">Phase 1 — Platform foundation</w:t>
      </w:r>
    </w:p>
    <w:p>
      <w:pPr>
        <w:numPr>
          <w:ilvl w:val="0"/>
          <w:numId w:val="1005"/>
        </w:numPr>
        <w:pStyle w:val="Compact"/>
      </w:pPr>
      <w:r>
        <w:rPr>
          <w:bCs/>
          <w:b/>
        </w:rPr>
        <w:t xml:space="preserve">Outcome:</w:t>
      </w:r>
      <w:r>
        <w:t xml:space="preserve"> </w:t>
      </w:r>
      <w:r>
        <w:t xml:space="preserve">Monorepo, CI/CD, environments, auth abstraction, design system, observability; GitHub rulesets, signed commits, CODEOWNERS, SBOM and supply-chain controls from the first commit (Part 7L EO1)</w:t>
      </w:r>
    </w:p>
    <w:p>
      <w:pPr>
        <w:numPr>
          <w:ilvl w:val="0"/>
          <w:numId w:val="1005"/>
        </w:numPr>
        <w:pStyle w:val="Compact"/>
      </w:pPr>
      <w:r>
        <w:rPr>
          <w:bCs/>
          <w:b/>
        </w:rPr>
        <w:t xml:space="preserve">Depends on:</w:t>
      </w:r>
      <w:r>
        <w:t xml:space="preserve"> </w:t>
      </w:r>
      <w:r>
        <w:t xml:space="preserve">0</w:t>
      </w:r>
    </w:p>
    <w:p>
      <w:pPr>
        <w:numPr>
          <w:ilvl w:val="0"/>
          <w:numId w:val="1005"/>
        </w:numPr>
        <w:pStyle w:val="Compact"/>
      </w:pPr>
      <w:r>
        <w:rPr>
          <w:bCs/>
          <w:b/>
        </w:rPr>
        <w:t xml:space="preserve">Branch:</w:t>
      </w:r>
      <w:r>
        <w:t xml:space="preserve"> </w:t>
      </w:r>
      <w:r>
        <w:rPr>
          <w:rStyle w:val="VerbatimChar"/>
        </w:rPr>
        <w:t xml:space="preserve">feat/platform-foundation</w:t>
      </w:r>
    </w:p>
    <w:p>
      <w:pPr>
        <w:pStyle w:val="FirstParagraph"/>
      </w:pPr>
      <w:r>
        <w:rPr>
          <w:bCs/>
          <w:b/>
        </w:rPr>
        <w:t xml:space="preserve">Paste into Claude Code:</w:t>
      </w:r>
    </w:p>
    <w:p>
      <w:pPr>
        <w:pStyle w:val="SourceCode"/>
      </w:pPr>
      <w:r>
        <w:rPr>
          <w:rStyle w:val="VerbatimChar"/>
        </w:rPr>
        <w:t xml:space="preserve">Phase 1 — Platform foundation. Governing brief: docs/00-master-prompt.md (Part 12, Phase 1; Part 8A prevails on regulatory points).</w:t>
      </w:r>
      <w:r>
        <w:br/>
      </w:r>
      <w:r>
        <w:br/>
      </w:r>
      <w:r>
        <w:rPr>
          <w:rStyle w:val="VerbatimChar"/>
        </w:rPr>
        <w:t xml:space="preserve">On branch `feat/platform-foundation`, initialise the approved monorepo. Set up:</w:t>
      </w:r>
      <w:r>
        <w:br/>
      </w:r>
      <w:r>
        <w:br/>
      </w:r>
      <w:r>
        <w:rPr>
          <w:rStyle w:val="VerbatimChar"/>
        </w:rPr>
        <w:t xml:space="preserve">- pnpm + Turborepo, TypeScript strict, ESLint/Prettier;</w:t>
      </w:r>
      <w:r>
        <w:br/>
      </w:r>
      <w:r>
        <w:rPr>
          <w:rStyle w:val="VerbatimChar"/>
        </w:rPr>
        <w:t xml:space="preserve">- the `apps/web` (Next.js), `apps/api` (NestJS) and `apps/worker` skeletons;</w:t>
      </w:r>
      <w:r>
        <w:br/>
      </w:r>
      <w:r>
        <w:rPr>
          <w:rStyle w:val="VerbatimChar"/>
        </w:rPr>
        <w:t xml:space="preserve">- the `packages/` for contracts, domain-kernel (money, dates, IDs), ui (design tokens + shadcn), config and testing;</w:t>
      </w:r>
      <w:r>
        <w:br/>
      </w:r>
      <w:r>
        <w:rPr>
          <w:rStyle w:val="VerbatimChar"/>
        </w:rPr>
        <w:t xml:space="preserve">- Docker Compose for local Postgres, Temporal and Gotenberg;</w:t>
      </w:r>
      <w:r>
        <w:br/>
      </w:r>
      <w:r>
        <w:rPr>
          <w:rStyle w:val="VerbatimChar"/>
        </w:rPr>
        <w:t xml:space="preserve">- GitHub Actions CI (lint, typecheck, test, build, secret scan, dependency scan, CodeQL or an open-source equivalent, SBOM generation, PII-in-logs and card-pattern scan, workflow lint);</w:t>
      </w:r>
      <w:r>
        <w:br/>
      </w:r>
      <w:r>
        <w:rPr>
          <w:rStyle w:val="VerbatimChar"/>
        </w:rPr>
        <w:t xml:space="preserve">- from the first commit, the Part 7L EO1 repository controls: organisation SSO and 2FA; a `main` ruleset (no deletion or force push, linear history, signed commits required, pull request with code-owner review and approval of the latest push by someone other than the pusher, conversation resolution, required status checks, empty bypass list); signed `v*` tags restricted to the release workflow; CODEOWNERS with the uncovered-path check and the `sensitive-path-approvals` check (two owners for ledger, migrations, auth, billing, rule-pack, audit-trail and infrastructure paths); Actions pinned to full commit SHAs with read-only default permissions, no `pull_request_target` checkout of pull-request code and GitHub OIDC to AWS (no long-lived cloud keys); Dependabot; secret scanning with push protection; SPDX and CycloneDX SBOMs per build; cosign image signing with a KMS-held key; the `dev` and `staging` environments of EO1.4; and a nightly ruleset-drift export kept as control evidence;</w:t>
      </w:r>
      <w:r>
        <w:br/>
      </w:r>
      <w:r>
        <w:rPr>
          <w:rStyle w:val="VerbatimChar"/>
        </w:rPr>
        <w:t xml:space="preserve">- `.env.example` files;</w:t>
      </w:r>
      <w:r>
        <w:br/>
      </w:r>
      <w:r>
        <w:rPr>
          <w:rStyle w:val="VerbatimChar"/>
        </w:rPr>
        <w:t xml:space="preserve">- an OpenTelemetry baseline, with PII scrubbing and India-resident error tracking per the ADR;</w:t>
      </w:r>
      <w:r>
        <w:br/>
      </w:r>
      <w:r>
        <w:rPr>
          <w:rStyle w:val="VerbatimChar"/>
        </w:rPr>
        <w:t xml:space="preserve">- Storybook;</w:t>
      </w:r>
      <w:r>
        <w:br/>
      </w:r>
      <w:r>
        <w:rPr>
          <w:rStyle w:val="VerbatimChar"/>
        </w:rPr>
        <w:t xml:space="preserve">- the application shell: the Part 3.2 workspace switcher; a menu generated from a navigation registry that each module's `module.yaml` populates and that roles and entitlements filter server-side (Appendix G; Part 7K CM1), so an unentitled or unauthorised entry is never rendered; global search; My Queue; saved views; a keyboard-shortcut framework; a notification centre; and the standard list, detail, create or edit wizard, approval-queue and dashboard page templates with empty, loading, error and permission-denied states, checked against WCAG 2.2 AA in CI.</w:t>
      </w:r>
      <w:r>
        <w:br/>
      </w:r>
      <w:r>
        <w:br/>
      </w:r>
      <w:r>
        <w:rPr>
          <w:rStyle w:val="VerbatimChar"/>
        </w:rPr>
        <w:t xml:space="preserve">Implement the domain-kernel `Money` and `Rate` types on decimal.js (precision ≥ 40, explicit rounding policies), with property-based tests. Build no business features yet. Open a PR with the test output and the ruleset export, and show that a direct push to `main`, a force push and an unsigned commit are each rejected.</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docs/specs/phase-1-platform-foundation.md: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feat/platform-foundation in small commits; run unit, integration, tenant-isolation and security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06"/>
        </w:numPr>
        <w:pStyle w:val="Compact"/>
      </w:pPr>
      <w:r>
        <w:t xml:space="preserve">☐ CI is green on the PR, including the secret scan and dependency scan.</w:t>
      </w:r>
    </w:p>
    <w:p>
      <w:pPr>
        <w:numPr>
          <w:ilvl w:val="0"/>
          <w:numId w:val="1006"/>
        </w:numPr>
        <w:pStyle w:val="Compact"/>
      </w:pPr>
      <w:r>
        <w:t xml:space="preserve">☐ Money and Rate property-based tests pass; no float arithmetic anywhere.</w:t>
      </w:r>
    </w:p>
    <w:p>
      <w:pPr>
        <w:numPr>
          <w:ilvl w:val="0"/>
          <w:numId w:val="1006"/>
        </w:numPr>
        <w:pStyle w:val="Compact"/>
      </w:pPr>
      <w:r>
        <w:t xml:space="preserve">☐ No business features were built.</w:t>
      </w:r>
    </w:p>
    <w:p>
      <w:pPr>
        <w:numPr>
          <w:ilvl w:val="0"/>
          <w:numId w:val="1006"/>
        </w:numPr>
        <w:pStyle w:val="Compact"/>
      </w:pPr>
      <w:r>
        <w:t xml:space="preserve">☐ The PR shows the test output; the ledger balances (if money moved); the regulatory register and docs/status are updated.</w:t>
      </w:r>
    </w:p>
    <w:bookmarkEnd w:id="23"/>
    <w:bookmarkStart w:id="24" w:name="phase-2-database-tenancy-and-security"/>
    <w:p>
      <w:pPr>
        <w:pStyle w:val="Heading3"/>
      </w:pPr>
      <w:r>
        <w:t xml:space="preserve">Phase 2 — Database, tenancy and security</w:t>
      </w:r>
    </w:p>
    <w:p>
      <w:pPr>
        <w:numPr>
          <w:ilvl w:val="0"/>
          <w:numId w:val="1007"/>
        </w:numPr>
        <w:pStyle w:val="Compact"/>
      </w:pPr>
      <w:r>
        <w:rPr>
          <w:bCs/>
          <w:b/>
        </w:rPr>
        <w:t xml:space="preserve">Outcome:</w:t>
      </w:r>
      <w:r>
        <w:t xml:space="preserve"> </w:t>
      </w:r>
      <w:r>
        <w:t xml:space="preserve">Tenant/entity/branch model, RBAC/ABAC, enforced RLS, audit events and the statutory audit log that cannot be disabled (Part 7C AC7), maker-checker framework, external-access role skeleton (Part 7D AU7), isolation tests</w:t>
      </w:r>
    </w:p>
    <w:p>
      <w:pPr>
        <w:numPr>
          <w:ilvl w:val="0"/>
          <w:numId w:val="1007"/>
        </w:numPr>
        <w:pStyle w:val="Compact"/>
      </w:pPr>
      <w:r>
        <w:rPr>
          <w:bCs/>
          <w:b/>
        </w:rPr>
        <w:t xml:space="preserve">Depends on:</w:t>
      </w:r>
      <w:r>
        <w:t xml:space="preserve"> </w:t>
      </w:r>
      <w:r>
        <w:t xml:space="preserve">1</w:t>
      </w:r>
    </w:p>
    <w:p>
      <w:pPr>
        <w:numPr>
          <w:ilvl w:val="0"/>
          <w:numId w:val="1007"/>
        </w:numPr>
        <w:pStyle w:val="Compact"/>
      </w:pPr>
      <w:r>
        <w:rPr>
          <w:bCs/>
          <w:b/>
        </w:rPr>
        <w:t xml:space="preserve">Branch:</w:t>
      </w:r>
      <w:r>
        <w:t xml:space="preserve"> </w:t>
      </w:r>
      <w:r>
        <w:rPr>
          <w:rStyle w:val="VerbatimChar"/>
        </w:rPr>
        <w:t xml:space="preserve">feat/db-tenancy-security</w:t>
      </w:r>
    </w:p>
    <w:p>
      <w:pPr>
        <w:pStyle w:val="FirstParagraph"/>
      </w:pPr>
      <w:r>
        <w:rPr>
          <w:bCs/>
          <w:b/>
        </w:rPr>
        <w:t xml:space="preserve">Paste into Claude Code:</w:t>
      </w:r>
    </w:p>
    <w:p>
      <w:pPr>
        <w:pStyle w:val="SourceCode"/>
      </w:pPr>
      <w:r>
        <w:rPr>
          <w:rStyle w:val="VerbatimChar"/>
        </w:rPr>
        <w:t xml:space="preserve">Phase 2 — Database, tenancy and security. Governing brief: docs/00-master-prompt.md (Part 12, Phase 2; Part 8A prevails on regulatory points).</w:t>
      </w:r>
      <w:r>
        <w:br/>
      </w:r>
      <w:r>
        <w:br/>
      </w:r>
      <w:r>
        <w:rPr>
          <w:rStyle w:val="VerbatimChar"/>
        </w:rPr>
        <w:t xml:space="preserve">Design and create the migrations for:</w:t>
      </w:r>
      <w:r>
        <w:br/>
      </w:r>
      <w:r>
        <w:br/>
      </w:r>
      <w:r>
        <w:rPr>
          <w:rStyle w:val="VerbatimChar"/>
        </w:rPr>
        <w:t xml:space="preserve">- tenants, legal_entities, branches (hierarchy), users, roles, permissions, role_permissions, user_scopes (entity/branch/product/amount limits);</w:t>
      </w:r>
      <w:r>
        <w:br/>
      </w:r>
      <w:r>
        <w:rPr>
          <w:rStyle w:val="VerbatimChar"/>
        </w:rPr>
        <w:t xml:space="preserve">- maker_checker_requests;</w:t>
      </w:r>
      <w:r>
        <w:br/>
      </w:r>
      <w:r>
        <w:rPr>
          <w:rStyle w:val="VerbatimChar"/>
        </w:rPr>
        <w:t xml:space="preserve">- audit_events (hash-chained) and the statutory `audit_log`: database-level capture (triggers or CDC) of every books-of-account table with before and after values, transaction, database user, application user and reason; append-only, with a per-tenant hash chain and a daily signed seal to WORM storage; capture objects owned by a dedicated database role; no configuration flag can disable it; DDL event triggers raise a P1 on any attempt to drop or alter capture (Part 7C AC7; Companies (Accounts) Rules r.3(1) proviso; CYB paras 109–111);</w:t>
      </w:r>
      <w:r>
        <w:br/>
      </w:r>
      <w:r>
        <w:rPr>
          <w:rStyle w:val="VerbatimChar"/>
        </w:rPr>
        <w:t xml:space="preserve">- consent_records;</w:t>
      </w:r>
      <w:r>
        <w:br/>
      </w:r>
      <w:r>
        <w:rPr>
          <w:rStyle w:val="VerbatimChar"/>
        </w:rPr>
        <w:t xml:space="preserve">- idempotency_keys;</w:t>
      </w:r>
      <w:r>
        <w:br/>
      </w:r>
      <w:r>
        <w:rPr>
          <w:rStyle w:val="VerbatimChar"/>
        </w:rPr>
        <w:t xml:space="preserve">- outbox_events.</w:t>
      </w:r>
      <w:r>
        <w:br/>
      </w:r>
      <w:r>
        <w:br/>
      </w:r>
      <w:r>
        <w:rPr>
          <w:rStyle w:val="VerbatimChar"/>
        </w:rPr>
        <w:t xml:space="preserve">Implement:</w:t>
      </w:r>
      <w:r>
        <w:br/>
      </w:r>
      <w:r>
        <w:br/>
      </w:r>
      <w:r>
        <w:rPr>
          <w:rStyle w:val="VerbatimChar"/>
        </w:rPr>
        <w:t xml:space="preserve">- server-side authorisation (RBAC + ABAC);</w:t>
      </w:r>
      <w:r>
        <w:br/>
      </w:r>
      <w:r>
        <w:rPr>
          <w:rStyle w:val="VerbatimChar"/>
        </w:rPr>
        <w:t xml:space="preserve">- Postgres RLS on every tenant-scoped table, enforced:</w:t>
      </w:r>
      <w:r>
        <w:br/>
      </w:r>
      <w:r>
        <w:rPr>
          <w:rStyle w:val="VerbatimChar"/>
        </w:rPr>
        <w:t xml:space="preserve">  - the API connects as a non-owner role without BYPASSRLS;</w:t>
      </w:r>
      <w:r>
        <w:br/>
      </w:r>
      <w:r>
        <w:rPr>
          <w:rStyle w:val="VerbatimChar"/>
        </w:rPr>
        <w:t xml:space="preserve">  - every tenant table uses `ALTER TABLE … FORCE ROW LEVEL SECURITY`;</w:t>
      </w:r>
      <w:r>
        <w:br/>
      </w:r>
      <w:r>
        <w:rPr>
          <w:rStyle w:val="VerbatimChar"/>
        </w:rPr>
        <w:t xml:space="preserve">  - tenant, entity and branch context is set with `SET LOCAL` / `set_config(…, true)` inside every transaction, so it works with transaction pooling;</w:t>
      </w:r>
      <w:r>
        <w:br/>
      </w:r>
      <w:r>
        <w:rPr>
          <w:rStyle w:val="VerbatimChar"/>
        </w:rPr>
        <w:t xml:space="preserve">- the auth abstraction over Supabase Auth, with MFA for staff;</w:t>
      </w:r>
      <w:r>
        <w:br/>
      </w:r>
      <w:r>
        <w:rPr>
          <w:rStyle w:val="VerbatimChar"/>
        </w:rPr>
        <w:t xml:space="preserve">- the generic maker-checker framework;</w:t>
      </w:r>
      <w:r>
        <w:br/>
      </w:r>
      <w:r>
        <w:rPr>
          <w:rStyle w:val="VerbatimChar"/>
        </w:rPr>
        <w:t xml:space="preserve">- the external-access skeleton for Part 7D AU7: a SELECT-only database role and `external.workspace:read` API scope with no write path, `external_access_grant` records (requester type, legal basis code, scope, expiry of at most 90 days, approvers), named-user accounts with mandatory MFA, field masking by default and logging of every read; the auditor and supervisor workspaces are built in Phase 16c.</w:t>
      </w:r>
      <w:r>
        <w:br/>
      </w:r>
      <w:r>
        <w:br/>
      </w:r>
      <w:r>
        <w:rPr>
          <w:rStyle w:val="VerbatimChar"/>
        </w:rPr>
        <w:t xml:space="preserve">Write tenant-isolation and privilege-escalation tests that try to read and write across tenants, entities and branches, and prove they fail. Include a test proving that a query run without tenant context returns zero rows. Prove also that no application or support role can update or delete an `audit_log` row or disable capture, and that the external-access role cannot write. Report results.</w:t>
      </w:r>
      <w:r>
        <w:br/>
      </w:r>
      <w:r>
        <w:br/>
      </w:r>
      <w:r>
        <w:rPr>
          <w:rStyle w:val="VerbatimChar"/>
        </w:rPr>
        <w:t xml:space="preserve">v1.3 regulatory additions for this phase (Part 8A.36.4) — include them:</w:t>
      </w:r>
      <w:r>
        <w:br/>
      </w:r>
      <w:r>
        <w:rPr>
          <w:rStyle w:val="VerbatimChar"/>
        </w:rPr>
        <w:t xml:space="preserve">- Extended entity_regulatory_profile and group tables (Part 8A.25) [CAP / SBR / DIV / MISC]</w:t>
      </w:r>
      <w:r>
        <w:br/>
      </w:r>
      <w:r>
        <w:rPr>
          <w:rStyle w:val="VerbatimChar"/>
        </w:rPr>
        <w:t xml:space="preserve">- Tenant-controlled keys (BYOK/HYOK, KMS/HSM) (OUT 97(vii)(b)). Break-glass access workflow with tenant-visible logs (OUT 24, 70). Tenant-isolation test suite (OUT 70, 97(vii)(c)). MFA and role-conflict matrix (OUT 97(viii)) [GOV / OUT / ORM]</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docs/specs/phase-2-db-tenancy-security.md: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feat/db-tenancy-security in small commits; run unit, integration, tenant-isolation and security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08"/>
        </w:numPr>
        <w:pStyle w:val="Compact"/>
      </w:pPr>
      <w:r>
        <w:t xml:space="preserve">☐ Cross-tenant, cross-entity and cross-branch read/write tests all fail as intended.</w:t>
      </w:r>
    </w:p>
    <w:p>
      <w:pPr>
        <w:numPr>
          <w:ilvl w:val="0"/>
          <w:numId w:val="1008"/>
        </w:numPr>
        <w:pStyle w:val="Compact"/>
      </w:pPr>
      <w:r>
        <w:t xml:space="preserve">☐ A query without tenant context returns zero rows; the API role has no BYPASSRLS.</w:t>
      </w:r>
    </w:p>
    <w:p>
      <w:pPr>
        <w:numPr>
          <w:ilvl w:val="0"/>
          <w:numId w:val="1008"/>
        </w:numPr>
        <w:pStyle w:val="Compact"/>
      </w:pPr>
      <w:r>
        <w:t xml:space="preserve">☐ The audit-event hash chain verifies end to end.</w:t>
      </w:r>
    </w:p>
    <w:p>
      <w:pPr>
        <w:numPr>
          <w:ilvl w:val="0"/>
          <w:numId w:val="1008"/>
        </w:numPr>
        <w:pStyle w:val="Compact"/>
      </w:pPr>
      <w:r>
        <w:t xml:space="preserve">☐ The PR shows the test output; the ledger balances (if money moved); the regulatory register and docs/status are updated.</w:t>
      </w:r>
    </w:p>
    <w:bookmarkEnd w:id="24"/>
    <w:bookmarkStart w:id="25" w:name="Xea000e7460edf905a4ad3293ca7fd6ff6f227b2"/>
    <w:p>
      <w:pPr>
        <w:pStyle w:val="Heading3"/>
      </w:pPr>
      <w:r>
        <w:t xml:space="preserve">Phase 3 — Masters, configuration and product factory</w:t>
      </w:r>
    </w:p>
    <w:p>
      <w:pPr>
        <w:numPr>
          <w:ilvl w:val="0"/>
          <w:numId w:val="1009"/>
        </w:numPr>
        <w:pStyle w:val="Compact"/>
      </w:pPr>
      <w:r>
        <w:rPr>
          <w:bCs/>
          <w:b/>
        </w:rPr>
        <w:t xml:space="preserve">Outcome:</w:t>
      </w:r>
      <w:r>
        <w:t xml:space="preserve"> </w:t>
      </w:r>
      <w:r>
        <w:t xml:space="preserve">Org hierarchy, calendars, masters, product factory, charges, rule packs, workflow designer v1</w:t>
      </w:r>
    </w:p>
    <w:p>
      <w:pPr>
        <w:numPr>
          <w:ilvl w:val="0"/>
          <w:numId w:val="1009"/>
        </w:numPr>
        <w:pStyle w:val="Compact"/>
      </w:pPr>
      <w:r>
        <w:rPr>
          <w:bCs/>
          <w:b/>
        </w:rPr>
        <w:t xml:space="preserve">Depends on:</w:t>
      </w:r>
      <w:r>
        <w:t xml:space="preserve"> </w:t>
      </w:r>
      <w:r>
        <w:t xml:space="preserve">2</w:t>
      </w:r>
    </w:p>
    <w:p>
      <w:pPr>
        <w:numPr>
          <w:ilvl w:val="0"/>
          <w:numId w:val="1009"/>
        </w:numPr>
        <w:pStyle w:val="Compact"/>
      </w:pPr>
      <w:r>
        <w:rPr>
          <w:bCs/>
          <w:b/>
        </w:rPr>
        <w:t xml:space="preserve">Branch:</w:t>
      </w:r>
      <w:r>
        <w:t xml:space="preserve"> </w:t>
      </w:r>
      <w:r>
        <w:rPr>
          <w:rStyle w:val="VerbatimChar"/>
        </w:rPr>
        <w:t xml:space="preserve">feat/masters-product-factory</w:t>
      </w:r>
    </w:p>
    <w:p>
      <w:pPr>
        <w:pStyle w:val="FirstParagraph"/>
      </w:pPr>
      <w:r>
        <w:rPr>
          <w:bCs/>
          <w:b/>
        </w:rPr>
        <w:t xml:space="preserve">Paste into Claude Code:</w:t>
      </w:r>
    </w:p>
    <w:p>
      <w:pPr>
        <w:pStyle w:val="SourceCode"/>
      </w:pPr>
      <w:r>
        <w:rPr>
          <w:rStyle w:val="VerbatimChar"/>
        </w:rPr>
        <w:t xml:space="preserve">Phase 3 — Masters, configuration and product factory. Governing brief: docs/00-master-prompt.md (Part 12, Phase 3; Part 8A prevails on regulatory points).</w:t>
      </w:r>
      <w:r>
        <w:br/>
      </w:r>
      <w:r>
        <w:br/>
      </w:r>
      <w:r>
        <w:rPr>
          <w:rStyle w:val="VerbatimChar"/>
        </w:rPr>
        <w:t xml:space="preserve">Build:</w:t>
      </w:r>
      <w:r>
        <w:br/>
      </w:r>
      <w:r>
        <w:br/>
      </w:r>
      <w:r>
        <w:rPr>
          <w:rStyle w:val="VerbatimChar"/>
        </w:rPr>
        <w:t xml:space="preserve">- org hierarchy, holiday calendars and business-date management;</w:t>
      </w:r>
      <w:r>
        <w:br/>
      </w:r>
      <w:r>
        <w:rPr>
          <w:rStyle w:val="VerbatimChar"/>
        </w:rPr>
        <w:t xml:space="preserve">- masters (pincode, IFSC, purpose and sector codes, reason codes, NACH return codes as configurable data);</w:t>
      </w:r>
      <w:r>
        <w:br/>
      </w:r>
      <w:r>
        <w:rPr>
          <w:rStyle w:val="VerbatimChar"/>
        </w:rPr>
        <w:t xml:space="preserve">- the product factory implementing every Fineract-equivalent parameter in Part 4.2A, with validation guard-rails from the regulatory rule packs (Part 10.2 #24);</w:t>
      </w:r>
      <w:r>
        <w:br/>
      </w:r>
      <w:r>
        <w:rPr>
          <w:rStyle w:val="VerbatimChar"/>
        </w:rPr>
        <w:t xml:space="preserve">- the charges engine with GST profiles, including the penal-charge GST flag;</w:t>
      </w:r>
      <w:r>
        <w:br/>
      </w:r>
      <w:r>
        <w:rPr>
          <w:rStyle w:val="VerbatimChar"/>
        </w:rPr>
        <w:t xml:space="preserve">- effective-dated versioning and maker-checker for all configuration;</w:t>
      </w:r>
      <w:r>
        <w:br/>
      </w:r>
      <w:r>
        <w:rPr>
          <w:rStyle w:val="VerbatimChar"/>
        </w:rPr>
        <w:t xml:space="preserve">- the settings framework used by every later phase: `setting_definition` (key, module, scope — tenant, legal entity, product or role — type, default, allowed range, class `REGULATORY_FLOOR` or `COMMERCIAL`, citation, owner) and `setting_value` (scope, value, effective from, maker, checker, reason), resolved server-side to the strictest applicable value; relaxing a regulatory floor fails `floor_violation`; settings screens are generated from the definitions and listed in Appendix G.</w:t>
      </w:r>
      <w:r>
        <w:br/>
      </w:r>
      <w:r>
        <w:br/>
      </w:r>
      <w:r>
        <w:rPr>
          <w:rStyle w:val="VerbatimChar"/>
        </w:rPr>
        <w:t xml:space="preserve">Produce the product specification template `docs/products/_template.md` and the first two product specs (Personal Loan, MSME Term Loan) for my approval.</w:t>
      </w:r>
      <w:r>
        <w:br/>
      </w:r>
      <w:r>
        <w:br/>
      </w:r>
      <w:r>
        <w:rPr>
          <w:rStyle w:val="VerbatimChar"/>
        </w:rPr>
        <w:t xml:space="preserve">v1.3 regulatory additions for this phase (Part 8A.36.4) — include them:</w:t>
      </w:r>
      <w:r>
        <w:br/>
      </w:r>
      <w:r>
        <w:rPr>
          <w:rStyle w:val="VerbatimChar"/>
        </w:rPr>
        <w:t xml:space="preserve">- CRO vetting step in the product factory (GOV 23). ORM 47 heads in product approval. Service-provider and MFI declarations in templates (OUT 55–56) [GOV / OUT / ORM]</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docs/specs/phase-3-masters-product-factory.md: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feat/masters-product-factory in small commits; run unit, integration, tenant-isolation and security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10"/>
        </w:numPr>
        <w:pStyle w:val="Compact"/>
      </w:pPr>
      <w:r>
        <w:t xml:space="preserve">☐ The product factory rejects any parameter that breaches a rule-pack guard-rail.</w:t>
      </w:r>
    </w:p>
    <w:p>
      <w:pPr>
        <w:numPr>
          <w:ilvl w:val="0"/>
          <w:numId w:val="1010"/>
        </w:numPr>
        <w:pStyle w:val="Compact"/>
      </w:pPr>
      <w:r>
        <w:t xml:space="preserve">☐ Every configuration change is effective-dated and passes maker-checker.</w:t>
      </w:r>
    </w:p>
    <w:p>
      <w:pPr>
        <w:numPr>
          <w:ilvl w:val="0"/>
          <w:numId w:val="1010"/>
        </w:numPr>
        <w:pStyle w:val="Compact"/>
      </w:pPr>
      <w:r>
        <w:t xml:space="preserve">☐ The Personal Loan and MSME Term Loan product specs are approved.</w:t>
      </w:r>
    </w:p>
    <w:p>
      <w:pPr>
        <w:numPr>
          <w:ilvl w:val="0"/>
          <w:numId w:val="1010"/>
        </w:numPr>
        <w:pStyle w:val="Compact"/>
      </w:pPr>
      <w:r>
        <w:t xml:space="preserve">☐ The PR shows the test output; the ledger balances (if money moved); the regulatory register and docs/status are updated.</w:t>
      </w:r>
    </w:p>
    <w:bookmarkEnd w:id="25"/>
    <w:bookmarkStart w:id="26" w:name="phase-3b-communications-foundation"/>
    <w:p>
      <w:pPr>
        <w:pStyle w:val="Heading3"/>
      </w:pPr>
      <w:r>
        <w:t xml:space="preserve">Phase 3b — Communications foundation</w:t>
      </w:r>
    </w:p>
    <w:p>
      <w:pPr>
        <w:numPr>
          <w:ilvl w:val="0"/>
          <w:numId w:val="1011"/>
        </w:numPr>
        <w:pStyle w:val="Compact"/>
      </w:pPr>
      <w:r>
        <w:rPr>
          <w:bCs/>
          <w:b/>
        </w:rPr>
        <w:t xml:space="preserve">Outcome:</w:t>
      </w:r>
      <w:r>
        <w:t xml:space="preserve"> </w:t>
      </w:r>
      <w:r>
        <w:t xml:space="preserve">M18 templates, DLT/WhatsApp/email channels, consent and preference store, contact-policy engine skeleton</w:t>
      </w:r>
    </w:p>
    <w:p>
      <w:pPr>
        <w:numPr>
          <w:ilvl w:val="0"/>
          <w:numId w:val="1011"/>
        </w:numPr>
        <w:pStyle w:val="Compact"/>
      </w:pPr>
      <w:r>
        <w:rPr>
          <w:bCs/>
          <w:b/>
        </w:rPr>
        <w:t xml:space="preserve">Depends on:</w:t>
      </w:r>
      <w:r>
        <w:t xml:space="preserve"> </w:t>
      </w:r>
      <w:r>
        <w:t xml:space="preserve">2</w:t>
      </w:r>
    </w:p>
    <w:p>
      <w:pPr>
        <w:numPr>
          <w:ilvl w:val="0"/>
          <w:numId w:val="1011"/>
        </w:numPr>
        <w:pStyle w:val="Compact"/>
      </w:pPr>
      <w:r>
        <w:rPr>
          <w:bCs/>
          <w:b/>
        </w:rPr>
        <w:t xml:space="preserve">Branch:</w:t>
      </w:r>
      <w:r>
        <w:t xml:space="preserve"> </w:t>
      </w:r>
      <w:r>
        <w:rPr>
          <w:rStyle w:val="VerbatimChar"/>
        </w:rPr>
        <w:t xml:space="preserve">feat/communications</w:t>
      </w:r>
    </w:p>
    <w:p>
      <w:pPr>
        <w:pStyle w:val="FirstParagraph"/>
      </w:pPr>
      <w:r>
        <w:rPr>
          <w:bCs/>
          <w:b/>
        </w:rPr>
        <w:t xml:space="preserve">Paste into Claude Code:</w:t>
      </w:r>
    </w:p>
    <w:p>
      <w:pPr>
        <w:pStyle w:val="SourceCode"/>
      </w:pPr>
      <w:r>
        <w:rPr>
          <w:rStyle w:val="VerbatimChar"/>
        </w:rPr>
        <w:t xml:space="preserve">Phase 3b — Communications foundation. Governing brief: docs/00-master-prompt.md (Part 12, Phase 3b; Part 8A prevails on regulatory points).</w:t>
      </w:r>
      <w:r>
        <w:br/>
      </w:r>
      <w:r>
        <w:br/>
      </w:r>
      <w:r>
        <w:rPr>
          <w:rStyle w:val="VerbatimChar"/>
        </w:rPr>
        <w:t xml:space="preserve">Build the M18 foundation:</w:t>
      </w:r>
      <w:r>
        <w:br/>
      </w:r>
      <w:r>
        <w:br/>
      </w:r>
      <w:r>
        <w:rPr>
          <w:rStyle w:val="VerbatimChar"/>
        </w:rPr>
        <w:t xml:space="preserve">- multilingual, versioned template management with approval workflow and DLT template IDs;</w:t>
      </w:r>
      <w:r>
        <w:br/>
      </w:r>
      <w:r>
        <w:rPr>
          <w:rStyle w:val="VerbatimChar"/>
        </w:rPr>
        <w:t xml:space="preserve">- SMS (DLT), WhatsApp Business Cloud API and email adapters (mock + sandbox);</w:t>
      </w:r>
      <w:r>
        <w:br/>
      </w:r>
      <w:r>
        <w:rPr>
          <w:rStyle w:val="VerbatimChar"/>
        </w:rPr>
        <w:t xml:space="preserve">- consent, preference and DND store;</w:t>
      </w:r>
      <w:r>
        <w:br/>
      </w:r>
      <w:r>
        <w:rPr>
          <w:rStyle w:val="VerbatimChar"/>
        </w:rPr>
        <w:t xml:space="preserve">- the effective-dated contact-policy engine, with separate recovery and sales/marketing windows (Part 7, M8 and M18).</w:t>
      </w:r>
      <w:r>
        <w:br/>
      </w:r>
      <w:r>
        <w:br/>
      </w:r>
      <w:r>
        <w:rPr>
          <w:rStyle w:val="VerbatimChar"/>
        </w:rPr>
        <w:t xml:space="preserve">Later phases (KFS delivery, reminders, default intimation, collections) must use this module, not their own messaging code.</w:t>
      </w:r>
      <w:r>
        <w:br/>
      </w:r>
      <w:r>
        <w:br/>
      </w:r>
      <w:r>
        <w:rPr>
          <w:rStyle w:val="VerbatimChar"/>
        </w:rPr>
        <w:t xml:space="preserve">v1.3 regulatory additions for this phase (Part 8A.36.4) — include them:</w:t>
      </w:r>
      <w:r>
        <w:br/>
      </w:r>
      <w:r>
        <w:rPr>
          <w:rStyle w:val="VerbatimChar"/>
        </w:rPr>
        <w:t xml:space="preserve">- Language preference store; block dispatch when no approved vernacular template exists (RBC 10) [RBC / WD]</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docs/specs/phase-3b-communications.md: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feat/communications in small commits; run unit, integration, tenant-isolation and security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12"/>
        </w:numPr>
        <w:pStyle w:val="Compact"/>
      </w:pPr>
      <w:r>
        <w:t xml:space="preserve">☐ No other module sends messages directly; everything goes through M18.</w:t>
      </w:r>
    </w:p>
    <w:p>
      <w:pPr>
        <w:numPr>
          <w:ilvl w:val="0"/>
          <w:numId w:val="1012"/>
        </w:numPr>
        <w:pStyle w:val="Compact"/>
      </w:pPr>
      <w:r>
        <w:t xml:space="preserve">☐ The contact-policy engine blocks a recovery contact outside the permitted window.</w:t>
      </w:r>
    </w:p>
    <w:p>
      <w:pPr>
        <w:numPr>
          <w:ilvl w:val="0"/>
          <w:numId w:val="1012"/>
        </w:numPr>
        <w:pStyle w:val="Compact"/>
      </w:pPr>
      <w:r>
        <w:t xml:space="preserve">☐ SMS cannot be sent without a DLT template ID.</w:t>
      </w:r>
    </w:p>
    <w:p>
      <w:pPr>
        <w:numPr>
          <w:ilvl w:val="0"/>
          <w:numId w:val="1012"/>
        </w:numPr>
        <w:pStyle w:val="Compact"/>
      </w:pPr>
      <w:r>
        <w:t xml:space="preserve">☐ The PR shows the test output; the ledger balances (if money moved); the regulatory register and docs/status are updated.</w:t>
      </w:r>
    </w:p>
    <w:bookmarkEnd w:id="26"/>
    <w:bookmarkStart w:id="27" w:name="phase-4-ledger-and-accounting-core"/>
    <w:p>
      <w:pPr>
        <w:pStyle w:val="Heading3"/>
      </w:pPr>
      <w:r>
        <w:t xml:space="preserve">Phase 4 — Ledger and accounting core</w:t>
      </w:r>
    </w:p>
    <w:p>
      <w:pPr>
        <w:numPr>
          <w:ilvl w:val="0"/>
          <w:numId w:val="1013"/>
        </w:numPr>
        <w:pStyle w:val="Compact"/>
      </w:pPr>
      <w:r>
        <w:rPr>
          <w:bCs/>
          <w:b/>
        </w:rPr>
        <w:t xml:space="preserve">Outcome:</w:t>
      </w:r>
      <w:r>
        <w:t xml:space="preserve"> </w:t>
      </w:r>
      <w:r>
        <w:t xml:space="preserve">CoA, journal engine, posting rules (including Ind AS deferred-fee postings), period close, trial balance — before any loan money moves</w:t>
      </w:r>
    </w:p>
    <w:p>
      <w:pPr>
        <w:numPr>
          <w:ilvl w:val="0"/>
          <w:numId w:val="1013"/>
        </w:numPr>
        <w:pStyle w:val="Compact"/>
      </w:pPr>
      <w:r>
        <w:rPr>
          <w:bCs/>
          <w:b/>
        </w:rPr>
        <w:t xml:space="preserve">Depends on:</w:t>
      </w:r>
      <w:r>
        <w:t xml:space="preserve"> </w:t>
      </w:r>
      <w:r>
        <w:t xml:space="preserve">2</w:t>
      </w:r>
    </w:p>
    <w:p>
      <w:pPr>
        <w:numPr>
          <w:ilvl w:val="0"/>
          <w:numId w:val="1013"/>
        </w:numPr>
        <w:pStyle w:val="Compact"/>
      </w:pPr>
      <w:r>
        <w:rPr>
          <w:bCs/>
          <w:b/>
        </w:rPr>
        <w:t xml:space="preserve">Branch:</w:t>
      </w:r>
      <w:r>
        <w:t xml:space="preserve"> </w:t>
      </w:r>
      <w:r>
        <w:rPr>
          <w:rStyle w:val="VerbatimChar"/>
        </w:rPr>
        <w:t xml:space="preserve">feat/ledger-core</w:t>
      </w:r>
    </w:p>
    <w:p>
      <w:pPr>
        <w:numPr>
          <w:ilvl w:val="0"/>
          <w:numId w:val="1013"/>
        </w:numPr>
        <w:pStyle w:val="Compact"/>
      </w:pPr>
      <w:r>
        <w:rPr>
          <w:bCs/>
          <w:b/>
        </w:rPr>
        <w:t xml:space="preserve">Suggested sub-modules (one session each):</w:t>
      </w:r>
      <w:r>
        <w:t xml:space="preserve"> </w:t>
      </w:r>
      <w:r>
        <w:t xml:space="preserve">chart of accounts and journal engine; posting rules (including Ind AS deferred fees); period close and trial balance.</w:t>
      </w:r>
    </w:p>
    <w:p>
      <w:pPr>
        <w:pStyle w:val="FirstParagraph"/>
      </w:pPr>
      <w:r>
        <w:rPr>
          <w:bCs/>
          <w:b/>
        </w:rPr>
        <w:t xml:space="preserve">Paste into Claude Code:</w:t>
      </w:r>
    </w:p>
    <w:p>
      <w:pPr>
        <w:pStyle w:val="SourceCode"/>
      </w:pPr>
      <w:r>
        <w:rPr>
          <w:rStyle w:val="VerbatimChar"/>
        </w:rPr>
        <w:t xml:space="preserve">Phase 4 — Ledger and accounting core. Governing brief: docs/00-master-prompt.md (Part 12, Phase 4; Part 8A prevails on regulatory points).</w:t>
      </w:r>
      <w:r>
        <w:br/>
      </w:r>
      <w:r>
        <w:br/>
      </w:r>
      <w:r>
        <w:rPr>
          <w:rStyle w:val="VerbatimChar"/>
        </w:rPr>
        <w:t xml:space="preserve">Before any loan money moves, build the double-entry ledger:</w:t>
      </w:r>
      <w:r>
        <w:br/>
      </w:r>
      <w:r>
        <w:br/>
      </w:r>
      <w:r>
        <w:rPr>
          <w:rStyle w:val="VerbatimChar"/>
        </w:rPr>
        <w:t xml:space="preserve">- chart of accounts with the NBFC Ind AS template;</w:t>
      </w:r>
      <w:r>
        <w:br/>
      </w:r>
      <w:r>
        <w:rPr>
          <w:rStyle w:val="VerbatimChar"/>
        </w:rPr>
        <w:t xml:space="preserve">- append-only journals with database-enforced balance;</w:t>
      </w:r>
      <w:r>
        <w:br/>
      </w:r>
      <w:r>
        <w:rPr>
          <w:rStyle w:val="VerbatimChar"/>
        </w:rPr>
        <w:t xml:space="preserve">- reversal-only corrections;</w:t>
      </w:r>
      <w:r>
        <w:br/>
      </w:r>
      <w:r>
        <w:rPr>
          <w:rStyle w:val="VerbatimChar"/>
        </w:rPr>
        <w:t xml:space="preserve">- value, business and system dates;</w:t>
      </w:r>
      <w:r>
        <w:br/>
      </w:r>
      <w:r>
        <w:rPr>
          <w:rStyle w:val="VerbatimChar"/>
        </w:rPr>
        <w:t xml:space="preserve">- period locks;</w:t>
      </w:r>
      <w:r>
        <w:br/>
      </w:r>
      <w:r>
        <w:rPr>
          <w:rStyle w:val="VerbatimChar"/>
        </w:rPr>
        <w:t xml:space="preserve">- materialised balances;</w:t>
      </w:r>
      <w:r>
        <w:br/>
      </w:r>
      <w:r>
        <w:rPr>
          <w:rStyle w:val="VerbatimChar"/>
        </w:rPr>
        <w:t xml:space="preserve">- trial balance;</w:t>
      </w:r>
      <w:r>
        <w:br/>
      </w:r>
      <w:r>
        <w:rPr>
          <w:rStyle w:val="VerbatimChar"/>
        </w:rPr>
        <w:t xml:space="preserve">- accounting rule mapping (Fineract mapping keys + India extensions);</w:t>
      </w:r>
      <w:r>
        <w:br/>
      </w:r>
      <w:r>
        <w:rPr>
          <w:rStyle w:val="VerbatimChar"/>
        </w:rPr>
        <w:t xml:space="preserve">- sub-ledger framework;</w:t>
      </w:r>
      <w:r>
        <w:br/>
      </w:r>
      <w:r>
        <w:rPr>
          <w:rStyle w:val="VerbatimChar"/>
        </w:rPr>
        <w:t xml:space="preserve">- reconciliation checks.</w:t>
      </w:r>
      <w:r>
        <w:br/>
      </w:r>
      <w:r>
        <w:br/>
      </w:r>
      <w:r>
        <w:rPr>
          <w:rStyle w:val="VerbatimChar"/>
        </w:rPr>
        <w:t xml:space="preserve">For Ind AS entities, the posting matrix must defer processing fees and directly attributable costs at disbursement (deferred-fee/cost accounts), so nothing has to be re-posted when EIR amortisation arrives. Write golden test cases for every posting rule, and property tests proving the ledger always balances. Show me the posting matrix for approval.</w:t>
      </w:r>
      <w:r>
        <w:br/>
      </w:r>
      <w:r>
        <w:br/>
      </w:r>
      <w:r>
        <w:rPr>
          <w:rStyle w:val="VerbatimChar"/>
        </w:rPr>
        <w:t xml:space="preserve">v1.3 regulatory additions for this phase (Part 8A.36.4) — include them:</w:t>
      </w:r>
      <w:r>
        <w:br/>
      </w:r>
      <w:r>
        <w:rPr>
          <w:rStyle w:val="VerbatimChar"/>
        </w:rPr>
        <w:t xml:space="preserve">- Capital-component tags in the chart of accounts (CAP 7–16) [CAP / SBR / DIV / MISC]</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docs/specs/phase-4-ledger-core.md: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feat/ledger-core in small commits; run unit, integration, tenant-isolation and security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14"/>
        </w:numPr>
        <w:pStyle w:val="Compact"/>
      </w:pPr>
      <w:r>
        <w:t xml:space="preserve">☐ The trial balance balances after a randomised posting test.</w:t>
      </w:r>
    </w:p>
    <w:p>
      <w:pPr>
        <w:numPr>
          <w:ilvl w:val="0"/>
          <w:numId w:val="1014"/>
        </w:numPr>
        <w:pStyle w:val="Compact"/>
      </w:pPr>
      <w:r>
        <w:t xml:space="preserve">☐ Corrections happen only by reversal; posted journals are immutable.</w:t>
      </w:r>
    </w:p>
    <w:p>
      <w:pPr>
        <w:numPr>
          <w:ilvl w:val="0"/>
          <w:numId w:val="1014"/>
        </w:numPr>
        <w:pStyle w:val="Compact"/>
      </w:pPr>
      <w:r>
        <w:t xml:space="preserve">☐ A closed period rejects new postings.</w:t>
      </w:r>
    </w:p>
    <w:p>
      <w:pPr>
        <w:numPr>
          <w:ilvl w:val="0"/>
          <w:numId w:val="1014"/>
        </w:numPr>
        <w:pStyle w:val="Compact"/>
      </w:pPr>
      <w:r>
        <w:t xml:space="preserve">☐ The PR shows the test output; the ledger balances (if money moved); the regulatory register and docs/status are updated.</w:t>
      </w:r>
    </w:p>
    <w:bookmarkEnd w:id="27"/>
    <w:bookmarkStart w:id="28" w:name="phase-5-schedule-and-allocation-engine"/>
    <w:p>
      <w:pPr>
        <w:pStyle w:val="Heading3"/>
      </w:pPr>
      <w:r>
        <w:t xml:space="preserve">Phase 5 — Schedule and allocation engine</w:t>
      </w:r>
    </w:p>
    <w:p>
      <w:pPr>
        <w:numPr>
          <w:ilvl w:val="0"/>
          <w:numId w:val="1015"/>
        </w:numPr>
        <w:pStyle w:val="Compact"/>
      </w:pPr>
      <w:r>
        <w:rPr>
          <w:bCs/>
          <w:b/>
        </w:rPr>
        <w:t xml:space="preserve">Outcome:</w:t>
      </w:r>
      <w:r>
        <w:t xml:space="preserve"> </w:t>
      </w:r>
      <w:r>
        <w:t xml:space="preserve">Fineract-equivalent schedules and allocation strategies, replay, Fineract oracle fixtures, golden cases</w:t>
      </w:r>
    </w:p>
    <w:p>
      <w:pPr>
        <w:numPr>
          <w:ilvl w:val="0"/>
          <w:numId w:val="1015"/>
        </w:numPr>
        <w:pStyle w:val="Compact"/>
      </w:pPr>
      <w:r>
        <w:rPr>
          <w:bCs/>
          <w:b/>
        </w:rPr>
        <w:t xml:space="preserve">Depends on:</w:t>
      </w:r>
      <w:r>
        <w:t xml:space="preserve"> </w:t>
      </w:r>
      <w:r>
        <w:t xml:space="preserve">3, 4</w:t>
      </w:r>
    </w:p>
    <w:p>
      <w:pPr>
        <w:numPr>
          <w:ilvl w:val="0"/>
          <w:numId w:val="1015"/>
        </w:numPr>
        <w:pStyle w:val="Compact"/>
      </w:pPr>
      <w:r>
        <w:rPr>
          <w:bCs/>
          <w:b/>
        </w:rPr>
        <w:t xml:space="preserve">Branch:</w:t>
      </w:r>
      <w:r>
        <w:t xml:space="preserve"> </w:t>
      </w:r>
      <w:r>
        <w:rPr>
          <w:rStyle w:val="VerbatimChar"/>
        </w:rPr>
        <w:t xml:space="preserve">feat/schedule-engine</w:t>
      </w:r>
    </w:p>
    <w:p>
      <w:pPr>
        <w:numPr>
          <w:ilvl w:val="0"/>
          <w:numId w:val="1015"/>
        </w:numPr>
        <w:pStyle w:val="Compact"/>
      </w:pPr>
      <w:r>
        <w:rPr>
          <w:bCs/>
          <w:b/>
        </w:rPr>
        <w:t xml:space="preserve">Suggested sub-modules (one session each):</w:t>
      </w:r>
      <w:r>
        <w:t xml:space="preserve"> </w:t>
      </w:r>
      <w:r>
        <w:t xml:space="preserve">schedule generation (all interest methods); allocation strategies; replay and the Fineract oracle harness.</w:t>
      </w:r>
    </w:p>
    <w:p>
      <w:pPr>
        <w:pStyle w:val="FirstParagraph"/>
      </w:pPr>
      <w:r>
        <w:rPr>
          <w:bCs/>
          <w:b/>
        </w:rPr>
        <w:t xml:space="preserve">Paste into Claude Code:</w:t>
      </w:r>
    </w:p>
    <w:p>
      <w:pPr>
        <w:pStyle w:val="SourceCode"/>
      </w:pPr>
      <w:r>
        <w:rPr>
          <w:rStyle w:val="VerbatimChar"/>
        </w:rPr>
        <w:t xml:space="preserve">Phase 5 — Schedule and allocation engine. Governing brief: docs/00-master-prompt.md (Part 12, Phase 5; Part 8A prevails on regulatory points).</w:t>
      </w:r>
      <w:r>
        <w:br/>
      </w:r>
      <w:r>
        <w:br/>
      </w:r>
      <w:r>
        <w:rPr>
          <w:rStyle w:val="VerbatimChar"/>
        </w:rPr>
        <w:t xml:space="preserve">Implement the loan calculation engine as pure functions over an immutable loan event log. Cover:</w:t>
      </w:r>
      <w:r>
        <w:br/>
      </w:r>
      <w:r>
        <w:br/>
      </w:r>
      <w:r>
        <w:rPr>
          <w:rStyle w:val="VerbatimChar"/>
        </w:rPr>
        <w:t xml:space="preserve">- EMI and equal-principal;</w:t>
      </w:r>
      <w:r>
        <w:br/>
      </w:r>
      <w:r>
        <w:rPr>
          <w:rStyle w:val="VerbatimChar"/>
        </w:rPr>
        <w:t xml:space="preserve">- declining and flat;</w:t>
      </w:r>
      <w:r>
        <w:br/>
      </w:r>
      <w:r>
        <w:rPr>
          <w:rStyle w:val="VerbatimChar"/>
        </w:rPr>
        <w:t xml:space="preserve">- daily and period interest;</w:t>
      </w:r>
      <w:r>
        <w:br/>
      </w:r>
      <w:r>
        <w:rPr>
          <w:rStyle w:val="VerbatimChar"/>
        </w:rPr>
        <w:t xml:space="preserve">- day-count conventions;</w:t>
      </w:r>
      <w:r>
        <w:br/>
      </w:r>
      <w:r>
        <w:rPr>
          <w:rStyle w:val="VerbatimChar"/>
        </w:rPr>
        <w:t xml:space="preserve">- broken period;</w:t>
      </w:r>
      <w:r>
        <w:br/>
      </w:r>
      <w:r>
        <w:rPr>
          <w:rStyle w:val="VerbatimChar"/>
        </w:rPr>
        <w:t xml:space="preserve">- grace and moratorium;</w:t>
      </w:r>
      <w:r>
        <w:br/>
      </w:r>
      <w:r>
        <w:rPr>
          <w:rStyle w:val="VerbatimChar"/>
        </w:rPr>
        <w:t xml:space="preserve">- tranches;</w:t>
      </w:r>
      <w:r>
        <w:br/>
      </w:r>
      <w:r>
        <w:rPr>
          <w:rStyle w:val="VerbatimChar"/>
        </w:rPr>
        <w:t xml:space="preserve">- step-up/down and balloon;</w:t>
      </w:r>
      <w:r>
        <w:br/>
      </w:r>
      <w:r>
        <w:rPr>
          <w:rStyle w:val="VerbatimChar"/>
        </w:rPr>
        <w:t xml:space="preserve">- interest recalculation and all four prepayment outcomes;</w:t>
      </w:r>
      <w:r>
        <w:br/>
      </w:r>
      <w:r>
        <w:rPr>
          <w:rStyle w:val="VerbatimChar"/>
        </w:rPr>
        <w:t xml:space="preserve">- all allocation strategies, including the RBI-order rule set (Part 4.2B);</w:t>
      </w:r>
      <w:r>
        <w:br/>
      </w:r>
      <w:r>
        <w:rPr>
          <w:rStyle w:val="VerbatimChar"/>
        </w:rPr>
        <w:t xml:space="preserve">- back-dated replay with snapshots.</w:t>
      </w:r>
      <w:r>
        <w:br/>
      </w:r>
      <w:r>
        <w:br/>
      </w:r>
      <w:r>
        <w:rPr>
          <w:rStyle w:val="VerbatimChar"/>
        </w:rPr>
        <w:t xml:space="preserve">Run Fineract 1.15.0 (PostgreSQL 18, large runner) as a nightly or on-demand oracle job, not on every PR. Generate versioned golden fixtures (JSON) across a scenario matrix that uses the correct Fineract engine (CUMULATIVE or PROGRESSIVE) for each scenario. PR CI compares Finbyx output against these fixtures. Report paisa-level differences and classify each as a bug or an approved deviation.</w:t>
      </w:r>
      <w:r>
        <w:br/>
      </w:r>
      <w:r>
        <w:br/>
      </w:r>
      <w:r>
        <w:rPr>
          <w:rStyle w:val="VerbatimChar"/>
        </w:rPr>
        <w:t xml:space="preserve">v1.3 regulatory additions for this phase (Part 8A.36.4) — include them:</w:t>
      </w:r>
      <w:r>
        <w:br/>
      </w:r>
      <w:r>
        <w:rPr>
          <w:rStyle w:val="VerbatimChar"/>
        </w:rPr>
        <w:t xml:space="preserve">- Rupee-rounding policy at billing/posting (MISC 27) [CAP / SBR / DIV / MISC]</w:t>
      </w:r>
      <w:r>
        <w:br/>
      </w:r>
      <w:r>
        <w:rPr>
          <w:rStyle w:val="VerbatimChar"/>
        </w:rPr>
        <w:t xml:space="preserve">- Golden cases for each MSD para 7(1)–(5) scenario: cheque handover later than cheque date, EMI on a partially disbursed tranche, mid-month disbursal and repayment, advance EMI [MFI / IAF / SA / SR / MSD]</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docs/specs/phase-5-schedule-engine.md: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feat/schedule-engine in small commits; run unit, integration, tenant-isolation and security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16"/>
        </w:numPr>
        <w:pStyle w:val="Compact"/>
      </w:pPr>
      <w:r>
        <w:t xml:space="preserve">☐ Schedules and allocations match the Fineract 1.15.0 oracle on the golden cases.</w:t>
      </w:r>
    </w:p>
    <w:p>
      <w:pPr>
        <w:numPr>
          <w:ilvl w:val="0"/>
          <w:numId w:val="1016"/>
        </w:numPr>
        <w:pStyle w:val="Compact"/>
      </w:pPr>
      <w:r>
        <w:t xml:space="preserve">☐ Your CA reviewer has signed off the golden accounting cases.</w:t>
      </w:r>
    </w:p>
    <w:p>
      <w:pPr>
        <w:numPr>
          <w:ilvl w:val="0"/>
          <w:numId w:val="1016"/>
        </w:numPr>
        <w:pStyle w:val="Compact"/>
      </w:pPr>
      <w:r>
        <w:t xml:space="preserve">☐ Rupee rounding happens at billing/posting only (MISC 27; RBC 103).</w:t>
      </w:r>
    </w:p>
    <w:p>
      <w:pPr>
        <w:numPr>
          <w:ilvl w:val="0"/>
          <w:numId w:val="1016"/>
        </w:numPr>
        <w:pStyle w:val="Compact"/>
      </w:pPr>
      <w:r>
        <w:t xml:space="preserve">☐ The PR shows the test output; the ledger balances (if money moved); the regulatory register and docs/status are updated.</w:t>
      </w:r>
    </w:p>
    <w:bookmarkEnd w:id="28"/>
    <w:bookmarkStart w:id="29" w:name="phase-6-customer-kyc-and-consent"/>
    <w:p>
      <w:pPr>
        <w:pStyle w:val="Heading3"/>
      </w:pPr>
      <w:r>
        <w:t xml:space="preserve">Phase 6 — Customer, KYC and consent</w:t>
      </w:r>
    </w:p>
    <w:p>
      <w:pPr>
        <w:numPr>
          <w:ilvl w:val="0"/>
          <w:numId w:val="1017"/>
        </w:numPr>
        <w:pStyle w:val="Compact"/>
      </w:pPr>
      <w:r>
        <w:rPr>
          <w:bCs/>
          <w:b/>
        </w:rPr>
        <w:t xml:space="preserve">Outcome:</w:t>
      </w:r>
      <w:r>
        <w:t xml:space="preserve"> </w:t>
      </w:r>
      <w:r>
        <w:t xml:space="preserve">CIF, de-dupe, KYC adapters (mock → Surepass sandbox), consent ledger, AML screening</w:t>
      </w:r>
    </w:p>
    <w:p>
      <w:pPr>
        <w:numPr>
          <w:ilvl w:val="0"/>
          <w:numId w:val="1017"/>
        </w:numPr>
        <w:pStyle w:val="Compact"/>
      </w:pPr>
      <w:r>
        <w:rPr>
          <w:bCs/>
          <w:b/>
        </w:rPr>
        <w:t xml:space="preserve">Depends on:</w:t>
      </w:r>
      <w:r>
        <w:t xml:space="preserve"> </w:t>
      </w:r>
      <w:r>
        <w:t xml:space="preserve">2</w:t>
      </w:r>
    </w:p>
    <w:p>
      <w:pPr>
        <w:numPr>
          <w:ilvl w:val="0"/>
          <w:numId w:val="1017"/>
        </w:numPr>
        <w:pStyle w:val="Compact"/>
      </w:pPr>
      <w:r>
        <w:rPr>
          <w:bCs/>
          <w:b/>
        </w:rPr>
        <w:t xml:space="preserve">Branch:</w:t>
      </w:r>
      <w:r>
        <w:t xml:space="preserve"> </w:t>
      </w:r>
      <w:r>
        <w:rPr>
          <w:rStyle w:val="VerbatimChar"/>
        </w:rPr>
        <w:t xml:space="preserve">feat/customer-kyc-consent</w:t>
      </w:r>
    </w:p>
    <w:p>
      <w:pPr>
        <w:numPr>
          <w:ilvl w:val="0"/>
          <w:numId w:val="1017"/>
        </w:numPr>
        <w:pStyle w:val="Compact"/>
      </w:pPr>
      <w:r>
        <w:rPr>
          <w:bCs/>
          <w:b/>
        </w:rPr>
        <w:t xml:space="preserve">Suggested sub-modules (one session each):</w:t>
      </w:r>
      <w:r>
        <w:t xml:space="preserve"> </w:t>
      </w:r>
      <w:r>
        <w:t xml:space="preserve">CIF and de-duplication; KYC adapters and CKYC; consent ledger; AML/sanctions screening and risk categorisation.</w:t>
      </w:r>
    </w:p>
    <w:p>
      <w:pPr>
        <w:pStyle w:val="FirstParagraph"/>
      </w:pPr>
      <w:r>
        <w:rPr>
          <w:bCs/>
          <w:b/>
        </w:rPr>
        <w:t xml:space="preserve">Paste into Claude Code:</w:t>
      </w:r>
    </w:p>
    <w:p>
      <w:pPr>
        <w:pStyle w:val="SourceCode"/>
      </w:pPr>
      <w:r>
        <w:rPr>
          <w:rStyle w:val="VerbatimChar"/>
        </w:rPr>
        <w:t xml:space="preserve">Phase 6 — Customer, KYC and consent. Governing brief: docs/00-master-prompt.md (Part 12, Phase 6; Part 8A prevails on regulatory points).</w:t>
      </w:r>
      <w:r>
        <w:br/>
      </w:r>
      <w:r>
        <w:br/>
      </w:r>
      <w:r>
        <w:rPr>
          <w:rStyle w:val="VerbatimChar"/>
        </w:rPr>
        <w:t xml:space="preserve">Build:</w:t>
      </w:r>
      <w:r>
        <w:br/>
      </w:r>
      <w:r>
        <w:br/>
      </w:r>
      <w:r>
        <w:rPr>
          <w:rStyle w:val="VerbatimChar"/>
        </w:rPr>
        <w:t xml:space="preserve">- the CIF with relationships;</w:t>
      </w:r>
      <w:r>
        <w:br/>
      </w:r>
      <w:r>
        <w:rPr>
          <w:rStyle w:val="VerbatimChar"/>
        </w:rPr>
        <w:t xml:space="preserve">- de-dupe;</w:t>
      </w:r>
      <w:r>
        <w:br/>
      </w:r>
      <w:r>
        <w:rPr>
          <w:rStyle w:val="VerbatimChar"/>
        </w:rPr>
        <w:t xml:space="preserve">- risk categorisation;</w:t>
      </w:r>
      <w:r>
        <w:br/>
      </w:r>
      <w:r>
        <w:rPr>
          <w:rStyle w:val="VerbatimChar"/>
        </w:rPr>
        <w:t xml:space="preserve">- the consent ledger with exact notice versions;</w:t>
      </w:r>
      <w:r>
        <w:br/>
      </w:r>
      <w:r>
        <w:rPr>
          <w:rStyle w:val="VerbatimChar"/>
        </w:rPr>
        <w:t xml:space="preserve">- KYC flows per Part 8A.21 (CKYC search/download/upload with 10/7-day clocks, Aadhaar mode selection by s.11A status, OKYC/DigiLocker, PAN/Form 60, V-CIP, OVD and deemed-OVD capture, BO thresholds, NFTF EDD, para 25 limits);</w:t>
      </w:r>
      <w:r>
        <w:br/>
      </w:r>
      <w:r>
        <w:rPr>
          <w:rStyle w:val="VerbatimChar"/>
        </w:rPr>
        <w:t xml:space="preserve">- sanctions and PEP screening;</w:t>
      </w:r>
      <w:r>
        <w:br/>
      </w:r>
      <w:r>
        <w:rPr>
          <w:rStyle w:val="VerbatimChar"/>
        </w:rPr>
        <w:t xml:space="preserve">- the periodic-updation scheduler.</w:t>
      </w:r>
      <w:r>
        <w:br/>
      </w:r>
      <w:r>
        <w:br/>
      </w:r>
      <w:r>
        <w:rPr>
          <w:rStyle w:val="VerbatimChar"/>
        </w:rPr>
        <w:t xml:space="preserve">Adapters: mock first, then a Surepass sandbox adapter behind `KycProvider`. Never store the full Aadhaar number unless the vault design approved in Phase 0 meets UIDAI Circular No. 14 of 2025. Prefer OKYC/DigiLocker flows that avoid storage. Load the KYC REQ-IDs from Part 8A.21 into the register.</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docs/specs/phase-6-customer-kyc-consent.md: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feat/customer-kyc-consent in small commits; run unit, integration, tenant-isolation and security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18"/>
        </w:numPr>
        <w:pStyle w:val="Compact"/>
      </w:pPr>
      <w:r>
        <w:t xml:space="preserve">☐ CKYC search/download/upload clocks work (10 days / 7 days) and UCIC is unique per individual.</w:t>
      </w:r>
    </w:p>
    <w:p>
      <w:pPr>
        <w:numPr>
          <w:ilvl w:val="0"/>
          <w:numId w:val="1018"/>
        </w:numPr>
        <w:pStyle w:val="Compact"/>
      </w:pPr>
      <w:r>
        <w:t xml:space="preserve">☐ No full Aadhaar number is stored outside the vault design approved in Phase 0.</w:t>
      </w:r>
    </w:p>
    <w:p>
      <w:pPr>
        <w:numPr>
          <w:ilvl w:val="0"/>
          <w:numId w:val="1018"/>
        </w:numPr>
        <w:pStyle w:val="Compact"/>
      </w:pPr>
      <w:r>
        <w:t xml:space="preserve">☐ Sanctions and PEP screening run at onboarding and on list updates.</w:t>
      </w:r>
    </w:p>
    <w:p>
      <w:pPr>
        <w:numPr>
          <w:ilvl w:val="0"/>
          <w:numId w:val="1018"/>
        </w:numPr>
        <w:pStyle w:val="Compact"/>
      </w:pPr>
      <w:r>
        <w:t xml:space="preserve">☐ The PR shows the test output; the ledger balances (if money moved); the regulatory register and docs/status are updated.</w:t>
      </w:r>
    </w:p>
    <w:bookmarkEnd w:id="29"/>
    <w:bookmarkStart w:id="30" w:name="phase-7-origination-los"/>
    <w:p>
      <w:pPr>
        <w:pStyle w:val="Heading3"/>
      </w:pPr>
      <w:r>
        <w:t xml:space="preserve">Phase 7 — Origination (LOS)</w:t>
      </w:r>
    </w:p>
    <w:p>
      <w:pPr>
        <w:numPr>
          <w:ilvl w:val="0"/>
          <w:numId w:val="1019"/>
        </w:numPr>
        <w:pStyle w:val="Compact"/>
      </w:pPr>
      <w:r>
        <w:rPr>
          <w:bCs/>
          <w:b/>
        </w:rPr>
        <w:t xml:space="preserve">Outcome:</w:t>
      </w:r>
      <w:r>
        <w:t xml:space="preserve"> </w:t>
      </w:r>
      <w:r>
        <w:t xml:space="preserve">Leads, applications, bureau/AA, BRE, verifications, deviations/DoA, CAM, sanction, KFS</w:t>
      </w:r>
    </w:p>
    <w:p>
      <w:pPr>
        <w:numPr>
          <w:ilvl w:val="0"/>
          <w:numId w:val="1019"/>
        </w:numPr>
        <w:pStyle w:val="Compact"/>
      </w:pPr>
      <w:r>
        <w:rPr>
          <w:bCs/>
          <w:b/>
        </w:rPr>
        <w:t xml:space="preserve">Depends on:</w:t>
      </w:r>
      <w:r>
        <w:t xml:space="preserve"> </w:t>
      </w:r>
      <w:r>
        <w:t xml:space="preserve">3b, 5, 6</w:t>
      </w:r>
    </w:p>
    <w:p>
      <w:pPr>
        <w:numPr>
          <w:ilvl w:val="0"/>
          <w:numId w:val="1019"/>
        </w:numPr>
        <w:pStyle w:val="Compact"/>
      </w:pPr>
      <w:r>
        <w:rPr>
          <w:bCs/>
          <w:b/>
        </w:rPr>
        <w:t xml:space="preserve">Branch:</w:t>
      </w:r>
      <w:r>
        <w:t xml:space="preserve"> </w:t>
      </w:r>
      <w:r>
        <w:rPr>
          <w:rStyle w:val="VerbatimChar"/>
        </w:rPr>
        <w:t xml:space="preserve">feat/origination</w:t>
      </w:r>
    </w:p>
    <w:p>
      <w:pPr>
        <w:numPr>
          <w:ilvl w:val="0"/>
          <w:numId w:val="1019"/>
        </w:numPr>
        <w:pStyle w:val="Compact"/>
      </w:pPr>
      <w:r>
        <w:rPr>
          <w:bCs/>
          <w:b/>
        </w:rPr>
        <w:t xml:space="preserve">Suggested sub-modules (one session each):</w:t>
      </w:r>
      <w:r>
        <w:t xml:space="preserve"> </w:t>
      </w:r>
      <w:r>
        <w:t xml:space="preserve">leads and applications; bureau/AA data pulls; BRE and deviations/DoA; CAM, sanction and KFS.</w:t>
      </w:r>
    </w:p>
    <w:p>
      <w:pPr>
        <w:pStyle w:val="FirstParagraph"/>
      </w:pPr>
      <w:r>
        <w:rPr>
          <w:bCs/>
          <w:b/>
        </w:rPr>
        <w:t xml:space="preserve">Paste into Claude Code:</w:t>
      </w:r>
    </w:p>
    <w:p>
      <w:pPr>
        <w:pStyle w:val="SourceCode"/>
      </w:pPr>
      <w:r>
        <w:rPr>
          <w:rStyle w:val="VerbatimChar"/>
        </w:rPr>
        <w:t xml:space="preserve">Phase 7 — Origination (LOS). Governing brief: docs/00-master-prompt.md (Part 12, Phase 7; Part 8A prevails on regulatory points).</w:t>
      </w:r>
      <w:r>
        <w:br/>
      </w:r>
      <w:r>
        <w:br/>
      </w:r>
      <w:r>
        <w:rPr>
          <w:rStyle w:val="VerbatimChar"/>
        </w:rPr>
        <w:t xml:space="preserve">Implement:</w:t>
      </w:r>
      <w:r>
        <w:br/>
      </w:r>
      <w:r>
        <w:br/>
      </w:r>
      <w:r>
        <w:rPr>
          <w:rStyle w:val="VerbatimChar"/>
        </w:rPr>
        <w:t xml:space="preserve">- leads, and DSA/connector management with payouts;</w:t>
      </w:r>
      <w:r>
        <w:br/>
      </w:r>
      <w:r>
        <w:rPr>
          <w:rStyle w:val="VerbatimChar"/>
        </w:rPr>
        <w:t xml:space="preserve">- dynamic application forms from product templates;</w:t>
      </w:r>
      <w:r>
        <w:br/>
      </w:r>
      <w:r>
        <w:rPr>
          <w:rStyle w:val="VerbatimChar"/>
        </w:rPr>
        <w:t xml:space="preserve">- bureau and AA adapters (mock + sandbox);</w:t>
      </w:r>
      <w:r>
        <w:br/>
      </w:r>
      <w:r>
        <w:rPr>
          <w:rStyle w:val="VerbatimChar"/>
        </w:rPr>
        <w:t xml:space="preserve">- the GoRules-based BRE with simulation;</w:t>
      </w:r>
      <w:r>
        <w:br/>
      </w:r>
      <w:r>
        <w:rPr>
          <w:rStyle w:val="VerbatimChar"/>
        </w:rPr>
        <w:t xml:space="preserve">- verification management (FI/PD/technical/legal/RCU) with vendor allocation;</w:t>
      </w:r>
      <w:r>
        <w:br/>
      </w:r>
      <w:r>
        <w:rPr>
          <w:rStyle w:val="VerbatimChar"/>
        </w:rPr>
        <w:t xml:space="preserve">- the deviation matrix and DoA routing;</w:t>
      </w:r>
      <w:r>
        <w:br/>
      </w:r>
      <w:r>
        <w:rPr>
          <w:rStyle w:val="VerbatimChar"/>
        </w:rPr>
        <w:t xml:space="preserve">- the CAM generator (template + AI-drafted narrative with citations, edited by a human, locked at sanction);</w:t>
      </w:r>
      <w:r>
        <w:br/>
      </w:r>
      <w:r>
        <w:rPr>
          <w:rStyle w:val="VerbatimChar"/>
        </w:rPr>
        <w:t xml:space="preserve">- sanction;</w:t>
      </w:r>
      <w:r>
        <w:br/>
      </w:r>
      <w:r>
        <w:rPr>
          <w:rStyle w:val="VerbatimChar"/>
        </w:rPr>
        <w:t xml:space="preserve">- the KFS/APR engine per RBC para 29 and Annex I, with the KFS validity period (≥ 3 working days, or ≥ 1 for tenor &lt; 7 days). This is not a waiting period. Include the unique proposal number, the Part 2 disclosures and the APR golden test (₹20,000 / 24 months / 15% / ₹400 fees → 17.07%; RBC para 29(3)).</w:t>
      </w:r>
      <w:r>
        <w:br/>
      </w:r>
      <w:r>
        <w:br/>
      </w:r>
      <w:r>
        <w:rPr>
          <w:rStyle w:val="VerbatimChar"/>
        </w:rPr>
        <w:t xml:space="preserve">Model the application state machine explicitly. Include a full E2E test from lead to sanction for the two MVP products.</w:t>
      </w:r>
      <w:r>
        <w:br/>
      </w:r>
      <w:r>
        <w:br/>
      </w:r>
      <w:r>
        <w:rPr>
          <w:rStyle w:val="VerbatimChar"/>
        </w:rPr>
        <w:t xml:space="preserve">v1.3 regulatory additions for this phase (Part 8A.36.4) — include them:</w:t>
      </w:r>
      <w:r>
        <w:br/>
      </w:r>
      <w:r>
        <w:rPr>
          <w:rStyle w:val="VerbatimChar"/>
        </w:rPr>
        <w:t xml:space="preserve">- KFS unique proposal number, acknowledgement, Annex I Part 2 disclosures and the APR golden test (₹20,000 / 24 months / 15% / ₹400 fees → 17.07%) (RBC 29); vernacular sanction letter (RBC 13); LWD/large-defaulter gate (WD 7, 19) [RBC / WD]</w:t>
      </w:r>
      <w:r>
        <w:br/>
      </w:r>
      <w:r>
        <w:rPr>
          <w:rStyle w:val="VerbatimChar"/>
        </w:rPr>
        <w:t xml:space="preserve">- rw_class, guarantee cover, cancellability flag and HQ-infrastructure data captured at sanction (CAP 18) [CAP / SBR / DIV / MISC]</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docs/specs/phase-7-origination.md: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feat/origination in small commits; run unit, integration, tenant-isolation and security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20"/>
        </w:numPr>
        <w:pStyle w:val="Compact"/>
      </w:pPr>
      <w:r>
        <w:t xml:space="preserve">☐ The KFS APR golden test returns 17.07% (₹20,000 / 24 months / 15% / ₹400 fees; RBC 29(3)).</w:t>
      </w:r>
    </w:p>
    <w:p>
      <w:pPr>
        <w:numPr>
          <w:ilvl w:val="0"/>
          <w:numId w:val="1020"/>
        </w:numPr>
        <w:pStyle w:val="Compact"/>
      </w:pPr>
      <w:r>
        <w:t xml:space="preserve">☐ New-to-credit applicants are never auto-rejected for lack of history (CIR 38(5)).</w:t>
      </w:r>
    </w:p>
    <w:p>
      <w:pPr>
        <w:numPr>
          <w:ilvl w:val="0"/>
          <w:numId w:val="1020"/>
        </w:numPr>
        <w:pStyle w:val="Compact"/>
      </w:pPr>
      <w:r>
        <w:t xml:space="preserve">☐ Related-party, exposure-limit, LEI, fraud-debarment and wilful-defaulter gates block sanction where required.</w:t>
      </w:r>
    </w:p>
    <w:p>
      <w:pPr>
        <w:numPr>
          <w:ilvl w:val="0"/>
          <w:numId w:val="1020"/>
        </w:numPr>
        <w:pStyle w:val="Compact"/>
      </w:pPr>
      <w:r>
        <w:t xml:space="preserve">☐ The PR shows the test output; the ledger balances (if money moved); the regulatory register and docs/status are updated.</w:t>
      </w:r>
    </w:p>
    <w:bookmarkEnd w:id="30"/>
    <w:bookmarkStart w:id="31" w:name="X32a943d3d0ab653faeab9540007f18be7db9563"/>
    <w:p>
      <w:pPr>
        <w:pStyle w:val="Heading3"/>
      </w:pPr>
      <w:r>
        <w:t xml:space="preserve">Phase 8 — Documentation, execution, DMS and disbursement</w:t>
      </w:r>
    </w:p>
    <w:p>
      <w:pPr>
        <w:numPr>
          <w:ilvl w:val="0"/>
          <w:numId w:val="1021"/>
        </w:numPr>
        <w:pStyle w:val="Compact"/>
      </w:pPr>
      <w:r>
        <w:rPr>
          <w:bCs/>
          <w:b/>
        </w:rPr>
        <w:t xml:space="preserve">Outcome:</w:t>
      </w:r>
      <w:r>
        <w:t xml:space="preserve"> </w:t>
      </w:r>
      <w:r>
        <w:t xml:space="preserve">Templates, signing evidence, physical-execution path, OTC/PDD, mandate registration, payout, loan booking</w:t>
      </w:r>
    </w:p>
    <w:p>
      <w:pPr>
        <w:numPr>
          <w:ilvl w:val="0"/>
          <w:numId w:val="1021"/>
        </w:numPr>
        <w:pStyle w:val="Compact"/>
      </w:pPr>
      <w:r>
        <w:rPr>
          <w:bCs/>
          <w:b/>
        </w:rPr>
        <w:t xml:space="preserve">Depends on:</w:t>
      </w:r>
      <w:r>
        <w:t xml:space="preserve"> </w:t>
      </w:r>
      <w:r>
        <w:t xml:space="preserve">7</w:t>
      </w:r>
    </w:p>
    <w:p>
      <w:pPr>
        <w:numPr>
          <w:ilvl w:val="0"/>
          <w:numId w:val="1021"/>
        </w:numPr>
        <w:pStyle w:val="Compact"/>
      </w:pPr>
      <w:r>
        <w:rPr>
          <w:bCs/>
          <w:b/>
        </w:rPr>
        <w:t xml:space="preserve">Branch:</w:t>
      </w:r>
      <w:r>
        <w:t xml:space="preserve"> </w:t>
      </w:r>
      <w:r>
        <w:rPr>
          <w:rStyle w:val="VerbatimChar"/>
        </w:rPr>
        <w:t xml:space="preserve">feat/docs-esign-disbursement</w:t>
      </w:r>
    </w:p>
    <w:p>
      <w:pPr>
        <w:pStyle w:val="FirstParagraph"/>
      </w:pPr>
      <w:r>
        <w:rPr>
          <w:bCs/>
          <w:b/>
        </w:rPr>
        <w:t xml:space="preserve">Paste into Claude Code:</w:t>
      </w:r>
    </w:p>
    <w:p>
      <w:pPr>
        <w:pStyle w:val="SourceCode"/>
      </w:pPr>
      <w:r>
        <w:rPr>
          <w:rStyle w:val="VerbatimChar"/>
        </w:rPr>
        <w:t xml:space="preserve">Phase 8 — Documentation, execution, DMS and disbursement. Governing brief: docs/00-master-prompt.md (Part 12, Phase 8; Part 8A prevails on regulatory points).</w:t>
      </w:r>
      <w:r>
        <w:br/>
      </w:r>
      <w:r>
        <w:br/>
      </w:r>
      <w:r>
        <w:rPr>
          <w:rStyle w:val="VerbatimChar"/>
        </w:rPr>
        <w:t xml:space="preserve">Build:</w:t>
      </w:r>
      <w:r>
        <w:br/>
      </w:r>
      <w:r>
        <w:br/>
      </w:r>
      <w:r>
        <w:rPr>
          <w:rStyle w:val="VerbatimChar"/>
        </w:rPr>
        <w:t xml:space="preserve">- document templates and generation (Gotenberg);</w:t>
      </w:r>
      <w:r>
        <w:br/>
      </w:r>
      <w:r>
        <w:rPr>
          <w:rStyle w:val="VerbatimChar"/>
        </w:rPr>
        <w:t xml:space="preserve">- eSign, eStamp and NeSL DDE adapters that store verifiable signing evidence;</w:t>
      </w:r>
      <w:r>
        <w:br/>
      </w:r>
      <w:r>
        <w:rPr>
          <w:rStyle w:val="VerbatimChar"/>
        </w:rPr>
        <w:t xml:space="preserve">- the physical-execution path for instruments the IT Act First Schedule excludes (DP notes and other negotiable instruments except cheques, powers of attorney, immovable-property conveyances);</w:t>
      </w:r>
      <w:r>
        <w:br/>
      </w:r>
      <w:r>
        <w:rPr>
          <w:rStyle w:val="VerbatimChar"/>
        </w:rPr>
        <w:t xml:space="preserve">- the DMS with hashes, versions, retention and access logs;</w:t>
      </w:r>
      <w:r>
        <w:br/>
      </w:r>
      <w:r>
        <w:rPr>
          <w:rStyle w:val="VerbatimChar"/>
        </w:rPr>
        <w:t xml:space="preserve">- OTC/PDD tracking;</w:t>
      </w:r>
      <w:r>
        <w:br/>
      </w:r>
      <w:r>
        <w:rPr>
          <w:rStyle w:val="VerbatimChar"/>
        </w:rPr>
        <w:t xml:space="preserve">- mandate registration (eNACH/UPI AutoPay);</w:t>
      </w:r>
      <w:r>
        <w:br/>
      </w:r>
      <w:r>
        <w:rPr>
          <w:rStyle w:val="VerbatimChar"/>
        </w:rPr>
        <w:t xml:space="preserve">- the disbursement memo with pre-disbursement checks;</w:t>
      </w:r>
      <w:r>
        <w:br/>
      </w:r>
      <w:r>
        <w:rPr>
          <w:rStyle w:val="VerbatimChar"/>
        </w:rPr>
        <w:t xml:space="preserve">- penny-drop and payout adapters with duplicate-payment prevention;</w:t>
      </w:r>
      <w:r>
        <w:br/>
      </w:r>
      <w:r>
        <w:rPr>
          <w:rStyle w:val="VerbatimChar"/>
        </w:rPr>
        <w:t xml:space="preserve">- atomic loan booking with opening entries, including Ind AS deferred fees.</w:t>
      </w:r>
      <w:r>
        <w:br/>
      </w:r>
      <w:r>
        <w:br/>
      </w:r>
      <w:r>
        <w:rPr>
          <w:rStyle w:val="VerbatimChar"/>
        </w:rPr>
        <w:t xml:space="preserve">Interest starts from the actual disbursement date. Include cooling-off handling for digital loans.</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docs/specs/phase-8-docs-esign-disbursement.md: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feat/docs-esign-disbursement in small commits; run unit, integration, tenant-isolation and security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22"/>
        </w:numPr>
        <w:pStyle w:val="Compact"/>
      </w:pPr>
      <w:r>
        <w:t xml:space="preserve">☐ Signing evidence is stored and linked to the sanctioned KFS version.</w:t>
      </w:r>
    </w:p>
    <w:p>
      <w:pPr>
        <w:numPr>
          <w:ilvl w:val="0"/>
          <w:numId w:val="1022"/>
        </w:numPr>
        <w:pStyle w:val="Compact"/>
      </w:pPr>
      <w:r>
        <w:t xml:space="preserve">☐ Digital-loan disbursement goes directly to the borrower’s bank account, with no pass-through or LSP pool account, except where CF para 10 permits.</w:t>
      </w:r>
    </w:p>
    <w:p>
      <w:pPr>
        <w:numPr>
          <w:ilvl w:val="0"/>
          <w:numId w:val="1022"/>
        </w:numPr>
        <w:pStyle w:val="Compact"/>
      </w:pPr>
      <w:r>
        <w:t xml:space="preserve">☐ Loan booking posts to the ledger and the trial balance still balances.</w:t>
      </w:r>
    </w:p>
    <w:p>
      <w:pPr>
        <w:numPr>
          <w:ilvl w:val="0"/>
          <w:numId w:val="1022"/>
        </w:numPr>
        <w:pStyle w:val="Compact"/>
      </w:pPr>
      <w:r>
        <w:t xml:space="preserve">☐ The PR shows the test output; the ledger balances (if money moved); the regulatory register and docs/status are updated.</w:t>
      </w:r>
    </w:p>
    <w:bookmarkEnd w:id="31"/>
    <w:bookmarkStart w:id="32" w:name="phase-8b-field-app-foundation"/>
    <w:p>
      <w:pPr>
        <w:pStyle w:val="Heading3"/>
      </w:pPr>
      <w:r>
        <w:t xml:space="preserve">Phase 8b — Field app foundation</w:t>
      </w:r>
    </w:p>
    <w:p>
      <w:pPr>
        <w:numPr>
          <w:ilvl w:val="0"/>
          <w:numId w:val="1023"/>
        </w:numPr>
        <w:pStyle w:val="Compact"/>
      </w:pPr>
      <w:r>
        <w:rPr>
          <w:bCs/>
          <w:b/>
        </w:rPr>
        <w:t xml:space="preserve">Outcome:</w:t>
      </w:r>
      <w:r>
        <w:t xml:space="preserve"> </w:t>
      </w:r>
      <w:r>
        <w:t xml:space="preserve">Expo app shell, offline sync, device binding, assisted KYC/document capture</w:t>
      </w:r>
    </w:p>
    <w:p>
      <w:pPr>
        <w:numPr>
          <w:ilvl w:val="0"/>
          <w:numId w:val="1023"/>
        </w:numPr>
        <w:pStyle w:val="Compact"/>
      </w:pPr>
      <w:r>
        <w:rPr>
          <w:bCs/>
          <w:b/>
        </w:rPr>
        <w:t xml:space="preserve">Depends on:</w:t>
      </w:r>
      <w:r>
        <w:t xml:space="preserve"> </w:t>
      </w:r>
      <w:r>
        <w:t xml:space="preserve">2, 6</w:t>
      </w:r>
    </w:p>
    <w:p>
      <w:pPr>
        <w:numPr>
          <w:ilvl w:val="0"/>
          <w:numId w:val="1023"/>
        </w:numPr>
        <w:pStyle w:val="Compact"/>
      </w:pPr>
      <w:r>
        <w:rPr>
          <w:bCs/>
          <w:b/>
        </w:rPr>
        <w:t xml:space="preserve">Branch:</w:t>
      </w:r>
      <w:r>
        <w:t xml:space="preserve"> </w:t>
      </w:r>
      <w:r>
        <w:rPr>
          <w:rStyle w:val="VerbatimChar"/>
        </w:rPr>
        <w:t xml:space="preserve">feat/field-app</w:t>
      </w:r>
    </w:p>
    <w:p>
      <w:pPr>
        <w:pStyle w:val="FirstParagraph"/>
      </w:pPr>
      <w:r>
        <w:rPr>
          <w:bCs/>
          <w:b/>
        </w:rPr>
        <w:t xml:space="preserve">Paste into Claude Code:</w:t>
      </w:r>
    </w:p>
    <w:p>
      <w:pPr>
        <w:pStyle w:val="SourceCode"/>
      </w:pPr>
      <w:r>
        <w:rPr>
          <w:rStyle w:val="VerbatimChar"/>
        </w:rPr>
        <w:t xml:space="preserve">Phase 8b — Field app foundation. Governing brief: docs/00-master-prompt.md (Part 12, Phase 8b; Part 8A prevails on regulatory points).</w:t>
      </w:r>
      <w:r>
        <w:br/>
      </w:r>
      <w:r>
        <w:br/>
      </w:r>
      <w:r>
        <w:rPr>
          <w:rStyle w:val="VerbatimChar"/>
        </w:rPr>
        <w:t xml:space="preserve">Scaffold `apps/field` (Expo React Native + TypeScript). Build:</w:t>
      </w:r>
      <w:r>
        <w:br/>
      </w:r>
      <w:r>
        <w:br/>
      </w:r>
      <w:r>
        <w:rPr>
          <w:rStyle w:val="VerbatimChar"/>
        </w:rPr>
        <w:t xml:space="preserve">- offline-first storage and sync with conflict resolution;</w:t>
      </w:r>
      <w:r>
        <w:br/>
      </w:r>
      <w:r>
        <w:rPr>
          <w:rStyle w:val="VerbatimChar"/>
        </w:rPr>
        <w:t xml:space="preserve">- device binding and remote wipe;</w:t>
      </w:r>
      <w:r>
        <w:br/>
      </w:r>
      <w:r>
        <w:rPr>
          <w:rStyle w:val="VerbatimChar"/>
        </w:rPr>
        <w:t xml:space="preserve">- just-in-time permissions (camera and location only when needed; never contacts, SMS or call logs);</w:t>
      </w:r>
      <w:r>
        <w:br/>
      </w:r>
      <w:r>
        <w:rPr>
          <w:rStyle w:val="VerbatimChar"/>
        </w:rPr>
        <w:t xml:space="preserve">- assisted KYC and document capture, including the KYC para 24 digital-KYC flow (live photo with watermark, officer-mobile block, dual OTP; Part 8A.21);</w:t>
      </w:r>
      <w:r>
        <w:br/>
      </w:r>
      <w:r>
        <w:rPr>
          <w:rStyle w:val="VerbatimChar"/>
        </w:rPr>
        <w:t xml:space="preserve">- FI/PD report capture.</w:t>
      </w:r>
      <w:r>
        <w:br/>
      </w:r>
      <w:r>
        <w:br/>
      </w:r>
      <w:r>
        <w:rPr>
          <w:rStyle w:val="VerbatimChar"/>
        </w:rPr>
        <w:t xml:space="preserve">Plan distribution through managed Play Store/App Store or MDM, with a forced-update policy for incompatible versions.</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docs/specs/phase-8b-field-app.md: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feat/field-app in small commits; run unit, integration, tenant-isolation and security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24"/>
        </w:numPr>
        <w:pStyle w:val="Compact"/>
      </w:pPr>
      <w:r>
        <w:t xml:space="preserve">☐ Offline sync resolves conflicts without data loss.</w:t>
      </w:r>
    </w:p>
    <w:p>
      <w:pPr>
        <w:numPr>
          <w:ilvl w:val="0"/>
          <w:numId w:val="1024"/>
        </w:numPr>
        <w:pStyle w:val="Compact"/>
      </w:pPr>
      <w:r>
        <w:t xml:space="preserve">☐ Device binding works and a lost device can be revoked.</w:t>
      </w:r>
    </w:p>
    <w:p>
      <w:pPr>
        <w:numPr>
          <w:ilvl w:val="0"/>
          <w:numId w:val="1024"/>
        </w:numPr>
        <w:pStyle w:val="Compact"/>
      </w:pPr>
      <w:r>
        <w:t xml:space="preserve">☐ The digital-KYC flow meets KYC para 24 (live photo with watermark, dual OTP, officer-mobile block).</w:t>
      </w:r>
    </w:p>
    <w:p>
      <w:pPr>
        <w:numPr>
          <w:ilvl w:val="0"/>
          <w:numId w:val="1024"/>
        </w:numPr>
        <w:pStyle w:val="Compact"/>
      </w:pPr>
      <w:r>
        <w:t xml:space="preserve">☐ The PR shows the test output; the ledger balances (if money moved); the regulatory register and docs/status are updated.</w:t>
      </w:r>
    </w:p>
    <w:bookmarkEnd w:id="32"/>
    <w:bookmarkStart w:id="33" w:name="Xb083a816e815b199027778856994b4dc6be2dc1"/>
    <w:p>
      <w:pPr>
        <w:pStyle w:val="Heading3"/>
      </w:pPr>
      <w:r>
        <w:t xml:space="preserve">Phase 8c — Udofin / LSP inbound connector (minimal)</w:t>
      </w:r>
    </w:p>
    <w:p>
      <w:pPr>
        <w:numPr>
          <w:ilvl w:val="0"/>
          <w:numId w:val="1025"/>
        </w:numPr>
        <w:pStyle w:val="Compact"/>
      </w:pPr>
      <w:r>
        <w:rPr>
          <w:bCs/>
          <w:b/>
        </w:rPr>
        <w:t xml:space="preserve">Outcome:</w:t>
      </w:r>
      <w:r>
        <w:t xml:space="preserve"> </w:t>
      </w:r>
      <w:r>
        <w:t xml:space="preserve">LSP contract v1, application intake, status callbacks, signing-evidence intake, disbursement and repayment events</w:t>
      </w:r>
    </w:p>
    <w:p>
      <w:pPr>
        <w:numPr>
          <w:ilvl w:val="0"/>
          <w:numId w:val="1025"/>
        </w:numPr>
        <w:pStyle w:val="Compact"/>
      </w:pPr>
      <w:r>
        <w:rPr>
          <w:bCs/>
          <w:b/>
        </w:rPr>
        <w:t xml:space="preserve">Depends on:</w:t>
      </w:r>
      <w:r>
        <w:t xml:space="preserve"> </w:t>
      </w:r>
      <w:r>
        <w:t xml:space="preserve">7, 8</w:t>
      </w:r>
    </w:p>
    <w:p>
      <w:pPr>
        <w:numPr>
          <w:ilvl w:val="0"/>
          <w:numId w:val="1025"/>
        </w:numPr>
        <w:pStyle w:val="Compact"/>
      </w:pPr>
      <w:r>
        <w:rPr>
          <w:bCs/>
          <w:b/>
        </w:rPr>
        <w:t xml:space="preserve">Branch:</w:t>
      </w:r>
      <w:r>
        <w:t xml:space="preserve"> </w:t>
      </w:r>
      <w:r>
        <w:rPr>
          <w:rStyle w:val="VerbatimChar"/>
        </w:rPr>
        <w:t xml:space="preserve">feat/lsp-connector-v1</w:t>
      </w:r>
    </w:p>
    <w:p>
      <w:pPr>
        <w:pStyle w:val="FirstParagraph"/>
      </w:pPr>
      <w:r>
        <w:rPr>
          <w:bCs/>
          <w:b/>
        </w:rPr>
        <w:t xml:space="preserve">Paste into Claude Code:</w:t>
      </w:r>
    </w:p>
    <w:p>
      <w:pPr>
        <w:pStyle w:val="SourceCode"/>
      </w:pPr>
      <w:r>
        <w:rPr>
          <w:rStyle w:val="VerbatimChar"/>
        </w:rPr>
        <w:t xml:space="preserve">Phase 8c — Udofin / LSP inbound connector (minimal). Governing brief: docs/00-master-prompt.md (Part 12, Phase 8c; Part 8A prevails on regulatory points).</w:t>
      </w:r>
      <w:r>
        <w:br/>
      </w:r>
      <w:r>
        <w:br/>
      </w:r>
      <w:r>
        <w:rPr>
          <w:rStyle w:val="VerbatimChar"/>
        </w:rPr>
        <w:t xml:space="preserve">Implement LSP contract v1 per Part 5 and the Ecosystem Integration Specification (Part 3 core and Parts 6.2–6.4, as sequenced in Integration Spec Part 15), using its canonical event names:</w:t>
      </w:r>
      <w:r>
        <w:br/>
      </w:r>
      <w:r>
        <w:br/>
      </w:r>
      <w:r>
        <w:rPr>
          <w:rStyle w:val="VerbatimChar"/>
        </w:rPr>
        <w:t xml:space="preserve">- OpenAPI/AsyncAPI;</w:t>
      </w:r>
      <w:r>
        <w:br/>
      </w:r>
      <w:r>
        <w:rPr>
          <w:rStyle w:val="VerbatimChar"/>
        </w:rPr>
        <w:t xml:space="preserve">- signed webhooks;</w:t>
      </w:r>
      <w:r>
        <w:br/>
      </w:r>
      <w:r>
        <w:rPr>
          <w:rStyle w:val="VerbatimChar"/>
        </w:rPr>
        <w:t xml:space="preserve">- idempotency;</w:t>
      </w:r>
      <w:r>
        <w:br/>
      </w:r>
      <w:r>
        <w:rPr>
          <w:rStyle w:val="VerbatimChar"/>
        </w:rPr>
        <w:t xml:space="preserve">- application intake with consent artefacts;</w:t>
      </w:r>
      <w:r>
        <w:br/>
      </w:r>
      <w:r>
        <w:rPr>
          <w:rStyle w:val="VerbatimChar"/>
        </w:rPr>
        <w:t xml:space="preserve">- status and decision callbacks;</w:t>
      </w:r>
      <w:r>
        <w:br/>
      </w:r>
      <w:r>
        <w:rPr>
          <w:rStyle w:val="VerbatimChar"/>
        </w:rPr>
        <w:t xml:space="preserve">- KFS and sanction publication;</w:t>
      </w:r>
      <w:r>
        <w:br/>
      </w:r>
      <w:r>
        <w:rPr>
          <w:rStyle w:val="VerbatimChar"/>
        </w:rPr>
        <w:t xml:space="preserve">- intake of signing evidence;</w:t>
      </w:r>
      <w:r>
        <w:br/>
      </w:r>
      <w:r>
        <w:rPr>
          <w:rStyle w:val="VerbatimChar"/>
        </w:rPr>
        <w:t xml:space="preserve">- disbursement and repayment events;</w:t>
      </w:r>
      <w:r>
        <w:br/>
      </w:r>
      <w:r>
        <w:rPr>
          <w:rStyle w:val="VerbatimChar"/>
        </w:rPr>
        <w:t xml:space="preserve">- daily reconciliation file.</w:t>
      </w:r>
      <w:r>
        <w:br/>
      </w:r>
      <w:r>
        <w:br/>
      </w:r>
      <w:r>
        <w:rPr>
          <w:rStyle w:val="VerbatimChar"/>
        </w:rPr>
        <w:t xml:space="preserve">Add Pact contract tests with Udofin. Prove that Finbyx keeps operating when Udofin is unavailable.</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docs/specs/phase-8c-lsp-connector-v1.md: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feat/lsp-connector-v1 in small commits; run unit, integration, tenant-isolation and security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26"/>
        </w:numPr>
        <w:pStyle w:val="Compact"/>
      </w:pPr>
      <w:r>
        <w:t xml:space="preserve">☐ The LSP contract is versioned and every inbound event is idempotent.</w:t>
      </w:r>
    </w:p>
    <w:p>
      <w:pPr>
        <w:numPr>
          <w:ilvl w:val="0"/>
          <w:numId w:val="1026"/>
        </w:numPr>
        <w:pStyle w:val="Compact"/>
      </w:pPr>
      <w:r>
        <w:t xml:space="preserve">☐ The LSP never receives or holds loan funds.</w:t>
      </w:r>
    </w:p>
    <w:p>
      <w:pPr>
        <w:numPr>
          <w:ilvl w:val="0"/>
          <w:numId w:val="1026"/>
        </w:numPr>
        <w:pStyle w:val="Compact"/>
      </w:pPr>
      <w:r>
        <w:t xml:space="preserve">☐ Status callbacks and repayment events reconcile with Finbyx records.</w:t>
      </w:r>
    </w:p>
    <w:p>
      <w:pPr>
        <w:numPr>
          <w:ilvl w:val="0"/>
          <w:numId w:val="1026"/>
        </w:numPr>
        <w:pStyle w:val="Compact"/>
      </w:pPr>
      <w:r>
        <w:t xml:space="preserve">☐ The PR shows the test output; the ledger balances (if money moved); the regulatory register and docs/status are updated.</w:t>
      </w:r>
    </w:p>
    <w:bookmarkEnd w:id="33"/>
    <w:bookmarkStart w:id="34" w:name="phase-9-servicing-lms-and-cob"/>
    <w:p>
      <w:pPr>
        <w:pStyle w:val="Heading3"/>
      </w:pPr>
      <w:r>
        <w:t xml:space="preserve">Phase 9 — Servicing (LMS) and COB</w:t>
      </w:r>
    </w:p>
    <w:p>
      <w:pPr>
        <w:numPr>
          <w:ilvl w:val="0"/>
          <w:numId w:val="1027"/>
        </w:numPr>
        <w:pStyle w:val="Compact"/>
      </w:pPr>
      <w:r>
        <w:rPr>
          <w:bCs/>
          <w:b/>
        </w:rPr>
        <w:t xml:space="preserve">Outcome:</w:t>
      </w:r>
      <w:r>
        <w:t xml:space="preserve"> </w:t>
      </w:r>
      <w:r>
        <w:t xml:space="preserve">Accruals, EIR amortisation stub, repayments, prepayment/foreclosure, resets, restructuring, service requests, COB with classification</w:t>
      </w:r>
    </w:p>
    <w:p>
      <w:pPr>
        <w:numPr>
          <w:ilvl w:val="0"/>
          <w:numId w:val="1027"/>
        </w:numPr>
        <w:pStyle w:val="Compact"/>
      </w:pPr>
      <w:r>
        <w:rPr>
          <w:bCs/>
          <w:b/>
        </w:rPr>
        <w:t xml:space="preserve">Depends on:</w:t>
      </w:r>
      <w:r>
        <w:t xml:space="preserve"> </w:t>
      </w:r>
      <w:r>
        <w:t xml:space="preserve">5, 8</w:t>
      </w:r>
    </w:p>
    <w:p>
      <w:pPr>
        <w:numPr>
          <w:ilvl w:val="0"/>
          <w:numId w:val="1027"/>
        </w:numPr>
        <w:pStyle w:val="Compact"/>
      </w:pPr>
      <w:r>
        <w:rPr>
          <w:bCs/>
          <w:b/>
        </w:rPr>
        <w:t xml:space="preserve">Branch:</w:t>
      </w:r>
      <w:r>
        <w:t xml:space="preserve"> </w:t>
      </w:r>
      <w:r>
        <w:rPr>
          <w:rStyle w:val="VerbatimChar"/>
        </w:rPr>
        <w:t xml:space="preserve">feat/servicing-cob</w:t>
      </w:r>
    </w:p>
    <w:p>
      <w:pPr>
        <w:numPr>
          <w:ilvl w:val="0"/>
          <w:numId w:val="1027"/>
        </w:numPr>
        <w:pStyle w:val="Compact"/>
      </w:pPr>
      <w:r>
        <w:rPr>
          <w:bCs/>
          <w:b/>
        </w:rPr>
        <w:t xml:space="preserve">Suggested sub-modules (one session each):</w:t>
      </w:r>
      <w:r>
        <w:t xml:space="preserve"> </w:t>
      </w:r>
      <w:r>
        <w:t xml:space="preserve">accruals and repayments; prepayment, foreclosure and resets; restructuring; service requests, closure and NOC; COB orchestrator and classification.</w:t>
      </w:r>
    </w:p>
    <w:p>
      <w:pPr>
        <w:pStyle w:val="FirstParagraph"/>
      </w:pPr>
      <w:r>
        <w:rPr>
          <w:bCs/>
          <w:b/>
        </w:rPr>
        <w:t xml:space="preserve">Paste into Claude Code:</w:t>
      </w:r>
    </w:p>
    <w:p>
      <w:pPr>
        <w:pStyle w:val="SourceCode"/>
      </w:pPr>
      <w:r>
        <w:rPr>
          <w:rStyle w:val="VerbatimChar"/>
        </w:rPr>
        <w:t xml:space="preserve">Phase 9 — Servicing (LMS) and COB. Governing brief: docs/00-master-prompt.md (Part 12, Phase 9; Part 8A prevails on regulatory points).</w:t>
      </w:r>
      <w:r>
        <w:br/>
      </w:r>
      <w:r>
        <w:br/>
      </w:r>
      <w:r>
        <w:rPr>
          <w:rStyle w:val="VerbatimChar"/>
        </w:rPr>
        <w:t xml:space="preserve">Build:</w:t>
      </w:r>
      <w:r>
        <w:br/>
      </w:r>
      <w:r>
        <w:br/>
      </w:r>
      <w:r>
        <w:rPr>
          <w:rStyle w:val="VerbatimChar"/>
        </w:rPr>
        <w:t xml:space="preserve">- the loan 360 view;</w:t>
      </w:r>
      <w:r>
        <w:br/>
      </w:r>
      <w:r>
        <w:rPr>
          <w:rStyle w:val="VerbatimChar"/>
        </w:rPr>
        <w:t xml:space="preserve">- daily accrual;</w:t>
      </w:r>
      <w:r>
        <w:br/>
      </w:r>
      <w:r>
        <w:rPr>
          <w:rStyle w:val="VerbatimChar"/>
        </w:rPr>
        <w:t xml:space="preserve">- an EIR amortisation stub driven by the Phase 4 rules;</w:t>
      </w:r>
      <w:r>
        <w:br/>
      </w:r>
      <w:r>
        <w:rPr>
          <w:rStyle w:val="VerbatimChar"/>
        </w:rPr>
        <w:t xml:space="preserve">- penal charges as charges;</w:t>
      </w:r>
      <w:r>
        <w:br/>
      </w:r>
      <w:r>
        <w:rPr>
          <w:rStyle w:val="VerbatimChar"/>
        </w:rPr>
        <w:t xml:space="preserve">- repayments with allocation;</w:t>
      </w:r>
      <w:r>
        <w:br/>
      </w:r>
      <w:r>
        <w:rPr>
          <w:rStyle w:val="VerbatimChar"/>
        </w:rPr>
        <w:t xml:space="preserve">- part-prepayment and foreclosure quotes with the prepayment-charge engine (RBC paras 33–34, 81);</w:t>
      </w:r>
      <w:r>
        <w:br/>
      </w:r>
      <w:r>
        <w:rPr>
          <w:rStyle w:val="VerbatimChar"/>
        </w:rPr>
        <w:t xml:space="preserve">- floating-rate resets with borrower options;</w:t>
      </w:r>
      <w:r>
        <w:br/>
      </w:r>
      <w:r>
        <w:rPr>
          <w:rStyle w:val="VerbatimChar"/>
        </w:rPr>
        <w:t xml:space="preserve">- restructuring and rescheduling with classification impact;</w:t>
      </w:r>
      <w:r>
        <w:br/>
      </w:r>
      <w:r>
        <w:rPr>
          <w:rStyle w:val="VerbatimChar"/>
        </w:rPr>
        <w:t xml:space="preserve">- top-up and balance transfer;</w:t>
      </w:r>
      <w:r>
        <w:br/>
      </w:r>
      <w:r>
        <w:rPr>
          <w:rStyle w:val="VerbatimChar"/>
        </w:rPr>
        <w:t xml:space="preserve">- service requests and certificates;</w:t>
      </w:r>
      <w:r>
        <w:br/>
      </w:r>
      <w:r>
        <w:rPr>
          <w:rStyle w:val="VerbatimChar"/>
        </w:rPr>
        <w:t xml:space="preserve">- closure, NOC, and the document-release SLA with compensation;</w:t>
      </w:r>
      <w:r>
        <w:br/>
      </w:r>
      <w:r>
        <w:rPr>
          <w:rStyle w:val="VerbatimChar"/>
        </w:rPr>
        <w:t xml:space="preserve">- write-off.</w:t>
      </w:r>
      <w:r>
        <w:br/>
      </w:r>
      <w:r>
        <w:br/>
      </w:r>
      <w:r>
        <w:rPr>
          <w:rStyle w:val="VerbatimChar"/>
        </w:rPr>
        <w:t xml:space="preserve">Build the COB orchestrator using the two-pass design in Part 4.2E:</w:t>
      </w:r>
      <w:r>
        <w:br/>
      </w:r>
      <w:r>
        <w:br/>
      </w:r>
      <w:r>
        <w:rPr>
          <w:rStyle w:val="VerbatimChar"/>
        </w:rPr>
        <w:t xml:space="preserve">- per-loan pass A;</w:t>
      </w:r>
      <w:r>
        <w:br/>
      </w:r>
      <w:r>
        <w:rPr>
          <w:rStyle w:val="VerbatimChar"/>
        </w:rPr>
        <w:t xml:space="preserve">- a cross-loan barrier for borrower-level SMA/NPA classification and upgrade;</w:t>
      </w:r>
      <w:r>
        <w:br/>
      </w:r>
      <w:r>
        <w:rPr>
          <w:rStyle w:val="VerbatimChar"/>
        </w:rPr>
        <w:t xml:space="preserve">- per-loan pass B for income recognition and derecognition, EIR and provisioning.</w:t>
      </w:r>
      <w:r>
        <w:br/>
      </w:r>
      <w:r>
        <w:br/>
      </w:r>
      <w:r>
        <w:rPr>
          <w:rStyle w:val="VerbatimChar"/>
        </w:rPr>
        <w:t xml:space="preserve">Add catch-up, inline COB, partitioned workers and the EOD exceptions dashboard. Load-test COB at 1 million loans.</w:t>
      </w:r>
      <w:r>
        <w:br/>
      </w:r>
      <w:r>
        <w:br/>
      </w:r>
      <w:r>
        <w:rPr>
          <w:rStyle w:val="VerbatimChar"/>
        </w:rPr>
        <w:t xml:space="preserve">v1.3 regulatory additions for this phase (Part 8A.36.4) — include them:</w:t>
      </w:r>
      <w:r>
        <w:br/>
      </w:r>
      <w:r>
        <w:rPr>
          <w:rStyle w:val="VerbatimChar"/>
        </w:rPr>
        <w:t xml:space="preserve">- Illustration I golden test and +1 DPD convention (IRACP 19); Part A/B restructuring workbench and monitoring/specified-period tests (RSA 53–62, 159, 189–194) [IRACP / RSA]</w:t>
      </w:r>
      <w:r>
        <w:br/>
      </w:r>
      <w:r>
        <w:rPr>
          <w:rStyle w:val="VerbatimChar"/>
        </w:rPr>
        <w:t xml:space="preserve">- Prepayment engine incl. RBC 34(3)–(9) and 81; penal rules RBC 30; reset elections and quarterly statement (RBC 31); account-transfer request (RBC 19); rounding (RBC 103); release clocks 30/60 days (RBC 35–40) [RBC / WD]</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docs/specs/phase-9-servicing-cob.md: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feat/servicing-cob in small commits; run unit, integration, tenant-isolation and security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28"/>
        </w:numPr>
        <w:pStyle w:val="Compact"/>
      </w:pPr>
      <w:r>
        <w:t xml:space="preserve">☐ The IRACP Illustration I golden test passes (DPD = COB date − oldest unpaid due date + 1).</w:t>
      </w:r>
    </w:p>
    <w:p>
      <w:pPr>
        <w:numPr>
          <w:ilvl w:val="0"/>
          <w:numId w:val="1028"/>
        </w:numPr>
        <w:pStyle w:val="Compact"/>
      </w:pPr>
      <w:r>
        <w:t xml:space="preserve">☐ Classification is borrower-wise across all the borrower’s accounts; no income accrues on an account turning NPA.</w:t>
      </w:r>
    </w:p>
    <w:p>
      <w:pPr>
        <w:numPr>
          <w:ilvl w:val="0"/>
          <w:numId w:val="1028"/>
        </w:numPr>
        <w:pStyle w:val="Compact"/>
      </w:pPr>
      <w:r>
        <w:t xml:space="preserve">☐ COB completes the 1 million-loan load test within the agreed window.</w:t>
      </w:r>
    </w:p>
    <w:p>
      <w:pPr>
        <w:numPr>
          <w:ilvl w:val="0"/>
          <w:numId w:val="1028"/>
        </w:numPr>
        <w:pStyle w:val="Compact"/>
      </w:pPr>
      <w:r>
        <w:t xml:space="preserve">☐ The PR shows the test output; the ledger balances (if money moved); the regulatory register and docs/status are updated.</w:t>
      </w:r>
    </w:p>
    <w:bookmarkEnd w:id="34"/>
    <w:bookmarkStart w:id="35" w:name="phase-10-payments-and-reconciliation"/>
    <w:p>
      <w:pPr>
        <w:pStyle w:val="Heading3"/>
      </w:pPr>
      <w:r>
        <w:t xml:space="preserve">Phase 10 — Payments and reconciliation</w:t>
      </w:r>
    </w:p>
    <w:p>
      <w:pPr>
        <w:numPr>
          <w:ilvl w:val="0"/>
          <w:numId w:val="1029"/>
        </w:numPr>
        <w:pStyle w:val="Compact"/>
      </w:pPr>
      <w:r>
        <w:rPr>
          <w:bCs/>
          <w:b/>
        </w:rPr>
        <w:t xml:space="preserve">Outcome:</w:t>
      </w:r>
      <w:r>
        <w:t xml:space="preserve"> </w:t>
      </w:r>
      <w:r>
        <w:t xml:space="preserve">eNACH/UPI AutoPay presentation, bounces, virtual accounts, BBPS, payment-gateway links, three-way reconciliation</w:t>
      </w:r>
    </w:p>
    <w:p>
      <w:pPr>
        <w:numPr>
          <w:ilvl w:val="0"/>
          <w:numId w:val="1029"/>
        </w:numPr>
        <w:pStyle w:val="Compact"/>
      </w:pPr>
      <w:r>
        <w:rPr>
          <w:bCs/>
          <w:b/>
        </w:rPr>
        <w:t xml:space="preserve">Depends on:</w:t>
      </w:r>
      <w:r>
        <w:t xml:space="preserve"> </w:t>
      </w:r>
      <w:r>
        <w:t xml:space="preserve">9</w:t>
      </w:r>
    </w:p>
    <w:p>
      <w:pPr>
        <w:numPr>
          <w:ilvl w:val="0"/>
          <w:numId w:val="1029"/>
        </w:numPr>
        <w:pStyle w:val="Compact"/>
      </w:pPr>
      <w:r>
        <w:rPr>
          <w:bCs/>
          <w:b/>
        </w:rPr>
        <w:t xml:space="preserve">Branch:</w:t>
      </w:r>
      <w:r>
        <w:t xml:space="preserve"> </w:t>
      </w:r>
      <w:r>
        <w:rPr>
          <w:rStyle w:val="VerbatimChar"/>
        </w:rPr>
        <w:t xml:space="preserve">feat/payments-recon</w:t>
      </w:r>
    </w:p>
    <w:p>
      <w:pPr>
        <w:pStyle w:val="FirstParagraph"/>
      </w:pPr>
      <w:r>
        <w:rPr>
          <w:bCs/>
          <w:b/>
        </w:rPr>
        <w:t xml:space="preserve">Paste into Claude Code:</w:t>
      </w:r>
    </w:p>
    <w:p>
      <w:pPr>
        <w:pStyle w:val="SourceCode"/>
      </w:pPr>
      <w:r>
        <w:rPr>
          <w:rStyle w:val="VerbatimChar"/>
        </w:rPr>
        <w:t xml:space="preserve">Phase 10 — Payments and reconciliation. Governing brief: docs/00-master-prompt.md (Part 12, Phase 10; Part 8A prevails on regulatory points).</w:t>
      </w:r>
      <w:r>
        <w:br/>
      </w:r>
      <w:r>
        <w:br/>
      </w:r>
      <w:r>
        <w:rPr>
          <w:rStyle w:val="VerbatimChar"/>
        </w:rPr>
        <w:t xml:space="preserve">Build:</w:t>
      </w:r>
      <w:r>
        <w:br/>
      </w:r>
      <w:r>
        <w:br/>
      </w:r>
      <w:r>
        <w:rPr>
          <w:rStyle w:val="VerbatimChar"/>
        </w:rPr>
        <w:t xml:space="preserve">- the mandate lifecycle;</w:t>
      </w:r>
      <w:r>
        <w:br/>
      </w:r>
      <w:r>
        <w:rPr>
          <w:rStyle w:val="VerbatimChar"/>
        </w:rPr>
        <w:t xml:space="preserve">- the presentation engine per sponsor bank, with cut-offs;</w:t>
      </w:r>
      <w:r>
        <w:br/>
      </w:r>
      <w:r>
        <w:rPr>
          <w:rStyle w:val="VerbatimChar"/>
        </w:rPr>
        <w:t xml:space="preserve">- re-presentation, and bounce processing with charges;</w:t>
      </w:r>
      <w:r>
        <w:br/>
      </w:r>
      <w:r>
        <w:rPr>
          <w:rStyle w:val="VerbatimChar"/>
        </w:rPr>
        <w:t xml:space="preserve">- UPI intent, QR and payment links;</w:t>
      </w:r>
      <w:r>
        <w:br/>
      </w:r>
      <w:r>
        <w:rPr>
          <w:rStyle w:val="VerbatimChar"/>
        </w:rPr>
        <w:t xml:space="preserve">- virtual accounts;</w:t>
      </w:r>
      <w:r>
        <w:br/>
      </w:r>
      <w:r>
        <w:rPr>
          <w:rStyle w:val="VerbatimChar"/>
        </w:rPr>
        <w:t xml:space="preserve">- the BBPS biller adapter;</w:t>
      </w:r>
      <w:r>
        <w:br/>
      </w:r>
      <w:r>
        <w:rPr>
          <w:rStyle w:val="VerbatimChar"/>
        </w:rPr>
        <w:t xml:space="preserve">- branch cash and cheque deposit tracking;</w:t>
      </w:r>
      <w:r>
        <w:br/>
      </w:r>
      <w:r>
        <w:rPr>
          <w:rStyle w:val="VerbatimChar"/>
        </w:rPr>
        <w:t xml:space="preserve">- three-way reconciliation with exception queues and suspense ageing.</w:t>
      </w:r>
      <w:r>
        <w:br/>
      </w:r>
      <w:r>
        <w:br/>
      </w:r>
      <w:r>
        <w:rPr>
          <w:rStyle w:val="VerbatimChar"/>
        </w:rPr>
        <w:t xml:space="preserve">A provider success response never finalises a payment without settlement confirmation. Add Stripe/PayPal adapters only for cross-border or SaaS billing, with an ADR.</w:t>
      </w:r>
      <w:r>
        <w:br/>
      </w:r>
      <w:r>
        <w:br/>
      </w:r>
      <w:r>
        <w:rPr>
          <w:rStyle w:val="VerbatimChar"/>
        </w:rPr>
        <w:t xml:space="preserve">v1.3 regulatory additions for this phase (Part 8A.36.4) — include them:</w:t>
      </w:r>
      <w:r>
        <w:br/>
      </w:r>
      <w:r>
        <w:rPr>
          <w:rStyle w:val="VerbatimChar"/>
        </w:rPr>
        <w:t xml:space="preserve">- PDC capture block where NACH is available (MISC 23) [CAP / SBR / DIV / MISC]</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docs/specs/phase-10-payments-recon.md: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feat/payments-recon in small commits; run unit, integration, tenant-isolation and security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30"/>
        </w:numPr>
        <w:pStyle w:val="Compact"/>
      </w:pPr>
      <w:r>
        <w:t xml:space="preserve">☐ Three-way reconciliation (bank, gateway/NACH, ledger) runs daily with aged breaks.</w:t>
      </w:r>
    </w:p>
    <w:p>
      <w:pPr>
        <w:numPr>
          <w:ilvl w:val="0"/>
          <w:numId w:val="1030"/>
        </w:numPr>
        <w:pStyle w:val="Compact"/>
      </w:pPr>
      <w:r>
        <w:t xml:space="preserve">☐ Bounce charges follow the penal-charge rules and GST flag.</w:t>
      </w:r>
    </w:p>
    <w:p>
      <w:pPr>
        <w:numPr>
          <w:ilvl w:val="0"/>
          <w:numId w:val="1030"/>
        </w:numPr>
        <w:pStyle w:val="Compact"/>
      </w:pPr>
      <w:r>
        <w:t xml:space="preserve">☐ Every receipt is allocated and posted the same day.</w:t>
      </w:r>
    </w:p>
    <w:p>
      <w:pPr>
        <w:numPr>
          <w:ilvl w:val="0"/>
          <w:numId w:val="1030"/>
        </w:numPr>
        <w:pStyle w:val="Compact"/>
      </w:pPr>
      <w:r>
        <w:t xml:space="preserve">☐ The PR shows the test output; the ledger balances (if money moved); the regulatory register and docs/status are updated.</w:t>
      </w:r>
    </w:p>
    <w:bookmarkEnd w:id="35"/>
    <w:bookmarkStart w:id="36" w:name="phase-11-collections"/>
    <w:p>
      <w:pPr>
        <w:pStyle w:val="Heading3"/>
      </w:pPr>
      <w:r>
        <w:t xml:space="preserve">Phase 11 — Collections</w:t>
      </w:r>
    </w:p>
    <w:p>
      <w:pPr>
        <w:numPr>
          <w:ilvl w:val="0"/>
          <w:numId w:val="1031"/>
        </w:numPr>
        <w:pStyle w:val="Compact"/>
      </w:pPr>
      <w:r>
        <w:rPr>
          <w:bCs/>
          <w:b/>
        </w:rPr>
        <w:t xml:space="preserve">Outcome:</w:t>
      </w:r>
      <w:r>
        <w:t xml:space="preserve"> </w:t>
      </w:r>
      <w:r>
        <w:t xml:space="preserve">Strategies, allocation, telecalling, field collections, agencies, contact-policy engine, call recording</w:t>
      </w:r>
    </w:p>
    <w:p>
      <w:pPr>
        <w:numPr>
          <w:ilvl w:val="0"/>
          <w:numId w:val="1031"/>
        </w:numPr>
        <w:pStyle w:val="Compact"/>
      </w:pPr>
      <w:r>
        <w:rPr>
          <w:bCs/>
          <w:b/>
        </w:rPr>
        <w:t xml:space="preserve">Depends on:</w:t>
      </w:r>
      <w:r>
        <w:t xml:space="preserve"> </w:t>
      </w:r>
      <w:r>
        <w:t xml:space="preserve">3b, 8b, 9, 10</w:t>
      </w:r>
    </w:p>
    <w:p>
      <w:pPr>
        <w:numPr>
          <w:ilvl w:val="0"/>
          <w:numId w:val="1031"/>
        </w:numPr>
        <w:pStyle w:val="Compact"/>
      </w:pPr>
      <w:r>
        <w:rPr>
          <w:bCs/>
          <w:b/>
        </w:rPr>
        <w:t xml:space="preserve">Branch:</w:t>
      </w:r>
      <w:r>
        <w:t xml:space="preserve"> </w:t>
      </w:r>
      <w:r>
        <w:rPr>
          <w:rStyle w:val="VerbatimChar"/>
        </w:rPr>
        <w:t xml:space="preserve">feat/collections</w:t>
      </w:r>
    </w:p>
    <w:p>
      <w:pPr>
        <w:numPr>
          <w:ilvl w:val="0"/>
          <w:numId w:val="1031"/>
        </w:numPr>
        <w:pStyle w:val="Compact"/>
      </w:pPr>
      <w:r>
        <w:rPr>
          <w:bCs/>
          <w:b/>
        </w:rPr>
        <w:t xml:space="preserve">Suggested sub-modules (one session each):</w:t>
      </w:r>
      <w:r>
        <w:t xml:space="preserve"> </w:t>
      </w:r>
      <w:r>
        <w:t xml:space="preserve">strategies and allocation; telecalling and contact engine; field collections and agencies.</w:t>
      </w:r>
    </w:p>
    <w:p>
      <w:pPr>
        <w:pStyle w:val="FirstParagraph"/>
      </w:pPr>
      <w:r>
        <w:rPr>
          <w:bCs/>
          <w:b/>
        </w:rPr>
        <w:t xml:space="preserve">Paste into Claude Code:</w:t>
      </w:r>
    </w:p>
    <w:p>
      <w:pPr>
        <w:pStyle w:val="SourceCode"/>
      </w:pPr>
      <w:r>
        <w:rPr>
          <w:rStyle w:val="VerbatimChar"/>
        </w:rPr>
        <w:t xml:space="preserve">Phase 11 — Collections. Governing brief: docs/00-master-prompt.md (Part 12, Phase 11; Part 8A prevails on regulatory points).</w:t>
      </w:r>
      <w:r>
        <w:br/>
      </w:r>
      <w:r>
        <w:br/>
      </w:r>
      <w:r>
        <w:rPr>
          <w:rStyle w:val="VerbatimChar"/>
        </w:rPr>
        <w:t xml:space="preserve">Verify the RBC Third Amendment Directions, 2026 text first. Then build:</w:t>
      </w:r>
      <w:r>
        <w:br/>
      </w:r>
      <w:r>
        <w:br/>
      </w:r>
      <w:r>
        <w:rPr>
          <w:rStyle w:val="VerbatimChar"/>
        </w:rPr>
        <w:t xml:space="preserve">- segmentation and bucket strategies triggered by COB DPD changes;</w:t>
      </w:r>
      <w:r>
        <w:br/>
      </w:r>
      <w:r>
        <w:rPr>
          <w:rStyle w:val="VerbatimChar"/>
        </w:rPr>
        <w:t xml:space="preserve">- rule-based allocation;</w:t>
      </w:r>
      <w:r>
        <w:br/>
      </w:r>
      <w:r>
        <w:rPr>
          <w:rStyle w:val="VerbatimChar"/>
        </w:rPr>
        <w:t xml:space="preserve">- the telecalling workspace with dispositions and PTP;</w:t>
      </w:r>
      <w:r>
        <w:br/>
      </w:r>
      <w:r>
        <w:rPr>
          <w:rStyle w:val="VerbatimChar"/>
        </w:rPr>
        <w:t xml:space="preserve">- field collections in the field app (offline, geo-tag, digital receipts, cash limits, same-day deposit);</w:t>
      </w:r>
      <w:r>
        <w:br/>
      </w:r>
      <w:r>
        <w:rPr>
          <w:rStyle w:val="VerbatimChar"/>
        </w:rPr>
        <w:t xml:space="preserve">- agency management with the IIBF certification register;</w:t>
      </w:r>
      <w:r>
        <w:br/>
      </w:r>
      <w:r>
        <w:rPr>
          <w:rStyle w:val="VerbatimChar"/>
        </w:rPr>
        <w:t xml:space="preserve">- the effective-dated contact-policy engine from Phase 3b (current RBC paras 89–100; paras 100A–100AB from 1 Jan 2027 under RBI/2026-27/230 of 6 Aug 2026 (confirmed; the official text is not in the supplied set, so re-check paragraph numbers when it is));</w:t>
      </w:r>
      <w:r>
        <w:br/>
      </w:r>
      <w:r>
        <w:rPr>
          <w:rStyle w:val="VerbatimChar"/>
        </w:rPr>
        <w:t xml:space="preserve">- mandatory call recording and retention (para 100P);</w:t>
      </w:r>
      <w:r>
        <w:br/>
      </w:r>
      <w:r>
        <w:rPr>
          <w:rStyle w:val="VerbatimChar"/>
        </w:rPr>
        <w:t xml:space="preserve">- pre-visit intimation (para 100L) and visit conditions (para 100Y(5));</w:t>
      </w:r>
      <w:r>
        <w:br/>
      </w:r>
      <w:r>
        <w:rPr>
          <w:rStyle w:val="VerbatimChar"/>
        </w:rPr>
        <w:t xml:space="preserve">- borrower default/DPD alerts sent with each CIC submission (CIR para 34(1)(i)), and recovery-agent particulars sent before first contact on digital loans (CF para 9(6)).</w:t>
      </w:r>
      <w:r>
        <w:br/>
      </w:r>
      <w:r>
        <w:br/>
      </w:r>
      <w:r>
        <w:rPr>
          <w:rStyle w:val="VerbatimChar"/>
        </w:rPr>
        <w:t xml:space="preserve">v1.3 regulatory additions for this phase (Part 8A.36.4) — include them:</w:t>
      </w:r>
      <w:r>
        <w:br/>
      </w:r>
      <w:r>
        <w:rPr>
          <w:rStyle w:val="VerbatimChar"/>
        </w:rPr>
        <w:t xml:space="preserve">- Contact engine for current RBC paras 89–100 (microfinance window under 91(2); para 100 excludes microfinance); Third Amendment rules (RBI/2026-27/230, effective 1 Jan 2027; official text not in the supplied set) [RBC / WD]</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docs/specs/phase-11-collections.md: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feat/collections in small commits; run unit, integration, tenant-isolation and security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32"/>
        </w:numPr>
        <w:pStyle w:val="Compact"/>
      </w:pPr>
      <w:r>
        <w:t xml:space="preserve">☐ Recovery-agent particulars reach the borrower before the first contact on digital loans (CF 9(6)).</w:t>
      </w:r>
    </w:p>
    <w:p>
      <w:pPr>
        <w:numPr>
          <w:ilvl w:val="0"/>
          <w:numId w:val="1032"/>
        </w:numPr>
        <w:pStyle w:val="Compact"/>
      </w:pPr>
      <w:r>
        <w:t xml:space="preserve">☐ Contact windows and frequency limits are enforced by the engine, not by users.</w:t>
      </w:r>
    </w:p>
    <w:p>
      <w:pPr>
        <w:numPr>
          <w:ilvl w:val="0"/>
          <w:numId w:val="1032"/>
        </w:numPr>
        <w:pStyle w:val="Compact"/>
      </w:pPr>
      <w:r>
        <w:t xml:space="preserve">☐ Calls are recorded and linked to the contact attempt.</w:t>
      </w:r>
    </w:p>
    <w:p>
      <w:pPr>
        <w:numPr>
          <w:ilvl w:val="0"/>
          <w:numId w:val="1032"/>
        </w:numPr>
        <w:pStyle w:val="Compact"/>
      </w:pPr>
      <w:r>
        <w:t xml:space="preserve">☐ The PR shows the test output; the ledger balances (if money moved); the regulatory register and docs/status are updated.</w:t>
      </w:r>
    </w:p>
    <w:bookmarkEnd w:id="36"/>
    <w:bookmarkStart w:id="37" w:name="phase-12-recovery-suite-core-attachable"/>
    <w:p>
      <w:pPr>
        <w:pStyle w:val="Heading3"/>
      </w:pPr>
      <w:r>
        <w:t xml:space="preserve">Phase 12 — Recovery Suite core (attachable)</w:t>
      </w:r>
    </w:p>
    <w:p>
      <w:pPr>
        <w:numPr>
          <w:ilvl w:val="0"/>
          <w:numId w:val="1033"/>
        </w:numPr>
        <w:pStyle w:val="Compact"/>
      </w:pPr>
      <w:r>
        <w:rPr>
          <w:bCs/>
          <w:b/>
        </w:rPr>
        <w:t xml:space="preserve">Outcome:</w:t>
      </w:r>
      <w:r>
        <w:t xml:space="preserve"> </w:t>
      </w:r>
      <w:r>
        <w:t xml:space="preserve">Part 7A.0 attach/detach framework; R1 case and strategy engine with mechanism-selection and limitation engines; R2 pre-legal; R3 notices with dispatch and proof of service; R7 s.138 and s.25 PSS; R9 litigation tracker; R11 counsel and agencies; R12 recovery accounting; R14 registers and exports; R15 conduct controls; wilful defaulters; write-off</w:t>
      </w:r>
    </w:p>
    <w:p>
      <w:pPr>
        <w:numPr>
          <w:ilvl w:val="0"/>
          <w:numId w:val="1033"/>
        </w:numPr>
        <w:pStyle w:val="Compact"/>
      </w:pPr>
      <w:r>
        <w:rPr>
          <w:bCs/>
          <w:b/>
        </w:rPr>
        <w:t xml:space="preserve">Depends on:</w:t>
      </w:r>
      <w:r>
        <w:t xml:space="preserve"> </w:t>
      </w:r>
      <w:r>
        <w:t xml:space="preserve">4, 11</w:t>
      </w:r>
    </w:p>
    <w:p>
      <w:pPr>
        <w:numPr>
          <w:ilvl w:val="0"/>
          <w:numId w:val="1033"/>
        </w:numPr>
        <w:pStyle w:val="Compact"/>
      </w:pPr>
      <w:r>
        <w:rPr>
          <w:bCs/>
          <w:b/>
        </w:rPr>
        <w:t xml:space="preserve">Branch:</w:t>
      </w:r>
      <w:r>
        <w:t xml:space="preserve"> </w:t>
      </w:r>
      <w:r>
        <w:rPr>
          <w:rStyle w:val="VerbatimChar"/>
        </w:rPr>
        <w:t xml:space="preserve">feat/recovery-suite-core</w:t>
      </w:r>
    </w:p>
    <w:p>
      <w:pPr>
        <w:numPr>
          <w:ilvl w:val="0"/>
          <w:numId w:val="1033"/>
        </w:numPr>
        <w:pStyle w:val="Compact"/>
      </w:pPr>
      <w:r>
        <w:rPr>
          <w:bCs/>
          <w:b/>
        </w:rPr>
        <w:t xml:space="preserve">Suggested sub-modules (one session each):</w:t>
      </w:r>
      <w:r>
        <w:t xml:space="preserve"> </w:t>
      </w:r>
      <w:r>
        <w:t xml:space="preserve">7A.0 attach/detach framework and module registry; R1 case, mechanism-selection and limitation engines; R2 pre-legal and R3 notices with dispatch and proof of service; R7 cheque and mandate dishonour; R9 litigation tracker and R11 counsel and agencies; R12 recovery accounting, R14 registers and exports, R15 conduct controls and the wilful-defaulter workflow.</w:t>
      </w:r>
    </w:p>
    <w:p>
      <w:pPr>
        <w:pStyle w:val="FirstParagraph"/>
      </w:pPr>
      <w:r>
        <w:rPr>
          <w:bCs/>
          <w:b/>
        </w:rPr>
        <w:t xml:space="preserve">Paste into Claude Code:</w:t>
      </w:r>
    </w:p>
    <w:p>
      <w:pPr>
        <w:pStyle w:val="SourceCode"/>
      </w:pPr>
      <w:r>
        <w:rPr>
          <w:rStyle w:val="VerbatimChar"/>
        </w:rPr>
        <w:t xml:space="preserve">Phase 12 — Recovery Suite core (attachable). Governing brief: docs/00-master-prompt.md (Part 12, Phase 12; Part 8A prevails on regulatory points).</w:t>
      </w:r>
      <w:r>
        <w:br/>
      </w:r>
      <w:r>
        <w:br/>
      </w:r>
      <w:r>
        <w:rPr>
          <w:rStyle w:val="VerbatimChar"/>
        </w:rPr>
        <w:t xml:space="preserve">Before writing the specification, verify: (i) the RBC Third Amendment Directions, 2026 (RBI/2026-27/230, 6 Aug 2026, effective 1 Jan 2027) against the contact-policy rule pack built in Phases 3b and 11, recording that the official text is not yet in docs/regulations/rbi/; (ii) the current version of docs/ecosystem/infrabyx-integration-spec.md; (iii) the Part 7A module boundaries. Then build the Recovery Suite core as an attachable module pack, in the `packages/recovery-*` domain packages behind the stable contract of 7A.0:</w:t>
      </w:r>
      <w:r>
        <w:br/>
      </w:r>
      <w:r>
        <w:br/>
      </w:r>
      <w:r>
        <w:rPr>
          <w:rStyle w:val="VerbatimChar"/>
        </w:rPr>
        <w:t xml:space="preserve">- 7A.0 attach and detach: a `module.yaml` manifest per module (id, version, requires, capabilities, events produced and consumed, APIs, permissions, data categories, regulatory refs, retention class, licence SKU, UI slots, migrations); the lifecycle AVAILABLE → LICENSED → INSTALLED → CONFIGURED (maker-checker) → CERTIFIED → ENABLED → READ_ONLY → DETACHED (7A.0.3); entitlement and flag checks on the server for every call (flag keys `mod.[module].[capability]`); `ModuleAttached` and `ModuleDetached` events (Integration Spec Part 6.16, Platform). Detaching turns off writes and UI, produces a hashed export pack and keeps every record read-only under legal hold until closure plus the retention period. Nothing is deleted on detach.</w:t>
      </w:r>
      <w:r>
        <w:br/>
      </w:r>
      <w:r>
        <w:rPr>
          <w:rStyle w:val="VerbatimChar"/>
        </w:rPr>
        <w:t xml:space="preserve">- R1 case management and strategy engine: case opening from M8 hand-off rules; strategy per product playbook key (Part 6.3); the mechanism-selection engine, which evaluates every mechanism on every material event and logs the permitted set with blocking reasons (for example SARFAESI blocked below the NBFC threshold or without CERSAI registration, s.26D; DRT blocked for an NBFC not notified under RDB s.2(h)(ii); arbitration blocked without a pre-named institution or post-dispute consent); the limitation engine (Limitation Act Arts. 19, 21, 55, 62, 136 and 137; rebase only on a written signed acknowledgment, s.18, or a documented part-payment, s.19; no reset on death, s.9; alerts at T−180, T−90 and T−30 days).</w:t>
      </w:r>
      <w:r>
        <w:br/>
      </w:r>
      <w:r>
        <w:rPr>
          <w:rStyle w:val="VerbatimChar"/>
        </w:rPr>
        <w:t xml:space="preserve">- R2 pre-legal recovery, field investigation and skip tracing: lawful sources only, no disclosure of the debt to third parties, purpose LOCATE logged (DPDP Act s.17(1)(f) basis [VERIFY: wording and commencement]).</w:t>
      </w:r>
      <w:r>
        <w:br/>
      </w:r>
      <w:r>
        <w:rPr>
          <w:rStyle w:val="VerbatimChar"/>
        </w:rPr>
        <w:t xml:space="preserve">- R3 legal notices, letters and document automation: clause library with statute citations; vernacular templates with human check (RBC 10); PDF/A with QR hash; DSC or eSign; outward register; dispatch adapters for India Post Speed Post with proof of delivery (Registered Post merged into Speed Post on 1 Sep 2025), couriers, email, DLT SMS and print-to-post; no WhatsApp channel for recovery or statutory notices (WhatsApp Business Messaging Policy prohibits debt-collection use; guard-rail 7A.0.6); a proof-of-service register per party per mode; no deemed-served state without evidence (*Sedhram Nilkanth Muglikar v M.R. Makhare*, Bom HC, 2026).</w:t>
      </w:r>
      <w:r>
        <w:br/>
      </w:r>
      <w:r>
        <w:rPr>
          <w:rStyle w:val="VerbatimChar"/>
        </w:rPr>
        <w:t xml:space="preserve">- R7 cheque and mandate dishonour: NI Act s.138 and PSS Act s.25 — notice within 30 days of receiving information of dishonour, 15 days for payment, complaint within one month of the cause of action with a condonation flag (s.142(1)(b)), filed where the payee's bank branch is (s.142(2)); summons by electronic modes and payment link, early s.143A, compounding-cost tiers (*Sanjabij Tari v Kishore S. Borcar*, 2025 INSC 1158, 25 Sep 2025); if the drawer company is under moratorium, proceed against its officers.</w:t>
      </w:r>
      <w:r>
        <w:br/>
      </w:r>
      <w:r>
        <w:rPr>
          <w:rStyle w:val="VerbatimChar"/>
        </w:rPr>
        <w:t xml:space="preserve">- R9 litigation and proceedings tracker: offensive and defensive matters in every forum (magistrate, civil and commercial courts, DRT and DRAT, NCLT and NCLAT, High Courts, Supreme Court, consumer commissions, arbitral tribunals, Lok Adalat and Permanent Lok Adalat, RB-IOS); CNR sync through the court-data adapter and daily cause-list matching; hearings, orders, directions as tasks, stays as holds on R1 actions; borrower-initiated matters (s.17 SARFAESI, Permanent Lok Adalat, writs) as a separate stream. SARFAESI, DRT and IBC matters are tracked manually here until Phase 17b.</w:t>
      </w:r>
      <w:r>
        <w:br/>
      </w:r>
      <w:r>
        <w:rPr>
          <w:rStyle w:val="VerbatimChar"/>
        </w:rPr>
        <w:t xml:space="preserve">- R11 counsel, agency and vendor management: empanelment with outsourcing due diligence (OUT 30, 34) and conflict checks; agent police verification and IIBF certificate register (RBC 100I from 1 Jan 2027); agency list on the website updated within 7 days (RBC 100K); counsel portal limited to assigned matters; bills with RCM GST and TDS.</w:t>
      </w:r>
      <w:r>
        <w:br/>
      </w:r>
      <w:r>
        <w:rPr>
          <w:rStyle w:val="VerbatimChar"/>
        </w:rPr>
        <w:t xml:space="preserve">- R12 recovery accounting and finance: versioned appropriation policy objects (contract first, else Indian Contract Act ss.59–61); legal-cost memo ledger, never a receivable on an NPA; post-write-off and technical write-off sub-ledgers (RSA 10(18), 91–94); RCM GST on advocate and recovery-agent fees (Notification 13/2017-CT(Rate)); TDS on professional fees [VERIFY: Income-tax Act 2025 s.393 table entry]; postings through M10 and exports to Tally Prime and SAP.</w:t>
      </w:r>
      <w:r>
        <w:br/>
      </w:r>
      <w:r>
        <w:rPr>
          <w:rStyle w:val="VerbatimChar"/>
        </w:rPr>
        <w:t xml:space="preserve">- R14 analytics, registers, reporting and exports: NPA, notice, litigation, agent, settlement, write-off and possessed-asset registers; CSV, XLSX, JSON (schema-versioned), XML, PDF/A, Tally Prime XML, SAP and API exports.</w:t>
      </w:r>
      <w:r>
        <w:br/>
      </w:r>
      <w:r>
        <w:rPr>
          <w:rStyle w:val="VerbatimChar"/>
        </w:rPr>
        <w:t xml:space="preserve">- R15 conduct, compliance and evidence controls: the contact-policy pre-check on every outbound recovery action (08:00–19:00, microfinance 09:00–18:00 until 31 Dec 2026, Third Amendment rule pack from 1 Jan 2027); call recording retention of at least 6 months, longer while sub judice (RBC 100P); grievance-officer block on every recovery communication (RBC 100AA); control results and evidence published as `ControlTestResultPublished` and `EvidenceSubmitted` through the outbox; delivery to the embedded M14 or the LawDocsComply bridge is wired in Phase 14, and to third-party GRC tools in Phase 16b.</w:t>
      </w:r>
      <w:r>
        <w:br/>
      </w:r>
      <w:r>
        <w:rPr>
          <w:rStyle w:val="VerbatimChar"/>
        </w:rPr>
        <w:t xml:space="preserve">- Carried over from v1.3: the wilful-defaulter workflow (R15.6; WD paras 5–7, 10, 13–15; ML and above) with monthly Annex I/II CIC files and the pre-transfer gate (WD 14); write-off and post-write-off recovery (R12).</w:t>
      </w:r>
      <w:r>
        <w:br/>
      </w:r>
      <w:r>
        <w:br/>
      </w:r>
      <w:r>
        <w:rPr>
          <w:rStyle w:val="VerbatimChar"/>
        </w:rPr>
        <w:t xml:space="preserve">Publish, with JSON Schemas in the registry and Pact tests, the events of Integration Spec Parts 6.7 (Collections: `RecoveryAgentNoticeSent`), 6.8 (Recovery) and 6.10 (Litigation) that these modules own: `RecoveryCaseOpened`, `RecoveryStrategyChanged`, `LegalNoticeIssued`, `NoticeServiceUpdated`, `RecoveryReceiptPosted`, `RecoveryCaseClosed`, `LitigationCaseOpened`, `LitigationCaseUpdated`, `HearingScheduled`, `OrderRecorded`, `LitigationCaseClosed`; and `LegalHoldChanged` (Integration Spec Part 6.14), which the detach and retention controls of 7A.0 produce. Udofin receives only status events scoped to its recovery-agent appointment.</w:t>
      </w:r>
      <w:r>
        <w:br/>
      </w:r>
      <w:r>
        <w:br/>
      </w:r>
      <w:r>
        <w:rPr>
          <w:rStyle w:val="VerbatimChar"/>
        </w:rPr>
        <w:t xml:space="preserve">Settlement and ADR (R8) follow in Phase 12b. SARFAESI, civil and tribunal remedies, IBC, repossession and auction, shared-exposure recovery and the product playbooks (R4–R6, R10, R13, R16) follow in Phase 17b.</w:t>
      </w:r>
      <w:r>
        <w:br/>
      </w:r>
      <w:r>
        <w:br/>
      </w:r>
      <w:r>
        <w:rPr>
          <w:rStyle w:val="VerbatimChar"/>
        </w:rPr>
        <w:t xml:space="preserve">Tests and acceptance evidence:</w:t>
      </w:r>
      <w:r>
        <w:br/>
      </w:r>
      <w:r>
        <w:br/>
      </w:r>
      <w:r>
        <w:rPr>
          <w:rStyle w:val="VerbatimChar"/>
        </w:rPr>
        <w:t xml:space="preserve">- detach test on a tenant with open cases: writes and UI off, reads intact, export pack hashed, row counts identical before and after;</w:t>
      </w:r>
      <w:r>
        <w:br/>
      </w:r>
      <w:r>
        <w:rPr>
          <w:rStyle w:val="VerbatimChar"/>
        </w:rPr>
        <w:t xml:space="preserve">- mechanism-selection golden cases (NBFC below ₹100 crore of assets; secured debt below ₹20 lakh; pledge collateral, s.31(b); un-notified NBFC at DRT; IBC moratorium holding all actions), each returning the expected blocking reason;</w:t>
      </w:r>
      <w:r>
        <w:br/>
      </w:r>
      <w:r>
        <w:rPr>
          <w:rStyle w:val="VerbatimChar"/>
        </w:rPr>
        <w:t xml:space="preserve">- limitation golden cases (demand loan from the loan date, Art. 21; a signed acknowledgment rebases; a death does not);</w:t>
      </w:r>
      <w:r>
        <w:br/>
      </w:r>
      <w:r>
        <w:rPr>
          <w:rStyle w:val="VerbatimChar"/>
        </w:rPr>
        <w:t xml:space="preserve">- s.138 clock cases computed on calendar months and the General Clauses Act s.9 first-day exclusion;</w:t>
      </w:r>
      <w:r>
        <w:br/>
      </w:r>
      <w:r>
        <w:rPr>
          <w:rStyle w:val="VerbatimChar"/>
        </w:rPr>
        <w:t xml:space="preserve">- no notice reaches SERVED without an evidence record; every borrower and guarantor gets a separate service row;</w:t>
      </w:r>
      <w:r>
        <w:br/>
      </w:r>
      <w:r>
        <w:rPr>
          <w:rStyle w:val="VerbatimChar"/>
        </w:rPr>
        <w:t xml:space="preserve">- a recovery contact attempted at 19:01 is denied and logged;</w:t>
      </w:r>
      <w:r>
        <w:br/>
      </w:r>
      <w:r>
        <w:rPr>
          <w:rStyle w:val="VerbatimChar"/>
        </w:rPr>
        <w:t xml:space="preserve">- recovery postings balance, and an NPA receipt follows the configured appropriation;</w:t>
      </w:r>
      <w:r>
        <w:br/>
      </w:r>
      <w:r>
        <w:rPr>
          <w:rStyle w:val="VerbatimChar"/>
        </w:rPr>
        <w:t xml:space="preserve">- a Tally Prime XML export imports into a test company; PDF/A files pass validation.</w:t>
      </w:r>
      <w:r>
        <w:br/>
      </w:r>
      <w:r>
        <w:br/>
      </w:r>
      <w:r>
        <w:rPr>
          <w:rStyle w:val="VerbatimChar"/>
        </w:rPr>
        <w:t xml:space="preserve">Show me the module manifests, the mechanism-selection table and the posting matrix for approval before coding.</w:t>
      </w:r>
      <w:r>
        <w:br/>
      </w:r>
      <w:r>
        <w:br/>
      </w:r>
      <w:r>
        <w:rPr>
          <w:rStyle w:val="VerbatimChar"/>
        </w:rPr>
        <w:t xml:space="preserve">v1.3 regulatory additions for this phase (Part 8A.36.4) — include them:</w:t>
      </w:r>
      <w:r>
        <w:br/>
      </w:r>
      <w:r>
        <w:rPr>
          <w:rStyle w:val="VerbatimChar"/>
        </w:rPr>
        <w:t xml:space="preserve">- Wilful-defaulter workflow per WD paras 5–7, 10, 13–15, gated to ML+ tenants; pre-transfer gate (WD 14) [RBC / WD]</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docs/specs/phase-12-recovery-suite-core.md: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feat/recovery-suite-core in small commits; run unit, integration, tenant-isolation and security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34"/>
        </w:numPr>
        <w:pStyle w:val="Compact"/>
      </w:pPr>
      <w:r>
        <w:t xml:space="preserve">☐ Detaching the Recovery Suite on a tenant with open cases turns off writes and UI, produces a hashed export pack and leaves every row count unchanged (Part 7A.0; Part 10.2 principle 35).</w:t>
      </w:r>
    </w:p>
    <w:p>
      <w:pPr>
        <w:numPr>
          <w:ilvl w:val="0"/>
          <w:numId w:val="1034"/>
        </w:numPr>
        <w:pStyle w:val="Compact"/>
      </w:pPr>
      <w:r>
        <w:t xml:space="preserve">☐ The mechanism-selection engine blocks SARFAESI for an NBFC below ₹100 crore of assets or a secured debt below ₹20 lakh (S.O. 652(E), 12 Feb 2021), for a charge not on CERSAI (SARFAESI s.26D) and for pledged collateral (s.31(b)), and blocks DRT for an NBFC not notified under RDB s.2(h)(ii).</w:t>
      </w:r>
    </w:p>
    <w:p>
      <w:pPr>
        <w:numPr>
          <w:ilvl w:val="0"/>
          <w:numId w:val="1034"/>
        </w:numPr>
        <w:pStyle w:val="Compact"/>
      </w:pPr>
      <w:r>
        <w:t xml:space="preserve">☐ No notice reaches SERVED without an evidence record, and every borrower and guarantor has a separate service row (SARFAESI Rules, Rule 3(4); R3).</w:t>
      </w:r>
    </w:p>
    <w:p>
      <w:pPr>
        <w:numPr>
          <w:ilvl w:val="0"/>
          <w:numId w:val="1034"/>
        </w:numPr>
        <w:pStyle w:val="Compact"/>
      </w:pPr>
      <w:r>
        <w:t xml:space="preserve">☐ The s.138 and s.25 PSS golden cases compute the 30-day notice, 15-day payment and one-month complaint deadlines correctly (NI Act ss.138, 142(1)(b)).</w:t>
      </w:r>
    </w:p>
    <w:p>
      <w:pPr>
        <w:numPr>
          <w:ilvl w:val="0"/>
          <w:numId w:val="1034"/>
        </w:numPr>
        <w:pStyle w:val="Compact"/>
      </w:pPr>
      <w:r>
        <w:t xml:space="preserve">☐ A recovery contact outside 08:00–19:00 (09:00–18:00 for microfinance until 31 Dec 2026) is denied and logged, and wilful-defaulter Annex I/II files are produced monthly (RBC paras 91(2), 100; RBI/2026-27/230 para 100Y(4) from 1 Jan 2027; WD paras 11–12).</w:t>
      </w:r>
    </w:p>
    <w:p>
      <w:pPr>
        <w:numPr>
          <w:ilvl w:val="0"/>
          <w:numId w:val="1034"/>
        </w:numPr>
        <w:pStyle w:val="Compact"/>
      </w:pPr>
      <w:r>
        <w:t xml:space="preserve">☐ The PR shows the test output; the ledger balances (if money moved); the regulatory register and docs/status are updated.</w:t>
      </w:r>
    </w:p>
    <w:bookmarkEnd w:id="37"/>
    <w:bookmarkStart w:id="38" w:name="X3350bb678944ff14ca00ea33b4343aecb7bc654"/>
    <w:p>
      <w:pPr>
        <w:pStyle w:val="Heading3"/>
      </w:pPr>
      <w:r>
        <w:t xml:space="preserve">Phase 12b — Settlement and ADR with Equator</w:t>
      </w:r>
    </w:p>
    <w:p>
      <w:pPr>
        <w:numPr>
          <w:ilvl w:val="0"/>
          <w:numId w:val="1035"/>
        </w:numPr>
        <w:pStyle w:val="Compact"/>
      </w:pPr>
      <w:r>
        <w:rPr>
          <w:bCs/>
          <w:b/>
        </w:rPr>
        <w:t xml:space="preserve">Outcome:</w:t>
      </w:r>
      <w:r>
        <w:t xml:space="preserve"> </w:t>
      </w:r>
      <w:r>
        <w:t xml:space="preserve">R8: compromise settlement, conciliation (s.73/74), mediation, arbitration via Equator or other providers, Lok Adalat; ADR and settlement events</w:t>
      </w:r>
    </w:p>
    <w:p>
      <w:pPr>
        <w:numPr>
          <w:ilvl w:val="0"/>
          <w:numId w:val="1035"/>
        </w:numPr>
        <w:pStyle w:val="Compact"/>
      </w:pPr>
      <w:r>
        <w:rPr>
          <w:bCs/>
          <w:b/>
        </w:rPr>
        <w:t xml:space="preserve">Depends on:</w:t>
      </w:r>
      <w:r>
        <w:t xml:space="preserve"> </w:t>
      </w:r>
      <w:r>
        <w:t xml:space="preserve">12</w:t>
      </w:r>
    </w:p>
    <w:p>
      <w:pPr>
        <w:numPr>
          <w:ilvl w:val="0"/>
          <w:numId w:val="1035"/>
        </w:numPr>
        <w:pStyle w:val="Compact"/>
      </w:pPr>
      <w:r>
        <w:rPr>
          <w:bCs/>
          <w:b/>
        </w:rPr>
        <w:t xml:space="preserve">Branch:</w:t>
      </w:r>
      <w:r>
        <w:t xml:space="preserve"> </w:t>
      </w:r>
      <w:r>
        <w:rPr>
          <w:rStyle w:val="VerbatimChar"/>
        </w:rPr>
        <w:t xml:space="preserve">feat/settlement-adr-equator</w:t>
      </w:r>
    </w:p>
    <w:p>
      <w:pPr>
        <w:numPr>
          <w:ilvl w:val="0"/>
          <w:numId w:val="1035"/>
        </w:numPr>
        <w:pStyle w:val="Compact"/>
      </w:pPr>
      <w:r>
        <w:rPr>
          <w:bCs/>
          <w:b/>
        </w:rPr>
        <w:t xml:space="preserve">Suggested sub-modules (one session each):</w:t>
      </w:r>
      <w:r>
        <w:t xml:space="preserve"> </w:t>
      </w:r>
      <w:r>
        <w:t xml:space="preserve">settlement policy engine (RSA paras 16, 86–100); forum selection, conciliation and mediation; arbitration controls and the Equator connector; Lok Adalat bulk referrals; OdrProvider multi-provider adapter and the Udofin settlement relay.</w:t>
      </w:r>
    </w:p>
    <w:p>
      <w:pPr>
        <w:pStyle w:val="FirstParagraph"/>
      </w:pPr>
      <w:r>
        <w:rPr>
          <w:bCs/>
          <w:b/>
        </w:rPr>
        <w:t xml:space="preserve">Paste into Claude Code:</w:t>
      </w:r>
    </w:p>
    <w:p>
      <w:pPr>
        <w:pStyle w:val="SourceCode"/>
      </w:pPr>
      <w:r>
        <w:rPr>
          <w:rStyle w:val="VerbatimChar"/>
        </w:rPr>
        <w:t xml:space="preserve">Phase 12b — Settlement and ADR with Equator. Governing brief: docs/00-master-prompt.md (Part 12, Phase 12b; Part 8A prevails on regulatory points).</w:t>
      </w:r>
      <w:r>
        <w:br/>
      </w:r>
      <w:r>
        <w:br/>
      </w:r>
      <w:r>
        <w:rPr>
          <w:rStyle w:val="VerbatimChar"/>
        </w:rPr>
        <w:t xml:space="preserve">Before writing the specification, verify: (i) the Mediation Act 2023 commencement status (only ss.1, 3, 26, 31–38, 45–47, 50–54 and 56–57 in force by S.O. 4384(E) of 9 Oct 2023; Mediation Council of India established 27 Aug 2026; ss.4–25, 27–30 and 39–44 not yet notified); (ii) any RBI direction following *Shikha Ghosh v Axis Bank* (Del HC DB, 30 Sep 2026; next date 17 Nov 2026); (iii) the Equator API version, Integration Spec Part 6.9 (ADR) and Part 8 (Equator Resolution and other ODR/ADR providers). Then build R8, Settlement and ADR:</w:t>
      </w:r>
      <w:r>
        <w:br/>
      </w:r>
      <w:r>
        <w:br/>
      </w:r>
      <w:r>
        <w:rPr>
          <w:rStyle w:val="VerbatimChar"/>
        </w:rPr>
        <w:t xml:space="preserve">- Negotiation and compromise settlement: NPV calculator; the Board settlement policy as a versioned object; approver at least one level above the sanctioning authority with sanctioning officials excluded (RSA 16(5)(i)); Board approval for fraud and wilful-defaulter cases, without prejudice to criminal proceedings and penal measures (RSA 16(5)(ii), 97–98); payment over more than 3 months, or a part settlement, treated as restructuring until paid (RSA 89–90); consent decree where judicial proceedings are pending (RSA 100); cooling period of at least 12 months (RSA 95); quarterly reporting (RSA 93–94); applies to NBFCs below ₹500 crore too (RSA 157); CIC "settled" only where a waiver was given for financial inability (CIR 12(2), 12(4)); LWD removal only on full payment of the compromise amount (WD 13). AI or agent offers only inside the pre-approved band; anything else goes to a human approver.</w:t>
      </w:r>
      <w:r>
        <w:br/>
      </w:r>
      <w:r>
        <w:rPr>
          <w:rStyle w:val="VerbatimChar"/>
        </w:rPr>
        <w:t xml:space="preserve">- Forum-selection rules, logged with overrides: arbitration blocked for in-rem mortgage enforcement (*Booz Allen*, (2011) 5 SCC 532) and for claims within the RDB Act by banks and notified institutions (*Vidya Drolia*, 14 Dec 2020); all ADR on hold during an IBC moratorium; a pending consumer complaint cannot be forced into arbitration (*Emaar MGF v Aftab Singh*, (2019) 12 SCC 751); s.12A pre-institution mediation (3 + 2 months) before any commercial suit of ₹3 lakh or more without urgent relief (*Patil Automation*, 2022; *Dhanbad Fuels*, SC, 15 May 2025).</w:t>
      </w:r>
      <w:r>
        <w:br/>
      </w:r>
      <w:r>
        <w:rPr>
          <w:rStyle w:val="VerbatimChar"/>
        </w:rPr>
        <w:t xml:space="preserve">- Conciliation (default enforceable route today): invitation under A&amp;C Act s.62 (no reply in 30 days is a rejection); online sessions; s.73 settlement signed by the parties and authenticated by the conciliator; s.74 status of an arbitral award, enforceable under s.36.</w:t>
      </w:r>
      <w:r>
        <w:br/>
      </w:r>
      <w:r>
        <w:rPr>
          <w:rStyle w:val="VerbatimChar"/>
        </w:rPr>
        <w:t xml:space="preserve">- Mediation: written consent to online mediation (Mediation Act s.30, once in force); recording hard-disabled (ss.22–23). Until s.27 is notified, a mediated settlement is only a contract, so the workflow converts it into a s.73 settlement or a consent decree.</w:t>
      </w:r>
      <w:r>
        <w:br/>
      </w:r>
      <w:r>
        <w:rPr>
          <w:rStyle w:val="VerbatimChar"/>
        </w:rPr>
        <w:t xml:space="preserve">- Arbitration: only where the loan agreement pre-names Equator or another independent institution, or the borrower gives written consent after the dispute arises; otherwise a s.11 petition. Never a lender-selected or lender-vetoed arbitrator, and never a forced choice from the lender's panel (*CORE v ECI-SPIC-SMO-MCML (JV)*, SC Constitution Bench, 8 Nov 2024; *Perkins Eastman v HSCC*, (2020) 20 SCC 760; *L&amp;T Finance v Jai Paras Material Store*, Cal HC, 14 May 2026). s.21 notice to every known address with delivery evidence; Sixth Schedule disclosure before acceptance; per-neutral, per-lender counts against Fifth Schedule items 22 and 24 (*Shikha Ghosh*); clocks for s.23(4), s.29A, s.29B, s.33 and s.34(3); award stamped at signing (*URC Construction v AAI*, Del HC, 1 Sep 2026); execution in the civil court where assets lie (*Sundaram Finance v Abdul Samad*, (2018) 3 SCC 622).</w:t>
      </w:r>
      <w:r>
        <w:br/>
      </w:r>
      <w:r>
        <w:rPr>
          <w:rStyle w:val="VerbatimChar"/>
        </w:rPr>
        <w:t xml:space="preserve">- Lok Adalat: pre-litigation bulk referral under LSA Act ss.19–21 (next National Lok Adalat 12 Dec 2026), DLSA list export and award import, instalment awards over 3 months flagged as restructuring; Permanent Lok Adalat (ss.22A–22E) handled as borrower-initiated defensive matters in R9. The RBI ₹20 lakh Lok Adalat ceiling applies to banks and AIFIs only.</w:t>
      </w:r>
      <w:r>
        <w:br/>
      </w:r>
      <w:r>
        <w:rPr>
          <w:rStyle w:val="VerbatimChar"/>
        </w:rPr>
        <w:t xml:space="preserve">- Connectors: the Equator connector and the generic `OdrProvider` adapter for other providers (Presolv360, Sama, Jupitice, CADRE; CSV fallback where no API exists), both implementing Integration Spec Parts 6.9 and 8: `ADRReferralCreated`, `ADRConsentRecorded`, `ADRNeutralAppointed`, `ADRHearingScheduled`, `ADRCaseStatusChanged`, `ADROutcomeRecorded`, `ADROutcomeComplianceUpdated`; and the settlement events `SettlementRequested`, `SettlementOfferIssued`, `SettlementOfferAccepted`, `SettlementApproved`, `SettlementBreached` (Part 6.8). Outcomes create an R1 settlement record or an R9 execution matter.</w:t>
      </w:r>
      <w:r>
        <w:br/>
      </w:r>
      <w:r>
        <w:rPr>
          <w:rStyle w:val="VerbatimChar"/>
        </w:rPr>
        <w:t xml:space="preserve">- Udofin (LSP scope): relays `SettlementRequested`, shows RE-approved offers and Equator links (no separate app), and shows payment links to the RE's account only (CF 10(2)–(3)). Udofin never approves a settlement, never refers a dispute to arbitration and never holds funds.</w:t>
      </w:r>
      <w:r>
        <w:br/>
      </w:r>
      <w:r>
        <w:br/>
      </w:r>
      <w:r>
        <w:rPr>
          <w:rStyle w:val="VerbatimChar"/>
        </w:rPr>
        <w:t xml:space="preserve">Tests and acceptance evidence:</w:t>
      </w:r>
      <w:r>
        <w:br/>
      </w:r>
      <w:r>
        <w:br/>
      </w:r>
      <w:r>
        <w:rPr>
          <w:rStyle w:val="VerbatimChar"/>
        </w:rPr>
        <w:t xml:space="preserve">- a settlement proposed by the sanctioning officer cannot be approved by that officer or anyone below the next level;</w:t>
      </w:r>
      <w:r>
        <w:br/>
      </w:r>
      <w:r>
        <w:rPr>
          <w:rStyle w:val="VerbatimChar"/>
        </w:rPr>
        <w:t xml:space="preserve">- a fraud-tagged settlement routes to the Board;</w:t>
      </w:r>
      <w:r>
        <w:br/>
      </w:r>
      <w:r>
        <w:rPr>
          <w:rStyle w:val="VerbatimChar"/>
        </w:rPr>
        <w:t xml:space="preserve">- a 4-month instalment plan flags restructuring and blocks the closed-settled status until paid;</w:t>
      </w:r>
      <w:r>
        <w:br/>
      </w:r>
      <w:r>
        <w:rPr>
          <w:rStyle w:val="VerbatimChar"/>
        </w:rPr>
        <w:t xml:space="preserve">- a fresh-exposure request inside 12 months of settlement is blocked;</w:t>
      </w:r>
      <w:r>
        <w:br/>
      </w:r>
      <w:r>
        <w:rPr>
          <w:rStyle w:val="VerbatimChar"/>
        </w:rPr>
        <w:t xml:space="preserve">- referral without a pre-named institution or recorded post-dispute consent is rejected by the API;</w:t>
      </w:r>
      <w:r>
        <w:br/>
      </w:r>
      <w:r>
        <w:rPr>
          <w:rStyle w:val="VerbatimChar"/>
        </w:rPr>
        <w:t xml:space="preserve">- the lender role has no endpoint to choose, rank or veto a neutral;</w:t>
      </w:r>
      <w:r>
        <w:br/>
      </w:r>
      <w:r>
        <w:rPr>
          <w:rStyle w:val="VerbatimChar"/>
        </w:rPr>
        <w:t xml:space="preserve">- a mediation session cannot be recorded;</w:t>
      </w:r>
      <w:r>
        <w:br/>
      </w:r>
      <w:r>
        <w:rPr>
          <w:rStyle w:val="VerbatimChar"/>
        </w:rPr>
        <w:t xml:space="preserve">- Pact tests pass against the Equator stub, and Equator outage leaves Finbyx operating.</w:t>
      </w:r>
      <w:r>
        <w:br/>
      </w:r>
      <w:r>
        <w:br/>
      </w:r>
      <w:r>
        <w:rPr>
          <w:rStyle w:val="VerbatimChar"/>
        </w:rPr>
        <w:t xml:space="preserve">Show me the settlement policy object, the forum-selection table and the ADR state machine for approval before coding.</w:t>
      </w:r>
      <w:r>
        <w:br/>
      </w:r>
      <w:r>
        <w:br/>
      </w:r>
      <w:r>
        <w:rPr>
          <w:rStyle w:val="VerbatimChar"/>
        </w:rPr>
        <w:t xml:space="preserve">v1.3 regulatory additions for this phase (Part 8A.36.4) — include them:</w:t>
      </w:r>
      <w:r>
        <w:br/>
      </w:r>
      <w:r>
        <w:rPr>
          <w:rStyle w:val="VerbatimChar"/>
        </w:rPr>
        <w:t xml:space="preserve">- Settlement rules (RSA 16, 86–100), cooling-period gate (95), consent decree (100), fraud/WD Board approval (16(5)(ii)) [IRACP / RSA]</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docs/specs/phase-12b-settlement-adr-equator.md: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feat/settlement-adr-equator in small commits; run unit, integration, tenant-isolation and security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36"/>
        </w:numPr>
        <w:pStyle w:val="Compact"/>
      </w:pPr>
      <w:r>
        <w:t xml:space="preserve">☐ A settlement cannot be approved by the sanctioning official or anyone below the next level, and fraud and wilful-defaulter settlements route to the Board (RSA para 16(5)).</w:t>
      </w:r>
    </w:p>
    <w:p>
      <w:pPr>
        <w:numPr>
          <w:ilvl w:val="0"/>
          <w:numId w:val="1036"/>
        </w:numPr>
        <w:pStyle w:val="Compact"/>
      </w:pPr>
      <w:r>
        <w:t xml:space="preserve">☐ A settlement paid over more than 3 months is flagged as restructuring, and fresh exposure is blocked for 12 months after settlement (RSA paras 89, 95).</w:t>
      </w:r>
    </w:p>
    <w:p>
      <w:pPr>
        <w:numPr>
          <w:ilvl w:val="0"/>
          <w:numId w:val="1036"/>
        </w:numPr>
        <w:pStyle w:val="Compact"/>
      </w:pPr>
      <w:r>
        <w:t xml:space="preserve">☐ An arbitration referral without a pre-named institution or recorded post-dispute consent is rejected, and the lender role has no endpoint to choose, rank or veto a neutral (CORE v ECI-SPIC-SMO-MCML (JV), SC, 8 Nov 2024; L&amp;T Finance v Jai Paras Material Store, Cal HC, 14 May 2026).</w:t>
      </w:r>
    </w:p>
    <w:p>
      <w:pPr>
        <w:numPr>
          <w:ilvl w:val="0"/>
          <w:numId w:val="1036"/>
        </w:numPr>
        <w:pStyle w:val="Compact"/>
      </w:pPr>
      <w:r>
        <w:t xml:space="preserve">☐ A conciliation settlement is produced as a s.73 instrument signed by the parties and authenticated by the conciliator, and mediation sessions cannot be recorded (A&amp;C Act ss.73–74; Mediation Act ss.22–23).</w:t>
      </w:r>
    </w:p>
    <w:p>
      <w:pPr>
        <w:numPr>
          <w:ilvl w:val="0"/>
          <w:numId w:val="1036"/>
        </w:numPr>
        <w:pStyle w:val="Compact"/>
      </w:pPr>
      <w:r>
        <w:t xml:space="preserve">☐ Pact tests pass against the Equator stub for every ADR event, and an Equator outage leaves Finbyx operating (Integration Spec Parts 6.9 and 8).</w:t>
      </w:r>
    </w:p>
    <w:p>
      <w:pPr>
        <w:numPr>
          <w:ilvl w:val="0"/>
          <w:numId w:val="1036"/>
        </w:numPr>
        <w:pStyle w:val="Compact"/>
      </w:pPr>
      <w:r>
        <w:t xml:space="preserve">☐ The PR shows the test output; the ledger balances (if money moved); the regulatory register and docs/status are updated.</w:t>
      </w:r>
    </w:p>
    <w:bookmarkEnd w:id="38"/>
    <w:bookmarkStart w:id="39" w:name="X2d5da1e9561c6430b6e8df3ab9ed9816ba9ec65"/>
    <w:p>
      <w:pPr>
        <w:pStyle w:val="Heading3"/>
      </w:pPr>
      <w:r>
        <w:t xml:space="preserve">Phase 13 — Finance, Ind AS 109 and accounting integrations</w:t>
      </w:r>
    </w:p>
    <w:p>
      <w:pPr>
        <w:numPr>
          <w:ilvl w:val="0"/>
          <w:numId w:val="1037"/>
        </w:numPr>
        <w:pStyle w:val="Compact"/>
      </w:pPr>
      <w:r>
        <w:rPr>
          <w:bCs/>
          <w:b/>
        </w:rPr>
        <w:t xml:space="preserve">Outcome:</w:t>
      </w:r>
      <w:r>
        <w:t xml:space="preserve"> </w:t>
      </w:r>
      <w:r>
        <w:t xml:space="preserve">EIR, ECL, provisioning, tax, liabilities, accounting integrations, financial statements (completed in Phase 13b)</w:t>
      </w:r>
    </w:p>
    <w:p>
      <w:pPr>
        <w:numPr>
          <w:ilvl w:val="0"/>
          <w:numId w:val="1037"/>
        </w:numPr>
        <w:pStyle w:val="Compact"/>
      </w:pPr>
      <w:r>
        <w:rPr>
          <w:bCs/>
          <w:b/>
        </w:rPr>
        <w:t xml:space="preserve">Depends on:</w:t>
      </w:r>
      <w:r>
        <w:t xml:space="preserve"> </w:t>
      </w:r>
      <w:r>
        <w:t xml:space="preserve">4, 9</w:t>
      </w:r>
    </w:p>
    <w:p>
      <w:pPr>
        <w:numPr>
          <w:ilvl w:val="0"/>
          <w:numId w:val="1037"/>
        </w:numPr>
        <w:pStyle w:val="Compact"/>
      </w:pPr>
      <w:r>
        <w:rPr>
          <w:bCs/>
          <w:b/>
        </w:rPr>
        <w:t xml:space="preserve">Branch:</w:t>
      </w:r>
      <w:r>
        <w:t xml:space="preserve"> </w:t>
      </w:r>
      <w:r>
        <w:rPr>
          <w:rStyle w:val="VerbatimChar"/>
        </w:rPr>
        <w:t xml:space="preserve">feat/finance-indas-iracp</w:t>
      </w:r>
    </w:p>
    <w:p>
      <w:pPr>
        <w:numPr>
          <w:ilvl w:val="0"/>
          <w:numId w:val="1037"/>
        </w:numPr>
        <w:pStyle w:val="Compact"/>
      </w:pPr>
      <w:r>
        <w:rPr>
          <w:bCs/>
          <w:b/>
        </w:rPr>
        <w:t xml:space="preserve">Suggested sub-modules (one session each):</w:t>
      </w:r>
      <w:r>
        <w:t xml:space="preserve"> </w:t>
      </w:r>
      <w:r>
        <w:t xml:space="preserve">EIR and ECL; IRACP provisioning and Impairment Reserve; GST/TDS; borrowings and treasury; Tally/SAP integration and financial statements; capital adequacy (CAP).</w:t>
      </w:r>
    </w:p>
    <w:p>
      <w:pPr>
        <w:pStyle w:val="FirstParagraph"/>
      </w:pPr>
      <w:r>
        <w:rPr>
          <w:bCs/>
          <w:b/>
        </w:rPr>
        <w:t xml:space="preserve">Paste into Claude Code:</w:t>
      </w:r>
    </w:p>
    <w:p>
      <w:pPr>
        <w:pStyle w:val="SourceCode"/>
      </w:pPr>
      <w:r>
        <w:rPr>
          <w:rStyle w:val="VerbatimChar"/>
        </w:rPr>
        <w:t xml:space="preserve">Phase 13 — Finance, Ind AS 109 and accounting integrations. Governing brief: docs/00-master-prompt.md (Part 12, Phase 13; Part 8A prevails on regulatory points).</w:t>
      </w:r>
      <w:r>
        <w:br/>
      </w:r>
      <w:r>
        <w:br/>
      </w:r>
      <w:r>
        <w:rPr>
          <w:rStyle w:val="VerbatimChar"/>
        </w:rPr>
        <w:t xml:space="preserve">Implement:</w:t>
      </w:r>
      <w:r>
        <w:br/>
      </w:r>
      <w:r>
        <w:br/>
      </w:r>
      <w:r>
        <w:rPr>
          <w:rStyle w:val="VerbatimChar"/>
        </w:rPr>
        <w:t xml:space="preserve">- EIR (IRR-based) and amortisation;</w:t>
      </w:r>
      <w:r>
        <w:br/>
      </w:r>
      <w:r>
        <w:rPr>
          <w:rStyle w:val="VerbatimChar"/>
        </w:rPr>
        <w:t xml:space="preserve">- ECL staging with a pluggable model and a default provision matrix;</w:t>
      </w:r>
      <w:r>
        <w:br/>
      </w:r>
      <w:r>
        <w:rPr>
          <w:rStyle w:val="VerbatimChar"/>
        </w:rPr>
        <w:t xml:space="preserve">- parallel IRACP provisioning by layer, with Impairment Reserve logic;</w:t>
      </w:r>
      <w:r>
        <w:br/>
      </w:r>
      <w:r>
        <w:rPr>
          <w:rStyle w:val="VerbatimChar"/>
        </w:rPr>
        <w:t xml:space="preserve">- GST invoicing and extracts (NBFCs are exempt from e-invoicing), and TDS under the Income-tax Act 2025 (s.393; statement Form 140) from tax year 2026-27, with the Income-tax Act 1961 (s.194A and others; Form 26Q) only for FY 2025-26 and earlier (Part 7C AC5.1);</w:t>
      </w:r>
      <w:r>
        <w:br/>
      </w:r>
      <w:r>
        <w:rPr>
          <w:rStyle w:val="VerbatimChar"/>
        </w:rPr>
        <w:t xml:space="preserve">- bank reconciliation;</w:t>
      </w:r>
      <w:r>
        <w:br/>
      </w:r>
      <w:r>
        <w:rPr>
          <w:rStyle w:val="VerbatimChar"/>
        </w:rPr>
        <w:t xml:space="preserve">- the borrowings/liabilities module;</w:t>
      </w:r>
      <w:r>
        <w:br/>
      </w:r>
      <w:r>
        <w:rPr>
          <w:rStyle w:val="VerbatimChar"/>
        </w:rPr>
        <w:t xml:space="preserve">- month-end close;</w:t>
      </w:r>
      <w:r>
        <w:br/>
      </w:r>
      <w:r>
        <w:rPr>
          <w:rStyle w:val="VerbatimChar"/>
        </w:rPr>
        <w:t xml:space="preserve">- financial statements per Schedule III (Division III for Ind AS, Division I otherwise) and the FS Directions disclosure engine (Part 8A.8), including the Impairment Reserve, the IRACP-vs-Ind AS table, and the SICR-rebuttal and &gt; 90 DPD-not-impaired registers;</w:t>
      </w:r>
      <w:r>
        <w:br/>
      </w:r>
      <w:r>
        <w:rPr>
          <w:rStyle w:val="VerbatimChar"/>
        </w:rPr>
        <w:t xml:space="preserve">- the investment portfolio module (Part 8A.5);</w:t>
      </w:r>
      <w:r>
        <w:br/>
      </w:r>
      <w:r>
        <w:rPr>
          <w:rStyle w:val="VerbatimChar"/>
        </w:rPr>
        <w:t xml:space="preserve">- TallyPrime (local connector, JSON), SAP and Zoho adapters, with reconciliation.</w:t>
      </w:r>
      <w:r>
        <w:br/>
      </w:r>
      <w:r>
        <w:br/>
      </w:r>
      <w:r>
        <w:rPr>
          <w:rStyle w:val="VerbatimChar"/>
        </w:rPr>
        <w:t xml:space="preserve">Build these on interfaces that Phase 13b (Part 7C) extends rather than rewrites, and do not build anything twice: the framework applicability engine (AC1); the `STAT`, `PRUD` and `TAX` book model, the Impairment Reserve job and bank ECL (AC2); complete statements, disclosures, CARO data and the AOC-4 NBFC (Ind AS) payload (AC3); the GST engine and return exports (AC4); Income-tax Act 2025 TDS, SFT data and borrower certificates (AC5); the Tally local agent (AC6); and the statutory audit-trail evidence and retention schedule (AC7) are completed in Phase 13b. The investment portfolio module here becomes the Part 7H book of record in Phase 17d.</w:t>
      </w:r>
      <w:r>
        <w:br/>
      </w:r>
      <w:r>
        <w:br/>
      </w:r>
      <w:r>
        <w:rPr>
          <w:rStyle w:val="VerbatimChar"/>
        </w:rPr>
        <w:t xml:space="preserve">Our finance reviewer must approve the golden cases.</w:t>
      </w:r>
      <w:r>
        <w:br/>
      </w:r>
      <w:r>
        <w:br/>
      </w:r>
      <w:r>
        <w:rPr>
          <w:rStyle w:val="VerbatimChar"/>
        </w:rPr>
        <w:t xml:space="preserve">v1.3 regulatory additions for this phase (Part 8A.36.4) — include them:</w:t>
      </w:r>
      <w:r>
        <w:br/>
      </w:r>
      <w:r>
        <w:rPr>
          <w:rStyle w:val="VerbatimChar"/>
        </w:rPr>
        <w:t xml:space="preserve">- IRACP rate tables (30, 32, 33, 48, 55, 58) and DLG ECL recompute (36A–36C); fair-value diminution, Sundry Liabilities account and RSA provisions (RSA 23, 48, 64, 118, 137, 198–211) [IRACP / RSA]</w:t>
      </w:r>
      <w:r>
        <w:br/>
      </w:r>
      <w:r>
        <w:rPr>
          <w:rStyle w:val="VerbatimChar"/>
        </w:rPr>
        <w:t xml:space="preserve">- Owned fund / NOF / EPt computation; dividend eligibility checker; PDI, sub-debt and NCD private-placement controls (CAP 9–13; DIV; MISC 9–11) [CAP / SBR / DIV / MISC]</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docs/specs/phase-13-finance-indas-iracp.md: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feat/finance-indas-iracp in small commits; run unit, integration, tenant-isolation and security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38"/>
        </w:numPr>
        <w:pStyle w:val="Compact"/>
      </w:pPr>
      <w:r>
        <w:t xml:space="preserve">☐ ECL and IRACP provisions reconcile to the GL; any shortfall goes to the Impairment Reserve (FS 12(2)).</w:t>
      </w:r>
    </w:p>
    <w:p>
      <w:pPr>
        <w:numPr>
          <w:ilvl w:val="0"/>
          <w:numId w:val="1038"/>
        </w:numPr>
        <w:pStyle w:val="Compact"/>
      </w:pPr>
      <w:r>
        <w:t xml:space="preserve">☐ CRAR and leverage figures trace back to the GL with lineage (CAP).</w:t>
      </w:r>
    </w:p>
    <w:p>
      <w:pPr>
        <w:numPr>
          <w:ilvl w:val="0"/>
          <w:numId w:val="1038"/>
        </w:numPr>
        <w:pStyle w:val="Compact"/>
      </w:pPr>
      <w:r>
        <w:t xml:space="preserve">☐ Your CA reviewer has signed off the golden ECL and provisioning cases.</w:t>
      </w:r>
    </w:p>
    <w:p>
      <w:pPr>
        <w:numPr>
          <w:ilvl w:val="0"/>
          <w:numId w:val="1038"/>
        </w:numPr>
        <w:pStyle w:val="Compact"/>
      </w:pPr>
      <w:r>
        <w:t xml:space="preserve">☐ The PR shows the test output; the ledger balances (if money moved); the regulatory register and docs/status are updated.</w:t>
      </w:r>
    </w:p>
    <w:bookmarkEnd w:id="39"/>
    <w:bookmarkStart w:id="40" w:name="Xaeac2bfdfc0a4791b5df093dfac3f16d903f729"/>
    <w:p>
      <w:pPr>
        <w:pStyle w:val="Heading3"/>
      </w:pPr>
      <w:r>
        <w:t xml:space="preserve">Phase 13b — Accounting frameworks, financial statements, tax and statutory audit trail</w:t>
      </w:r>
    </w:p>
    <w:p>
      <w:pPr>
        <w:numPr>
          <w:ilvl w:val="0"/>
          <w:numId w:val="1039"/>
        </w:numPr>
        <w:pStyle w:val="Compact"/>
      </w:pPr>
      <w:r>
        <w:rPr>
          <w:bCs/>
          <w:b/>
        </w:rPr>
        <w:t xml:space="preserve">Outcome:</w:t>
      </w:r>
      <w:r>
        <w:t xml:space="preserve"> </w:t>
      </w:r>
      <w:r>
        <w:t xml:space="preserve">Part 7C: AC1 framework applicability engine; STAT, PRUD, TAX and PARALLEL books; Impairment Reserve job; bank ECL; statements, disclosures, CARO and AOC-4 NBFC (Ind AS) payload; GST engine and return exports; Income-tax Act 2025 TDS, SFT data and borrower certificates; Tally local agent; Rule 11(g) audit trail, daily India books backup and retention schedule</w:t>
      </w:r>
    </w:p>
    <w:p>
      <w:pPr>
        <w:numPr>
          <w:ilvl w:val="0"/>
          <w:numId w:val="1039"/>
        </w:numPr>
        <w:pStyle w:val="Compact"/>
      </w:pPr>
      <w:r>
        <w:rPr>
          <w:bCs/>
          <w:b/>
        </w:rPr>
        <w:t xml:space="preserve">Depends on:</w:t>
      </w:r>
      <w:r>
        <w:t xml:space="preserve"> </w:t>
      </w:r>
      <w:r>
        <w:t xml:space="preserve">2, 4, 9, 13</w:t>
      </w:r>
    </w:p>
    <w:p>
      <w:pPr>
        <w:numPr>
          <w:ilvl w:val="0"/>
          <w:numId w:val="1039"/>
        </w:numPr>
        <w:pStyle w:val="Compact"/>
      </w:pPr>
      <w:r>
        <w:rPr>
          <w:bCs/>
          <w:b/>
        </w:rPr>
        <w:t xml:space="preserve">Branch:</w:t>
      </w:r>
      <w:r>
        <w:t xml:space="preserve"> </w:t>
      </w:r>
      <w:r>
        <w:rPr>
          <w:rStyle w:val="VerbatimChar"/>
        </w:rPr>
        <w:t xml:space="preserve">feat/accounting-frameworks-tax-audit-trail</w:t>
      </w:r>
    </w:p>
    <w:p>
      <w:pPr>
        <w:numPr>
          <w:ilvl w:val="0"/>
          <w:numId w:val="1039"/>
        </w:numPr>
        <w:pStyle w:val="Compact"/>
      </w:pPr>
      <w:r>
        <w:rPr>
          <w:bCs/>
          <w:b/>
        </w:rPr>
        <w:t xml:space="preserve">Suggested sub-modules (one session each):</w:t>
      </w:r>
      <w:r>
        <w:t xml:space="preserve"> </w:t>
      </w:r>
      <w:r>
        <w:t xml:space="preserve">AC1 framework applicability engine and decision log; AC2 multi-framework books, Impairment Reserve job and bank ECL; AC3 statements, disclosures, CARO and MCA payloads; AC4 GST engine and return exports; AC5 Income-tax Act 2025 TDS, SFT data and borrower certificates; AC6 Tally local agent and ERP connectors; AC7 statutory audit trail, India backup log and retention schedule; Menus, screens and settings for Part 7C (Appendix G).</w:t>
      </w:r>
    </w:p>
    <w:p>
      <w:pPr>
        <w:pStyle w:val="FirstParagraph"/>
      </w:pPr>
      <w:r>
        <w:rPr>
          <w:bCs/>
          <w:b/>
        </w:rPr>
        <w:t xml:space="preserve">Paste into Claude Code:</w:t>
      </w:r>
    </w:p>
    <w:p>
      <w:pPr>
        <w:pStyle w:val="SourceCode"/>
      </w:pPr>
      <w:r>
        <w:rPr>
          <w:rStyle w:val="VerbatimChar"/>
        </w:rPr>
        <w:t xml:space="preserve">Phase 13b — Accounting frameworks, financial statements, tax and statutory audit trail. Governing brief: docs/00-master-prompt.md (Part 12, Phase 13b; Part 8A prevails on regulatory points).</w:t>
      </w:r>
      <w:r>
        <w:br/>
      </w:r>
      <w:r>
        <w:br/>
      </w:r>
      <w:r>
        <w:rPr>
          <w:rStyle w:val="VerbatimChar"/>
        </w:rPr>
        <w:t xml:space="preserve">Before writing the specification, verify: (i) the Companies (Ind AS) Rules 2015 r.4 roadmap and r.2(g) for each pilot and target tenant and the open [VERIFY] items of Part 7C AC1 (ARC r.4 limb, IFSCA FC/FU framework, no voluntary adoption for NBFCs); (ii) the Companies (Ind AS) Amendment Rules 2026 (G.S.R. 725(E), 12 Aug 2026) and the AOC-4 NBFC (Ind AS) form as substituted from 14 Jul 2025, including whether it takes structured web-form data; (iii) CBIC Circular 245/02/2025-GST, the Notification 12/2017-CT(Rate) exemption entry and the GSTN offline-tool schemas for GSTR-1, 1A, 3B, 9 and 9C; (iv) every row of the AC5.1 Income-tax Act 2025 concordance (s.393 table serials, Form 140 due dates, Forms 131, 165 and 168, the s.56 notification for NBFC classes, the s.31 NBFC cap) against the official Act and Income-tax Rules 2026, recording each confirmed row in docs/regulations/register.md; (v) the TallyPrime 7.0 JSON integration notes. Then build Part 7C on the Phase 4 ledger and the Phase 13 finance engines:</w:t>
      </w:r>
      <w:r>
        <w:br/>
      </w:r>
      <w:r>
        <w:br/>
      </w:r>
      <w:r>
        <w:rPr>
          <w:rStyle w:val="VerbatimChar"/>
        </w:rPr>
        <w:t xml:space="preserve">- AC1 framework applicability engine: rules over legal form, regulator class, layer, listing, net worth and group links; outputs framework, currency, statement set, disclosure packs, loss engines, CARO and MCA route; `first_ind_as_year` is sticky; a CFO-approved decision log stores inputs hash, rule-pack version and citations; a mid-year framework change is blocked and a move to Ind AS opens an Ind AS 101 transition project.</w:t>
      </w:r>
      <w:r>
        <w:br/>
      </w:r>
      <w:r>
        <w:rPr>
          <w:rStyle w:val="VerbatimChar"/>
        </w:rPr>
        <w:t xml:space="preserve">- AC2 multi-framework books: `STAT`, `PRUD`, `TAX` and optional `PARALLEL` books on one journal; the AC2.8 close state machine per legal entity, period and book (server-side commands under maker-checker, idempotent on legal entity, period, book and command), with its failure and reopen paths; with adjustment layers and per-book period locks (a back-dated correction after close posts in the open period with a prior-period flag unless the CFO reopens the period, and a reopening revokes dependent certifications and return runs); the book-difference report that feeds FS para 21(15) and DNBS03; Ind AS 109 governance gates (SICR rebuttal impossible above 60 DPD; &gt; 90 DPD not impaired needs an Audit Committee reference); the quarterly Impairment Reserve job (appropriation = max(0, IRACP − ECL) − existing reserve, posted below PAT, release blocked without a DoS permission reference; IRACP paras 34–36); DLG in ECL (IRACP paras 36A–36C); bank ECL floors and the transition add-back for SCB tenants from 1 Apr 2027 (RBI/DOR/2026-27/398) after at least two quarters of parallel run; `PeriodClosed` with the TB hashes.</w:t>
      </w:r>
      <w:r>
        <w:br/>
      </w:r>
      <w:r>
        <w:rPr>
          <w:rStyle w:val="VerbatimChar"/>
        </w:rPr>
        <w:t xml:space="preserve">- AC3 statements and disclosures: the AC3.1 statement-run state machine from locked trial balance to approved statements; a versioned `gl_line_map` with no orphan accounts; Schedule III Divisions I–III, BR Act Third Schedule, co-operative and ICAI formats, IFRS in USD; the 2021 Schedule III datasets with evidenced nil; CARO 2020 clause packs; the AOC-4 NBFC (Ind AS) payload and never an XBRL file for an NBFC; consolidation with eliminations; blocking validations (CRAR in the notes equals DNBS03 and the capital run); `FinancialStatementsApproved` with the Board date.</w:t>
      </w:r>
      <w:r>
        <w:br/>
      </w:r>
      <w:r>
        <w:rPr>
          <w:rStyle w:val="VerbatimChar"/>
        </w:rPr>
        <w:t xml:space="preserve">- AC4 GST: a treatment on every charge (`EXEMPT_INTEREST`, `TAXABLE_18`, `PENAL_NO_GST` only for RBC para 30 penal charges, `PURE_AGENT`, `CO_LENDING_SPREAD` at 18% unless a written tax opinion is recorded); no IRN request for an NBFC GSTIN (CGST Rules r.48(4)); the annual ITC election (50% option under s.17(4) or Rules 42–43) locked for the year; IMS actions under maker-checker; GSTR-1, 1A, 3B, 9 and 9C exports (`gst_export_v1`); the 3-year time bar; `GstReturnPrepared`. No GST portal credentials or OTPs.</w:t>
      </w:r>
      <w:r>
        <w:br/>
      </w:r>
      <w:r>
        <w:rPr>
          <w:rStyle w:val="VerbatimChar"/>
        </w:rPr>
        <w:t xml:space="preserve">- AC5 Income-tax Act 2025: regime chosen by payment or credit date (1961 Act forms for FY 2025-26 and earlier); TDS deducted (s.393; Form 140 due 31 Jul, 31 Oct, 31 Jan and 31 May; Form 131); TDS suffered matched to Form 168, a short credit keeping interest receivable open; the `TAX` memo book (s.56 receipt basis only for notified classes; s.31; s.37); Form 26 tax-audit data; RE-signed borrower certificates (s.22, s.123, ss.129–132, the s.202 note) emitting `InterestCertificateIssued`, which Udofin displays and never issues and which never reaches the Operations Hub; `TdsStatementPrepared` with `tds_export_v1`.</w:t>
      </w:r>
      <w:r>
        <w:br/>
      </w:r>
      <w:r>
        <w:rPr>
          <w:rStyle w:val="VerbatimChar"/>
        </w:rPr>
        <w:t xml:space="preserve">- AC6 Tally local agent: signed Windows service, outbound-only mTLS, posting only to a loopback TallyPrime endpoint (port 9000 has no authentication), `svCurrentCompany` always set, GUID or REMOTEID idempotency, a dead-letter queue and a daily TB reconciliation whose breaks never flow back. Finbyx stays the book of record.</w:t>
      </w:r>
      <w:r>
        <w:br/>
      </w:r>
      <w:r>
        <w:rPr>
          <w:rStyle w:val="VerbatimChar"/>
        </w:rPr>
        <w:t xml:space="preserve">- AC7 statutory audit trail: extend the Phase 2 capture to every book-holding table and sub-system (payroll, connector batches); daily signed seal and gap detector; the Rule 11(g) exception register and evidence pack; the daily India backup log (Accounts Rules r.3(5)); Rule 3(6) statement data; the AC7.4 retention schedule with legal hold, and processing restriction instead of erasure where law requires retention (DPDP).</w:t>
      </w:r>
      <w:r>
        <w:br/>
      </w:r>
      <w:r>
        <w:rPr>
          <w:rStyle w:val="VerbatimChar"/>
        </w:rPr>
        <w:t xml:space="preserve">- Menus, screens and settings: build workspace I (Finance and Accounts) and the audit-trail evidence views in workspace L exactly as the `Menu and screens` and `Settings and options` subsections of Part 7C (AC8) specify (navigation paths, list, detail, wizard, approval-queue and dashboard screens, actions, bulk actions, filters, exports, empty and error states, role visibility, and each setting with its scope, default and floor), and register every entry in Appendix G; settings that change a statutory output (framework, `first_ind_as_year`, book set, GST treatment, ITC election, TDS section map) take effect only from the next open period after CFO approval and never rewrite a closed period.</w:t>
      </w:r>
      <w:r>
        <w:br/>
      </w:r>
      <w:r>
        <w:br/>
      </w:r>
      <w:r>
        <w:rPr>
          <w:rStyle w:val="VerbatimChar"/>
        </w:rPr>
        <w:t xml:space="preserve">Tests and acceptance evidence:</w:t>
      </w:r>
      <w:r>
        <w:br/>
      </w:r>
      <w:r>
        <w:br/>
      </w:r>
      <w:r>
        <w:rPr>
          <w:rStyle w:val="VerbatimChar"/>
        </w:rPr>
        <w:t xml:space="preserve">- AC1 golden cases: unlisted NBFC with ₹320 crore net worth → Ind AS from FY 2019-20, Division III; unlisted ₹40 crore with no group link → AS 2021; SCB → IRACP in FY 2026-27 and bank ECL in FY 2027-28;</w:t>
      </w:r>
      <w:r>
        <w:br/>
      </w:r>
      <w:r>
        <w:rPr>
          <w:rStyle w:val="VerbatimChar"/>
        </w:rPr>
        <w:t xml:space="preserve">- ECL ₹42 crore, IRACP ₹50 crore and an existing reserve of ₹5 crore → appropriation ₹3 crore below PAT; a release without a DoS reference fails;</w:t>
      </w:r>
      <w:r>
        <w:br/>
      </w:r>
      <w:r>
        <w:rPr>
          <w:rStyle w:val="VerbatimChar"/>
        </w:rPr>
        <w:t xml:space="preserve">- a bank unsecured retail Stage 2 facility at 3% modelled ECL is floored to 5%; an Ind AS NBFC produces Division III statements, the AOC-4 NBFC (Ind AS) payload and no XBRL; an unmapped GL account blocks the run;</w:t>
      </w:r>
      <w:r>
        <w:br/>
      </w:r>
      <w:r>
        <w:rPr>
          <w:rStyle w:val="VerbatimChar"/>
        </w:rPr>
        <w:t xml:space="preserve">- ₹10,000 interest, ₹2,000 processing fee and a ₹500 RBC-compliant penal charge → GST on ₹2,000 only; GSTR-1 JSON passes the GSTN schema;</w:t>
      </w:r>
      <w:r>
        <w:br/>
      </w:r>
      <w:r>
        <w:rPr>
          <w:rStyle w:val="VerbatimChar"/>
        </w:rPr>
        <w:t xml:space="preserve">- a vendor payment dated 25 Mar 2026 uses the Income-tax Act 1961 and Form 26Q; one dated 2 Apr 2026 uses ITA25 s.393 and Form 140;</w:t>
      </w:r>
      <w:r>
        <w:br/>
      </w:r>
      <w:r>
        <w:rPr>
          <w:rStyle w:val="VerbatimChar"/>
        </w:rPr>
        <w:t xml:space="preserve">- a Tally batch sent twice alters and never duplicates; the agent refuses a non-loopback endpoint;</w:t>
      </w:r>
      <w:r>
        <w:br/>
      </w:r>
      <w:r>
        <w:rPr>
          <w:rStyle w:val="VerbatimChar"/>
        </w:rPr>
        <w:t xml:space="preserve">- updating a posted journal row fails for every database role; dropping a capture trigger raises a P1 within 5 minutes and a Rule 11(g) exception; altering one `audit_log` row breaks the chain at that row;</w:t>
      </w:r>
      <w:r>
        <w:br/>
      </w:r>
      <w:r>
        <w:rPr>
          <w:rStyle w:val="VerbatimChar"/>
        </w:rPr>
        <w:t xml:space="preserve">- a navigation test walks each role through the Appendix G entries for this phase and finds every screen, action and setting with the stated visibility and nothing more; changing the ITC election in the middle of a year is refused.</w:t>
      </w:r>
      <w:r>
        <w:br/>
      </w:r>
      <w:r>
        <w:br/>
      </w:r>
      <w:r>
        <w:rPr>
          <w:rStyle w:val="VerbatimChar"/>
        </w:rPr>
        <w:t xml:space="preserve">Show me the applicability matrix with its decision log, the book model and posting layers, the GST fee-treatment master, the ITA25 concordance with its verification status and the audit-trail capture design, with the menu tree and settings catalogue of this phase (Appendix G), for approval before coding.</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docs/specs/phase-13b-accounting-frameworks-tax-audit-trail.md: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feat/accounting-frameworks-tax-audit-trail in small commits; run unit, integration, tenant-isolation and security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40"/>
        </w:numPr>
        <w:pStyle w:val="Compact"/>
      </w:pPr>
      <w:r>
        <w:t xml:space="preserve">☐ The AC1 engine resolves an unlisted NBFC with ₹320 crore net worth on 31 Mar 2016 to Ind AS from FY 2019-20 (Division III) and an unlisted NBFC with ₹40 crore and no Ind AS group link to AS 2021 (Division I), and an entity with first_ind_as_year set can never resolve back to AS (Companies (Ind AS) Rules 2015 r.4; FS para 10).</w:t>
      </w:r>
    </w:p>
    <w:p>
      <w:pPr>
        <w:numPr>
          <w:ilvl w:val="0"/>
          <w:numId w:val="1040"/>
        </w:numPr>
        <w:pStyle w:val="Compact"/>
      </w:pPr>
      <w:r>
        <w:t xml:space="preserve">☐ With ECL ₹42 crore, IRACP ₹50 crore and an existing reserve of ₹5 crore, the job proposes a ₹3 crore appropriation below PAT, and any release of the Impairment Reserve without a DoS permission reference is blocked (IRACP paras 34–36; FS para 12(2)).</w:t>
      </w:r>
    </w:p>
    <w:p>
      <w:pPr>
        <w:numPr>
          <w:ilvl w:val="0"/>
          <w:numId w:val="1040"/>
        </w:numPr>
        <w:pStyle w:val="Compact"/>
      </w:pPr>
      <w:r>
        <w:t xml:space="preserve">☐ An Ind AS NBFC produces Schedule III Division III statements and the AOC-4 NBFC (Ind AS) payload and never an XBRL file, and a GL account without a line mapping blocks the statement run (MCA XBRL FAQs; Companies (Accounts) Second Amendment Rules 2025).</w:t>
      </w:r>
    </w:p>
    <w:p>
      <w:pPr>
        <w:numPr>
          <w:ilvl w:val="0"/>
          <w:numId w:val="1040"/>
        </w:numPr>
        <w:pStyle w:val="Compact"/>
      </w:pPr>
      <w:r>
        <w:t xml:space="preserve">☐ A loan with ₹10,000 interest, a ₹2,000 processing fee and a ₹500 penal charge under the RBC para 30 policy generates GST on ₹2,000 only, and no IRN request is ever made for an NBFC GSTIN (CBIC Circular 245/02/2025-GST; CGST Rules r.48(4)).</w:t>
      </w:r>
    </w:p>
    <w:p>
      <w:pPr>
        <w:numPr>
          <w:ilvl w:val="0"/>
          <w:numId w:val="1040"/>
        </w:numPr>
        <w:pStyle w:val="Compact"/>
      </w:pPr>
      <w:r>
        <w:t xml:space="preserve">☐ A vendor payment dated 25 Mar 2026 uses the Income-tax Act 1961 section and Form 26Q and one dated 2 Apr 2026 uses s.393 and Form 140, and a borrower TDS credit missing from Form 168 keeps the interest receivable open (Income-tax Act 2025 ss.393, 397).</w:t>
      </w:r>
    </w:p>
    <w:p>
      <w:pPr>
        <w:numPr>
          <w:ilvl w:val="0"/>
          <w:numId w:val="1040"/>
        </w:numPr>
        <w:pStyle w:val="Compact"/>
      </w:pPr>
      <w:r>
        <w:t xml:space="preserve">☐ Updating a posted journal row fails for every database role, dropping a capture trigger raises a P1 within 5 minutes and a Rule 11(g) exception, and altering one audit_log row breaks the hash chain at that row (Companies (Accounts) Rules r.3(1) proviso; Companies (Audit and Auditors) Rules r.11(g)).</w:t>
      </w:r>
    </w:p>
    <w:p>
      <w:pPr>
        <w:numPr>
          <w:ilvl w:val="0"/>
          <w:numId w:val="1040"/>
        </w:numPr>
        <w:pStyle w:val="Compact"/>
      </w:pPr>
      <w:r>
        <w:t xml:space="preserve">☐ An automated navigation test walks each role through the Appendix G entries for Part 7C and finds every menu path, screen, action and setting listed in its</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with the stated visibility and nothing more, and an attempt to relax a regulatory-floor setting fails server-side with floor_violation (Part 7C; Appendix G; Part 10.2 principles 24 and 42).</w:t>
      </w:r>
    </w:p>
    <w:p>
      <w:pPr>
        <w:numPr>
          <w:ilvl w:val="0"/>
          <w:numId w:val="1040"/>
        </w:numPr>
        <w:pStyle w:val="Compact"/>
      </w:pPr>
      <w:r>
        <w:t xml:space="preserve">☐ The PR shows the test output; the ledger balances (if money moved); the regulatory register and docs/status are updated.</w:t>
      </w:r>
    </w:p>
    <w:bookmarkEnd w:id="40"/>
    <w:bookmarkStart w:id="41" w:name="X4c04bfd09c8c57653dbbc0040d1f3fa4f10e6a6"/>
    <w:p>
      <w:pPr>
        <w:pStyle w:val="Heading3"/>
      </w:pPr>
      <w:r>
        <w:t xml:space="preserve">Phase 14 — Regulatory reporting, risk and compliance</w:t>
      </w:r>
    </w:p>
    <w:p>
      <w:pPr>
        <w:numPr>
          <w:ilvl w:val="0"/>
          <w:numId w:val="1041"/>
        </w:numPr>
        <w:pStyle w:val="Compact"/>
      </w:pPr>
      <w:r>
        <w:rPr>
          <w:bCs/>
          <w:b/>
        </w:rPr>
        <w:t xml:space="preserve">Outcome:</w:t>
      </w:r>
      <w:r>
        <w:t xml:space="preserve"> </w:t>
      </w:r>
      <w:r>
        <w:t xml:space="preserve">Source engines and marts for returns, CIC files and risk (exposure, ALM and daily LCR, fraud, FIU-IND, AA store, ICAAP mart, model inventory), compliance module, LawDocsComply bridge; reporting layers built in 14b, 14c and 14d</w:t>
      </w:r>
    </w:p>
    <w:p>
      <w:pPr>
        <w:numPr>
          <w:ilvl w:val="0"/>
          <w:numId w:val="1041"/>
        </w:numPr>
        <w:pStyle w:val="Compact"/>
      </w:pPr>
      <w:r>
        <w:rPr>
          <w:bCs/>
          <w:b/>
        </w:rPr>
        <w:t xml:space="preserve">Depends on:</w:t>
      </w:r>
      <w:r>
        <w:t xml:space="preserve"> </w:t>
      </w:r>
      <w:r>
        <w:t xml:space="preserve">9, 13</w:t>
      </w:r>
    </w:p>
    <w:p>
      <w:pPr>
        <w:numPr>
          <w:ilvl w:val="0"/>
          <w:numId w:val="1041"/>
        </w:numPr>
        <w:pStyle w:val="Compact"/>
      </w:pPr>
      <w:r>
        <w:rPr>
          <w:bCs/>
          <w:b/>
        </w:rPr>
        <w:t xml:space="preserve">Branch:</w:t>
      </w:r>
      <w:r>
        <w:t xml:space="preserve"> </w:t>
      </w:r>
      <w:r>
        <w:rPr>
          <w:rStyle w:val="VerbatimChar"/>
        </w:rPr>
        <w:t xml:space="preserve">feat/regulatory-reporting</w:t>
      </w:r>
    </w:p>
    <w:p>
      <w:pPr>
        <w:numPr>
          <w:ilvl w:val="0"/>
          <w:numId w:val="1041"/>
        </w:numPr>
        <w:pStyle w:val="Compact"/>
      </w:pPr>
      <w:r>
        <w:rPr>
          <w:bCs/>
          <w:b/>
        </w:rPr>
        <w:t xml:space="preserve">Suggested sub-modules (one session each):</w:t>
      </w:r>
      <w:r>
        <w:t xml:space="preserve"> </w:t>
      </w:r>
      <w:r>
        <w:t xml:space="preserve">CIC submissions; SR return catalogue and CIMS returns; CRILC/DNBS09 and FMR; ALM and concentration; compliance module and LawDocsComply bridge.</w:t>
      </w:r>
    </w:p>
    <w:p>
      <w:pPr>
        <w:pStyle w:val="FirstParagraph"/>
      </w:pPr>
      <w:r>
        <w:rPr>
          <w:bCs/>
          <w:b/>
        </w:rPr>
        <w:t xml:space="preserve">Paste into Claude Code:</w:t>
      </w:r>
    </w:p>
    <w:p>
      <w:pPr>
        <w:pStyle w:val="SourceCode"/>
      </w:pPr>
      <w:r>
        <w:rPr>
          <w:rStyle w:val="VerbatimChar"/>
        </w:rPr>
        <w:t xml:space="preserve">Phase 14 — Regulatory reporting, risk and compliance. Governing brief: docs/00-master-prompt.md (Part 12, Phase 14; Part 8A prevails on regulatory points).</w:t>
      </w:r>
      <w:r>
        <w:br/>
      </w:r>
      <w:r>
        <w:br/>
      </w:r>
      <w:r>
        <w:rPr>
          <w:rStyle w:val="VerbatimChar"/>
        </w:rPr>
        <w:t xml:space="preserve">Build:</w:t>
      </w:r>
      <w:r>
        <w:br/>
      </w:r>
      <w:r>
        <w:br/>
      </w:r>
      <w:r>
        <w:rPr>
          <w:rStyle w:val="VerbatimChar"/>
        </w:rPr>
        <w:t xml:space="preserve">- the CIC reporting source data (borrower, account, DPD and classification snapshots per reference date); file generation, transmission, rejections, DQI and disputes are built in Phase 14c (Part 7B RR6–RR7);</w:t>
      </w:r>
      <w:r>
        <w:br/>
      </w:r>
      <w:r>
        <w:rPr>
          <w:rStyle w:val="VerbatimChar"/>
        </w:rPr>
        <w:t xml:space="preserve">- the source marts for supervisory returns (GL period balances, loan, exposure, liquidity, investment and fraud snapshots); the return registry, element dictionary, generation, validation, reconciliation, sign-off, portal workflows and evidence vault are built in Phase 14b (Part 7B RR1–RR5);</w:t>
      </w:r>
      <w:r>
        <w:br/>
      </w:r>
      <w:r>
        <w:rPr>
          <w:rStyle w:val="VerbatimChar"/>
        </w:rPr>
        <w:t xml:space="preserve">- the borrower-level exposure (≥ ₹5 crore) and SMA-event feeds for CRILC and DNBS09 (RSA paras 20–21, 106); the returns are generated in Phase 14b (RR8);</w:t>
      </w:r>
      <w:r>
        <w:br/>
      </w:r>
      <w:r>
        <w:rPr>
          <w:rStyle w:val="VerbatimChar"/>
        </w:rPr>
        <w:t xml:space="preserve">- the fraud module's per-case workflow, law-enforcement reporting, closure and RBR (Part 8A.14), with FMR, FUA and FMR4-RBR generated through the Phase 14b pipeline (RR8.5);</w:t>
      </w:r>
      <w:r>
        <w:br/>
      </w:r>
      <w:r>
        <w:rPr>
          <w:rStyle w:val="VerbatimChar"/>
        </w:rPr>
        <w:t xml:space="preserve">- FIU-IND transaction-monitoring alerts, AML cases and sanctions-match handling (Part 8A.21); report XML generation and the FINGate 2.0 filing workflow are built in Phase 14b (RR4.6);</w:t>
      </w:r>
      <w:r>
        <w:br/>
      </w:r>
      <w:r>
        <w:rPr>
          <w:rStyle w:val="VerbatimChar"/>
        </w:rPr>
        <w:t xml:space="preserve">- the ALM engine and daily LCR (Part 8A.7), feeding DNBS04A/04B in Phase 14b and the Part 7E RK4 limits and disclosures in Phase 14d;</w:t>
      </w:r>
      <w:r>
        <w:br/>
      </w:r>
      <w:r>
        <w:rPr>
          <w:rStyle w:val="VerbatimChar"/>
        </w:rPr>
        <w:t xml:space="preserve">- the exposure engine and breach block (Part 8A.4), feeding the LEF return in Phase 14b and the Part 7E RK5 limits in Phase 14d;</w:t>
      </w:r>
      <w:r>
        <w:br/>
      </w:r>
      <w:r>
        <w:rPr>
          <w:rStyle w:val="VerbatimChar"/>
        </w:rPr>
        <w:t xml:space="preserve">- the Compliance Function suite (Part 8A.11);</w:t>
      </w:r>
      <w:r>
        <w:br/>
      </w:r>
      <w:r>
        <w:rPr>
          <w:rStyle w:val="VerbatimChar"/>
        </w:rPr>
        <w:t xml:space="preserve">- Auditor's Report evidence data (Part 8A.15); the DNBS10 clock is built in Phase 14b and the auditor checklists and workspace in Phase 16c (Part 7D AU5, AU7);</w:t>
      </w:r>
      <w:r>
        <w:br/>
      </w:r>
      <w:r>
        <w:rPr>
          <w:rStyle w:val="VerbatimChar"/>
        </w:rPr>
        <w:t xml:space="preserve">- the AA consent-artefact store (Part 8A.10);</w:t>
      </w:r>
      <w:r>
        <w:br/>
      </w:r>
      <w:r>
        <w:rPr>
          <w:rStyle w:val="VerbatimChar"/>
        </w:rPr>
        <w:t xml:space="preserve">- the ICAAP data mart (the capital engine, ICAAP, stress testing and PCA monitoring on top of it are built in Phase 14d);</w:t>
      </w:r>
      <w:r>
        <w:br/>
      </w:r>
      <w:r>
        <w:rPr>
          <w:rStyle w:val="VerbatimChar"/>
        </w:rPr>
        <w:t xml:space="preserve">- the model inventory;</w:t>
      </w:r>
      <w:r>
        <w:br/>
      </w:r>
      <w:r>
        <w:rPr>
          <w:rStyle w:val="VerbatimChar"/>
        </w:rPr>
        <w:t xml:space="preserve">- the embedded compliance module (register, controls testing, calendar, product approval);</w:t>
      </w:r>
      <w:r>
        <w:br/>
      </w:r>
      <w:r>
        <w:rPr>
          <w:rStyle w:val="VerbatimChar"/>
        </w:rPr>
        <w:t xml:space="preserve">- the LawDocsComply bridge, with the compliance-mode and grievance-host switches.</w:t>
      </w:r>
      <w:r>
        <w:br/>
      </w:r>
      <w:r>
        <w:br/>
      </w:r>
      <w:r>
        <w:rPr>
          <w:rStyle w:val="VerbatimChar"/>
        </w:rPr>
        <w:t xml:space="preserve">Do not build the reporting, bureau or risk layers twice: Phases 14b, 14c and 14d build on these engines. Take return applicability, periodicity and due dates from Part 8A.34 (loaded into the Part 7B RR1 registry in Phase 14b), and formats and validation rules from the RBI portal for each return.</w:t>
      </w:r>
      <w:r>
        <w:br/>
      </w:r>
      <w:r>
        <w:br/>
      </w:r>
      <w:r>
        <w:rPr>
          <w:rStyle w:val="VerbatimChar"/>
        </w:rPr>
        <w:t xml:space="preserve">v1.3 regulatory additions for this phase (Part 8A.36.4) — include them:</w:t>
      </w:r>
      <w:r>
        <w:br/>
      </w:r>
      <w:r>
        <w:rPr>
          <w:rStyle w:val="VerbatimChar"/>
        </w:rPr>
        <w:t xml:space="preserve">- Monthly Annex I and Annex II CIC files with 30-day removal logic (WD 11–13, 18) [RBC / WD]</w:t>
      </w:r>
      <w:r>
        <w:br/>
      </w:r>
      <w:r>
        <w:rPr>
          <w:rStyle w:val="VerbatimChar"/>
        </w:rPr>
        <w:t xml:space="preserve">- "the RWA/CRAR and leverage engine (Part 8A.24) with lineage and the para 48 golden test; SBR applicability and group/UL calendar (Part 8A.25); MISC intimation clocks (Part 8A.27)" [CAP / SBR / DIV / MISC]</w:t>
      </w:r>
      <w:r>
        <w:br/>
      </w:r>
      <w:r>
        <w:rPr>
          <w:rStyle w:val="VerbatimChar"/>
        </w:rPr>
        <w:t xml:space="preserve">- Governance register and its returns (8A.28). Third-party and outsourcing register with half-yearly Board/RMC packs and ACB vendor-reconciliation ageing (8A.29). ORM suite (8A.30) [GOV / OUT / ORM]</w:t>
      </w:r>
      <w:r>
        <w:br/>
      </w:r>
      <w:r>
        <w:rPr>
          <w:rStyle w:val="VerbatimChar"/>
        </w:rPr>
        <w:t xml:space="preserve">- Add bullets: the RBIA module (Part 8A.32); statutory-auditor register with Form A/B and branch-coverage report (Part 8A.33); PCA monitor and CFSS progress reporting (Part 8A.35); MFI qualifying-asset monitor and provision floor (Part 8A.31) [MFI / IAF / SA / SR / MSD]</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docs/specs/phase-14-regulatory-reporting.md: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feat/regulatory-reporting in small commits; run unit, integration, tenant-isolation and security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42"/>
        </w:numPr>
        <w:pStyle w:val="Compact"/>
      </w:pPr>
      <w:r>
        <w:t xml:space="preserve">☐ Return applicability for a test tenant matches the SR catalogue in Part 8A.34.</w:t>
      </w:r>
    </w:p>
    <w:p>
      <w:pPr>
        <w:numPr>
          <w:ilvl w:val="0"/>
          <w:numId w:val="1042"/>
        </w:numPr>
        <w:pStyle w:val="Compact"/>
      </w:pPr>
      <w:r>
        <w:t xml:space="preserve">☐ CRILC, DNBS09, CIC and FMR test files pass format validation.</w:t>
      </w:r>
    </w:p>
    <w:p>
      <w:pPr>
        <w:numPr>
          <w:ilvl w:val="0"/>
          <w:numId w:val="1042"/>
        </w:numPr>
        <w:pStyle w:val="Compact"/>
      </w:pPr>
      <w:r>
        <w:t xml:space="preserve">☐ The compliance module tracks every REQ-ID with an owner and a control test.</w:t>
      </w:r>
    </w:p>
    <w:p>
      <w:pPr>
        <w:numPr>
          <w:ilvl w:val="0"/>
          <w:numId w:val="1042"/>
        </w:numPr>
        <w:pStyle w:val="Compact"/>
      </w:pPr>
      <w:r>
        <w:t xml:space="preserve">☐ The PR shows the test output; the ledger balances (if money moved); the regulatory register and docs/status are updated.</w:t>
      </w:r>
    </w:p>
    <w:bookmarkEnd w:id="41"/>
    <w:bookmarkStart w:id="42" w:name="X3c5a7a5f9bdab481d042842548ddf11db8223fc"/>
    <w:p>
      <w:pPr>
        <w:pStyle w:val="Heading3"/>
      </w:pPr>
      <w:r>
        <w:t xml:space="preserve">Phase 14b — RBI returns engine and supervisory portal workflows</w:t>
      </w:r>
    </w:p>
    <w:p>
      <w:pPr>
        <w:numPr>
          <w:ilvl w:val="0"/>
          <w:numId w:val="1043"/>
        </w:numPr>
        <w:pStyle w:val="Compact"/>
      </w:pPr>
      <w:r>
        <w:rPr>
          <w:bCs/>
          <w:b/>
        </w:rPr>
        <w:t xml:space="preserve">Outcome:</w:t>
      </w:r>
      <w:r>
        <w:t xml:space="preserve"> </w:t>
      </w:r>
      <w:r>
        <w:t xml:space="preserve">Part 7B RR1–RR5, RR8: return registry and CEL applicability engine; element dictionary and cell lineage; generation, validation rule packs, TB reconciliation and sign-off; guided CIMS, DAKSH, PRAVAAH, ENSURE, IFSCA, FIU-IND, CKYCR, CERSAI and SFT filing with acknowledgement capture; filing calendar, evidence vault and revisions; CRILC, DNBS09, LEF, WD/LD files and FMR</w:t>
      </w:r>
    </w:p>
    <w:p>
      <w:pPr>
        <w:numPr>
          <w:ilvl w:val="0"/>
          <w:numId w:val="1043"/>
        </w:numPr>
        <w:pStyle w:val="Compact"/>
      </w:pPr>
      <w:r>
        <w:rPr>
          <w:bCs/>
          <w:b/>
        </w:rPr>
        <w:t xml:space="preserve">Depends on:</w:t>
      </w:r>
      <w:r>
        <w:t xml:space="preserve"> </w:t>
      </w:r>
      <w:r>
        <w:t xml:space="preserve">13b, 14</w:t>
      </w:r>
    </w:p>
    <w:p>
      <w:pPr>
        <w:numPr>
          <w:ilvl w:val="0"/>
          <w:numId w:val="1043"/>
        </w:numPr>
        <w:pStyle w:val="Compact"/>
      </w:pPr>
      <w:r>
        <w:rPr>
          <w:bCs/>
          <w:b/>
        </w:rPr>
        <w:t xml:space="preserve">Branch:</w:t>
      </w:r>
      <w:r>
        <w:t xml:space="preserve"> </w:t>
      </w:r>
      <w:r>
        <w:rPr>
          <w:rStyle w:val="VerbatimChar"/>
        </w:rPr>
        <w:t xml:space="preserve">feat/rbi-returns-engine</w:t>
      </w:r>
    </w:p>
    <w:p>
      <w:pPr>
        <w:numPr>
          <w:ilvl w:val="0"/>
          <w:numId w:val="1043"/>
        </w:numPr>
        <w:pStyle w:val="Compact"/>
      </w:pPr>
      <w:r>
        <w:rPr>
          <w:bCs/>
          <w:b/>
        </w:rPr>
        <w:t xml:space="preserve">Suggested sub-modules (one session each):</w:t>
      </w:r>
      <w:r>
        <w:t xml:space="preserve"> </w:t>
      </w:r>
      <w:r>
        <w:t xml:space="preserve">7B.0 filing boundaries and RR1 registry and applicability engine; RR2 element dictionary, snapshots and lineage; RR3 generation, validation rule packs, reconciliation and sign-off; RR4 portal workflows (CIMS, DAKSH, PRAVAAH, ENSURE, IFSCA, FIU-IND, CKYCR, CERSAI, SFT); RR5 calendar, evidence vault, revisions and supervisory queries; RR8 CRILC, DNBS09, LEF, WD/LD files and fraud returns; Menus, screens and settings for Part 7B (7B.0, RR1–RR5, RR8) (Appendix G).</w:t>
      </w:r>
    </w:p>
    <w:p>
      <w:pPr>
        <w:pStyle w:val="FirstParagraph"/>
      </w:pPr>
      <w:r>
        <w:rPr>
          <w:bCs/>
          <w:b/>
        </w:rPr>
        <w:t xml:space="preserve">Paste into Claude Code:</w:t>
      </w:r>
    </w:p>
    <w:p>
      <w:pPr>
        <w:pStyle w:val="SourceCode"/>
      </w:pPr>
      <w:r>
        <w:rPr>
          <w:rStyle w:val="VerbatimChar"/>
        </w:rPr>
        <w:t xml:space="preserve">Phase 14b — RBI returns engine and supervisory portal workflows. Governing brief: docs/00-master-prompt.md (Part 12, Phase 14b; Part 8A prevails on regulatory points).</w:t>
      </w:r>
      <w:r>
        <w:br/>
      </w:r>
      <w:r>
        <w:br/>
      </w:r>
      <w:r>
        <w:rPr>
          <w:rStyle w:val="VerbatimChar"/>
        </w:rPr>
        <w:t xml:space="preserve">Before writing the specification, verify: (i) the RBI (NBFC – Supervisory Returns) Directions, 2026, RBI/DoS/2026-27/466 of 31 Jul 2026 (SR) paras 4, 7 and 12–26 against docs/regulations/rbi/, and log the owner's superseded '28 Nov 2025' reference in docs/regulations/errata.md; (ii) the RBI list of returns and, for each pilot return, the current template, record cap and channel on CIMS/Sankalan (fetch date and template hash), recording every difference from SR as a `registry_variance` (RR1.4: the DNBS04A/04B ₹100 crore BL test, the DNBS08/09 qualifier, ARC rows, the Form A channel); (iii) that CIMS system-to-system (ADF) collection is not confirmed for NBFCs, so that adapter stays flagged off; (iv) FIU-IND formats and PML Rules r.8 clocks, the CKYCR 10/7-day and CERSAI 30-day clocks and ITA25 s.508 Forms 165 and 166; (v) the HFC, bank, UCB, StCB/DCCB, ARC and IFSCA rows, which load as `ACTIVE_UNVERIFIED`. Then build Part 7B 7B.0, RR1–RR5 and RR8 (bureau files follow in Phase 14c):</w:t>
      </w:r>
      <w:r>
        <w:br/>
      </w:r>
      <w:r>
        <w:br/>
      </w:r>
      <w:r>
        <w:rPr>
          <w:rStyle w:val="VerbatimChar"/>
        </w:rPr>
        <w:t xml:space="preserve">- 7B.0 boundaries: prepare, never file; no field for any regulator user ID, password, OTP, DSC PIN, cookie or token, and no RPA or scraping (a static scan fails the build if an HTTP client targets a regulator domain); a portal-user alias register only; email filing only as an RBI-advised contingency, followed by `ONLINE_RESUBMISSION_PENDING` (SR para 18).</w:t>
      </w:r>
      <w:r>
        <w:br/>
      </w:r>
      <w:r>
        <w:rPr>
          <w:rStyle w:val="VerbatimChar"/>
        </w:rPr>
        <w:t xml:space="preserve">- RR1 registry and applicability: regulator → portal → definition → version → due instance → run; 21 return definitions (the 20 items of SR para 21, with item 4 split into DNBS04A and DNBS04B), with due rules `+21D`, `+15D`, `WED_NEXT_WEEK`, `+5WD_FROM_AUDIT_REPORT_CAP_31DEC`, `+14D_FROM_CLASSIFICATION` and `+6H_FROM_DETECTION`; CEL applicability rules with citations and a decision log; an applicability change closes future instances with `APPLICABILITY_CHANGED` and never deletes past ones; no other-institution row can generate a filing until a named reviewer verifies it.</w:t>
      </w:r>
      <w:r>
        <w:br/>
      </w:r>
      <w:r>
        <w:rPr>
          <w:rStyle w:val="VerbatimChar"/>
        </w:rPr>
        <w:t xml:space="preserve">- RR2 elements and lineage: data elements with RBI harmonised-definition references, dimensions, unit and scale; source mapping to GL, loan, exposure, liquidity, capital, investment, fraud and DLA stores; a frozen `reporting_snapshot`; cell maps; per-cell lineage with masked drill-down (SR para 15); ad hoc subset queries (para 13); DQ metrics (para 17); independent approval of each cell-map version (para 7). DNBS03 and DNBS04A/04B map to the Phase 14 capital and ALM runs; Phase 14d swaps the source runs without changing the cell maps.</w:t>
      </w:r>
      <w:r>
        <w:br/>
      </w:r>
      <w:r>
        <w:rPr>
          <w:rStyle w:val="VerbatimChar"/>
        </w:rPr>
        <w:t xml:space="preserve">- RR3 generation and sign-off: the RR3.1 state table (entry condition, owner, allowed actions, exit, failure and rollback for every state) with REPAIR, PORTAL_REJECTED, REVISION_REQUESTED and contingency branches; template hash check, only unprotected cells filled; versioned YAML/CEL validation rules (ERROR blocks; WARNING needs a maker comment and checker acceptance), including cross-return and portal rule packs; TB reconciliation with tolerance equal to the template rounding unit and an explained-variance register; the RR3.5 maker-checker-signatory matrix (the CRO and CCO are never makers; GOV para 21; CMP para 27); a signed package (`manifest.json`, detached JWS with the tenant KMS key); NIL returns with the same approvals.</w:t>
      </w:r>
      <w:r>
        <w:br/>
      </w:r>
      <w:r>
        <w:rPr>
          <w:rStyle w:val="VerbatimChar"/>
        </w:rPr>
        <w:t xml:space="preserve">- RR4 portal workflows: guided checklists and acknowledgement capture for CIMS (above 2,000 records the web form is refused and file upload forced), DAKSH (6-hour cyber timer from detection; nomination coverage), PRAVAAH (application pack builder with a Board-resolution gate), NABARD ENSURE, IFSCA (USD), FIU-IND FINGate 2.0 (STRs hidden from non-AML roles; no tipping off), CKYCR, CERSAI satisfaction on closure and income-tax SFT.</w:t>
      </w:r>
      <w:r>
        <w:br/>
      </w:r>
      <w:r>
        <w:rPr>
          <w:rStyle w:val="VerbatimChar"/>
        </w:rPr>
        <w:t xml:space="preserve">- RR5: the RR5.3 revision assessment (each trigger — RBI query, audit adjustment, back-dated posting into a filed period, DQ finding, re-approved statements — assessed as `REVISE` or `NO_REVISION` by the CCO with reasons); due instances 13 months ahead plus event-driven instances; alerts at T−7, T−3, T−1 and on breach; evidence vault in the Part 7J folder paths; `ACKNOWLEDGED` needs the uploaded acknowledgement and the confirmed reference; revisions as run n+1 with a cell diff, version n preserved; the `supervisory_item` register; retention 10 years from filing.</w:t>
      </w:r>
      <w:r>
        <w:br/>
      </w:r>
      <w:r>
        <w:rPr>
          <w:rStyle w:val="VerbatimChar"/>
        </w:rPr>
        <w:t xml:space="preserve">- RR8: CRILC Main for borrowers with aggregate fund and non-fund exposure of ₹5 crore or more (union of SR para 21 item 5 and RSA para 20, tenant toggle and variance row); DNBS09 move-in and move-out from SMA-0 events reconciled to M6; LEF with immediate breach intimation; monthly WD/LD files to all four CICs (suit-filed and non-suit-filed separate; removal within 30 days below ₹25 lakh); FMR, FUA and FMR4-RBR from the fraud module (FRM paras 42, 45–49); no RFA category for NBFCs.</w:t>
      </w:r>
      <w:r>
        <w:br/>
      </w:r>
      <w:r>
        <w:rPr>
          <w:rStyle w:val="VerbatimChar"/>
        </w:rPr>
        <w:t xml:space="preserve">- Menus, screens and settings: build workspace K (Compliance and Regulatory Reporting), with the signatory queue for workspace M exactly as the returns rows of the `Menu and screens` and `Settings and options` subsections of Part 7B (RR9) specify (navigation paths, list, detail, wizard, approval-queue and dashboard screens, actions, bulk actions, filters, exports, empty and error states, role visibility, and each setting with its scope, default and floor), and register every entry in Appendix G; the filing calendar is the landing screen of workspace K; due rules, validation packs and the sign-off matrix are versioned settings that can add checks or signatories but never loosen an SR timeline or remove a required signatory.</w:t>
      </w:r>
      <w:r>
        <w:br/>
      </w:r>
      <w:r>
        <w:br/>
      </w:r>
      <w:r>
        <w:rPr>
          <w:rStyle w:val="VerbatimChar"/>
        </w:rPr>
        <w:t xml:space="preserve">Emit `ReturnDue`, `ReturnGenerated`, `ReturnValidated`, `ReturnApproved`, `ReturnFiled`, `ReturnRevised` and `ReturnStatusUpdated` through the outbox; consume `PeriodClosed` and `FinancialStatementsApproved` from Phase 13b; package returns as `return_package_v1` (Integration Spec v1.1 Part 15). Return status metadata reaches the Operations Hub only where the tenant opts in, and never amounts.</w:t>
      </w:r>
      <w:r>
        <w:br/>
      </w:r>
      <w:r>
        <w:br/>
      </w:r>
      <w:r>
        <w:rPr>
          <w:rStyle w:val="VerbatimChar"/>
        </w:rPr>
        <w:t xml:space="preserve">Tests and acceptance evidence:</w:t>
      </w:r>
      <w:r>
        <w:br/>
      </w:r>
      <w:r>
        <w:br/>
      </w:r>
      <w:r>
        <w:rPr>
          <w:rStyle w:val="VerbatimChar"/>
        </w:rPr>
        <w:t xml:space="preserve">- loading SR yields exactly 21 return definitions (the 20 items of SR para 21, with item 4 split into DNBS04A and DNBS04B), each resolving to the paragraph text of the SR Directions stored in docs/regulations/rbi/;</w:t>
      </w:r>
      <w:r>
        <w:br/>
      </w:r>
      <w:r>
        <w:rPr>
          <w:rStyle w:val="VerbatimChar"/>
        </w:rPr>
        <w:t xml:space="preserve">- a BL ICC with ₹80 crore solo and ₹120 crore group assets and public funds gets DNBS04A/04B; with no public funds and no customer interface it does not;</w:t>
      </w:r>
      <w:r>
        <w:br/>
      </w:r>
      <w:r>
        <w:rPr>
          <w:rStyle w:val="VerbatimChar"/>
        </w:rPr>
        <w:t xml:space="preserve">- an unbalanced DNBS02 cannot leave VALIDATED; a ₹2 lakh TB variance blocks RECONCILED until explained, a ₹40,000 variance passes as rounding;</w:t>
      </w:r>
      <w:r>
        <w:br/>
      </w:r>
      <w:r>
        <w:rPr>
          <w:rStyle w:val="VerbatimChar"/>
        </w:rPr>
        <w:t xml:space="preserve">- the same user as maker and checker gets 403 `sod_conflict`; a CIMS web-form run with 2,001 records is refused;</w:t>
      </w:r>
      <w:r>
        <w:br/>
      </w:r>
      <w:r>
        <w:rPr>
          <w:rStyle w:val="VerbatimChar"/>
        </w:rPr>
        <w:t xml:space="preserve">- DNBS10 for an audit report signed on Friday 25 Sep 2026 is due Monday 5 Oct 2026; one signed on 24 Dec 2026 is due 31 Dec 2026; an FMR classified on 1 November is due 15 November;</w:t>
      </w:r>
      <w:r>
        <w:br/>
      </w:r>
      <w:r>
        <w:rPr>
          <w:rStyle w:val="VerbatimChar"/>
        </w:rPr>
        <w:t xml:space="preserve">- a ₹3.2 crore term loan plus a ₹2 crore guarantee appears in CRILC, ₹4.99 crore does not, and a NIL CRILC still needs CRO sign-off;</w:t>
      </w:r>
      <w:r>
        <w:br/>
      </w:r>
      <w:r>
        <w:rPr>
          <w:rStyle w:val="VerbatimChar"/>
        </w:rPr>
        <w:t xml:space="preserve">- the static scan finds no regulator credential field and no portal HTTP client;</w:t>
      </w:r>
      <w:r>
        <w:br/>
      </w:r>
      <w:r>
        <w:rPr>
          <w:rStyle w:val="VerbatimChar"/>
        </w:rPr>
        <w:t xml:space="preserve">- a navigation test walks each role through the Appendix G entries for this phase and finds every screen, action and setting with the stated visibility and nothing more; a sign-off matrix without the required CRO or CCO signatory cannot be saved, and a due rule later than the SR timeline fails `floor_violation`.</w:t>
      </w:r>
      <w:r>
        <w:br/>
      </w:r>
      <w:r>
        <w:br/>
      </w:r>
      <w:r>
        <w:rPr>
          <w:rStyle w:val="VerbatimChar"/>
        </w:rPr>
        <w:t xml:space="preserve">Show me the registry with the SR rows, the variance log, the element dictionary for the pilot returns, the validation rule pack and the sign-off matrix, with the menu tree and settings catalogue of this phase (Appendix G), for approval before coding.</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docs/specs/phase-14b-rbi-returns-engine.md: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feat/rbi-returns-engine in small commits; run unit, integration, tenant-isolation and security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44"/>
        </w:numPr>
        <w:pStyle w:val="Compact"/>
      </w:pPr>
      <w:r>
        <w:t xml:space="preserve">☐ Loading the SR table yields exactly 21 return definitions (the 20 items of SR para 21, with item 4 split into DNBS04A and DNBS04B), each with a citation that resolves to the paragraph text of RBI/DoS/2026-27/466, and every difference from the RBI web list is held as an approved registry_variance (SR paras 21–23).</w:t>
      </w:r>
    </w:p>
    <w:p>
      <w:pPr>
        <w:numPr>
          <w:ilvl w:val="0"/>
          <w:numId w:val="1044"/>
        </w:numPr>
        <w:pStyle w:val="Compact"/>
      </w:pPr>
      <w:r>
        <w:t xml:space="preserve">☐ A static scan and runtime test find no stored regulator credential, OTP, DSC PIN, token or HTTP client for any regulator-portal domain, and the CIMS ADF adapter returns channel_not_confirmed unless RBI confirmation evidence is attached and a second approver enables it (SR para 19; Part 7B 7B.0; Part 10.2 principle 36).</w:t>
      </w:r>
    </w:p>
    <w:p>
      <w:pPr>
        <w:numPr>
          <w:ilvl w:val="0"/>
          <w:numId w:val="1044"/>
        </w:numPr>
        <w:pStyle w:val="Compact"/>
      </w:pPr>
      <w:r>
        <w:t xml:space="preserve">☐ A DNBS02 run with an unbalanced balance sheet cannot leave VALIDATED, and a ₹2 lakh variance to the trial balance blocks RECONCILED until an explained-variance entry is approved (SR paras 14–15).</w:t>
      </w:r>
    </w:p>
    <w:p>
      <w:pPr>
        <w:numPr>
          <w:ilvl w:val="0"/>
          <w:numId w:val="1044"/>
        </w:numPr>
        <w:pStyle w:val="Compact"/>
      </w:pPr>
      <w:r>
        <w:t xml:space="preserve">☐ DNBS10 for an audit report signed on Friday 25 Sep 2026 is due on Monday 5 Oct 2026 and one signed on 24 Dec 2026 is due on 31 Dec 2026, and an FMR classified on 1 November is due on 15 November (SR paras 21 items 7 and 17, 22–23; FRM para 43).</w:t>
      </w:r>
    </w:p>
    <w:p>
      <w:pPr>
        <w:numPr>
          <w:ilvl w:val="0"/>
          <w:numId w:val="1044"/>
        </w:numPr>
        <w:pStyle w:val="Compact"/>
      </w:pPr>
      <w:r>
        <w:t xml:space="preserve">☐ A borrower with a ₹3.2 crore term loan and a ₹2 crore bank guarantee appears in CRILC Main while one at ₹4.99 crore does not, and a NIL CRILC still requires CRO sign-off (RSA para 20; SR para 21 item 5).</w:t>
      </w:r>
    </w:p>
    <w:p>
      <w:pPr>
        <w:numPr>
          <w:ilvl w:val="0"/>
          <w:numId w:val="1044"/>
        </w:numPr>
        <w:pStyle w:val="Compact"/>
      </w:pPr>
      <w:r>
        <w:t xml:space="preserve">☐ No run reaches CLOSED without an uploaded acknowledgement whose hash is stored, and a revision preserves version n byte for byte (SR paras 18, 25).</w:t>
      </w:r>
    </w:p>
    <w:p>
      <w:pPr>
        <w:numPr>
          <w:ilvl w:val="0"/>
          <w:numId w:val="1044"/>
        </w:numPr>
        <w:pStyle w:val="Compact"/>
      </w:pPr>
      <w:r>
        <w:t xml:space="preserve">☐ An automated navigation test walks each role through the Appendix G entries for Part 7B (7B.0, RR1–RR5, RR8) and finds every menu path, screen, action and setting listed in its</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with the stated visibility and nothing more, and an attempt to relax a regulatory-floor setting fails server-side with floor_violation (Part 7B (7B.0, RR1–RR5, RR8); Appendix G; Part 10.2 principles 24 and 42).</w:t>
      </w:r>
    </w:p>
    <w:p>
      <w:pPr>
        <w:numPr>
          <w:ilvl w:val="0"/>
          <w:numId w:val="1044"/>
        </w:numPr>
        <w:pStyle w:val="Compact"/>
      </w:pPr>
      <w:r>
        <w:t xml:space="preserve">☐ The PR shows the test output; the ledger balances (if money moved); the regulatory register and docs/status are updated.</w:t>
      </w:r>
    </w:p>
    <w:bookmarkEnd w:id="42"/>
    <w:bookmarkStart w:id="43" w:name="phase-14c-credit-bureau-submissions"/>
    <w:p>
      <w:pPr>
        <w:pStyle w:val="Heading3"/>
      </w:pPr>
      <w:r>
        <w:t xml:space="preserve">Phase 14c — Credit bureau submissions</w:t>
      </w:r>
    </w:p>
    <w:p>
      <w:pPr>
        <w:numPr>
          <w:ilvl w:val="0"/>
          <w:numId w:val="1045"/>
        </w:numPr>
        <w:pStyle w:val="Compact"/>
      </w:pPr>
      <w:r>
        <w:rPr>
          <w:bCs/>
          <w:b/>
        </w:rPr>
        <w:t xml:space="preserve">Outcome:</w:t>
      </w:r>
      <w:r>
        <w:t xml:space="preserve"> </w:t>
      </w:r>
      <w:r>
        <w:t xml:space="preserve">Part 7B RR6–RR7: UCRF Consumer v3.74, Commercial v3.10 and MFI v3.3.1 format packs; 9th, 16th, 23rd and month-end cadence from 1 Jul 2026; SFTP transmission with tenant-held keys; rejection repair, DQI and half-yearly review; borrower alerts; disputes with CIR para 35 compensation</w:t>
      </w:r>
    </w:p>
    <w:p>
      <w:pPr>
        <w:numPr>
          <w:ilvl w:val="0"/>
          <w:numId w:val="1045"/>
        </w:numPr>
        <w:pStyle w:val="Compact"/>
      </w:pPr>
      <w:r>
        <w:rPr>
          <w:bCs/>
          <w:b/>
        </w:rPr>
        <w:t xml:space="preserve">Depends on:</w:t>
      </w:r>
      <w:r>
        <w:t xml:space="preserve"> </w:t>
      </w:r>
      <w:r>
        <w:t xml:space="preserve">3b, 9, 14b</w:t>
      </w:r>
    </w:p>
    <w:p>
      <w:pPr>
        <w:numPr>
          <w:ilvl w:val="0"/>
          <w:numId w:val="1045"/>
        </w:numPr>
        <w:pStyle w:val="Compact"/>
      </w:pPr>
      <w:r>
        <w:rPr>
          <w:bCs/>
          <w:b/>
        </w:rPr>
        <w:t xml:space="preserve">Branch:</w:t>
      </w:r>
      <w:r>
        <w:t xml:space="preserve"> </w:t>
      </w:r>
      <w:r>
        <w:rPr>
          <w:rStyle w:val="VerbatimChar"/>
        </w:rPr>
        <w:t xml:space="preserve">feat/credit-bureau-submissions</w:t>
      </w:r>
    </w:p>
    <w:p>
      <w:pPr>
        <w:numPr>
          <w:ilvl w:val="0"/>
          <w:numId w:val="1045"/>
        </w:numPr>
        <w:pStyle w:val="Compact"/>
      </w:pPr>
      <w:r>
        <w:rPr>
          <w:bCs/>
          <w:b/>
        </w:rPr>
        <w:t xml:space="preserve">Suggested sub-modules (one session each):</w:t>
      </w:r>
      <w:r>
        <w:t xml:space="preserve"> </w:t>
      </w:r>
      <w:r>
        <w:t xml:space="preserve">RR6.2 cadence engine and Annex VI calendar; RR6.3–RR6.4 population and routing; RR6.5–RR6.6 format packs and mapping rules; RR6.7 build, approval, SFTP transmission and acknowledgement; RR7.1–RR7.3 rejection repair, DQI and borrower alerts; RR7.4–RR7.5 disputes, compensation and nodal-officer governance; Menus, screens and settings for Part 7B (RR6–RR7) (Appendix G).</w:t>
      </w:r>
    </w:p>
    <w:p>
      <w:pPr>
        <w:pStyle w:val="FirstParagraph"/>
      </w:pPr>
      <w:r>
        <w:rPr>
          <w:bCs/>
          <w:b/>
        </w:rPr>
        <w:t xml:space="preserve">Paste into Claude Code:</w:t>
      </w:r>
    </w:p>
    <w:p>
      <w:pPr>
        <w:pStyle w:val="SourceCode"/>
      </w:pPr>
      <w:r>
        <w:rPr>
          <w:rStyle w:val="VerbatimChar"/>
        </w:rPr>
        <w:t xml:space="preserve">Phase 14c — Credit bureau submissions. Governing brief: docs/00-master-prompt.md (Part 12, Phase 14c; Part 8A prevails on regulatory points).</w:t>
      </w:r>
      <w:r>
        <w:br/>
      </w:r>
      <w:r>
        <w:br/>
      </w:r>
      <w:r>
        <w:rPr>
          <w:rStyle w:val="VerbatimChar"/>
        </w:rPr>
        <w:t xml:space="preserve">Before writing the specification, verify: (i) CIR (Part 8A.2) as amended by RBI/DOR/2025-26/117 (DOR.FIN.REC.No.324/20.16.056/2025-26) of 4 Dec 2025, in force 1 Jul 2026, including the Annex VI timetable, and the credit information companies' counterpart, the CIC Amendment Directions RBI/DOR/2025-26/119 (DoR.FIN.REC.No.326) (`CIC-AMD`); (ii) the current specifications obtained from each CIC under the tenant's membership agreement — UCRF Consumer v3.74 (4 Feb 2026), Commercial v3.10 delimited (13 Apr 2026; SFTP only) and MFI v3.3.1 (April 2026) — and whether each CIC publishes a validator; log spec inconsistencies (TH occurrences, the status-17 rule, the v3.74 PIN-length note, S18) as `format_issue` rows resolved in writing with the bureau, never coded around; (iii) MFIN Guardrails 2.0 daily submission for MFIN members; (iv) for co-operative tenants, whether a CIC admits the society as a member under CICRA, otherwise the module stays off. Do not build to the draft cadence (7th/14th/21st/28th and a 3rd-of-month full file). Then build Part 7B RR6–RR7:</w:t>
      </w:r>
      <w:r>
        <w:br/>
      </w:r>
      <w:r>
        <w:br/>
      </w:r>
      <w:r>
        <w:rPr>
          <w:rStyle w:val="VerbatimChar"/>
        </w:rPr>
        <w:t xml:space="preserve">- RR6.2 cadence engine (effective-dated): until 30 Jun 2026 the 15th and month-end within 7 days; from 1 Jul 2026 incremental W1 (9th), W2 (16th) and W3 (23rd) files within 4 calendar days (13th, 20th, 27th) and the month-end full file by the 5th; daily DL for MFIN members; rejection and correction dates per Annex VI (corrections by the 20th, 27th, 5th and 13th).</w:t>
      </w:r>
      <w:r>
        <w:br/>
      </w:r>
      <w:r>
        <w:rPr>
          <w:rStyle w:val="VerbatimChar"/>
        </w:rPr>
        <w:t xml:space="preserve">- RR6.3 population: month-end = all active accounts plus accounts ended since the last reference date; W1–W3 = opened ∪ ended ∪ changed by borrower action or transaction ∪ any overdue, implemented as `changed_since(last_ref) OR amount_overdue &gt; 0` over a canonical record hash per account and bureau; DPD-only changes are reported; closure always produces a category-B record; reporting continues after CoR cancellation until run-off.</w:t>
      </w:r>
      <w:r>
        <w:br/>
      </w:r>
      <w:r>
        <w:rPr>
          <w:rStyle w:val="VerbatimChar"/>
        </w:rPr>
        <w:t xml:space="preserve">- RR6.4–RR6.6 routing, packs and mapping: individuals → Consumer; non-individuals and guarantors → Commercial with the Relationship segment; microfinance → MFI only, never also Consumer; each co-borrower in its own format; format packs as versioned data (segments, tag-length-value, catalogues, validations, file names, cycle codes DL/W1/W2/W3/ME/DC/AH/RR, `FINBYX` and the release version as MFI vendor identifier); generator-enforced mapping ('settled' only for a waiver for financial inability, CIR para 12(4); IBC admission as suit-filed 01 or 05 NCLT/NCLAT; wilful default only ML and above; DPD cap 900 consumer and 999 MFI; CKYC number as ID type 09; commercial written-off and settled amounts enforced from 1 Apr 2027).</w:t>
      </w:r>
      <w:r>
        <w:br/>
      </w:r>
      <w:r>
        <w:rPr>
          <w:rStyle w:val="VerbatimChar"/>
        </w:rPr>
        <w:t xml:space="preserve">- RR6.7 build and transmit: freeze → extract → route → validate against the pack and the CICs' uniform data-acceptance rules (ERROR records to a repair queue, never silently dropped) → four outputs from one dataset → nodal-officer approval of counts by segment, status and DPD bucket → SFTP from a lender-controlled host or tenant agent, with SFTP and PGP keys in the tenant vault (BYOK; unreadable by Finbyx staff; CIBIL correction uploads unencrypted, other CICs per their own specification) → acknowledgement; the RR6.7 state machine with its exception paths (a nodal-officer rejection rebuilds all four outputs together; transmission failures retry with back-off for 2 hours, then alert bureau operations and the nodal officer, and escalate to the CCO at due − 1 day; a late file raises a compliance issue); `BureauFileGenerated`, `BureauFileSubmitted`.</w:t>
      </w:r>
      <w:r>
        <w:br/>
      </w:r>
      <w:r>
        <w:rPr>
          <w:rStyle w:val="VerbatimChar"/>
        </w:rPr>
        <w:t xml:space="preserve">- RR7 rejections, data quality and disputes: rejection reports and file-level DQI ingested within 3 days into `bureau_rejection` keyed by uniform reason code; repair at source, never a hand-edited file; resubmission as cycle `RR` before or with the next reference-date file; ageing escalation to the nodal officer and the CCO; monthly CI-level DQI and the half-yearly review to top management within two months (CIR para 17); an SMS or email alert at submission of default data on 1600-series service headers that never delays the file (CIR para 34(1)(i)); the dispute state machine with the 21-day CI clock and 30-day overall clock (CICRA s.21(3); CIR para 35), ₹100 a day compensation apportioned per CIR para 35(4) by the RR7.4 formula, rounded to the paisa by largest remainder so that the shares sum to the total [owner to confirm the paisa rounding], and paid within 5 working days (CIR para 35(9)); `BureauRejectionReceived`, `BureauCorrectionRequested`, `BureauCorrectionCompleted`; nodal-officer changes notified to every CIC within 5 days. Disputes link to M15 grievances when Phase 15 delivers them; until then they run in their own register.</w:t>
      </w:r>
      <w:r>
        <w:br/>
      </w:r>
      <w:r>
        <w:rPr>
          <w:rStyle w:val="VerbatimChar"/>
        </w:rPr>
        <w:t xml:space="preserve">- Menus, screens and settings: build workspace K (Compliance and Regulatory Reporting), with the bureau-dispute queue shared with workspace F exactly as the credit-bureau rows of the `Menu and screens` and `Settings and options` subsections of Part 7B (RR9) specify (navigation paths, list, detail, wizard, approval-queue and dashboard screens, actions, bulk actions, filters, exports, empty and error states, role visibility, and each setting with its scope, default and floor), and register every entry in Appendix G; cadence, format-pack version, nodal officer and SFTP target are effective-dated settings under maker-checker; the cadence can never be set slower than CIR para 10(2) as substituted.</w:t>
      </w:r>
      <w:r>
        <w:br/>
      </w:r>
      <w:r>
        <w:br/>
      </w:r>
      <w:r>
        <w:rPr>
          <w:rStyle w:val="VerbatimChar"/>
        </w:rPr>
        <w:t xml:space="preserve">Tests and acceptance evidence:</w:t>
      </w:r>
      <w:r>
        <w:br/>
      </w:r>
      <w:r>
        <w:br/>
      </w:r>
      <w:r>
        <w:rPr>
          <w:rStyle w:val="VerbatimChar"/>
        </w:rPr>
        <w:t xml:space="preserve">- byte-level golden fixtures for one consumer, one commercial and one MFI file per cycle code, passing each bureau's validator where one is published;</w:t>
      </w:r>
      <w:r>
        <w:br/>
      </w:r>
      <w:r>
        <w:rPr>
          <w:rStyle w:val="VerbatimChar"/>
        </w:rPr>
        <w:t xml:space="preserve">- an account whose only change since the 9th is DPD 31 → 38 appears in W2; a loan closed on the 20th appears in W3 as category B;</w:t>
      </w:r>
      <w:r>
        <w:br/>
      </w:r>
      <w:r>
        <w:rPr>
          <w:rStyle w:val="VerbatimChar"/>
        </w:rPr>
        <w:t xml:space="preserve">- a microfinance loan never appears in the consumer file; a commercial field containing `~` is cleaned at source or held back;</w:t>
      </w:r>
      <w:r>
        <w:br/>
      </w:r>
      <w:r>
        <w:rPr>
          <w:rStyle w:val="VerbatimChar"/>
        </w:rPr>
        <w:t xml:space="preserve">- the July month-end file is due 5 August, and transmission on 6 August raises a compliance issue;</w:t>
      </w:r>
      <w:r>
        <w:br/>
      </w:r>
      <w:r>
        <w:rPr>
          <w:rStyle w:val="VerbatimChar"/>
        </w:rPr>
        <w:t xml:space="preserve">- CIR para 35 Case 7: ₹300 payable by the CI; the variant with the CIC a day later gives ₹400 split ₹100 CIC and ₹300 CI; a split that does not divide evenly (CIR para 35 Case 4) sums exactly to the total after largest-remainder rounding;</w:t>
      </w:r>
      <w:r>
        <w:br/>
      </w:r>
      <w:r>
        <w:rPr>
          <w:rStyle w:val="VerbatimChar"/>
        </w:rPr>
        <w:t xml:space="preserve">- a rejection from the 9th cycle not resubmitted by the 20th appears in the 16th-cycle file as `RR`;</w:t>
      </w:r>
      <w:r>
        <w:br/>
      </w:r>
      <w:r>
        <w:rPr>
          <w:rStyle w:val="VerbatimChar"/>
        </w:rPr>
        <w:t xml:space="preserve">- no SFTP or PGP private key is readable through any Finbyx admin API or log;</w:t>
      </w:r>
      <w:r>
        <w:br/>
      </w:r>
      <w:r>
        <w:rPr>
          <w:rStyle w:val="VerbatimChar"/>
        </w:rPr>
        <w:t xml:space="preserve">- a navigation test walks each role through the Appendix G entries for this phase and finds every screen, action and setting with the stated visibility and nothing more; a cadence slower than the CIR para 10(2) cycle fails `floor_violation`.</w:t>
      </w:r>
      <w:r>
        <w:br/>
      </w:r>
      <w:r>
        <w:br/>
      </w:r>
      <w:r>
        <w:rPr>
          <w:rStyle w:val="VerbatimChar"/>
        </w:rPr>
        <w:t xml:space="preserve">Show me the 2026-27 cadence calendar, the three format packs with their open `format_issue` list, the mapping table and the dispute compensation calculator, with the menu tree and settings catalogue of this phase (Appendix G), for approval before coding.</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docs/specs/phase-14c-credit-bureau-submissions.md: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feat/credit-bureau-submissions in small commits; run unit, integration, tenant-isolation and security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46"/>
        </w:numPr>
        <w:pStyle w:val="Compact"/>
      </w:pPr>
      <w:r>
        <w:t xml:space="preserve">☐ From 1 Jul 2026 the calendar produces W1, W2 and W3 incremental files for the 9th, 16th and 23rd due within 4 calendar days and a month-end full file due by the 5th, and no instance follows the withdrawn draft cadence (CIR para 10(2) as substituted; Annex VI).</w:t>
      </w:r>
    </w:p>
    <w:p>
      <w:pPr>
        <w:numPr>
          <w:ilvl w:val="0"/>
          <w:numId w:val="1046"/>
        </w:numPr>
        <w:pStyle w:val="Compact"/>
      </w:pPr>
      <w:r>
        <w:t xml:space="preserve">☐ An account whose only change since the 9th is DPD 31 to 38 appears in the W2 file, and a loan closed on the 20th appears in W3 as a category-B record (CIR paras 10(2)–10(3)).</w:t>
      </w:r>
    </w:p>
    <w:p>
      <w:pPr>
        <w:numPr>
          <w:ilvl w:val="0"/>
          <w:numId w:val="1046"/>
        </w:numPr>
        <w:pStyle w:val="Compact"/>
      </w:pPr>
      <w:r>
        <w:t xml:space="preserve">☐ A microfinance loan never appears in the consumer file, and golden consumer (v3.74), commercial (v3.10) and MFI (v3.3.1) files match byte-level fixtures and pass each bureau’s published validator where one exists (CIR para 12; UCRF specifications).</w:t>
      </w:r>
    </w:p>
    <w:p>
      <w:pPr>
        <w:numPr>
          <w:ilvl w:val="0"/>
          <w:numId w:val="1046"/>
        </w:numPr>
        <w:pStyle w:val="Compact"/>
      </w:pPr>
      <w:r>
        <w:t xml:space="preserve">☐ The CIR para 35 Case 7 golden tests compute ₹300 payable by the CI and, in the variant, ₹400 split ₹100 to the CIC and ₹300 to the CI, payable within 5 working days of resolution, and an uneven split sums exactly to the total after largest-remainder rounding to the paisa (CICRA s.21(3); CIR para 35; Part 7B RR7.4).</w:t>
      </w:r>
    </w:p>
    <w:p>
      <w:pPr>
        <w:numPr>
          <w:ilvl w:val="0"/>
          <w:numId w:val="1046"/>
        </w:numPr>
        <w:pStyle w:val="Compact"/>
      </w:pPr>
      <w:r>
        <w:t xml:space="preserve">☐ A rejection from the 9th cycle not resubmitted by the 20th shows as overdue and is carried in the 16th-cycle file as RR, and transmission of the July month-end file on 6 August raises a compliance issue (CIR paras 10(2) and 15 as substituted by RBI/DOR/2025-26/117; Annex VI).</w:t>
      </w:r>
    </w:p>
    <w:p>
      <w:pPr>
        <w:numPr>
          <w:ilvl w:val="0"/>
          <w:numId w:val="1046"/>
        </w:numPr>
        <w:pStyle w:val="Compact"/>
      </w:pPr>
      <w:r>
        <w:t xml:space="preserve">☐ No SFTP or PGP private key is readable through any Finbyx admin API or log (CIR para 6; Part 10.4).</w:t>
      </w:r>
    </w:p>
    <w:p>
      <w:pPr>
        <w:numPr>
          <w:ilvl w:val="0"/>
          <w:numId w:val="1046"/>
        </w:numPr>
        <w:pStyle w:val="Compact"/>
      </w:pPr>
      <w:r>
        <w:t xml:space="preserve">☐ An automated navigation test walks each role through the Appendix G entries for Part 7B (RR6–RR7) and finds every menu path, screen, action and setting listed in its</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with the stated visibility and nothing more, and an attempt to relax a regulatory-floor setting fails server-side with floor_violation (Part 7B (RR6–RR7); Appendix G; Part 10.2 principles 24 and 42).</w:t>
      </w:r>
    </w:p>
    <w:p>
      <w:pPr>
        <w:numPr>
          <w:ilvl w:val="0"/>
          <w:numId w:val="1046"/>
        </w:numPr>
        <w:pStyle w:val="Compact"/>
      </w:pPr>
      <w:r>
        <w:t xml:space="preserve">☐ The PR shows the test output; the ledger balances (if money moved); the regulatory register and docs/status are updated.</w:t>
      </w:r>
    </w:p>
    <w:bookmarkEnd w:id="43"/>
    <w:bookmarkStart w:id="44" w:name="Xb71aebac657d282d1b3f46373a7a38c2e6e43b2"/>
    <w:p>
      <w:pPr>
        <w:pStyle w:val="Heading3"/>
      </w:pPr>
      <w:r>
        <w:t xml:space="preserve">Phase 14d — Risk management, capital adequacy, ICAAP and leadership dashboards</w:t>
      </w:r>
    </w:p>
    <w:p>
      <w:pPr>
        <w:numPr>
          <w:ilvl w:val="0"/>
          <w:numId w:val="1047"/>
        </w:numPr>
        <w:pStyle w:val="Compact"/>
      </w:pPr>
      <w:r>
        <w:rPr>
          <w:bCs/>
          <w:b/>
        </w:rPr>
        <w:t xml:space="preserve">Outcome:</w:t>
      </w:r>
      <w:r>
        <w:t xml:space="preserve"> </w:t>
      </w:r>
      <w:r>
        <w:t xml:space="preserve">Part 7E: risk-governance resolver, CRO and RAS controls; risk register, KRIs, loss events, RCSA and the LawDocsComply risk feed; capital engine by profile; SLS, LCR and IRS limits; concentration and related-party limits; R1–R57 governed metric layer; ICAAP, stress testing and PCA monitor; 12 role dashboards and certified Board packs</w:t>
      </w:r>
    </w:p>
    <w:p>
      <w:pPr>
        <w:numPr>
          <w:ilvl w:val="0"/>
          <w:numId w:val="1047"/>
        </w:numPr>
        <w:pStyle w:val="Compact"/>
      </w:pPr>
      <w:r>
        <w:rPr>
          <w:bCs/>
          <w:b/>
        </w:rPr>
        <w:t xml:space="preserve">Depends on:</w:t>
      </w:r>
      <w:r>
        <w:t xml:space="preserve"> </w:t>
      </w:r>
      <w:r>
        <w:t xml:space="preserve">13b, 14, 14b</w:t>
      </w:r>
    </w:p>
    <w:p>
      <w:pPr>
        <w:numPr>
          <w:ilvl w:val="0"/>
          <w:numId w:val="1047"/>
        </w:numPr>
        <w:pStyle w:val="Compact"/>
      </w:pPr>
      <w:r>
        <w:rPr>
          <w:bCs/>
          <w:b/>
        </w:rPr>
        <w:t xml:space="preserve">Branch:</w:t>
      </w:r>
      <w:r>
        <w:t xml:space="preserve"> </w:t>
      </w:r>
      <w:r>
        <w:rPr>
          <w:rStyle w:val="VerbatimChar"/>
        </w:rPr>
        <w:t xml:space="preserve">feat/risk-capital-icaap</w:t>
      </w:r>
    </w:p>
    <w:p>
      <w:pPr>
        <w:numPr>
          <w:ilvl w:val="0"/>
          <w:numId w:val="1047"/>
        </w:numPr>
        <w:pStyle w:val="Compact"/>
      </w:pPr>
      <w:r>
        <w:rPr>
          <w:bCs/>
          <w:b/>
        </w:rPr>
        <w:t xml:space="preserve">Suggested sub-modules (one session each):</w:t>
      </w:r>
      <w:r>
        <w:t xml:space="preserve"> </w:t>
      </w:r>
      <w:r>
        <w:t xml:space="preserve">RK1 risk governance, CRO controls and RAS; RK2 risk register, KRIs, loss events, RCSA and LawDocsComply feed; RK3 capital adequacy engine; RK4–RK5 liquidity, IRS, concentration and related-party limits; RK6 governed metric layer and ratio library; RK7 ICAAP, stress engine and PCA monitor; RK8 role dashboards and Board-pack certification; Menus, screens and settings for Part 7E (Appendix G).</w:t>
      </w:r>
    </w:p>
    <w:p>
      <w:pPr>
        <w:pStyle w:val="FirstParagraph"/>
      </w:pPr>
      <w:r>
        <w:rPr>
          <w:bCs/>
          <w:b/>
        </w:rPr>
        <w:t xml:space="preserve">Paste into Claude Code:</w:t>
      </w:r>
    </w:p>
    <w:p>
      <w:pPr>
        <w:pStyle w:val="SourceCode"/>
      </w:pPr>
      <w:r>
        <w:rPr>
          <w:rStyle w:val="VerbatimChar"/>
        </w:rPr>
        <w:t xml:space="preserve">Phase 14d — Risk management, capital adequacy, ICAAP and leadership dashboards. Governing brief: docs/00-master-prompt.md (Part 12, Phase 14d; Part 8A prevails on regulatory points).</w:t>
      </w:r>
      <w:r>
        <w:br/>
      </w:r>
      <w:r>
        <w:br/>
      </w:r>
      <w:r>
        <w:rPr>
          <w:rStyle w:val="VerbatimChar"/>
        </w:rPr>
        <w:t xml:space="preserve">Before writing the specification, verify: (i) the Part 7E build rules against docs/regulations/rbi/: no Pillar 1 operational- or market-risk charge and no insisted Pillar 2 capital for NBFCs (CAP para 54); leverage ≤ 7 for BL only (CAP para 17); CRO mandatory only above ₹5,000 crore (GOV para 19); LCR for NBFC-ND from ₹5,000 crore (ALM Ch III); MFI qualifying assets 60% (MFI paras 8(3), 12); PCA thresholds and scope (MSD paras 3, 16–19); (ii) the [VERIFY] rows of RK3.1 and RK6.2 (HFC paras 20, 22 and 58; CIC ANW/RWA and leverage; SFB, UCB and bank packs including CB-CAP, CB-CRSA and the 1 Apr 2027 changes), loading unverified packs as non-regulatory; (iii) the LawDocsComply GRC connector version and the Integration Spec v1.1 risk events (`LimitBreached` carries `limit_type`, including `PCA_RT1`–`PCA_RT3`, and `status` OPEN or CURED with a higher `update_seq` for a cure). Then build Part 7E on the Phase 14 exposure, ALM, RWA and ICAAP-mart engines:</w:t>
      </w:r>
      <w:r>
        <w:br/>
      </w:r>
      <w:r>
        <w:br/>
      </w:r>
      <w:r>
        <w:rPr>
          <w:rStyle w:val="VerbatimChar"/>
        </w:rPr>
        <w:t xml:space="preserve">- RK1: the risk-governance resolver (RMC for all layers; CRO for ML and above with assets &gt; ₹5,000 crore; ALCO; ITSC); CRO guard-rails (no business role or targets; quarterly in-camera meeting where the CRO reports to the MD &amp; CEO; premature removal needs a Board reference and drafts the DoS RO intimation); the product-vetting gate (GOV para 23); the RAS with appetite, tolerance and limit (never looser than regulation) and cascaded limits whose children cannot exceed the parent.</w:t>
      </w:r>
      <w:r>
        <w:br/>
      </w:r>
      <w:r>
        <w:rPr>
          <w:rStyle w:val="VerbatimChar"/>
        </w:rPr>
        <w:t xml:space="preserve">- RK2: risk register and taxonomy; RCSA campaigns with second-line challenge; KRIs only on governed metrics; loss events with occurrence, discovery and accounting dates; system-of-record split by M14 compliance mode; the LawDocsComply feed as CloudEvents with a per-tenant `prevhash` chain, HMAC-SHA256 pseudonyms keyed in the tenant KMS, banded individual amounts and no raw PII; inbound KRI and Obligation pull plus `ObligationPublished`, rejecting any KRI whose metric is not in RK6; daily count-and-hash reconciliation.</w:t>
      </w:r>
      <w:r>
        <w:br/>
      </w:r>
      <w:r>
        <w:rPr>
          <w:rStyle w:val="VerbatimChar"/>
        </w:rPr>
        <w:t xml:space="preserve">- RK3 capital: effective-dated minimums by profile; risk-weight deltas (125% consumer credit fixed at sanction; microfinance out of 125% from 25 Feb 2025; infrastructure 75%/50% and grandfathering to 31 Mar 2027; HFC LTV weights; guarantee-scheme cover at 0%; Ind AS filters); daily shadow, monthly, quarterly regulatory and annual audited runs with the RWA walk and three-click lineage; certification blocked if unclassified exposure exceeds 0.1% of EAD, the TB is unlocked or ECL is unapproved; headroom bands; BL leverage alert at 6.5; gold-primary detector; pre-sanction what-if pinned to the sanction; bank parallel run of the 2027 packs; `CapitalRatioComputed`.</w:t>
      </w:r>
      <w:r>
        <w:br/>
      </w:r>
      <w:r>
        <w:rPr>
          <w:rStyle w:val="VerbatimChar"/>
        </w:rPr>
        <w:t xml:space="preserve">- RK4–RK5: SLS limits 10%/10%/20% solo and consolidated with an 80% early warning; LCR ≥ 100% with the 75% inflow cap and the HQLA register; IRS gap, EaR, DGAP and ΔEVE; CFP triggers and drills; behavioural assumptions only with ALCO approval; concentration limits by profile with a hard stop on an LE breach until cured (CON paras 45–46); group workbench with link evidence; related-party materiality ₹10/₹5/₹1 crore with Board or non-ACB committee approval and recusal (CRM paras 13G–13J); LEI gate.</w:t>
      </w:r>
      <w:r>
        <w:br/>
      </w:r>
      <w:r>
        <w:rPr>
          <w:rStyle w:val="VerbatimChar"/>
        </w:rPr>
        <w:t xml:space="preserve">- RK6: metric definitions and versions (DRAFT → VALIDATED → APPROVED → RETIRED), restatement series that never overwrite certified values, OpenLineage, and the R1–R57 seed library; a value shows 'compliant' only after applicability, completeness, data-quality and owner certification, otherwise 'indicative'.</w:t>
      </w:r>
      <w:r>
        <w:br/>
      </w:r>
      <w:r>
        <w:rPr>
          <w:rStyle w:val="VerbatimChar"/>
        </w:rPr>
        <w:t xml:space="preserve">- RK7: the nine-part ICAAP with the RK7.3 workflow and frozen snapshot; the stress engine (sensitivity, macro, liquidity, reverse stress by bisection) reproducible bit-for-bit; operational-risk capital only as 'ICAAP internal'; the PCA monitor with 150 bps proximity, forecast alerts, `PCA_RTn` breaches, MSD para 19 restrictions (RT2 blocks branch creation) and the exit tracker.</w:t>
      </w:r>
      <w:r>
        <w:br/>
      </w:r>
      <w:r>
        <w:rPr>
          <w:rStyle w:val="VerbatimChar"/>
        </w:rPr>
        <w:t xml:space="preserve">- RK8: the 12 role dashboards; personal thresholds only tighter than the RAS; an uncertified sandbox with watermark; certification COMPUTED → VALIDATED → REVIEWED → CERTIFIED → PUBLISHED, revoked automatically on restatement; hash-frozen Board packs.</w:t>
      </w:r>
      <w:r>
        <w:br/>
      </w:r>
      <w:r>
        <w:rPr>
          <w:rStyle w:val="VerbatimChar"/>
        </w:rPr>
        <w:t xml:space="preserve">- Menus, screens and settings: build workspace J (Risk) and the role dashboards of workspace M exactly as the `Menu and screens` and `Settings and options` subsections of Part 7E specify (navigation paths, list, detail, wizard, approval-queue and dashboard screens, actions, bulk actions, filters, exports, empty and error states, role visibility, and each setting with its scope, default and floor), and register every entry in Appendix G; RAS limits can only be tighter than regulation and personal dashboard thresholds only tighter than the RAS; a pending limit change shows its effective date and approver.</w:t>
      </w:r>
      <w:r>
        <w:br/>
      </w:r>
      <w:r>
        <w:br/>
      </w:r>
      <w:r>
        <w:rPr>
          <w:rStyle w:val="VerbatimChar"/>
        </w:rPr>
        <w:t xml:space="preserve">Emit `KriBreached`, `LossEventRecorded`, `CapitalRatioComputed`, `LimitBreached`, `StressTestCompleted` and `RiskSnapshotPublished`; repoint the Phase 14b DNBS03 and DNBS04A/04B elements to the RK3 and RK4 runs. Udofin never computes or shows RE prudential ratios.</w:t>
      </w:r>
      <w:r>
        <w:br/>
      </w:r>
      <w:r>
        <w:br/>
      </w:r>
      <w:r>
        <w:rPr>
          <w:rStyle w:val="VerbatimChar"/>
        </w:rPr>
        <w:t xml:space="preserve">Tests and acceptance evidence:</w:t>
      </w:r>
      <w:r>
        <w:br/>
      </w:r>
      <w:r>
        <w:br/>
      </w:r>
      <w:r>
        <w:rPr>
          <w:rStyle w:val="VerbatimChar"/>
        </w:rPr>
        <w:t xml:space="preserve">- an ML tenant with ₹5,050 crore assets shows 'CRO mandatory', and giving the CRO a business role is rejected (GOV para 21(3));</w:t>
      </w:r>
      <w:r>
        <w:br/>
      </w:r>
      <w:r>
        <w:rPr>
          <w:rStyle w:val="VerbatimChar"/>
        </w:rPr>
        <w:t xml:space="preserve">- a consumer-credit personal loan attracts 125%, a JLG loan sanctioned after 25 Feb 2025 attracts 100%, and a run dated earlier reproduces the old treatment;</w:t>
      </w:r>
      <w:r>
        <w:br/>
      </w:r>
      <w:r>
        <w:rPr>
          <w:rStyle w:val="VerbatimChar"/>
        </w:rPr>
        <w:t xml:space="preserve">- a BL tenant shows leverage and no CRAR; no NBFC shows an operational-risk RWA line;</w:t>
      </w:r>
      <w:r>
        <w:br/>
      </w:r>
      <w:r>
        <w:rPr>
          <w:rStyle w:val="VerbatimChar"/>
        </w:rPr>
        <w:t xml:space="preserve">- LCR with contractual outflows 100 and inflows 120 gives net outflows 28.75 (inflow cap applied); a UL counterparty at 25.1% is blocked regardless of Board approval;</w:t>
      </w:r>
      <w:r>
        <w:br/>
      </w:r>
      <w:r>
        <w:rPr>
          <w:rStyle w:val="VerbatimChar"/>
        </w:rPr>
        <w:t xml:space="preserve">- a ₹6 crore related-party loan at an ML tenant cannot be approved by the Audit Committee;</w:t>
      </w:r>
      <w:r>
        <w:br/>
      </w:r>
      <w:r>
        <w:rPr>
          <w:rStyle w:val="VerbatimChar"/>
        </w:rPr>
        <w:t xml:space="preserve">- projected NNPA of 6.3% raises a PCA forecast alert; an HFC has no PCA screen; RT2 blocks a new branch;</w:t>
      </w:r>
      <w:r>
        <w:br/>
      </w:r>
      <w:r>
        <w:rPr>
          <w:rStyle w:val="VerbatimChar"/>
        </w:rPr>
        <w:t xml:space="preserve">- replaying the LawDocsComply feed for a month reproduces identical hashes, and an LE breach carries an HMAC reference LawDocsComply cannot resolve;</w:t>
      </w:r>
      <w:r>
        <w:br/>
      </w:r>
      <w:r>
        <w:rPr>
          <w:rStyle w:val="VerbatimChar"/>
        </w:rPr>
        <w:t xml:space="preserve">- restating a closed-month GL entry revokes dependent certifications and marks the frozen Board pack 'superseded by restatement' while keeping its hash;</w:t>
      </w:r>
      <w:r>
        <w:br/>
      </w:r>
      <w:r>
        <w:rPr>
          <w:rStyle w:val="VerbatimChar"/>
        </w:rPr>
        <w:t xml:space="preserve">- a navigation test walks each role through the Appendix G entries for this phase and finds every screen, action and setting with the stated visibility and nothing more; a RAS limit looser than the regulatory limit fails `floor_violation`.</w:t>
      </w:r>
      <w:r>
        <w:br/>
      </w:r>
      <w:r>
        <w:br/>
      </w:r>
      <w:r>
        <w:rPr>
          <w:rStyle w:val="VerbatimChar"/>
        </w:rPr>
        <w:t xml:space="preserve">Show me the risk-governance resolver, the capital rule pack per profile, the R1–R57 metric definitions with owners, the LawDocsComply feed schema and the PCA rule pack, with the menu tree and settings catalogue of this phase (Appendix G), for approval before coding.</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docs/specs/phase-14d-risk-capital-icaap.md: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feat/risk-capital-icaap in small commits; run unit, integration, tenant-isolation and security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48"/>
        </w:numPr>
        <w:pStyle w:val="Compact"/>
      </w:pPr>
      <w:r>
        <w:t xml:space="preserve">☐ An ML tenant with last-audited assets of ₹5,050 crore shows CRO mandatory, and assigning the CRO a business role or target is rejected with the GOV para 21(3) citation (GOV paras 19, 21(3)).</w:t>
      </w:r>
    </w:p>
    <w:p>
      <w:pPr>
        <w:numPr>
          <w:ilvl w:val="0"/>
          <w:numId w:val="1048"/>
        </w:numPr>
        <w:pStyle w:val="Compact"/>
      </w:pPr>
      <w:r>
        <w:t xml:space="preserve">☐ A BL tenant shows the leverage ratio and no CRAR, an ML tenant shows no leverage ratio, and no NBFC profile shows an operational- or market-risk RWA line (CAP paras 4(7), 17, 54).</w:t>
      </w:r>
    </w:p>
    <w:p>
      <w:pPr>
        <w:numPr>
          <w:ilvl w:val="0"/>
          <w:numId w:val="1048"/>
        </w:numPr>
        <w:pStyle w:val="Compact"/>
      </w:pPr>
      <w:r>
        <w:t xml:space="preserve">☐ A consumer-credit personal loan attracts 125%, a JLG loan sanctioned after 25 Feb 2025 attracts 100%, and a run dated before 25 Feb 2025 reproduces the earlier treatment (CAP para 18(1); RBI notification of 25 Feb 2025).</w:t>
      </w:r>
    </w:p>
    <w:p>
      <w:pPr>
        <w:numPr>
          <w:ilvl w:val="0"/>
          <w:numId w:val="1048"/>
        </w:numPr>
        <w:pStyle w:val="Compact"/>
      </w:pPr>
      <w:r>
        <w:t xml:space="preserve">☐ The LCR engine applies the 75% inflow cap (contractual outflows 100 and inflows 120 give net outflows 28.75), and a UL counterparty exposure above 25% of the eligible capital base is blocked and hard-stops further exposure until cured (ALM para 76; CON paras 33–35, 45–46).</w:t>
      </w:r>
    </w:p>
    <w:p>
      <w:pPr>
        <w:numPr>
          <w:ilvl w:val="0"/>
          <w:numId w:val="1048"/>
        </w:numPr>
        <w:pStyle w:val="Compact"/>
      </w:pPr>
      <w:r>
        <w:t xml:space="preserve">☐ Projected year-end NNPA of 6.3% raises a PCA forecast alert, an HFC tenant has no PCA screen, and pca_status RT2 blocks branch creation and dividend proposals (MSD paras 3, 16–19).</w:t>
      </w:r>
    </w:p>
    <w:p>
      <w:pPr>
        <w:numPr>
          <w:ilvl w:val="0"/>
          <w:numId w:val="1048"/>
        </w:numPr>
        <w:pStyle w:val="Compact"/>
      </w:pPr>
      <w:r>
        <w:t xml:space="preserve">☐ The LawDocsComply feed carries HMAC pseudonyms and no raw PII, replaying a month reproduces identical event hashes, and restating a closed-month GL entry revokes dependent metric certifications (Integration Spec v1.1 risk domain; RK2.4; RK8.3).</w:t>
      </w:r>
    </w:p>
    <w:p>
      <w:pPr>
        <w:numPr>
          <w:ilvl w:val="0"/>
          <w:numId w:val="1048"/>
        </w:numPr>
        <w:pStyle w:val="Compact"/>
      </w:pPr>
      <w:r>
        <w:t xml:space="preserve">☐ An automated navigation test walks each role through the Appendix G entries for Part 7E and finds every menu path, screen, action and setting listed in its</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with the stated visibility and nothing more, and an attempt to relax a regulatory-floor setting fails server-side with floor_violation (Part 7E; Appendix G; Part 10.2 principles 24 and 42).</w:t>
      </w:r>
    </w:p>
    <w:p>
      <w:pPr>
        <w:numPr>
          <w:ilvl w:val="0"/>
          <w:numId w:val="1048"/>
        </w:numPr>
        <w:pStyle w:val="Compact"/>
      </w:pPr>
      <w:r>
        <w:t xml:space="preserve">☐ The PR shows the test output; the ledger balances (if money moved); the regulatory register and docs/status are updated.</w:t>
      </w:r>
    </w:p>
    <w:bookmarkEnd w:id="44"/>
    <w:bookmarkStart w:id="45" w:name="X4ec9c2b3575add66ecd97fcc988ed3b5ce6b048"/>
    <w:p>
      <w:pPr>
        <w:pStyle w:val="Heading3"/>
      </w:pPr>
      <w:r>
        <w:t xml:space="preserve">Phase 15 — Grievance, borrower portal and feedback</w:t>
      </w:r>
    </w:p>
    <w:p>
      <w:pPr>
        <w:numPr>
          <w:ilvl w:val="0"/>
          <w:numId w:val="1049"/>
        </w:numPr>
        <w:pStyle w:val="Compact"/>
      </w:pPr>
      <w:r>
        <w:rPr>
          <w:bCs/>
          <w:b/>
        </w:rPr>
        <w:t xml:space="preserve">Outcome:</w:t>
      </w:r>
      <w:r>
        <w:t xml:space="preserve"> </w:t>
      </w:r>
      <w:r>
        <w:t xml:space="preserve">Complaints, Internal Ombudsman, RB-IOS 2026, Equator referral (re-using the Phase 12b ODR adapter), borrower portal, feedback</w:t>
      </w:r>
    </w:p>
    <w:p>
      <w:pPr>
        <w:numPr>
          <w:ilvl w:val="0"/>
          <w:numId w:val="1049"/>
        </w:numPr>
        <w:pStyle w:val="Compact"/>
      </w:pPr>
      <w:r>
        <w:rPr>
          <w:bCs/>
          <w:b/>
        </w:rPr>
        <w:t xml:space="preserve">Depends on:</w:t>
      </w:r>
      <w:r>
        <w:t xml:space="preserve"> </w:t>
      </w:r>
      <w:r>
        <w:t xml:space="preserve">3b, 9, 12b</w:t>
      </w:r>
    </w:p>
    <w:p>
      <w:pPr>
        <w:numPr>
          <w:ilvl w:val="0"/>
          <w:numId w:val="1049"/>
        </w:numPr>
        <w:pStyle w:val="Compact"/>
      </w:pPr>
      <w:r>
        <w:rPr>
          <w:bCs/>
          <w:b/>
        </w:rPr>
        <w:t xml:space="preserve">Branch:</w:t>
      </w:r>
      <w:r>
        <w:t xml:space="preserve"> </w:t>
      </w:r>
      <w:r>
        <w:rPr>
          <w:rStyle w:val="VerbatimChar"/>
        </w:rPr>
        <w:t xml:space="preserve">feat/grievance-portal</w:t>
      </w:r>
    </w:p>
    <w:p>
      <w:pPr>
        <w:pStyle w:val="FirstParagraph"/>
      </w:pPr>
      <w:r>
        <w:rPr>
          <w:bCs/>
          <w:b/>
        </w:rPr>
        <w:t xml:space="preserve">Paste into Claude Code:</w:t>
      </w:r>
    </w:p>
    <w:p>
      <w:pPr>
        <w:pStyle w:val="SourceCode"/>
      </w:pPr>
      <w:r>
        <w:rPr>
          <w:rStyle w:val="VerbatimChar"/>
        </w:rPr>
        <w:t xml:space="preserve">Phase 15 — Grievance, borrower portal and feedback. Governing brief: docs/00-master-prompt.md (Part 12, Phase 15; Part 8A prevails on regulatory points).</w:t>
      </w:r>
      <w:r>
        <w:br/>
      </w:r>
      <w:r>
        <w:br/>
      </w:r>
      <w:r>
        <w:rPr>
          <w:rStyle w:val="VerbatimChar"/>
        </w:rPr>
        <w:t xml:space="preserve">Build:</w:t>
      </w:r>
      <w:r>
        <w:br/>
      </w:r>
      <w:r>
        <w:br/>
      </w:r>
      <w:r>
        <w:rPr>
          <w:rStyle w:val="VerbatimChar"/>
        </w:rPr>
        <w:t xml:space="preserve">- the complaint management system, with automated Internal Ombudsman escalation where applicable, and RB-IOS 2026 support;</w:t>
      </w:r>
      <w:r>
        <w:br/>
      </w:r>
      <w:r>
        <w:rPr>
          <w:rStyle w:val="VerbatimChar"/>
        </w:rPr>
        <w:t xml:space="preserve">- Equator referral, re-using the Phase 12b ODR adapter (R8);</w:t>
      </w:r>
      <w:r>
        <w:br/>
      </w:r>
      <w:r>
        <w:rPr>
          <w:rStyle w:val="VerbatimChar"/>
        </w:rPr>
        <w:t xml:space="preserve">- the AI support assistant, restricted to approved sources;</w:t>
      </w:r>
      <w:r>
        <w:br/>
      </w:r>
      <w:r>
        <w:rPr>
          <w:rStyle w:val="VerbatimChar"/>
        </w:rPr>
        <w:t xml:space="preserve">- the optional borrower self-service portal;</w:t>
      </w:r>
      <w:r>
        <w:br/>
      </w:r>
      <w:r>
        <w:rPr>
          <w:rStyle w:val="VerbatimChar"/>
        </w:rPr>
        <w:t xml:space="preserve">- feedback (CSAT/NPS, plus sales feedback within 30 days under RBC para 101Y [VERIFY: amendment text not supplied]);</w:t>
      </w:r>
      <w:r>
        <w:br/>
      </w:r>
      <w:r>
        <w:rPr>
          <w:rStyle w:val="VerbatimChar"/>
        </w:rPr>
        <w:t xml:space="preserve">- the v1.5 grievance escalation chain v2 (M15): `OmbudsmanReferralRecorded`, `GrievanceReopened` and `GrievanceRated` from Udofin and other channels (Integration Spec v1.1 Part 6.12), the RB-IOS 2026 window computed as 90 days after the RE's 30-day reply period or its last reply (cl.10(1)(g)) and the 15-day reply to the Ombudsman (cl.14(2)) [VERIFY: clause numbers], with the RE's Grievance Redressal Officer and Internal Ombudsman always owning the case.</w:t>
      </w:r>
      <w:r>
        <w:br/>
      </w:r>
      <w:r>
        <w:br/>
      </w:r>
      <w:r>
        <w:rPr>
          <w:rStyle w:val="VerbatimChar"/>
        </w:rPr>
        <w:t xml:space="preserve">Use the Phase 3b communications module for all messages.</w:t>
      </w:r>
      <w:r>
        <w:br/>
      </w:r>
      <w:r>
        <w:br/>
      </w:r>
      <w:r>
        <w:rPr>
          <w:rStyle w:val="VerbatimChar"/>
        </w:rPr>
        <w:t xml:space="preserve">v1.3 regulatory additions for this phase (Part 8A.36.4) — include them:</w:t>
      </w:r>
      <w:r>
        <w:br/>
      </w:r>
      <w:r>
        <w:rPr>
          <w:rStyle w:val="VerbatimChar"/>
        </w:rPr>
        <w:t xml:space="preserve">- Next-higher-level grievance disposal (RBC 7(2)); Second Amendment para 101Y feedback behind [VERIFY: amendment text not supplied] [RBC / WD]</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docs/specs/phase-15-grievance-portal.md: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feat/grievance-portal in small commits; run unit, integration, tenant-isolation and security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50"/>
        </w:numPr>
        <w:pStyle w:val="Compact"/>
      </w:pPr>
      <w:r>
        <w:t xml:space="preserve">☐ CIR complaint clocks (21/30 days) and ₹100/day compensation work (CIR 34–35).</w:t>
      </w:r>
    </w:p>
    <w:p>
      <w:pPr>
        <w:numPr>
          <w:ilvl w:val="0"/>
          <w:numId w:val="1050"/>
        </w:numPr>
        <w:pStyle w:val="Compact"/>
      </w:pPr>
      <w:r>
        <w:t xml:space="preserve">☐ Complaint replies carry the RB-IOS 2026 escalation text and follow its escalation timelines [VERIFY: RB-IOS 2026 text not yet supplied].</w:t>
      </w:r>
    </w:p>
    <w:p>
      <w:pPr>
        <w:numPr>
          <w:ilvl w:val="0"/>
          <w:numId w:val="1050"/>
        </w:numPr>
        <w:pStyle w:val="Compact"/>
      </w:pPr>
      <w:r>
        <w:t xml:space="preserve">☐ Every complaint is disposed at the next-higher level where RBC 7(2) requires it.</w:t>
      </w:r>
    </w:p>
    <w:p>
      <w:pPr>
        <w:numPr>
          <w:ilvl w:val="0"/>
          <w:numId w:val="1050"/>
        </w:numPr>
        <w:pStyle w:val="Compact"/>
      </w:pPr>
      <w:r>
        <w:t xml:space="preserve">☐ The PR shows the test output; the ledger balances (if money moved); the regulatory register and docs/status are updated.</w:t>
      </w:r>
    </w:p>
    <w:bookmarkEnd w:id="45"/>
    <w:bookmarkStart w:id="46" w:name="X93500b4d8e18f7ac99d09a1cfbbedd4f4c0c10d"/>
    <w:p>
      <w:pPr>
        <w:pStyle w:val="Heading3"/>
      </w:pPr>
      <w:r>
        <w:t xml:space="preserve">Phase 15b — Data portability, archives and customer-controlled storage</w:t>
      </w:r>
    </w:p>
    <w:p>
      <w:pPr>
        <w:numPr>
          <w:ilvl w:val="0"/>
          <w:numId w:val="1051"/>
        </w:numPr>
        <w:pStyle w:val="Compact"/>
      </w:pPr>
      <w:r>
        <w:rPr>
          <w:bCs/>
          <w:b/>
        </w:rPr>
        <w:t xml:space="preserve">Outcome:</w:t>
      </w:r>
      <w:r>
        <w:t xml:space="preserve"> </w:t>
      </w:r>
      <w:r>
        <w:t xml:space="preserve">Part 7J: archive standard v1.0 with manifest, dictionary, README and offline verifier; scoped, scheduled, incremental and full exports; storage connectors with residency checks, BYOK and HYOK; customer-held backups and rehydration tests; exit state machine, purge certificate and partial exits</w:t>
      </w:r>
    </w:p>
    <w:p>
      <w:pPr>
        <w:numPr>
          <w:ilvl w:val="0"/>
          <w:numId w:val="1051"/>
        </w:numPr>
        <w:pStyle w:val="Compact"/>
      </w:pPr>
      <w:r>
        <w:rPr>
          <w:bCs/>
          <w:b/>
        </w:rPr>
        <w:t xml:space="preserve">Depends on:</w:t>
      </w:r>
      <w:r>
        <w:t xml:space="preserve"> </w:t>
      </w:r>
      <w:r>
        <w:t xml:space="preserve">12, 13b, 14b, 14c, 15</w:t>
      </w:r>
    </w:p>
    <w:p>
      <w:pPr>
        <w:numPr>
          <w:ilvl w:val="0"/>
          <w:numId w:val="1051"/>
        </w:numPr>
        <w:pStyle w:val="Compact"/>
      </w:pPr>
      <w:r>
        <w:rPr>
          <w:bCs/>
          <w:b/>
        </w:rPr>
        <w:t xml:space="preserve">Branch:</w:t>
      </w:r>
      <w:r>
        <w:t xml:space="preserve"> </w:t>
      </w:r>
      <w:r>
        <w:rPr>
          <w:rStyle w:val="VerbatimChar"/>
        </w:rPr>
        <w:t xml:space="preserve">feat/data-portability-archives</w:t>
      </w:r>
    </w:p>
    <w:p>
      <w:pPr>
        <w:numPr>
          <w:ilvl w:val="0"/>
          <w:numId w:val="1051"/>
        </w:numPr>
        <w:pStyle w:val="Compact"/>
      </w:pPr>
      <w:r>
        <w:rPr>
          <w:bCs/>
          <w:b/>
        </w:rPr>
        <w:t xml:space="preserve">Suggested sub-modules (one session each):</w:t>
      </w:r>
      <w:r>
        <w:t xml:space="preserve"> </w:t>
      </w:r>
      <w:r>
        <w:t xml:space="preserve">DP1 archive standard, manifest, dictionary, README and verifier; DP2 export jobs, snapshots and incremental chains; DP3 storage connectors and residency checks; DP3.3 BYOK, HYOK and client-side archive encryption; DP4 customer-held backups, archive importer and restore tests; DP5 exit state machine, purge and certificate; Menus, screens and settings for Part 7J (Appendix G).</w:t>
      </w:r>
    </w:p>
    <w:p>
      <w:pPr>
        <w:pStyle w:val="FirstParagraph"/>
      </w:pPr>
      <w:r>
        <w:rPr>
          <w:bCs/>
          <w:b/>
        </w:rPr>
        <w:t xml:space="preserve">Paste into Claude Code:</w:t>
      </w:r>
    </w:p>
    <w:p>
      <w:pPr>
        <w:pStyle w:val="SourceCode"/>
      </w:pPr>
      <w:r>
        <w:rPr>
          <w:rStyle w:val="VerbatimChar"/>
        </w:rPr>
        <w:t xml:space="preserve">Phase 15b — Data portability, archives and customer-controlled storage. Governing brief: docs/00-master-prompt.md (Part 12, Phase 15b; Part 8A prevails on regulatory points).</w:t>
      </w:r>
      <w:r>
        <w:br/>
      </w:r>
      <w:r>
        <w:br/>
      </w:r>
      <w:r>
        <w:rPr>
          <w:rStyle w:val="VerbatimChar"/>
        </w:rPr>
        <w:t xml:space="preserve">Before writing the specification, verify: (i) OUT paras 34(xii), 74(vi), 87, 88, 97(ii), 97(vii)(b) and 97(xvi), CYB paras 8(9), 105 and 129–133, and CF para 14(4) against docs/regulations/rbi/; (ii) Companies (Accounts) Rules r.3(1) and 3(5) and the s.128(5) retention; (iii) residency evidence per storage provider (S3 `GetBucketLocation` ap-south-1 or ap-south-2; Azure Central, South or West India; GCS asia-south1 or asia-south2; Microsoft 365 Default Geography India; Google Drive has no India region, so it takes only non-regulated classes — never personal data, books of account, returns, loan or HR data — with no override); (iv) the AWS KMS External Key Store constraints for HYOK; (v) Integration Spec v1.1 Part 12 layouts, the Part 13.2 data classes and the portability events. Then build Part 7J, reusing the Part 7A.0.5 detach export, R14 `export_job` and `export_manifest`, M16 hashes and AC7:</w:t>
      </w:r>
      <w:r>
        <w:br/>
      </w:r>
      <w:r>
        <w:br/>
      </w:r>
      <w:r>
        <w:rPr>
          <w:rStyle w:val="VerbatimChar"/>
        </w:rPr>
        <w:t xml:space="preserve">- DP1 archive standard v1.0: the folder tree from 00 Start Here to 14 System Audit Trail with a versioned `folder_policy`; Windows-safe names ≤ 240 characters and `ids_only` labels by default (no customer names in paths); per dataset CSV (RFC 4180, UTF-8 with BOM, ISO 8601, 2-decimal INR strings), XLSX (Read me sheet, typed columns, split at 1,000,000 rows) and JSON Schema; originals byte-identical to the M16 hash; PDF/A-2b plus DOCX renditions and a per-loan summary; regulatory and bureau files byte-identical to submission; `export-manifest.csv`, `manifest.json` with control totals and a detached JWS; data dictionary, relationship map, README (PDF, DOCX, TXT) and the Apache-2.0 offline verifier; restricted HR and legal folders as separately encrypted inner archives only with the restricted permission, a second approver and the DPO; never Aadhaar numbers or card data.</w:t>
      </w:r>
      <w:r>
        <w:br/>
      </w:r>
      <w:r>
        <w:rPr>
          <w:rStyle w:val="VerbatimChar"/>
        </w:rPr>
        <w:t xml:space="preserve">- DP2 exports: scopes from a dataset to the full tenant (full tenant needs a second approver and MFA); REQUESTED → APPROVED → SNAPSHOT → RENDER → PACKAGE → SIGN → DELIVER → CONFIRMED; a consistent point-in-time snapshot; control totals reconciled before signing; single-use download links valid 7 days; daily and weekly incremental chains with `changes/`, `reversals/` and the predecessor `archive_id`; `ExportRequested` and `ExportCompleted` without customer data.</w:t>
      </w:r>
      <w:r>
        <w:br/>
      </w:r>
      <w:r>
        <w:rPr>
          <w:rStyle w:val="VerbatimChar"/>
        </w:rPr>
        <w:t xml:space="preserve">- DP3 storage connectors: the `StorageTarget` SPI (`describe`, `verifyResidency`, `testWrite`, `put`, `head`, `list`, `retentionInfo`, `healthCheck`) for S3, Azure Blob, GCS, SharePoint or OneDrive (`Sites.Selected`), Google Drive (non-regulated classes only), SFTP and the outbound-only Connector Agent; the per-target data-class policy enforced before upload; federation instead of long-lived secrets; certification before production; platform-managed keys, BYOK (grant or imported material), HYOK only with a signed CISO and CTO risk acceptance, and client-side archive encryption; ML and UL tenants offered tenant-controlled keys (OUT para 97(vii)(b)); `StorageTargetConnected`.</w:t>
      </w:r>
      <w:r>
        <w:br/>
      </w:r>
      <w:r>
        <w:rPr>
          <w:rStyle w:val="VerbatimChar"/>
        </w:rPr>
        <w:t xml:space="preserve">- DP4 customer-held backups: default daily incremental at 02:00 IST, monthly full and FY full after audit; logical dumps only for dedicated deployments; P2 on one missed run, P1 and a tenant notice on two; integrity check on every backup, a monthly readability sample of 50 files, and quarterly rehydration into a sandbox through the archive importer (TB, DPD and classification of 100 loans, audit hash chain); `BackupCompleted`, `RestoreTested`.</w:t>
      </w:r>
      <w:r>
        <w:br/>
      </w:r>
      <w:r>
        <w:rPr>
          <w:rStyle w:val="VerbatimChar"/>
        </w:rPr>
        <w:t xml:space="preserve">- DP6 settings, menus and screens: the Part 7J DP6 settings and the `Data` menu of workspace N (exports, schedules, storage targets, backups, restore tests, exit).</w:t>
      </w:r>
      <w:r>
        <w:br/>
      </w:r>
      <w:r>
        <w:rPr>
          <w:rStyle w:val="VerbatimChar"/>
        </w:rPr>
        <w:t xml:space="preserve">- DP5 exit: EXIT_NOTICE → … → CLOSED with default turnarounds (plan 10 working days; final export 5 working days after cut-over for ≤ 1 million loans; successor support up to 60 days; read-only 90 days); purge and retention-deletion jobs suspended from notice (OUT para 87); purge only after a written PURGE_APPROVED; crypto-shredding of the tenant key; a purge certificate with independent assurance; partial exits by legal entity and module; insolvency-professional access through the Phase 2 external-access grant (`ExternalAccessGranted`; at most 90 days per grant). Read and export never depend on payment for an RE tenant.</w:t>
      </w:r>
      <w:r>
        <w:br/>
      </w:r>
      <w:r>
        <w:rPr>
          <w:rStyle w:val="VerbatimChar"/>
        </w:rPr>
        <w:t xml:space="preserve">- Menus, screens and settings: build workspace N (Tenant Administration: Data, exports and storage) exactly as the `Menu and screens` and `Settings and options` subsections of Part 7J specify (navigation paths, list, detail, wizard, approval-queue and dashboard screens, actions, bulk actions, filters, exports, empty and error states, role visibility, and each setting with its scope, default and floor), and register every entry in Appendix G; storage targets, backup schedules, label policy and key mode are settings under maker-checker; on-demand and exit exports are never placed behind a plan or payment setting.</w:t>
      </w:r>
      <w:r>
        <w:br/>
      </w:r>
      <w:r>
        <w:br/>
      </w:r>
      <w:r>
        <w:rPr>
          <w:rStyle w:val="VerbatimChar"/>
        </w:rPr>
        <w:t xml:space="preserve">Tests and acceptance evidence:</w:t>
      </w:r>
      <w:r>
        <w:br/>
      </w:r>
      <w:r>
        <w:br/>
      </w:r>
      <w:r>
        <w:rPr>
          <w:rStyle w:val="VerbatimChar"/>
        </w:rPr>
        <w:t xml:space="preserve">- a full synthetic archive opens in LibreOffice and Microsoft Office in CI, validates as PDF/A, and the verifier reports zero errors; one changed byte fails that file;</w:t>
      </w:r>
      <w:r>
        <w:br/>
      </w:r>
      <w:r>
        <w:rPr>
          <w:rStyle w:val="VerbatimChar"/>
        </w:rPr>
        <w:t xml:space="preserve">- a seeded control-total discrepancy fails the job before signing; a posting one second after the as-of instant is absent;</w:t>
      </w:r>
      <w:r>
        <w:br/>
      </w:r>
      <w:r>
        <w:rPr>
          <w:rStyle w:val="VerbatimChar"/>
        </w:rPr>
        <w:t xml:space="preserve">- an S3 bucket in us-east-1 is refused for Loans with `residency_not_india`; a Google Drive target can never accept personal-data, books, returns, loan or HR classes (`residency_blocked_borrower_data`);</w:t>
      </w:r>
      <w:r>
        <w:br/>
      </w:r>
      <w:r>
        <w:rPr>
          <w:rStyle w:val="VerbatimChar"/>
        </w:rPr>
        <w:t xml:space="preserve">- revoking the BYOK grant makes the next export fail closed with `key_unavailable`, and restoring it resumes without loss;</w:t>
      </w:r>
      <w:r>
        <w:br/>
      </w:r>
      <w:r>
        <w:rPr>
          <w:rStyle w:val="VerbatimChar"/>
        </w:rPr>
        <w:t xml:space="preserve">- quarterly rehydration reproduces the TB and 100 sampled DPDs; a missing incremental fails the chain check;</w:t>
      </w:r>
      <w:r>
        <w:br/>
      </w:r>
      <w:r>
        <w:rPr>
          <w:rStyle w:val="VerbatimChar"/>
        </w:rPr>
        <w:t xml:space="preserve">- after EXIT_NOTICE a purge returns `exit_transition_hold`; after purge a backup restore fails because the key is deleted, and the certificate lists that event;</w:t>
      </w:r>
      <w:r>
        <w:br/>
      </w:r>
      <w:r>
        <w:rPr>
          <w:rStyle w:val="VerbatimChar"/>
        </w:rPr>
        <w:t xml:space="preserve">- no folder or file name contains a customer name under the default label policy;</w:t>
      </w:r>
      <w:r>
        <w:br/>
      </w:r>
      <w:r>
        <w:rPr>
          <w:rStyle w:val="VerbatimChar"/>
        </w:rPr>
        <w:t xml:space="preserve">- a navigation test walks each role through the Appendix G entries for this phase and finds every screen, action and setting with the stated visibility and nothing more; no plan, role or billing state hides the on-demand export or exit screens for an RE tenant.</w:t>
      </w:r>
      <w:r>
        <w:br/>
      </w:r>
      <w:r>
        <w:br/>
      </w:r>
      <w:r>
        <w:rPr>
          <w:rStyle w:val="VerbatimChar"/>
        </w:rPr>
        <w:t xml:space="preserve">Show me the folder tree with the dataset-to-folder map, the manifest and data-dictionary schemas, the README template, the connector certification checklist and the exit runbook with turnarounds, with the menu tree and settings catalogue of this phase (Appendix G), for approval before coding.</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docs/specs/phase-15b-data-portability-archives.md: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feat/data-portability-archives in small commits; run unit, integration, tenant-isolation and security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52"/>
        </w:numPr>
        <w:pStyle w:val="Compact"/>
      </w:pPr>
      <w:r>
        <w:t xml:space="preserve">☐ A full synthetic archive opens in LibreOffice and Microsoft Office in CI, validates as PDF/A, and the offline verifier reports zero hash, signature or schema errors, failing on any changed byte (Part 7J DP1; OUT para 97(xvi)).</w:t>
      </w:r>
    </w:p>
    <w:p>
      <w:pPr>
        <w:numPr>
          <w:ilvl w:val="0"/>
          <w:numId w:val="1052"/>
        </w:numPr>
        <w:pStyle w:val="Compact"/>
      </w:pPr>
      <w:r>
        <w:t xml:space="preserve">☐ Control totals in manifest.json equal the live loan count, principal outstanding and trial-balance totals at the as-of instant, and a seeded discrepancy fails the job before signing (OUT paras 87, 97(xvi)(b)).</w:t>
      </w:r>
    </w:p>
    <w:p>
      <w:pPr>
        <w:numPr>
          <w:ilvl w:val="0"/>
          <w:numId w:val="1052"/>
        </w:numPr>
        <w:pStyle w:val="Compact"/>
      </w:pPr>
      <w:r>
        <w:t xml:space="preserve">☐ An S3 bucket outside ap-south-1 or ap-south-2 is refused for the Loans class with residency_not_india, and a Google Drive target can never accept personal-data, books-of-account, returns, loan or HR classes (CF para 14(4); OUT para 74(vi); Part 10.2 principle 39).</w:t>
      </w:r>
    </w:p>
    <w:p>
      <w:pPr>
        <w:numPr>
          <w:ilvl w:val="0"/>
          <w:numId w:val="1052"/>
        </w:numPr>
        <w:pStyle w:val="Compact"/>
      </w:pPr>
      <w:r>
        <w:t xml:space="preserve">☐ Revoking a BYOK grant makes the next export and document read fail closed with key_unavailable, and restoring it resumes without data loss (OUT para 97(vii)(b)).</w:t>
      </w:r>
    </w:p>
    <w:p>
      <w:pPr>
        <w:numPr>
          <w:ilvl w:val="0"/>
          <w:numId w:val="1052"/>
        </w:numPr>
        <w:pStyle w:val="Compact"/>
      </w:pPr>
      <w:r>
        <w:t xml:space="preserve">☐ A quarterly rehydration into a sandbox reproduces the trial balance and the DPD and classification of 100 sampled loans, and a missing incremental fails the chain check (CYB paras 8(9), 133).</w:t>
      </w:r>
    </w:p>
    <w:p>
      <w:pPr>
        <w:numPr>
          <w:ilvl w:val="0"/>
          <w:numId w:val="1052"/>
        </w:numPr>
        <w:pStyle w:val="Compact"/>
      </w:pPr>
      <w:r>
        <w:t xml:space="preserve">☐ After EXIT_NOTICE any purge returns exit_transition_hold, PURGED cannot be reached without a signed PURGE_APPROVED, and read and export stay available to an RE tenant in payment default (OUT paras 87–88).</w:t>
      </w:r>
    </w:p>
    <w:p>
      <w:pPr>
        <w:numPr>
          <w:ilvl w:val="0"/>
          <w:numId w:val="1052"/>
        </w:numPr>
        <w:pStyle w:val="Compact"/>
      </w:pPr>
      <w:r>
        <w:t xml:space="preserve">☐ An automated navigation test walks each role through the Appendix G entries for Part 7J and finds every menu path, screen, action and setting listed in its</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with the stated visibility and nothing more, and an attempt to relax a regulatory-floor setting fails server-side with floor_violation (Part 7J; Appendix G; Part 10.2 principles 24 and 42).</w:t>
      </w:r>
    </w:p>
    <w:p>
      <w:pPr>
        <w:numPr>
          <w:ilvl w:val="0"/>
          <w:numId w:val="1052"/>
        </w:numPr>
        <w:pStyle w:val="Compact"/>
      </w:pPr>
      <w:r>
        <w:t xml:space="preserve">☐ The PR shows the test output; the ledger balances (if money moved); the regulatory register and docs/status are updated.</w:t>
      </w:r>
    </w:p>
    <w:bookmarkEnd w:id="46"/>
    <w:bookmarkStart w:id="47" w:name="phase-p-mvp-hardening-and-pilot-go-live"/>
    <w:p>
      <w:pPr>
        <w:pStyle w:val="Heading3"/>
      </w:pPr>
      <w:r>
        <w:t xml:space="preserve">Phase P — MVP hardening and pilot go-live</w:t>
      </w:r>
    </w:p>
    <w:p>
      <w:pPr>
        <w:numPr>
          <w:ilvl w:val="0"/>
          <w:numId w:val="1053"/>
        </w:numPr>
        <w:pStyle w:val="Compact"/>
      </w:pPr>
      <w:r>
        <w:rPr>
          <w:bCs/>
          <w:b/>
        </w:rPr>
        <w:t xml:space="preserve">Outcome:</w:t>
      </w:r>
      <w:r>
        <w:t xml:space="preserve"> </w:t>
      </w:r>
      <w:r>
        <w:t xml:space="preserve">E2E, independent VAPT, COB load test, DR restore drill, India-region production cut-over for the two MVP products, with v1.5 pilot evidence (returns and bureau dry runs, Rule 11(g) pack, verified archive and rehydration, certified capital and liquidity runs)</w:t>
      </w:r>
    </w:p>
    <w:p>
      <w:pPr>
        <w:numPr>
          <w:ilvl w:val="0"/>
          <w:numId w:val="1053"/>
        </w:numPr>
        <w:pStyle w:val="Compact"/>
      </w:pPr>
      <w:r>
        <w:rPr>
          <w:bCs/>
          <w:b/>
        </w:rPr>
        <w:t xml:space="preserve">Depends on:</w:t>
      </w:r>
      <w:r>
        <w:t xml:space="preserve"> </w:t>
      </w:r>
      <w:r>
        <w:t xml:space="preserve">0–15, including 3b, 8b, 8c, 12b, 13b, 14b, 14c, 14d and 15b (Phases 14 and 14b only for the returns, and 14c only for the bureaus, that apply to the pilot)</w:t>
      </w:r>
    </w:p>
    <w:p>
      <w:pPr>
        <w:numPr>
          <w:ilvl w:val="0"/>
          <w:numId w:val="1053"/>
        </w:numPr>
        <w:pStyle w:val="Compact"/>
      </w:pPr>
      <w:r>
        <w:rPr>
          <w:bCs/>
          <w:b/>
        </w:rPr>
        <w:t xml:space="preserve">Branch:</w:t>
      </w:r>
      <w:r>
        <w:t xml:space="preserve"> </w:t>
      </w:r>
      <w:r>
        <w:rPr>
          <w:rStyle w:val="VerbatimChar"/>
        </w:rPr>
        <w:t xml:space="preserve">release/pilot</w:t>
      </w:r>
    </w:p>
    <w:p>
      <w:pPr>
        <w:pStyle w:val="FirstParagraph"/>
      </w:pPr>
      <w:r>
        <w:rPr>
          <w:bCs/>
          <w:b/>
        </w:rPr>
        <w:t xml:space="preserve">Paste into Claude Code:</w:t>
      </w:r>
    </w:p>
    <w:p>
      <w:pPr>
        <w:pStyle w:val="SourceCode"/>
      </w:pPr>
      <w:r>
        <w:rPr>
          <w:rStyle w:val="VerbatimChar"/>
        </w:rPr>
        <w:t xml:space="preserve">Phase P — MVP hardening and pilot go-live. Governing brief: docs/00-master-prompt.md (Part 12, Phase P; Part 8A prevails on regulatory points).</w:t>
      </w:r>
      <w:r>
        <w:br/>
      </w:r>
      <w:r>
        <w:br/>
      </w:r>
      <w:r>
        <w:rPr>
          <w:rStyle w:val="VerbatimChar"/>
        </w:rPr>
        <w:t xml:space="preserve">For the two MVP products and the pilot tenant, deliver:</w:t>
      </w:r>
      <w:r>
        <w:br/>
      </w:r>
      <w:r>
        <w:br/>
      </w:r>
      <w:r>
        <w:rPr>
          <w:rStyle w:val="VerbatimChar"/>
        </w:rPr>
        <w:t xml:space="preserve">- a full E2E regression;</w:t>
      </w:r>
      <w:r>
        <w:br/>
      </w:r>
      <w:r>
        <w:rPr>
          <w:rStyle w:val="VerbatimChar"/>
        </w:rPr>
        <w:t xml:space="preserve">- independent VA and PT on production by a CERT-In-empanelled firm, CVSS-scored, with all Critical/High findings closed and re-tested (CYB paras 121–126);</w:t>
      </w:r>
      <w:r>
        <w:br/>
      </w:r>
      <w:r>
        <w:rPr>
          <w:rStyle w:val="VerbatimChar"/>
        </w:rPr>
        <w:t xml:space="preserve">- a source-code-escrow deposit and the vendor security certificate for the release (CYB paras 105–106);</w:t>
      </w:r>
      <w:r>
        <w:br/>
      </w:r>
      <w:r>
        <w:rPr>
          <w:rStyle w:val="VerbatimChar"/>
        </w:rPr>
        <w:t xml:space="preserve">- a COB load test;</w:t>
      </w:r>
      <w:r>
        <w:br/>
      </w:r>
      <w:r>
        <w:rPr>
          <w:rStyle w:val="VerbatimChar"/>
        </w:rPr>
        <w:t xml:space="preserve">- a DR switchover drill running production on the DR site for one full business day including COB, with post-drill reconciliation (CYB paras 129–137);</w:t>
      </w:r>
      <w:r>
        <w:br/>
      </w:r>
      <w:r>
        <w:rPr>
          <w:rStyle w:val="VerbatimChar"/>
        </w:rPr>
        <w:t xml:space="preserve">- an incident drill proving that tenant notification fits a 6-hour RBI/DAKSH filing measured from Finbyx's own detection timestamp (CYB paras 28, 141, 146; OUT para 61);</w:t>
      </w:r>
      <w:r>
        <w:br/>
      </w:r>
      <w:r>
        <w:rPr>
          <w:rStyle w:val="VerbatimChar"/>
        </w:rPr>
        <w:t xml:space="preserve">- a data-residency check of every environment and sub-processor;</w:t>
      </w:r>
      <w:r>
        <w:br/>
      </w:r>
      <w:r>
        <w:rPr>
          <w:rStyle w:val="VerbatimChar"/>
        </w:rPr>
        <w:t xml:space="preserve">- a production runbook;</w:t>
      </w:r>
      <w:r>
        <w:br/>
      </w:r>
      <w:r>
        <w:rPr>
          <w:rStyle w:val="VerbatimChar"/>
        </w:rPr>
        <w:t xml:space="preserve">- a migration and cut-over plan;</w:t>
      </w:r>
      <w:r>
        <w:br/>
      </w:r>
      <w:r>
        <w:rPr>
          <w:rStyle w:val="VerbatimChar"/>
        </w:rPr>
        <w:t xml:space="preserve">- for the pilot's applicable returns and bureaus, one full dry-run cycle through Phases 14b and 14c (returns reconciled and signed off; a W1 or month-end CIC file validated and its rejections ingested), with no regulator credentials stored;</w:t>
      </w:r>
      <w:r>
        <w:br/>
      </w:r>
      <w:r>
        <w:rPr>
          <w:rStyle w:val="VerbatimChar"/>
        </w:rPr>
        <w:t xml:space="preserve">- the Rule 11(g) audit-trail evidence pack, the Rule 3(6) statement data and the daily India books-backup log for the pilot entity (Part 7C AC7);</w:t>
      </w:r>
      <w:r>
        <w:br/>
      </w:r>
      <w:r>
        <w:rPr>
          <w:rStyle w:val="VerbatimChar"/>
        </w:rPr>
        <w:t xml:space="preserve">- a full Part 7J archive of the pilot tenant verified offline and rehydrated into a sandbox (DP4.3), with the exit runbook (DP5) attached to the contract;</w:t>
      </w:r>
      <w:r>
        <w:br/>
      </w:r>
      <w:r>
        <w:rPr>
          <w:rStyle w:val="VerbatimChar"/>
        </w:rPr>
        <w:t xml:space="preserve">- capital, liquidity and PCA runs certified for the pilot's layer (Part 7E RK3, RK4, RK7);</w:t>
      </w:r>
      <w:r>
        <w:br/>
      </w:r>
      <w:r>
        <w:rPr>
          <w:rStyle w:val="VerbatimChar"/>
        </w:rPr>
        <w:t xml:space="preserve">- a controlled go-live checklist for my approval.</w:t>
      </w:r>
      <w:r>
        <w:br/>
      </w:r>
      <w:r>
        <w:br/>
      </w:r>
      <w:r>
        <w:rPr>
          <w:rStyle w:val="VerbatimChar"/>
        </w:rPr>
        <w:t xml:space="preserve">Do not deploy to production without my explicit authorisation.</w:t>
      </w:r>
      <w:r>
        <w:br/>
      </w:r>
      <w:r>
        <w:br/>
      </w:r>
      <w:r>
        <w:rPr>
          <w:rStyle w:val="VerbatimChar"/>
        </w:rPr>
        <w:t xml:space="preserve">v1.3 regulatory additions for this phase (Part 8A.36.4) — include them:</w:t>
      </w:r>
      <w:r>
        <w:br/>
      </w:r>
      <w:r>
        <w:rPr>
          <w:rStyle w:val="VerbatimChar"/>
        </w:rPr>
        <w:t xml:space="preserve">- an exit drill (full tenant export, re-import into a clean instance, purge certificate) (OUT 87–88, 97(xvi)); vendor assurance pack issued (OUT 30, 71; ORM 73); SOC log feed live (OUT 97(xi)) [GOV / OUT / ORM]</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docs/specs/phase-p-pilot.md: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release/pilot in small commits; run unit, integration, tenant-isolation and security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54"/>
        </w:numPr>
        <w:pStyle w:val="Compact"/>
      </w:pPr>
      <w:r>
        <w:t xml:space="preserve">☐ The independent VAPT has no open critical or high findings.</w:t>
      </w:r>
    </w:p>
    <w:p>
      <w:pPr>
        <w:numPr>
          <w:ilvl w:val="0"/>
          <w:numId w:val="1054"/>
        </w:numPr>
        <w:pStyle w:val="Compact"/>
      </w:pPr>
      <w:r>
        <w:t xml:space="preserve">☐ The DR restore drill and the 6-hour incident-notification drill both pass.</w:t>
      </w:r>
    </w:p>
    <w:p>
      <w:pPr>
        <w:numPr>
          <w:ilvl w:val="0"/>
          <w:numId w:val="1054"/>
        </w:numPr>
        <w:pStyle w:val="Compact"/>
      </w:pPr>
      <w:r>
        <w:t xml:space="preserve">☐ Production runs on India-region hosting only; the exit drill (export, re-import, purge certificate) passes.</w:t>
      </w:r>
    </w:p>
    <w:p>
      <w:pPr>
        <w:numPr>
          <w:ilvl w:val="0"/>
          <w:numId w:val="1054"/>
        </w:numPr>
        <w:pStyle w:val="Compact"/>
      </w:pPr>
      <w:r>
        <w:t xml:space="preserve">☐ The PR shows the test output; the ledger balances (if money moved); the regulatory register and docs/status are updated.</w:t>
      </w:r>
    </w:p>
    <w:bookmarkEnd w:id="47"/>
    <w:bookmarkStart w:id="48" w:name="X4c1ff946f17dc1fb38b579d5f30ab681b22e462"/>
    <w:p>
      <w:pPr>
        <w:pStyle w:val="Heading3"/>
      </w:pPr>
      <w:r>
        <w:t xml:space="preserve">Phase 16 — Partner connectors, co-lending, loan transfers and securitisation</w:t>
      </w:r>
    </w:p>
    <w:p>
      <w:pPr>
        <w:numPr>
          <w:ilvl w:val="0"/>
          <w:numId w:val="1055"/>
        </w:numPr>
        <w:pStyle w:val="Compact"/>
      </w:pPr>
      <w:r>
        <w:rPr>
          <w:bCs/>
          <w:b/>
        </w:rPr>
        <w:t xml:space="preserve">Outcome:</w:t>
      </w:r>
      <w:r>
        <w:t xml:space="preserve"> </w:t>
      </w:r>
      <w:r>
        <w:t xml:space="preserve">Full LSP framework, DLG ledger, co-lending/DA/securitisation engine, partner portals</w:t>
      </w:r>
    </w:p>
    <w:p>
      <w:pPr>
        <w:numPr>
          <w:ilvl w:val="0"/>
          <w:numId w:val="1055"/>
        </w:numPr>
        <w:pStyle w:val="Compact"/>
      </w:pPr>
      <w:r>
        <w:rPr>
          <w:bCs/>
          <w:b/>
        </w:rPr>
        <w:t xml:space="preserve">Depends on:</w:t>
      </w:r>
      <w:r>
        <w:t xml:space="preserve"> </w:t>
      </w:r>
      <w:r>
        <w:t xml:space="preserve">8c, 9, 10, 13, 14</w:t>
      </w:r>
    </w:p>
    <w:p>
      <w:pPr>
        <w:numPr>
          <w:ilvl w:val="0"/>
          <w:numId w:val="1055"/>
        </w:numPr>
        <w:pStyle w:val="Compact"/>
      </w:pPr>
      <w:r>
        <w:rPr>
          <w:bCs/>
          <w:b/>
        </w:rPr>
        <w:t xml:space="preserve">Branch:</w:t>
      </w:r>
      <w:r>
        <w:t xml:space="preserve"> </w:t>
      </w:r>
      <w:r>
        <w:rPr>
          <w:rStyle w:val="VerbatimChar"/>
        </w:rPr>
        <w:t xml:space="preserve">feat/partners-colending-transfers</w:t>
      </w:r>
    </w:p>
    <w:p>
      <w:pPr>
        <w:numPr>
          <w:ilvl w:val="0"/>
          <w:numId w:val="1055"/>
        </w:numPr>
        <w:pStyle w:val="Compact"/>
      </w:pPr>
      <w:r>
        <w:rPr>
          <w:bCs/>
          <w:b/>
        </w:rPr>
        <w:t xml:space="preserve">Suggested sub-modules (one session each):</w:t>
      </w:r>
      <w:r>
        <w:t xml:space="preserve"> </w:t>
      </w:r>
      <w:r>
        <w:t xml:space="preserve">full LSP framework and DLG ledger; co-lending engine; loan-transfer engine (TDCR); securitisation engine and investor module (SEC); partner portals.</w:t>
      </w:r>
    </w:p>
    <w:p>
      <w:pPr>
        <w:pStyle w:val="FirstParagraph"/>
      </w:pPr>
      <w:r>
        <w:rPr>
          <w:bCs/>
          <w:b/>
        </w:rPr>
        <w:t xml:space="preserve">Paste into Claude Code:</w:t>
      </w:r>
    </w:p>
    <w:p>
      <w:pPr>
        <w:pStyle w:val="SourceCode"/>
      </w:pPr>
      <w:r>
        <w:rPr>
          <w:rStyle w:val="VerbatimChar"/>
        </w:rPr>
        <w:t xml:space="preserve">Phase 16 — Partner connectors, co-lending, loan transfers and securitisation. Governing brief: docs/00-master-prompt.md (Part 12, Phase 16; Part 8A prevails on regulatory points).</w:t>
      </w:r>
      <w:r>
        <w:br/>
      </w:r>
      <w:r>
        <w:br/>
      </w:r>
      <w:r>
        <w:rPr>
          <w:rStyle w:val="VerbatimChar"/>
        </w:rPr>
        <w:t xml:space="preserve">Extend the Phase 8c connector into the full LSP/channel-partner framework (Part 5). Add:</w:t>
      </w:r>
      <w:r>
        <w:br/>
      </w:r>
      <w:r>
        <w:br/>
      </w:r>
      <w:r>
        <w:rPr>
          <w:rStyle w:val="VerbatimChar"/>
        </w:rPr>
        <w:t xml:space="preserve">- the DLG ledger (≤ 5% of the amount disbursed out of the covered portfolio, invoked within 120 days overdue), emitting `DLGRecoveryShared` for post-invocation recoveries shared under the contract (CF 25(3); never credited to the loan, CF 25(2)) and consuming the LSP's `DLGDisclosurePublished` (CF 28);</w:t>
      </w:r>
      <w:r>
        <w:br/>
      </w:r>
      <w:r>
        <w:rPr>
          <w:rStyle w:val="VerbatimChar"/>
        </w:rPr>
        <w:t xml:space="preserve">- the collection-agent appointment model, kept separate from DLG;</w:t>
      </w:r>
      <w:r>
        <w:br/>
      </w:r>
      <w:r>
        <w:rPr>
          <w:rStyle w:val="VerbatimChar"/>
        </w:rPr>
        <w:t xml:space="preserve">- the CIMS DLA register;</w:t>
      </w:r>
      <w:r>
        <w:br/>
      </w:r>
      <w:r>
        <w:rPr>
          <w:rStyle w:val="VerbatimChar"/>
        </w:rPr>
        <w:t xml:space="preserve">- the co-lending engine (10% retention, 15-day booking, bank escrow, blended rate, next-working-day classification sync, each lender's own CIC reporting, originator-only DLG ≤ 5% of CLA outstanding (TDCR 123), website partner list (TDCR 126));</w:t>
      </w:r>
      <w:r>
        <w:br/>
      </w:r>
      <w:r>
        <w:rPr>
          <w:rStyle w:val="VerbatimChar"/>
        </w:rPr>
        <w:t xml:space="preserve">- the loan-transfer engine (TDCR Part A): MHP, one-third DD/10% retention, no re-acquisition, 30-day replacement, stressed-loan sale with valuation and Swiss challenge, ARC/SR accounting, trade-reporting database;</w:t>
      </w:r>
      <w:r>
        <w:br/>
      </w:r>
      <w:r>
        <w:rPr>
          <w:rStyle w:val="VerbatimChar"/>
        </w:rPr>
        <w:t xml:space="preserve">- the securitisation engine (SEC): eligibility, MRR, 20% cap, SPE checks, CE/liquidity/servicing facilities, STC checker, Annex I and quarterly RBI report;</w:t>
      </w:r>
      <w:r>
        <w:br/>
      </w:r>
      <w:r>
        <w:rPr>
          <w:rStyle w:val="VerbatimChar"/>
        </w:rPr>
        <w:t xml:space="preserve">- the investor-side securitisation module (SEC Ch V, paras 97–107);</w:t>
      </w:r>
      <w:r>
        <w:br/>
      </w:r>
      <w:r>
        <w:rPr>
          <w:rStyle w:val="VerbatimChar"/>
        </w:rPr>
        <w:t xml:space="preserve">- partner portals.</w:t>
      </w:r>
      <w:r>
        <w:br/>
      </w:r>
      <w:r>
        <w:br/>
      </w:r>
      <w:r>
        <w:rPr>
          <w:rStyle w:val="VerbatimChar"/>
        </w:rPr>
        <w:t xml:space="preserve">Model transactions, pools and partners so that Phase 17d (Part 7H IV7) adds securitisation servicing without re-modelling: the trust sub-ledger and sweep, the remittance waterfall, servicer and investor reports, replenishment and the recycling rule (only the upfront sale consideration may be re-lent; SEC paras 14(2), 21; CAP para 27(9)), the clean-up call gate, servicer replacement, the loan-transfer validator additions and the co-lending partner validator with evidence (GR-7H-10). From this phase the co-lending and transfer engines already refuse counterparties outside TDCR paras 12(4) and 97 (no co-operative banks, credit co-operative societies, SFBs, LABs or RRBs as co-lending partners; Part 7G GR-7G-03, GR-7G-04).</w:t>
      </w:r>
      <w:r>
        <w:br/>
      </w:r>
      <w:r>
        <w:br/>
      </w:r>
      <w:r>
        <w:rPr>
          <w:rStyle w:val="VerbatimChar"/>
        </w:rPr>
        <w:t xml:space="preserve">v1.3 regulatory additions for this phase (Part 8A.36.4) — include them:</w:t>
      </w:r>
      <w:r>
        <w:br/>
      </w:r>
      <w:r>
        <w:rPr>
          <w:rStyle w:val="VerbatimChar"/>
        </w:rPr>
        <w:t xml:space="preserve">- Securitisation SEC-ERBA capital; DLG and co-lending capital deductions (CAP 15, 19–51) [CAP / SBR / DIV / MISC]</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docs/specs/phase-16-partners-colending-transfers.md: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feat/partners-colending-transfers in small commits; run unit, integration, tenant-isolation and security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56"/>
        </w:numPr>
        <w:pStyle w:val="Compact"/>
      </w:pPr>
      <w:r>
        <w:t xml:space="preserve">☐ The CF 24 DLG ledger and the TDCR 123 co-lending DLG ledger are separate.</w:t>
      </w:r>
    </w:p>
    <w:p>
      <w:pPr>
        <w:numPr>
          <w:ilvl w:val="0"/>
          <w:numId w:val="1056"/>
        </w:numPr>
        <w:pStyle w:val="Compact"/>
      </w:pPr>
      <w:r>
        <w:t xml:space="preserve">☐ Loan transfers enforce MHP, retention and the no-re-acquisition rule (TDCR).</w:t>
      </w:r>
    </w:p>
    <w:p>
      <w:pPr>
        <w:numPr>
          <w:ilvl w:val="0"/>
          <w:numId w:val="1056"/>
        </w:numPr>
        <w:pStyle w:val="Compact"/>
      </w:pPr>
      <w:r>
        <w:t xml:space="preserve">☐ Fraud accounts cannot be transferred until the FRM 54 and TDCR 28/78 gates are cleared.</w:t>
      </w:r>
    </w:p>
    <w:p>
      <w:pPr>
        <w:numPr>
          <w:ilvl w:val="0"/>
          <w:numId w:val="1056"/>
        </w:numPr>
        <w:pStyle w:val="Compact"/>
      </w:pPr>
      <w:r>
        <w:t xml:space="preserve">☐ The PR shows the test output; the ledger balances (if money moved); the regulatory register and docs/status are updated.</w:t>
      </w:r>
    </w:p>
    <w:bookmarkEnd w:id="48"/>
    <w:bookmarkStart w:id="49" w:name="phase-16b-ecosystem-integration-hub-v2"/>
    <w:p>
      <w:pPr>
        <w:pStyle w:val="Heading3"/>
      </w:pPr>
      <w:r>
        <w:t xml:space="preserve">Phase 16b — Ecosystem integration hub v2</w:t>
      </w:r>
    </w:p>
    <w:p>
      <w:pPr>
        <w:numPr>
          <w:ilvl w:val="0"/>
          <w:numId w:val="1057"/>
        </w:numPr>
        <w:pStyle w:val="Compact"/>
      </w:pPr>
      <w:r>
        <w:rPr>
          <w:bCs/>
          <w:b/>
        </w:rPr>
        <w:t xml:space="preserve">Outcome:</w:t>
      </w:r>
      <w:r>
        <w:t xml:space="preserve"> </w:t>
      </w:r>
      <w:r>
        <w:t xml:space="preserve">Ecosystem Integration Specification implemented: Udofin for all products, Equator, LawDocsComply and third-party GRC (OSCAL), court data, e-auction, notice dispatch, agencies and diallers, third-party LOS/LMS; module registry; connector certification</w:t>
      </w:r>
    </w:p>
    <w:p>
      <w:pPr>
        <w:numPr>
          <w:ilvl w:val="0"/>
          <w:numId w:val="1057"/>
        </w:numPr>
        <w:pStyle w:val="Compact"/>
      </w:pPr>
      <w:r>
        <w:rPr>
          <w:bCs/>
          <w:b/>
        </w:rPr>
        <w:t xml:space="preserve">Depends on:</w:t>
      </w:r>
      <w:r>
        <w:t xml:space="preserve"> </w:t>
      </w:r>
      <w:r>
        <w:t xml:space="preserve">12b, 14, 16</w:t>
      </w:r>
    </w:p>
    <w:p>
      <w:pPr>
        <w:numPr>
          <w:ilvl w:val="0"/>
          <w:numId w:val="1057"/>
        </w:numPr>
        <w:pStyle w:val="Compact"/>
      </w:pPr>
      <w:r>
        <w:rPr>
          <w:bCs/>
          <w:b/>
        </w:rPr>
        <w:t xml:space="preserve">Branch:</w:t>
      </w:r>
      <w:r>
        <w:t xml:space="preserve"> </w:t>
      </w:r>
      <w:r>
        <w:rPr>
          <w:rStyle w:val="VerbatimChar"/>
        </w:rPr>
        <w:t xml:space="preserve">feat/ecosystem-hub-v2</w:t>
      </w:r>
    </w:p>
    <w:p>
      <w:pPr>
        <w:numPr>
          <w:ilvl w:val="0"/>
          <w:numId w:val="1057"/>
        </w:numPr>
        <w:pStyle w:val="Compact"/>
      </w:pPr>
      <w:r>
        <w:rPr>
          <w:bCs/>
          <w:b/>
        </w:rPr>
        <w:t xml:space="preserve">Suggested sub-modules (one session each):</w:t>
      </w:r>
      <w:r>
        <w:t xml:space="preserve"> </w:t>
      </w:r>
      <w:r>
        <w:t xml:space="preserve">platform standards (registry, webhooks, idempotency, signatures, consent references); Udofin all-product lifecycle, with the LAS/LAMF collateral contracts registered and stubbed (live with Phase 17); Equator certification and the LawDocsComply / third-party GRC connector with OSCAL; court data, e-auction, notice dispatch, agencies and diallers; third-party LOS/LMS, future-app onboarding and the daily reconciliation framework.</w:t>
      </w:r>
    </w:p>
    <w:p>
      <w:pPr>
        <w:pStyle w:val="FirstParagraph"/>
      </w:pPr>
      <w:r>
        <w:rPr>
          <w:bCs/>
          <w:b/>
        </w:rPr>
        <w:t xml:space="preserve">Paste into Claude Code:</w:t>
      </w:r>
    </w:p>
    <w:p>
      <w:pPr>
        <w:pStyle w:val="SourceCode"/>
      </w:pPr>
      <w:r>
        <w:rPr>
          <w:rStyle w:val="VerbatimChar"/>
        </w:rPr>
        <w:t xml:space="preserve">Phase 16b — Ecosystem integration hub v2. Governing brief: docs/00-master-prompt.md (Part 12, Phase 16b; Part 8A prevails on regulatory points).</w:t>
      </w:r>
      <w:r>
        <w:br/>
      </w:r>
      <w:r>
        <w:br/>
      </w:r>
      <w:r>
        <w:rPr>
          <w:rStyle w:val="VerbatimChar"/>
        </w:rPr>
        <w:t xml:space="preserve">Before writing the specification, verify: (i) the version of docs/ecosystem/infrabyx-integration-spec.md and that the same version (v1.1 from Finbyx v1.5) is committed in the Udofin, Equator, LawDocsComply and Infrabyx Operations Hub repositories; (ii) the standards it pins (CloudEvents 1.0.2, OpenAPI 3.1 with 3.2 for streaming, AsyncAPI 3.0, JSON Schema 2020-12, Standard Webhooks, RFC 9421, RFC 8705, FAPI 2.0; the Idempotency-Key header and OAuth 2.1 are still IETF drafts); (iii) the access position for each external connector listed below, recorded in docs/integrations/register.md. Then implement the Integration Spec in Finbyx (Parts 3–14, sequenced by Part 15):</w:t>
      </w:r>
      <w:r>
        <w:br/>
      </w:r>
      <w:r>
        <w:br/>
      </w:r>
      <w:r>
        <w:rPr>
          <w:rStyle w:val="VerbatimChar"/>
        </w:rPr>
        <w:t xml:space="preserve">- Platform (Integration Spec Part 3): schema registry with BACKWARD compatibility (a breaking change publishes a new `vN`, dual-published for at least 90 days); transactional outbox and inbox with idempotent writes and a dead-letter queue; Standard Webhooks with a 5-minute tolerance; `Idempotency-Key` (UUIDv7; stored response kept at least 24 hours, 7 days for money movements; Integration Spec Part 3.4); mTLS on every connection plus sender-constrained OAuth client credentials; RFC 9421 signatures or detached JWS on regulated messages; FAPI 2.0 for any API acting on a borrower's behalf; a consent reference on every PII payload, rejected without one unless a statutory basis is flagged (CF 13(4)); India-only residency; the module registry and entitlements built in Phase 12 (7A.0), extended to connectors, product templates and ecosystem apps (Integration Spec Part 11.1); and the connector certification suite, which emits `ConnectorCertified`.</w:t>
      </w:r>
      <w:r>
        <w:br/>
      </w:r>
      <w:r>
        <w:rPr>
          <w:rStyle w:val="VerbatimChar"/>
        </w:rPr>
        <w:t xml:space="preserve">- Udofin, all products: the product × lifecycle matrix (Part 6.3 of this prompt; Integration Spec Part 7.2), including the LAS and LAMF collateral events and APIs, registered and Pact-tested here against stubs and taken live with the Phase 17 margin engine (Part 6.4; Integration Spec Parts 6.5, 7.3 and 15: `CollateralHoldingsShared`, `CollateralPledgeRequested`, `CollateralPledgeCreated`, `CollateralPledgeFailed`, `CollateralChargeRegistered`, `CollateralValuationUpdated`, `MarginCallRaised`, `MarginCallCured`, `MarginCallLapsed`, `CollateralInvoked`, `CollateralReleased`); co-lending and transfer events (Part 6.6: `CoLendingSplitConfirmed`, `CoLendingReceiptAllocated`, `ClassificationSynced`, `LoanTransferred`, `ServicerChanged`); recovery and ADR status events scoped to Udofin's appointment and the borrower's consent; and the six events proposed by Udofin v1.0 (`ConsentWithdrawn`, `DataPrincipalRequest`, `SecurityIncidentNotified`, `DLGDisclosurePublished`, `RiskSignalRaised`, `SettlementRequested`).</w:t>
      </w:r>
      <w:r>
        <w:br/>
      </w:r>
      <w:r>
        <w:rPr>
          <w:rStyle w:val="VerbatimChar"/>
        </w:rPr>
        <w:t xml:space="preserve">- Equator: the full ADR contract from Phase 12b (Integration Spec Part 8), certified, with SLA monitors (screening, first notice, delivery status, appointment, webhook latency).</w:t>
      </w:r>
      <w:r>
        <w:br/>
      </w:r>
      <w:r>
        <w:rPr>
          <w:rStyle w:val="VerbatimChar"/>
        </w:rPr>
        <w:t xml:space="preserve">- LawDocsComply and third-party GRC: the generic GRC connector (Obligation, Control, ControlTestResult, Issue, Incident, RegulatoryReturn, PolicyAttestation, OutsourcingArrangement, KRI); REST pull with cursor pagination, CloudEvents push, and a periodic OSCAL package (catalog, component-definition, assessment-results, POA&amp;M; OSCAL 1.2.x); adapters for MetricStream (REST), IBM OpenPages (GRC REST), ServiceNow IRM (staging tables) and Archer (REST and Content API); the Compliance/GRC events (Integration Spec Parts 6.15 and 9) `ObligationPublished`, `ControlTestResultPublished`, `EvidenceSubmitted`, `ComplianceIssueRaised`, `ReturnStatusUpdated`, `PolicyAttested`. Evidence is hash-chained and carries aggregate counts and masked sample IDs, never raw PII. [VERIFY: LawDocsComply public API]</w:t>
      </w:r>
      <w:r>
        <w:br/>
      </w:r>
      <w:r>
        <w:rPr>
          <w:rStyle w:val="VerbatimChar"/>
        </w:rPr>
        <w:t xml:space="preserve">- Court data and legal tech: official eCourts open APIs where the tenant obtains institutional-litigant credentials [VERIFY: NBFC eligibility], otherwise licensed aggregators (CNR, cause lists, orders); e-DRT is a filing portal with no API; e-Jagriti for consumer matters.</w:t>
      </w:r>
      <w:r>
        <w:br/>
      </w:r>
      <w:r>
        <w:rPr>
          <w:rStyle w:val="VerbatimChar"/>
        </w:rPr>
        <w:t xml:space="preserve">- E-auction: listing export and bid-log import for BAANKNET [VERIFY: NBFC listing and API], C1 India, auctiontiger, MSTC and Shriram Automall.</w:t>
      </w:r>
      <w:r>
        <w:br/>
      </w:r>
      <w:r>
        <w:rPr>
          <w:rStyle w:val="VerbatimChar"/>
        </w:rPr>
        <w:t xml:space="preserve">- Notice dispatch: India Post bulk booking and tracking (DoP contract and CEPT onboarding; XML manifests; tracking events), couriers and print-to-post vendors behind `NoticeDispatchProvider`.</w:t>
      </w:r>
      <w:r>
        <w:br/>
      </w:r>
      <w:r>
        <w:rPr>
          <w:rStyle w:val="VerbatimChar"/>
        </w:rPr>
        <w:t xml:space="preserve">- Collection agencies and diallers: allocation and recall, activity and recording ingestion, agent certificate sync, behind `CollectionAgencyConnector` and `DiallerProvider`; every attempt passes the R15 contact-policy check.</w:t>
      </w:r>
      <w:r>
        <w:br/>
      </w:r>
      <w:r>
        <w:rPr>
          <w:rStyle w:val="VerbatimChar"/>
        </w:rPr>
        <w:t xml:space="preserve">- Third-party LOS and LMS: inbound loan boarding for LMS-only tenants, outbound booking for LOS-only tenants, and legacy migration feeds, on the same contract.</w:t>
      </w:r>
      <w:r>
        <w:br/>
      </w:r>
      <w:r>
        <w:rPr>
          <w:rStyle w:val="VerbatimChar"/>
        </w:rPr>
        <w:t xml:space="preserve">- Future ecosystem apps: the onboarding checklist (legal role and materiality under OUT, group-outsourcing policy (OUT 45–51), DPIA and India residency, need-to-know data, OIDC and SCIM, contracts in the registry with Pact tests, VAPT and SBOM, manifest and SKU, BCP and exit plan, certification), demonstrated with a field-investigation app stub that consumes `VerificationRequested` and produces `VerificationCompleted` (Integration Spec Part 6); any further event goes to the specification's proposal process, never invented locally.</w:t>
      </w:r>
      <w:r>
        <w:br/>
      </w:r>
      <w:r>
        <w:rPr>
          <w:rStyle w:val="VerbatimChar"/>
        </w:rPr>
        <w:t xml:space="preserve">- Daily reconciliation framework (Integration Spec Part 7.4; breaks as `ReconciliationBreakRaised`): applications, KFS acceptance, disbursement UTRs, collections, collateral registers (depository, RTA, Vahan, CERSAI, gold vault), co-lending escrow (three-way), DLG, LSP fees, classification-sync timestamps, servicer remittances, and legal and ADR status versus Equator and court feeds.</w:t>
      </w:r>
      <w:r>
        <w:br/>
      </w:r>
      <w:r>
        <w:br/>
      </w:r>
      <w:r>
        <w:rPr>
          <w:rStyle w:val="VerbatimChar"/>
        </w:rPr>
        <w:t xml:space="preserve">Tests and acceptance evidence:</w:t>
      </w:r>
      <w:r>
        <w:br/>
      </w:r>
      <w:r>
        <w:br/>
      </w:r>
      <w:r>
        <w:rPr>
          <w:rStyle w:val="VerbatimChar"/>
        </w:rPr>
        <w:t xml:space="preserve">- schema-compatibility check blocks a breaking change without a new version;</w:t>
      </w:r>
      <w:r>
        <w:br/>
      </w:r>
      <w:r>
        <w:rPr>
          <w:rStyle w:val="VerbatimChar"/>
        </w:rPr>
        <w:t xml:space="preserve">- replayed webhooks and duplicate `Idempotency-Key` requests produce no second effect;</w:t>
      </w:r>
      <w:r>
        <w:br/>
      </w:r>
      <w:r>
        <w:rPr>
          <w:rStyle w:val="VerbatimChar"/>
        </w:rPr>
        <w:t xml:space="preserve">- a PII payload without a consent reference is rejected;</w:t>
      </w:r>
      <w:r>
        <w:br/>
      </w:r>
      <w:r>
        <w:rPr>
          <w:rStyle w:val="VerbatimChar"/>
        </w:rPr>
        <w:t xml:space="preserve">- each certified connector has a passing certification report (Integration Spec Part 14) and a `ConnectorCertified` event;</w:t>
      </w:r>
      <w:r>
        <w:br/>
      </w:r>
      <w:r>
        <w:rPr>
          <w:rStyle w:val="VerbatimChar"/>
        </w:rPr>
        <w:t xml:space="preserve">- an OSCAL export validates against the NIST schema;</w:t>
      </w:r>
      <w:r>
        <w:br/>
      </w:r>
      <w:r>
        <w:rPr>
          <w:rStyle w:val="VerbatimChar"/>
        </w:rPr>
        <w:t xml:space="preserve">- every product template live in Finbyx passes the Udofin Pact suite for its lifecycle events (secured templates join when Phase 17 delivers them);</w:t>
      </w:r>
      <w:r>
        <w:br/>
      </w:r>
      <w:r>
        <w:rPr>
          <w:rStyle w:val="VerbatimChar"/>
        </w:rPr>
        <w:t xml:space="preserve">- reconciliation breaks open cases by T+1;</w:t>
      </w:r>
      <w:r>
        <w:br/>
      </w:r>
      <w:r>
        <w:rPr>
          <w:rStyle w:val="VerbatimChar"/>
        </w:rPr>
        <w:t xml:space="preserve">- outage of any connector leaves Finbyx operating, with queued retries and dead-letter handling.</w:t>
      </w:r>
      <w:r>
        <w:br/>
      </w:r>
      <w:r>
        <w:br/>
      </w:r>
      <w:r>
        <w:rPr>
          <w:rStyle w:val="VerbatimChar"/>
        </w:rPr>
        <w:t xml:space="preserve">Register the v1.1 event groups (Integration Spec Parts 6.18–6.30 and 12) as schemas here; each is built and certified in the phase that owns it (13b–20b; Integration Spec Part 15).</w:t>
      </w:r>
      <w:r>
        <w:br/>
      </w:r>
      <w:r>
        <w:br/>
      </w:r>
      <w:r>
        <w:rPr>
          <w:rStyle w:val="VerbatimChar"/>
        </w:rPr>
        <w:t xml:space="preserve">Show me the connector list with access status, the event matrix and the certification suite for approval before coding.</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docs/specs/phase-16b-ecosystem-hub-v2.md: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feat/ecosystem-hub-v2 in small commits; run unit, integration, tenant-isolation and security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58"/>
        </w:numPr>
        <w:pStyle w:val="Compact"/>
      </w:pPr>
      <w:r>
        <w:t xml:space="preserve">☐ A breaking schema change is rejected unless it is published as a new major version that runs in parallel for at least 90 days (Integration Spec Parts 3.3 and 14.1).</w:t>
      </w:r>
    </w:p>
    <w:p>
      <w:pPr>
        <w:numPr>
          <w:ilvl w:val="0"/>
          <w:numId w:val="1058"/>
        </w:numPr>
        <w:pStyle w:val="Compact"/>
      </w:pPr>
      <w:r>
        <w:t xml:space="preserve">☐ Replayed webhooks and duplicate Idempotency-Key requests cause no second effect, and a PII payload without a consent reference is rejected (CF para 13(4)).</w:t>
      </w:r>
    </w:p>
    <w:p>
      <w:pPr>
        <w:numPr>
          <w:ilvl w:val="0"/>
          <w:numId w:val="1058"/>
        </w:numPr>
        <w:pStyle w:val="Compact"/>
      </w:pPr>
      <w:r>
        <w:t xml:space="preserve">☐ Every enabled connector has a passing certification report and a ConnectorCertified event, and Udofin passes the lifecycle Pact suite for every product template live in Finbyx at this phase; LAS/LAMF and the other secured templates are certified after Phase 17 (Integration Spec Parts 7.2, 14 and 15).</w:t>
      </w:r>
    </w:p>
    <w:p>
      <w:pPr>
        <w:numPr>
          <w:ilvl w:val="0"/>
          <w:numId w:val="1058"/>
        </w:numPr>
        <w:pStyle w:val="Compact"/>
      </w:pPr>
      <w:r>
        <w:t xml:space="preserve">☐ The OSCAL export validates against the NIST schema and carries no raw PII (M14 GRC connector).</w:t>
      </w:r>
    </w:p>
    <w:p>
      <w:pPr>
        <w:numPr>
          <w:ilvl w:val="0"/>
          <w:numId w:val="1058"/>
        </w:numPr>
        <w:pStyle w:val="Compact"/>
      </w:pPr>
      <w:r>
        <w:t xml:space="preserve">☐ Daily reconciliation raises ReconciliationBreakRaised by T+1 for each seeded break, including the co-lending escrow and classification-sync timestamps (TDCR paras 117, 124; Integration Spec Part 7.4).</w:t>
      </w:r>
    </w:p>
    <w:p>
      <w:pPr>
        <w:numPr>
          <w:ilvl w:val="0"/>
          <w:numId w:val="1058"/>
        </w:numPr>
        <w:pStyle w:val="Compact"/>
      </w:pPr>
      <w:r>
        <w:t xml:space="preserve">☐ The PR shows the test output; the ledger balances (if money moved); the regulatory register and docs/status are updated.</w:t>
      </w:r>
    </w:p>
    <w:bookmarkEnd w:id="49"/>
    <w:bookmarkStart w:id="50" w:name="Xd85dc5e9e30af592e7ce06434ec20c5b27c74ff"/>
    <w:p>
      <w:pPr>
        <w:pStyle w:val="Heading3"/>
      </w:pPr>
      <w:r>
        <w:t xml:space="preserve">Phase 16c — Audit and assurance suite with auditor and supervisor workspaces</w:t>
      </w:r>
    </w:p>
    <w:p>
      <w:pPr>
        <w:numPr>
          <w:ilvl w:val="0"/>
          <w:numId w:val="1059"/>
        </w:numPr>
        <w:pStyle w:val="Compact"/>
      </w:pPr>
      <w:r>
        <w:rPr>
          <w:bCs/>
          <w:b/>
        </w:rPr>
        <w:t xml:space="preserve">Outcome:</w:t>
      </w:r>
      <w:r>
        <w:t xml:space="preserve"> </w:t>
      </w:r>
      <w:r>
        <w:t xml:space="preserve">Part 7D: audit universe, IAF risk assessment and RBIA plan; engagements, workpapers, reproducible sampling and hashed evidence; findings, ATRs, concurrent audit; IS audit, ITGC and VAPT tracker; statutory-audit eligibility, PBC, AUD checklists, DNBS10 and branch coverage; secretarial audit; time-bound read-only auditor and supervisor workspaces</w:t>
      </w:r>
    </w:p>
    <w:p>
      <w:pPr>
        <w:numPr>
          <w:ilvl w:val="0"/>
          <w:numId w:val="1059"/>
        </w:numPr>
        <w:pStyle w:val="Compact"/>
      </w:pPr>
      <w:r>
        <w:rPr>
          <w:bCs/>
          <w:b/>
        </w:rPr>
        <w:t xml:space="preserve">Depends on:</w:t>
      </w:r>
      <w:r>
        <w:t xml:space="preserve"> </w:t>
      </w:r>
      <w:r>
        <w:t xml:space="preserve">P, 13b, 14b, 14d, 15b</w:t>
      </w:r>
    </w:p>
    <w:p>
      <w:pPr>
        <w:numPr>
          <w:ilvl w:val="0"/>
          <w:numId w:val="1059"/>
        </w:numPr>
        <w:pStyle w:val="Compact"/>
      </w:pPr>
      <w:r>
        <w:rPr>
          <w:bCs/>
          <w:b/>
        </w:rPr>
        <w:t xml:space="preserve">Branch:</w:t>
      </w:r>
      <w:r>
        <w:t xml:space="preserve"> </w:t>
      </w:r>
      <w:r>
        <w:rPr>
          <w:rStyle w:val="VerbatimChar"/>
        </w:rPr>
        <w:t xml:space="preserve">feat/audit-assurance-suite</w:t>
      </w:r>
    </w:p>
    <w:p>
      <w:pPr>
        <w:numPr>
          <w:ilvl w:val="0"/>
          <w:numId w:val="1059"/>
        </w:numPr>
        <w:pStyle w:val="Compact"/>
      </w:pPr>
      <w:r>
        <w:rPr>
          <w:bCs/>
          <w:b/>
        </w:rPr>
        <w:t xml:space="preserve">Suggested sub-modules (one session each):</w:t>
      </w:r>
      <w:r>
        <w:t xml:space="preserve"> </w:t>
      </w:r>
      <w:r>
        <w:t xml:space="preserve">AU1 audit universe, risk assessment and plan; AU2 engagements, workpapers, sampling and evidence; AU3 findings, ATRs, related-party reviews and concurrent audit; AU4 IS audit, ITGC and VAPT tracker; AU5 statutory audit support, PBC and AUD checklists; AU6 secretarial audit and SS-1/SS-2 checks; AU7 auditor and supervisor read-only workspaces; Menus, screens and settings for Part 7D (Appendix G).</w:t>
      </w:r>
    </w:p>
    <w:p>
      <w:pPr>
        <w:pStyle w:val="FirstParagraph"/>
      </w:pPr>
      <w:r>
        <w:rPr>
          <w:bCs/>
          <w:b/>
        </w:rPr>
        <w:t xml:space="preserve">Paste into Claude Code:</w:t>
      </w:r>
    </w:p>
    <w:p>
      <w:pPr>
        <w:pStyle w:val="SourceCode"/>
      </w:pPr>
      <w:r>
        <w:rPr>
          <w:rStyle w:val="VerbatimChar"/>
        </w:rPr>
        <w:t xml:space="preserve">Phase 16c — Audit and assurance suite with auditor and supervisor workspaces. Governing brief: docs/00-master-prompt.md (Part 12, Phase 16c; Part 8A prevails on regulatory points).</w:t>
      </w:r>
      <w:r>
        <w:br/>
      </w:r>
      <w:r>
        <w:br/>
      </w:r>
      <w:r>
        <w:rPr>
          <w:rStyle w:val="VerbatimChar"/>
        </w:rPr>
        <w:t xml:space="preserve">Before writing the specification, verify: (i) IAF (8A.32), SA (8A.33), AUD (8A.15) and CYB paras 46–58, 121–126 and 149–154 against docs/regulations/rbi/; (ii) the commercial-bank Internal Audit Function (RBI/DoS/2026-27/413) and Concurrent Audit Directions 2026 and the UCB, StCB and DCCB instructions, keeping their parameters as configuration until verified; (iii) ICAI SA 230, SA 530 and SA 402, the ICAI Technical Guide on RBIA of NBFCs (2024), ICSI CSAS-1 to CSAS-3 (Revised Edition 2026), the SS-1 and SS-2 clocks, CA13 s.204 with Rule 9 thresholds and LODR Reg 24A; (iv) the legal basis for each external-access grant type (RBI Act ss.45N, 45NAA, 45NB; OUT paras 34(vii)–(ix), 74(ii), 74(xii); CYB paras 46 and 57, mandatory only for BL ≥ ₹500 crore and a supervisory expectation for ML/UL, logged for DoS CSITE clarification). Then build Part 7D as tooling only — Finbyx and Infrabyx staff never perform a tenant's internal audit (OUT para 15; IAF para 39):</w:t>
      </w:r>
      <w:r>
        <w:br/>
      </w:r>
      <w:r>
        <w:br/>
      </w:r>
      <w:r>
        <w:rPr>
          <w:rStyle w:val="VerbatimChar"/>
        </w:rPr>
        <w:t xml:space="preserve">- AU1: the audit universe auto-populated from masters (Risk Management and Compliance units (IAF para 26) and critical IT systems (IAF para 34) mandatory and non-archivable; a universe-change task to the HIA within 1 working day); risk assessment with the ten locked IAF para 31 parameters pre-filled and confirmed with basis text; the Risk Audit Matrix with the locked order H/H, H/M, H/L, M/H, M/M, L/H; a coverage clock forcing units past the policy maximum into the plan; the plan builder with capacity gaps; ACB approval and immutable plan versions.</w:t>
      </w:r>
      <w:r>
        <w:br/>
      </w:r>
      <w:r>
        <w:rPr>
          <w:rStyle w:val="VerbatimChar"/>
        </w:rPr>
        <w:t xml:space="preserve">- AU2: engagement types and lifecycle with `AuditEngagementOpened`; independence declarations before fieldwork; workpapers with review hierarchy, eSign sign-off, file lock and append-only addenda; sampling with population hash, seed and reproducibility, attribute and MUS calculators; full-population CAATs; evidence links pinning a hashed JSON snapshot and audit-trail position with drift detection; PII masked; 'verify file'.</w:t>
      </w:r>
      <w:r>
        <w:br/>
      </w:r>
      <w:r>
        <w:rPr>
          <w:rStyle w:val="VerbatimChar"/>
        </w:rPr>
        <w:t xml:space="preserve">- AU3: HIA controls (only employees own reports; external experts as `ia_contributor`; no business targets; quarterly in-camera ACB meeting); findings with retest by a different user, risk acceptance by delegated authority, `AuditFindingRaised`, `AuditFindingClosed` and `ComplianceIssueRaised` for regulatory breaches; suspected fraud opens an FRM signal (auditors never classify fraud); the ATR register and ACB pack with ageing; the quarterly related-party engagement (CRM para 13M); concurrent audit with a real-time transaction queue.</w:t>
      </w:r>
      <w:r>
        <w:br/>
      </w:r>
      <w:r>
        <w:rPr>
          <w:rStyle w:val="VerbatimChar"/>
        </w:rPr>
        <w:t xml:space="preserve">- AU4: IS audit policy and scope library mapped to CYB families, with the report due before statutory fieldwork; the ITGC library and Finbyx provider evidence (EO1–EO3; SOC report or bridge letter); the VAPT tracker with 6-month VA and 12-month PT clocks for critical systems of ML+ tenants, severity SLAs (defaults 15/30/90/180 days, owner decision; where the EO1.6 platform SLAs also cover a finding, the stricter applies), recurrence as a High finding and the `requires_vapt` release gate.</w:t>
      </w:r>
      <w:r>
        <w:br/>
      </w:r>
      <w:r>
        <w:rPr>
          <w:rStyle w:val="VerbatimChar"/>
        </w:rPr>
        <w:t xml:space="preserve">- AU5: the SA eligibility engine (joint audit at ≥ ₹15,000 crore; Forms A and B; SA paras 15, 18–20 and 23–25; group-wide checks against the Operations Hub group register, or a tenant-maintained list until that register is reachable); PBC lists by profile generated from Phases 13b, 14b and 14d; AUD paras 6–9 checklist runs with linked computations; the DNBS10 timer (5 working days from signing, capped at 31 December), filed by the auditor on CIMS with credentials the NBFC creates; the exception-report register; CARO 2020 packs; the branch-coverage calculator (top 20 or top 20% and ≥ 15% of gross advances).</w:t>
      </w:r>
      <w:r>
        <w:br/>
      </w:r>
      <w:r>
        <w:rPr>
          <w:rStyle w:val="VerbatimChar"/>
        </w:rPr>
        <w:t xml:space="preserve">- AU6: s.204 and Reg 24A applicability; peer-review, term and cooling-off tracker; the prohibited-services conflict check, including the group rule (Appendix B item 24 default) that an Infrabyx-linked PCS cannot audit a listed tenant whose compliance system the group supplies; automated SS-1 and SS-2 checks per meeting (full data from Phase 16d); MR-3 and the Secretarial Compliance Report within 60 days of FY end.</w:t>
      </w:r>
      <w:r>
        <w:br/>
      </w:r>
      <w:r>
        <w:rPr>
          <w:rStyle w:val="VerbatimChar"/>
        </w:rPr>
        <w:t xml:space="preserve">- AU7 workspaces on the Phase 2 role skeleton: REQUESTED → BASIS_RECORDED → SCOPE_DEFINED → RE_APPROVED → PROVIDER_APPROVED → PROVISIONED → ACTIVE ⇄ EXTENDED → EXPIRED or REVOKED → ARCHIVED (Integration Spec 4.7); the RE authorises every grant; named accounts with MFA and a `rbi.org.in` domain check for RBI grants; a hard maximum of 90 days per grant, defaulting to the engagement window; an extension needs a fresh RE approval and runs at most 90 days from that approval, and a scope change is a new grant; SELECT-only replica or snapshot, the `external.workspace:read` scope and no write route; masking by default with reasoned per-record unmasking; watermarked, hashed and capped exports; 15-minute idle and 8-hour absolute sessions; anomaly alerts and a daily activity report; inspection room and provider-assurance room; `ExternalAccessGranted`, `ExternalAccessUsed` (daily counts) and `ExternalAccessRevoked`; the Operations Hub sees counts only.</w:t>
      </w:r>
      <w:r>
        <w:br/>
      </w:r>
      <w:r>
        <w:rPr>
          <w:rStyle w:val="VerbatimChar"/>
        </w:rPr>
        <w:t xml:space="preserve">- Menus, screens and settings: build workspaces L (Internal Audit), V (External Auditor Workspace) and W (Supervisor Workspace) exactly as the `Menu and screens` and `Settings and options` subsections of Part 7D specify (navigation paths, list, detail, wizard, approval-queue and dashboard screens, actions, bulk actions, filters, exports, empty and error states, role visibility, and each setting with its scope, default and floor), and register every entry in Appendix G; locked methodology parameters (the ten IAF para 31 parameters and the Risk Audit Matrix order) are shown but not editable; grant duration defaults to the engagement window and cannot exceed 90 days.</w:t>
      </w:r>
      <w:r>
        <w:br/>
      </w:r>
      <w:r>
        <w:br/>
      </w:r>
      <w:r>
        <w:rPr>
          <w:rStyle w:val="VerbatimChar"/>
        </w:rPr>
        <w:t xml:space="preserve">Tests and acceptance evidence:</w:t>
      </w:r>
      <w:r>
        <w:br/>
      </w:r>
      <w:r>
        <w:br/>
      </w:r>
      <w:r>
        <w:rPr>
          <w:rStyle w:val="VerbatimChar"/>
        </w:rPr>
        <w:t xml:space="preserve">- a risk assessment with any IAF para 31 parameter blank cannot be approved; 40 seeded units are ordered H/H, H/M, H/L, M/H, M/M, L/H;</w:t>
      </w:r>
      <w:r>
        <w:br/>
      </w:r>
      <w:r>
        <w:rPr>
          <w:rStyle w:val="VerbatimChar"/>
        </w:rPr>
        <w:t xml:space="preserve">- re-running a sample with the same snapshot and seed returns identical items; adding one row changes the population hash;</w:t>
      </w:r>
      <w:r>
        <w:br/>
      </w:r>
      <w:r>
        <w:rPr>
          <w:rStyle w:val="VerbatimChar"/>
        </w:rPr>
        <w:t xml:space="preserve">- a finding cannot close without retest by a different user, and `AuditFindingClosed` is not emitted;</w:t>
      </w:r>
      <w:r>
        <w:br/>
      </w:r>
      <w:r>
        <w:rPr>
          <w:rStyle w:val="VerbatimChar"/>
        </w:rPr>
        <w:t xml:space="preserve">- a concurrent-audit firm proposed as statutory auditor is blocked (SA para 18); a ₹15,200 crore tenant cannot finalise with one firm;</w:t>
      </w:r>
      <w:r>
        <w:br/>
      </w:r>
      <w:r>
        <w:rPr>
          <w:rStyle w:val="VerbatimChar"/>
        </w:rPr>
        <w:t xml:space="preserve">- with 60 branches whose top 12 cover 11% of advances, selection extends until coverage reaches 15%;</w:t>
      </w:r>
      <w:r>
        <w:br/>
      </w:r>
      <w:r>
        <w:rPr>
          <w:rStyle w:val="VerbatimChar"/>
        </w:rPr>
        <w:t xml:space="preserve">- a listed tenant whose compliance system LawDocsComply implements cannot appoint an Infrabyx-linked PCS (Reg 24A);</w:t>
      </w:r>
      <w:r>
        <w:br/>
      </w:r>
      <w:r>
        <w:rPr>
          <w:rStyle w:val="VerbatimChar"/>
        </w:rPr>
        <w:t xml:space="preserve">- INSERT, UPDATE or DELETE through the workspace role fails; expiry ends sessions within 60 seconds and emits `ExternalAccessRevoked`; no event payload contains a PAN;</w:t>
      </w:r>
      <w:r>
        <w:br/>
      </w:r>
      <w:r>
        <w:rPr>
          <w:rStyle w:val="VerbatimChar"/>
        </w:rPr>
        <w:t xml:space="preserve">- code search finds no CIMS credential or OTP handling;</w:t>
      </w:r>
      <w:r>
        <w:br/>
      </w:r>
      <w:r>
        <w:rPr>
          <w:rStyle w:val="VerbatimChar"/>
        </w:rPr>
        <w:t xml:space="preserve">- a navigation test walks each role through the Appendix G entries for this phase and finds every screen, action and setting with the stated visibility and nothing more; a grant of 91 days is refused.</w:t>
      </w:r>
      <w:r>
        <w:br/>
      </w:r>
      <w:r>
        <w:br/>
      </w:r>
      <w:r>
        <w:rPr>
          <w:rStyle w:val="VerbatimChar"/>
        </w:rPr>
        <w:t xml:space="preserve">Show me the methodology configuration with locked parameters, the engagement and finding state machines, the PBC templates, the AU7 grant model with legal-basis codes and the supervisor-access interpretation note, with the menu tree and settings catalogue of this phase (Appendix G), for approval before coding.</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docs/specs/phase-16c-audit-assurance-suite.md: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feat/audit-assurance-suite in small commits; run unit, integration, tenant-isolation and security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60"/>
        </w:numPr>
        <w:pStyle w:val="Compact"/>
      </w:pPr>
      <w:r>
        <w:t xml:space="preserve">☐ A risk assessment cannot be approved while any of the ten IAF para 31 parameters is blank or lacks basis text, and the plan builder orders units H/H, H/M, H/L, M/H, M/M, L/H with units past the policy maximum always included (IAF paras 14, 31–32).</w:t>
      </w:r>
    </w:p>
    <w:p>
      <w:pPr>
        <w:numPr>
          <w:ilvl w:val="0"/>
          <w:numId w:val="1060"/>
        </w:numPr>
        <w:pStyle w:val="Compact"/>
      </w:pPr>
      <w:r>
        <w:t xml:space="preserve">☐ Re-running a sample with the stored snapshot and seed returns identical items, and adding one row to the population changes the population hash (ICAI SA 530; Part 7D AU2.3).</w:t>
      </w:r>
    </w:p>
    <w:p>
      <w:pPr>
        <w:numPr>
          <w:ilvl w:val="0"/>
          <w:numId w:val="1060"/>
        </w:numPr>
        <w:pStyle w:val="Compact"/>
      </w:pPr>
      <w:r>
        <w:t xml:space="preserve">☐ A finding cannot be closed without retest evidence by a different user, and only tenant employees can sign internal-audit reports (IAF paras 39–43; OUT para 15).</w:t>
      </w:r>
    </w:p>
    <w:p>
      <w:pPr>
        <w:numPr>
          <w:ilvl w:val="0"/>
          <w:numId w:val="1060"/>
        </w:numPr>
        <w:pStyle w:val="Compact"/>
      </w:pPr>
      <w:r>
        <w:t xml:space="preserve">☐ A ₹15,200 crore tenant cannot finalise its statutory-audit plan with one firm, a concurrent-audit firm proposed as statutory auditor is blocked, and DNBS10 is due 5 working days after signing, capped at 31 December (SA paras 11, 18; AUD para 6; SR para 23).</w:t>
      </w:r>
    </w:p>
    <w:p>
      <w:pPr>
        <w:numPr>
          <w:ilvl w:val="0"/>
          <w:numId w:val="1060"/>
        </w:numPr>
        <w:pStyle w:val="Compact"/>
      </w:pPr>
      <w:r>
        <w:t xml:space="preserve">☐ A listed tenant whose compliance system an Infrabyx company implements cannot appoint an Infrabyx-linked PCS as secretarial auditor (LODR Reg 24A).</w:t>
      </w:r>
    </w:p>
    <w:p>
      <w:pPr>
        <w:numPr>
          <w:ilvl w:val="0"/>
          <w:numId w:val="1060"/>
        </w:numPr>
        <w:pStyle w:val="Compact"/>
      </w:pPr>
      <w:r>
        <w:t xml:space="preserve">☐ No write route exists through an external-access token or database role, a grant without a recorded legal basis or longer than 90 days cannot proceed, and expiry ends sessions within 60 seconds and emits ExternalAccessRevoked (RBI Act s.45N; OUT paras 34(viii), 74(xii); CYB paras 46, 57).</w:t>
      </w:r>
    </w:p>
    <w:p>
      <w:pPr>
        <w:numPr>
          <w:ilvl w:val="0"/>
          <w:numId w:val="1060"/>
        </w:numPr>
        <w:pStyle w:val="Compact"/>
      </w:pPr>
      <w:r>
        <w:t xml:space="preserve">☐ An automated navigation test walks each role through the Appendix G entries for Part 7D and finds every menu path, screen, action and setting listed in its</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with the stated visibility and nothing more, and an attempt to relax a regulatory-floor setting fails server-side with floor_violation (Part 7D; Appendix G; Part 10.2 principles 24 and 42).</w:t>
      </w:r>
    </w:p>
    <w:p>
      <w:pPr>
        <w:numPr>
          <w:ilvl w:val="0"/>
          <w:numId w:val="1060"/>
        </w:numPr>
        <w:pStyle w:val="Compact"/>
      </w:pPr>
      <w:r>
        <w:t xml:space="preserve">☐ The PR shows the test output; the ledger balances (if money moved); the regulatory register and docs/status are updated.</w:t>
      </w:r>
    </w:p>
    <w:bookmarkEnd w:id="50"/>
    <w:bookmarkStart w:id="51" w:name="Xf488860b1c5661a69d40fa06b48ae0bc6ee3942"/>
    <w:p>
      <w:pPr>
        <w:pStyle w:val="Heading3"/>
      </w:pPr>
      <w:r>
        <w:t xml:space="preserve">Phase 16d — Corporate governance, listed-company compliance, client HRMS and workplace integration</w:t>
      </w:r>
    </w:p>
    <w:p>
      <w:pPr>
        <w:numPr>
          <w:ilvl w:val="0"/>
          <w:numId w:val="1061"/>
        </w:numPr>
        <w:pStyle w:val="Compact"/>
      </w:pPr>
      <w:r>
        <w:rPr>
          <w:bCs/>
          <w:b/>
        </w:rPr>
        <w:t xml:space="preserve">Outcome:</w:t>
      </w:r>
      <w:r>
        <w:t xml:space="preserve"> </w:t>
      </w:r>
      <w:r>
        <w:t xml:space="preserve">Part 7F: directors, KMPs and committees with the RBI change gate; Board and general meetings under SS-1 and SS-2; registers, MCA form engine and compliance calendar; LODR, PIT and ICDR packs and the restricted list; departments, DoA and tasks; optional Workforce HRMS and Labour Code payroll; Microsoft 365, Google Workspace and data-centre integration with residency guard-rails</w:t>
      </w:r>
    </w:p>
    <w:p>
      <w:pPr>
        <w:numPr>
          <w:ilvl w:val="0"/>
          <w:numId w:val="1061"/>
        </w:numPr>
        <w:pStyle w:val="Compact"/>
      </w:pPr>
      <w:r>
        <w:rPr>
          <w:bCs/>
          <w:b/>
        </w:rPr>
        <w:t xml:space="preserve">Depends on:</w:t>
      </w:r>
      <w:r>
        <w:t xml:space="preserve"> </w:t>
      </w:r>
      <w:r>
        <w:t xml:space="preserve">P, 3b, 13b, 14b, 14d, 15b; Labour Code rule pack 1.0 (Integration Spec 12.3) for GV6</w:t>
      </w:r>
    </w:p>
    <w:p>
      <w:pPr>
        <w:numPr>
          <w:ilvl w:val="0"/>
          <w:numId w:val="1061"/>
        </w:numPr>
        <w:pStyle w:val="Compact"/>
      </w:pPr>
      <w:r>
        <w:rPr>
          <w:bCs/>
          <w:b/>
        </w:rPr>
        <w:t xml:space="preserve">Branch:</w:t>
      </w:r>
      <w:r>
        <w:t xml:space="preserve"> </w:t>
      </w:r>
      <w:r>
        <w:rPr>
          <w:rStyle w:val="VerbatimChar"/>
        </w:rPr>
        <w:t xml:space="preserve">feat/governance-hrms-workplace</w:t>
      </w:r>
    </w:p>
    <w:p>
      <w:pPr>
        <w:numPr>
          <w:ilvl w:val="0"/>
          <w:numId w:val="1061"/>
        </w:numPr>
        <w:pStyle w:val="Compact"/>
      </w:pPr>
      <w:r>
        <w:rPr>
          <w:bCs/>
          <w:b/>
        </w:rPr>
        <w:t xml:space="preserve">Suggested sub-modules (one session each):</w:t>
      </w:r>
      <w:r>
        <w:t xml:space="preserve"> </w:t>
      </w:r>
      <w:r>
        <w:t xml:space="preserve">GV1 directors, KMPs and committees; GV2 Board, committee and general meetings; GV3 registers, MCA form engine and compliance calendar; GV4 listed-company packs (LODR, PIT, ICDR); GV5 departments, delegation of authority and tasks; GV6 Workforce HRMS and Labour Code payroll; GV7 Microsoft 365, Google Workspace and data-centre integration; Menus, screens and settings for Part 7F (Appendix G).</w:t>
      </w:r>
    </w:p>
    <w:p>
      <w:pPr>
        <w:pStyle w:val="FirstParagraph"/>
      </w:pPr>
      <w:r>
        <w:rPr>
          <w:bCs/>
          <w:b/>
        </w:rPr>
        <w:t xml:space="preserve">Paste into Claude Code:</w:t>
      </w:r>
    </w:p>
    <w:p>
      <w:pPr>
        <w:pStyle w:val="SourceCode"/>
      </w:pPr>
      <w:r>
        <w:rPr>
          <w:rStyle w:val="VerbatimChar"/>
        </w:rPr>
        <w:t xml:space="preserve">Phase 16d — Corporate governance, listed-company compliance, client HRMS and workplace integration. Governing brief: docs/00-master-prompt.md (Part 12, Phase 16d; Part 8A prevails on regulatory points).</w:t>
      </w:r>
      <w:r>
        <w:br/>
      </w:r>
      <w:r>
        <w:br/>
      </w:r>
      <w:r>
        <w:rPr>
          <w:rStyle w:val="VerbatimChar"/>
        </w:rPr>
        <w:t xml:space="preserve">Before writing the specification, verify: (i) every value in the `ca13_threshold_pack`, the SS-1/SS-2 rule pack, the MCA form catalogue and the GV1.5 change matrix against the current Companies Act 2013 Rules, the ICSI Secretarial Standards (revised, effective 1 Apr 2024) and MCA V3; (ii) every LODR, PIT and ICDR clock on sebi.gov.in (HVDLE at ₹5,000 crore from 22 Jan 2026; RPT materiality slabs from 18 Nov 2025; external UPSI entry within 2 days from 9 Jun 2025); (iii) the Labour Codes in force from 21 Nov 2025, the Central Rules of 8 May 2026 (G.S.R. 342(E)–345(E); corrigendum G.S.R. 629(E)) and the `state_rule_status` of each pilot State; (iv) ITA25 s.392 salary TDS and Forms 130 and 138; (v) the office-suite decision recorded in Phase 0 and the Microsoft 365 Default Geography India or ADR evidence (Google Workspace has no India data region); (vi) that the signed Labour Code rule pack `infrabyx-labour-rulepack` 1.0 (Integration Spec v1.1 Part 12.3) is published and pinned in `contracts.lock` — GV6 payroll stays disabled until it is. Then build Part 7F. No MCA, exchange, EPFO, ESIC, TRACES or labour-portal credential, DSC token or OTP is stored:</w:t>
      </w:r>
      <w:r>
        <w:br/>
      </w:r>
      <w:r>
        <w:br/>
      </w:r>
      <w:r>
        <w:rPr>
          <w:rStyle w:val="VerbatimChar"/>
        </w:rPr>
        <w:t xml:space="preserve">- GV1: governance profile; director master with DIN status and DIR-3 KYC from uploaded MCA extracts; appointment states with the RBI gate (a change above 30% of non-independent directors blocks EFFECTIVE until a PRAVAAH approval is attached; GOV paras 10–11), declarations, an independent director on at most 3 ML/UL boards (GOV para 27) and the 30-day DIR-12 timer; KMP master with reporting-line guards for the CRO, CISO and HIA; committee composition packs validated on every change; `KmpChanged` without PAN or date of birth.</w:t>
      </w:r>
      <w:r>
        <w:br/>
      </w:r>
      <w:r>
        <w:rPr>
          <w:rStyle w:val="VerbatimChar"/>
        </w:rPr>
        <w:t xml:space="preserve">- GV2: meeting state machine; s.173 frequency and 7-day notice (urgent meetings only with an independent director present, else pending ratification); per-item quorum with recusals and DIN status; circular resolutions; minutes on 15/7/30-day timers, then locked; general meetings with 21 clear days or 95% short-notice consent; board packs as watermarked PDF/A carrying the frozen RK8 metric pack; `BoardMeetingScheduled`, `ResolutionPassed`.</w:t>
      </w:r>
      <w:r>
        <w:br/>
      </w:r>
      <w:r>
        <w:rPr>
          <w:rStyle w:val="VerbatimChar"/>
        </w:rPr>
        <w:t xml:space="preserve">- GV3: registers generated from source events (MBP-2 excludes NBFC ordinary-course lending, s.186(11)); MCA form engine (AOC-4 NBFC (Ind AS) payload from Phase 13b, never XBRL for an NBFC; CHG-1, DIR-12, MGT-7, MGT-14) with SRN evidence; the integrated compliance calendar and quarterly Board compliance certificate.</w:t>
      </w:r>
      <w:r>
        <w:br/>
      </w:r>
      <w:r>
        <w:rPr>
          <w:rStyle w:val="VerbatimChar"/>
        </w:rPr>
        <w:t xml:space="preserve">- GV4 listed packs: HVDLE detector; Reg 17–21 governance; RPT workflow with the Schedule XII slab formula, lending RPTs routed through the credit DoA and CRM para 13 recusal; the PIT structured digital database (append-only, hash-chained, external-UPSI lateness from two timestamps), designated persons, trading window and contra-trade checks; lender-side UPSI marking that adds viewers to the insider list and puts the issuer on the Part 7H restricted list; disclosure clocks from event timestamps.</w:t>
      </w:r>
      <w:r>
        <w:br/>
      </w:r>
      <w:r>
        <w:rPr>
          <w:rStyle w:val="VerbatimChar"/>
        </w:rPr>
        <w:t xml:space="preserve">- GV5: departments and positions; one DoA service with enabling-resolution links, statutory caps (s.180(1)(c)), substitutes confined to the delegator's band and no self-approval; tasks closed only on checker acceptance; `TaskAssigned`.</w:t>
      </w:r>
      <w:r>
        <w:br/>
      </w:r>
      <w:r>
        <w:rPr>
          <w:rStyle w:val="VerbatimChar"/>
        </w:rPr>
        <w:t xml:space="preserve">- GV6 (optional `Workforce` SKU): final wages within 2 working days of the last working day (CoW s.17(2)), never held for clearance; prohibited monitoring (keystrokes, screenshots, webcam, off-duty location, AI productivity scores) with no override; overtime only with consent, at 2×, capped at 144 hours a quarter; the payroll engine with the CoW s.2(y) 50% add-back, PF, ESI, State PT and LWF tables, s.392 TDS and the 50% deduction cap; no one approves a run containing his own pay line; payroll as a books sub-system under AC7; ghost-employee tests; the shared signed Labour Code rule pack also used by Operations Hub OH10.</w:t>
      </w:r>
      <w:r>
        <w:br/>
      </w:r>
      <w:r>
        <w:rPr>
          <w:rStyle w:val="VerbatimChar"/>
        </w:rPr>
        <w:t xml:space="preserve">- GV7: `WorkplaceProvider` for Microsoft 365 and Google Workspace plus the data-centre agent; the residency matrix per data class (Google Workspace: personal data, books of account, returns, loan and HR data blocked with no override; Microsoft 365 only after Default Geography India attestation); SSO and SCIM (groups map to positions, never directly to privileged roles; deactivation within 15 minutes); optional mailbox provisioning; SharePoint `Sites.Selected`; Teams and Google Chat notices carrying only category, count and a deep link.</w:t>
      </w:r>
      <w:r>
        <w:br/>
      </w:r>
      <w:r>
        <w:rPr>
          <w:rStyle w:val="VerbatimChar"/>
        </w:rPr>
        <w:t xml:space="preserve">- Menus, screens and settings: build workspaces S (Company Secretarial and Governance, including the board portal for directors and committee members), T (HR and Payroll) and the workplace-integration pages of workspace N exactly as the `Menu and screens` and `Settings and options` subsections of Part 7F specify (navigation paths, list, detail, wizard, approval-queue and dashboard screens, actions, bulk actions, filters, exports, empty and error states, role visibility, and each setting with its scope, default and floor), and register every entry in Appendix G; prohibited monitoring never appears as a setting; statutory clocks can only be made stricter (a longer notice period, a shorter minutes, DIR-12 or final-wages timer).</w:t>
      </w:r>
      <w:r>
        <w:br/>
      </w:r>
      <w:r>
        <w:br/>
      </w:r>
      <w:r>
        <w:rPr>
          <w:rStyle w:val="VerbatimChar"/>
        </w:rPr>
        <w:t xml:space="preserve">Governance, task and workforce events (`KmpChanged`, `ResolutionPassed`, `BoardMeetingScheduled`, `TaskAssigned`, `EmployeeOnboarded`, `EmployeeOffboarded`, `MailboxProvisioned` and `AccessReviewCompleted` with `review_scope` TENANT) go only to the tenant's compliance destination (embedded M14 or LawDocsComply) and never reach the Operations Hub.</w:t>
      </w:r>
      <w:r>
        <w:br/>
      </w:r>
      <w:r>
        <w:br/>
      </w:r>
      <w:r>
        <w:rPr>
          <w:rStyle w:val="VerbatimChar"/>
        </w:rPr>
        <w:t xml:space="preserve">Tests and acceptance evidence:</w:t>
      </w:r>
      <w:r>
        <w:br/>
      </w:r>
      <w:r>
        <w:br/>
      </w:r>
      <w:r>
        <w:rPr>
          <w:rStyle w:val="VerbatimChar"/>
        </w:rPr>
        <w:t xml:space="preserve">- an appointment changing 4 of 10 non-independent directors stays in RBI_GATE until the PRAVAAH approval is attached;</w:t>
      </w:r>
      <w:r>
        <w:br/>
      </w:r>
      <w:r>
        <w:rPr>
          <w:rStyle w:val="VerbatimChar"/>
        </w:rPr>
        <w:t xml:space="preserve">- a Board meeting on 6 days' notice is blocked unless urgent; quorum is recomputed for an item with a recusal;</w:t>
      </w:r>
      <w:r>
        <w:br/>
      </w:r>
      <w:r>
        <w:rPr>
          <w:rStyle w:val="VerbatimChar"/>
        </w:rPr>
        <w:t xml:space="preserve">- turnover of ₹30,000 crore gives an RPT threshold of ₹2,500 crore; ₹1,00,000 crore caps at ₹5,000 crore;</w:t>
      </w:r>
      <w:r>
        <w:br/>
      </w:r>
      <w:r>
        <w:rPr>
          <w:rStyle w:val="VerbatimChar"/>
        </w:rPr>
        <w:t xml:space="preserve">- external UPSI entered 3 days after receipt is flagged late; opening a listed borrower's restructuring file adds the viewer to the insider list and the issuer to the 7H restricted list;</w:t>
      </w:r>
      <w:r>
        <w:br/>
      </w:r>
      <w:r>
        <w:rPr>
          <w:rStyle w:val="VerbatimChar"/>
        </w:rPr>
        <w:t xml:space="preserve">- ₹76,000 remuneration with ₹40,000 allowances and ₹20,000 basic plus DA gives CoW wages of ₹22,000; a last working day of Friday 4 Dec 2026 sets final wages by Tuesday 8 Dec 2026; a notice-pay deduction fails `not_permitted_deduction_s18`;</w:t>
      </w:r>
      <w:r>
        <w:br/>
      </w:r>
      <w:r>
        <w:rPr>
          <w:rStyle w:val="VerbatimChar"/>
        </w:rPr>
        <w:t xml:space="preserve">- no API enables screenshots (`prohibited_monitoring`); a Google Workspace target receiving Loans or payroll data fails `residency_blocked_borrower_data`;</w:t>
      </w:r>
      <w:r>
        <w:br/>
      </w:r>
      <w:r>
        <w:rPr>
          <w:rStyle w:val="VerbatimChar"/>
        </w:rPr>
        <w:t xml:space="preserve">- CI fails if a notification payload or `KmpChanged` contains PAN, account-number or amount patterns;</w:t>
      </w:r>
      <w:r>
        <w:br/>
      </w:r>
      <w:r>
        <w:rPr>
          <w:rStyle w:val="VerbatimChar"/>
        </w:rPr>
        <w:t xml:space="preserve">- a navigation test walks each role through the Appendix G entries for this phase and finds every screen, action and setting with the stated visibility and nothing more; the settings catalogue contains no screenshot, keystroke, webcam or off-duty location option, and a Board-meeting notice period set below 7 days fails `floor_violation`.</w:t>
      </w:r>
      <w:r>
        <w:br/>
      </w:r>
      <w:r>
        <w:br/>
      </w:r>
      <w:r>
        <w:rPr>
          <w:rStyle w:val="VerbatimChar"/>
        </w:rPr>
        <w:t xml:space="preserve">Show me the threshold and SS-1/SS-2 rule packs with verification status, the appointment and meeting state machines, the RPT and PIT designs, the payroll formula pack and the workplace residency matrix, with the menu tree and settings catalogue of this phase (Appendix G), for approval before coding.</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docs/specs/phase-16d-governance-hrms-workplace.md: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feat/governance-hrms-workplace in small commits; run unit, integration, tenant-isolation and security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62"/>
        </w:numPr>
        <w:pStyle w:val="Compact"/>
      </w:pPr>
      <w:r>
        <w:t xml:space="preserve">☐ An appointment that changes 4 of 10 non-independent directors stays in RBI_GATE until a PRAVAAH approval is attached, and EFFECTIVE starts the 30-day DIR-12 timer (GOV paras 10–11; CA13 s.170(2)).</w:t>
      </w:r>
    </w:p>
    <w:p>
      <w:pPr>
        <w:numPr>
          <w:ilvl w:val="0"/>
          <w:numId w:val="1062"/>
        </w:numPr>
        <w:pStyle w:val="Compact"/>
      </w:pPr>
      <w:r>
        <w:t xml:space="preserve">☐ A Board meeting on 6 days’ notice is blocked unless marked urgent, and an urgent meeting without an independent director leaves every resolution pending ratification (CA13 s.173(3); ICSI SS-1).</w:t>
      </w:r>
    </w:p>
    <w:p>
      <w:pPr>
        <w:numPr>
          <w:ilvl w:val="0"/>
          <w:numId w:val="1062"/>
        </w:numPr>
        <w:pStyle w:val="Compact"/>
      </w:pPr>
      <w:r>
        <w:t xml:space="preserve">☐ Consolidated turnover of ₹30,000 crore gives an RPT materiality threshold of ₹2,500 crore and ₹1,00,000 crore caps at ₹5,000 crore, and opening a listed borrower’s restructuring file adds the viewer to the insider list and the issuer to the Part 7H restricted list (LODR Reg 23 and Schedule XII; PIT Reg 3(5)).</w:t>
      </w:r>
    </w:p>
    <w:p>
      <w:pPr>
        <w:numPr>
          <w:ilvl w:val="0"/>
          <w:numId w:val="1062"/>
        </w:numPr>
        <w:pStyle w:val="Compact"/>
      </w:pPr>
      <w:r>
        <w:t xml:space="preserve">☐ Final wages fall due within 2 working days of the last working day (Friday 4 Dec 2026 → Tuesday 8 Dec 2026) and are never held for clearance, and a notice-pay deduction fails as not permitted (LC: Code on Wages ss.17(2), 18).</w:t>
      </w:r>
    </w:p>
    <w:p>
      <w:pPr>
        <w:numPr>
          <w:ilvl w:val="0"/>
          <w:numId w:val="1062"/>
        </w:numPr>
        <w:pStyle w:val="Compact"/>
      </w:pPr>
      <w:r>
        <w:t xml:space="preserve">☐ No API or setting can enable screenshots, keystroke logging, webcam capture or off-duty location tracking, and a preparer cannot approve a payroll run that contains his own pay line (DPDP; Part 7F GV6.3; GV6.5).</w:t>
      </w:r>
    </w:p>
    <w:p>
      <w:pPr>
        <w:numPr>
          <w:ilvl w:val="0"/>
          <w:numId w:val="1062"/>
        </w:numPr>
        <w:pStyle w:val="Compact"/>
      </w:pPr>
      <w:r>
        <w:t xml:space="preserve">☐ A Google Workspace target receiving personal, books-of-account, returns, loan or payroll data fails with residency_blocked_borrower_data, and workforce events never reach the Operations Hub (CF para 14(4); OUT para 74(vi); Integration Spec v1.1 workforce domain).</w:t>
      </w:r>
    </w:p>
    <w:p>
      <w:pPr>
        <w:numPr>
          <w:ilvl w:val="0"/>
          <w:numId w:val="1062"/>
        </w:numPr>
        <w:pStyle w:val="Compact"/>
      </w:pPr>
      <w:r>
        <w:t xml:space="preserve">☐ An automated navigation test walks each role through the Appendix G entries for Part 7F and finds every menu path, screen, action and setting listed in its</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with the stated visibility and nothing more, and an attempt to relax a regulatory-floor setting fails server-side with floor_violation (Part 7F; Appendix G; Part 10.2 principles 24 and 42).</w:t>
      </w:r>
    </w:p>
    <w:p>
      <w:pPr>
        <w:numPr>
          <w:ilvl w:val="0"/>
          <w:numId w:val="1062"/>
        </w:numPr>
        <w:pStyle w:val="Compact"/>
      </w:pPr>
      <w:r>
        <w:t xml:space="preserve">☐ The PR shows the test output; the ledger balances (if money moved); the regulatory register and docs/status are updated.</w:t>
      </w:r>
    </w:p>
    <w:bookmarkEnd w:id="51"/>
    <w:bookmarkStart w:id="52" w:name="X9ba12bc57f4bca28165b38b76fed7e320aa1b90"/>
    <w:p>
      <w:pPr>
        <w:pStyle w:val="Heading3"/>
      </w:pPr>
      <w:r>
        <w:t xml:space="preserve">Phase 16e — Plans, entitlements, billing and payments</w:t>
      </w:r>
    </w:p>
    <w:p>
      <w:pPr>
        <w:numPr>
          <w:ilvl w:val="0"/>
          <w:numId w:val="1063"/>
        </w:numPr>
        <w:pStyle w:val="Compact"/>
      </w:pPr>
      <w:r>
        <w:rPr>
          <w:bCs/>
          <w:b/>
        </w:rPr>
        <w:t xml:space="preserve">Outcome:</w:t>
      </w:r>
      <w:r>
        <w:t xml:space="preserve"> </w:t>
      </w:r>
      <w:r>
        <w:t xml:space="preserve">Part 7K: signed catalogue consumption and server-side entitlements; regulatory-continuity guard-rail; billing, membership and settings pages with plain-language explainers; usage metering with aggregate-only UsageRecorded; Razorpay redirect payments and mandates via the Hub; dunning that ends in DP5 exit; switchable revenue streams with legality gate</w:t>
      </w:r>
    </w:p>
    <w:p>
      <w:pPr>
        <w:numPr>
          <w:ilvl w:val="0"/>
          <w:numId w:val="1063"/>
        </w:numPr>
        <w:pStyle w:val="Compact"/>
      </w:pPr>
      <w:r>
        <w:rPr>
          <w:bCs/>
          <w:b/>
        </w:rPr>
        <w:t xml:space="preserve">Depends on:</w:t>
      </w:r>
      <w:r>
        <w:t xml:space="preserve"> </w:t>
      </w:r>
      <w:r>
        <w:t xml:space="preserve">P, 12, 15b, 16b; Operations Hub phase O6</w:t>
      </w:r>
    </w:p>
    <w:p>
      <w:pPr>
        <w:numPr>
          <w:ilvl w:val="0"/>
          <w:numId w:val="1063"/>
        </w:numPr>
        <w:pStyle w:val="Compact"/>
      </w:pPr>
      <w:r>
        <w:rPr>
          <w:bCs/>
          <w:b/>
        </w:rPr>
        <w:t xml:space="preserve">Branch:</w:t>
      </w:r>
      <w:r>
        <w:t xml:space="preserve"> </w:t>
      </w:r>
      <w:r>
        <w:rPr>
          <w:rStyle w:val="VerbatimChar"/>
        </w:rPr>
        <w:t xml:space="preserve">feat/plans-entitlements-billing</w:t>
      </w:r>
    </w:p>
    <w:p>
      <w:pPr>
        <w:numPr>
          <w:ilvl w:val="0"/>
          <w:numId w:val="1063"/>
        </w:numPr>
        <w:pStyle w:val="Compact"/>
      </w:pPr>
      <w:r>
        <w:rPr>
          <w:bCs/>
          <w:b/>
        </w:rPr>
        <w:t xml:space="preserve">Suggested sub-modules (one session each):</w:t>
      </w:r>
      <w:r>
        <w:t xml:space="preserve"> </w:t>
      </w:r>
      <w:r>
        <w:t xml:space="preserve">CM1 catalogue consumption and entitlement enforcement; CM1.4 regulatory-continuity guard-rail tests; CM2 billing, membership and settings pages with explainers; CM3 usage metering and statements; CM4 Hub payment integration, mandates and dunning; CM5 revenue-stream flags, legality gate and self-serve funnel; Menus, screens and settings for Part 7K (Appendix G).</w:t>
      </w:r>
    </w:p>
    <w:p>
      <w:pPr>
        <w:pStyle w:val="FirstParagraph"/>
      </w:pPr>
      <w:r>
        <w:rPr>
          <w:bCs/>
          <w:b/>
        </w:rPr>
        <w:t xml:space="preserve">Paste into Claude Code:</w:t>
      </w:r>
    </w:p>
    <w:p>
      <w:pPr>
        <w:pStyle w:val="SourceCode"/>
      </w:pPr>
      <w:r>
        <w:rPr>
          <w:rStyle w:val="VerbatimChar"/>
        </w:rPr>
        <w:t xml:space="preserve">Phase 16e — Plans, entitlements, billing and payments. Governing brief: docs/00-master-prompt.md (Part 12, Phase 16e; Part 8A prevails on regulatory points).</w:t>
      </w:r>
      <w:r>
        <w:br/>
      </w:r>
      <w:r>
        <w:br/>
      </w:r>
      <w:r>
        <w:rPr>
          <w:rStyle w:val="VerbatimChar"/>
        </w:rPr>
        <w:t xml:space="preserve">This phase needs Operations Hub phase O6 (revenue catalogue, billing and Razorpay) live at least in staging. The Hub owns the catalogue, prices, invoices, the Razorpay account and webhook secrets, and revenue accounting (OH8); Finbyx owns the tenant pages, server-side entitlement enforcement, metering at source and the regulatory-continuity rules. Before writing the specification, verify: (i) the Hub catalogue schema, signing key and billing API version, and the Integration Spec v1.1 billing events (`PlanChanged`, `EntitlementChanged`, `UsageRecorded`, `InvoiceIssued`, `SubscriptionPaymentReceived`, `SubscriptionPaymentFailed`, `SubscriptionCancelled`); (ii) the RBI E-mandate Directions 2026 (RBI/DPSS/2026-27/396, 21 Apr 2026: AFA at registration, ₹15,000 ceiling for debits without AFA, pre-debit notice at least 24 hours before, mandatory validity, no charge to the customer), the Payment Aggregator Directions 2025 and Razorpay's current PA authorisation and PCI DSS AoC; (iii) PCI DSS v4.0.1 SAQ A (revised 31 Jan 2025) for a redirect-only design; (iv) the owner decisions on the merchant-of-record entity, plan tiers and SKUs (Appendix B). Then build Part 7K:</w:t>
      </w:r>
      <w:r>
        <w:br/>
      </w:r>
      <w:r>
        <w:br/>
      </w:r>
      <w:r>
        <w:rPr>
          <w:rStyle w:val="VerbatimChar"/>
        </w:rPr>
        <w:t xml:space="preserve">- CM1 entitlements: fetch the signed catalogue, verify its JWS against the pinned Hub key and its schema, store it read-only, and keep the previous version live on failure; every SKU maps to modules whose `module.yaml` carries `licence_sku`; entitlements come only from the Hub; capacity, rate and environment limits with hard, soft or informational behaviour; server-side checks on every API call, workflow step, worker and UI slot returning `not_entitled`, `limit_reached`, `not_enabled`, `dependency_missing` or `read_only`; tenant flags only narrow; downgrades go through the Part 7A.0.5 detach workflow; a signed offline licence file for dedicated deployments; the last valid entitlement kept 30 days if the Hub is unreachable; no kill switch and no remote deletion.</w:t>
      </w:r>
      <w:r>
        <w:br/>
      </w:r>
      <w:r>
        <w:rPr>
          <w:rStyle w:val="VerbatimChar"/>
        </w:rPr>
        <w:t xml:space="preserve">- CM1.4 regulatory-continuity guard-rail: no commercial state stops COB, accruals, classification, provisioning, close, already-sanctioned disbursement, servicing, receipts, refunds, document release, CIC files, returns, FIU-IND and incident notices, grievance and RB-IOS workflows, borrower statements, contact-policy controls, the audit trail, read access, export, or auditor and supervisor access; hard limits apply only to new non-regulated units.</w:t>
      </w:r>
      <w:r>
        <w:br/>
      </w:r>
      <w:r>
        <w:rPr>
          <w:rStyle w:val="VerbatimChar"/>
        </w:rPr>
        <w:t xml:space="preserve">- CM2 pages: the CM2.2 menu `Settings › Plan and billing` (Overview, Compare plans, Add-ons, Usage with dispute, Invoices, Payment methods and mandates on hosted pages only, Billing contacts, Cancel or downgrade) and `Settings › Users and roles › Seats`; the CM2.4 plan-change workflow (DRAFT → PREVIEWED → SUBMITTED → APPROVED → ORDERED → SCHEDULED → EFFECTIVE) with a Hub-priced proration preview, the entitlement diff, a second approver for increases above threshold and every downgrade, and entitlements changed only on the signed `EntitlementChanged`; `billing_admin` (MFA on every change), `billing_viewer` and `tenant_admin`; plain-language explainers from the catalogue, with a downgrade explainer on every item; a CI content check rejecting 'guarantees compliance' or any certification claim without an EO5 issued-report or certificate record (the EO5 claims register is created empty in this phase and completed in Phase 20b); no dark patterns; cancellation no harder than purchase.</w:t>
      </w:r>
      <w:r>
        <w:br/>
      </w:r>
      <w:r>
        <w:rPr>
          <w:rStyle w:val="VerbatimChar"/>
        </w:rPr>
        <w:t xml:space="preserve">- CM3 metering: `active_loans`, `aum_band` (own share only for co-lent loans), users, branches, `regulatory_runs` (re-runs not billed), `api_calls`, `storage_gb` and pass-through meters, computed from ledgers, idempotent on `(tenant, meter, source_ref, period)` and reconciled nightly; `UsageRecorded` carries aggregates and a statement hash only, never a loan, borrower, member or user identifier; a 7-day dispute window; no meter priced per recovered rupee, notice or connected call.</w:t>
      </w:r>
      <w:r>
        <w:br/>
      </w:r>
      <w:r>
        <w:rPr>
          <w:rStyle w:val="VerbatimChar"/>
        </w:rPr>
        <w:t xml:space="preserve">- CM4 payments: redirect or payment links only, with no Razorpay script on Finbyx pages, plus CSP and a script inventory; Finbyx holds no Razorpay keys and never treats a browser return as proof of payment; strict separation from tenant loan-money rails (M7; CF paras 10(1)–(3)); recurring debits above ₹15,000 go to eNACH or bank transfer; a T−48-hour courtesy notice; GST invoices and TDS certificate upload; dunning ACTIVE → PAST_DUE → RETRY → GRACE → RESTRICTED (D+30 after 7 days' notice) → TERMINATION_NOTICE (D+45) → EXIT (Part 7J DP5), never a hard cancel.</w:t>
      </w:r>
      <w:r>
        <w:br/>
      </w:r>
      <w:r>
        <w:rPr>
          <w:rStyle w:val="VerbatimChar"/>
        </w:rPr>
        <w:t xml:space="preserve">- CM5 revenue streams: read `revenue_stream_flags`; show a purchase option only if its stream has an approved legality-gate record; the vendor-announcements panel never appears inside lending workflows or borrower surfaces; sandbox self-serve rejects PAN- or Aadhaar-like uploads; a production tenant only after a signed MSA, DPA and customer due diligence. No fee from borrowers, no data monetisation, no paid ranking.</w:t>
      </w:r>
      <w:r>
        <w:br/>
      </w:r>
      <w:r>
        <w:rPr>
          <w:rStyle w:val="VerbatimChar"/>
        </w:rPr>
        <w:t xml:space="preserve">- Menus, screens and settings: build workspace N (Tenant Administration: Plans, billing and membership) exactly as the `Menu and screens` and `Settings and options` subsections of Part 7K specify (navigation paths, list, detail, wizard, approval-queue and dashboard screens, actions, bulk actions, filters, exports, empty and error states, role visibility, and each setting with its scope, default and floor), and register every entry in Appendix G; downgrade, cancellation and exit are reachable in no more steps than purchase, and every plan item links to its plain-language explainer.</w:t>
      </w:r>
      <w:r>
        <w:br/>
      </w:r>
      <w:r>
        <w:br/>
      </w:r>
      <w:r>
        <w:rPr>
          <w:rStyle w:val="VerbatimChar"/>
        </w:rPr>
        <w:t xml:space="preserve">Tests and acceptance evidence:</w:t>
      </w:r>
      <w:r>
        <w:br/>
      </w:r>
      <w:r>
        <w:br/>
      </w:r>
      <w:r>
        <w:rPr>
          <w:rStyle w:val="VerbatimChar"/>
        </w:rPr>
        <w:t xml:space="preserve">- a catalogue signed with an unknown key is rejected and the previous version stays live; a SKU naming an unknown module fails import;</w:t>
      </w:r>
      <w:r>
        <w:br/>
      </w:r>
      <w:r>
        <w:rPr>
          <w:rStyle w:val="VerbatimChar"/>
        </w:rPr>
        <w:t xml:space="preserve">- a tenant without the Investments SKU gets `403 not_entitled` on every Part 7H API even with the tenant flag on;</w:t>
      </w:r>
      <w:r>
        <w:br/>
      </w:r>
      <w:r>
        <w:rPr>
          <w:rStyle w:val="VerbatimChar"/>
        </w:rPr>
        <w:t xml:space="preserve">- an expired subscription with an overdue invoice still runs COB, files the CIC file due on the 16th and lets a borrower download a statement; a RESTRICTED tenant still disburses a sanctioned loan but cannot create a user;</w:t>
      </w:r>
      <w:r>
        <w:br/>
      </w:r>
      <w:r>
        <w:rPr>
          <w:rStyle w:val="VerbatimChar"/>
        </w:rPr>
        <w:t xml:space="preserve">- replaying a disbursement event three times yields one usage record; `UsageRecorded` passes the schema test forbidding identifiers;</w:t>
      </w:r>
      <w:r>
        <w:br/>
      </w:r>
      <w:r>
        <w:rPr>
          <w:rStyle w:val="VerbatimChar"/>
        </w:rPr>
        <w:t xml:space="preserve">- the billing page HTML contains no third-party script; a 'success' redirect without Hub confirmation leaves the invoice unpaid;</w:t>
      </w:r>
      <w:r>
        <w:br/>
      </w:r>
      <w:r>
        <w:rPr>
          <w:rStyle w:val="VerbatimChar"/>
        </w:rPr>
        <w:t xml:space="preserve">- an ₹18,000 recurring card debit is not set up as a no-AFA mandate;</w:t>
      </w:r>
      <w:r>
        <w:br/>
      </w:r>
      <w:r>
        <w:rPr>
          <w:rStyle w:val="VerbatimChar"/>
        </w:rPr>
        <w:t xml:space="preserve">- an explainer claiming 'certified' without an EO5 record fails CI;</w:t>
      </w:r>
      <w:r>
        <w:br/>
      </w:r>
      <w:r>
        <w:rPr>
          <w:rStyle w:val="VerbatimChar"/>
        </w:rPr>
        <w:t xml:space="preserve">- a navigation test walks each role through the Appendix G entries for this phase and finds every screen, action and setting with the stated visibility and nothing more; the cancellation path has no more steps than the purchase path.</w:t>
      </w:r>
      <w:r>
        <w:br/>
      </w:r>
      <w:r>
        <w:br/>
      </w:r>
      <w:r>
        <w:rPr>
          <w:rStyle w:val="VerbatimChar"/>
        </w:rPr>
        <w:t xml:space="preserve">Show me the SKU-to-module map, the entitlement check matrix, the regulatory-continuity list written as tests, the meter definitions and the dunning timeline, with the menu tree and settings catalogue of this phase (Appendix G), for approval before coding.</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docs/specs/phase-16e-plans-entitlements-billing.md: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feat/plans-entitlements-billing in small commits; run unit, integration, tenant-isolation and security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64"/>
        </w:numPr>
        <w:pStyle w:val="Compact"/>
      </w:pPr>
      <w:r>
        <w:t xml:space="preserve">☐ A catalogue signed with an unknown key is rejected and the previous version stays live, and a SKU naming a module absent from the registry fails import (Part 7K CM1.1; Part 7A.0.1).</w:t>
      </w:r>
    </w:p>
    <w:p>
      <w:pPr>
        <w:numPr>
          <w:ilvl w:val="0"/>
          <w:numId w:val="1064"/>
        </w:numPr>
        <w:pStyle w:val="Compact"/>
      </w:pPr>
      <w:r>
        <w:t xml:space="preserve">☐ A tenant without the Investments SKU receives 403 not_entitled on every Part 7H API even with the tenant flag on, and tenant flags can only narrow entitlements (Part 7K CM1.3).</w:t>
      </w:r>
    </w:p>
    <w:p>
      <w:pPr>
        <w:numPr>
          <w:ilvl w:val="0"/>
          <w:numId w:val="1064"/>
        </w:numPr>
        <w:pStyle w:val="Compact"/>
      </w:pPr>
      <w:r>
        <w:t xml:space="preserve">☐ A tenant with an expired subscription and an overdue invoice still runs COB, files its CIC file and returns, serves borrower statements and keeps read, export and supervisor access (OUT para 87; CYB paras 46, 57; Part 7K CM1.4).</w:t>
      </w:r>
    </w:p>
    <w:p>
      <w:pPr>
        <w:numPr>
          <w:ilvl w:val="0"/>
          <w:numId w:val="1064"/>
        </w:numPr>
        <w:pStyle w:val="Compact"/>
      </w:pPr>
      <w:r>
        <w:t xml:space="preserve">☐ The billing pages contain no third-party payment script, a browser return without Hub server-side confirmation never marks an invoice paid, and Finbyx holds no Razorpay keys (PCI DSS v4.0.1 SAQ A; Part 7K CM4.1).</w:t>
      </w:r>
    </w:p>
    <w:p>
      <w:pPr>
        <w:numPr>
          <w:ilvl w:val="0"/>
          <w:numId w:val="1064"/>
        </w:numPr>
        <w:pStyle w:val="Compact"/>
      </w:pPr>
      <w:r>
        <w:t xml:space="preserve">☐ A recurring card or UPI debit above ₹15,000 is never set up as a no-AFA mandate and is routed to eNACH or bank transfer (RBI E-mandate Directions 2026 para 8(a)).</w:t>
      </w:r>
    </w:p>
    <w:p>
      <w:pPr>
        <w:numPr>
          <w:ilvl w:val="0"/>
          <w:numId w:val="1064"/>
        </w:numPr>
        <w:pStyle w:val="Compact"/>
      </w:pPr>
      <w:r>
        <w:t xml:space="preserve">☐ UsageRecorded payloads pass a schema test that forbids any loan, borrower, member or user identifier, and replaying a source event three times yields one usage record (Integration Spec v1.1 billing domain).</w:t>
      </w:r>
    </w:p>
    <w:p>
      <w:pPr>
        <w:numPr>
          <w:ilvl w:val="0"/>
          <w:numId w:val="1064"/>
        </w:numPr>
        <w:pStyle w:val="Compact"/>
      </w:pPr>
      <w:r>
        <w:t xml:space="preserve">☐ An automated navigation test walks each role through the Appendix G entries for Part 7K and finds every menu path, screen, action and setting listed in its</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with the stated visibility and nothing more, and an attempt to relax a regulatory-floor setting fails server-side with floor_violation (Part 7K; Appendix G; Part 10.2 principles 24 and 42).</w:t>
      </w:r>
    </w:p>
    <w:p>
      <w:pPr>
        <w:numPr>
          <w:ilvl w:val="0"/>
          <w:numId w:val="1064"/>
        </w:numPr>
        <w:pStyle w:val="Compact"/>
      </w:pPr>
      <w:r>
        <w:t xml:space="preserve">☐ The PR shows the test output; the ledger balances (if money moved); the regulatory register and docs/status are updated.</w:t>
      </w:r>
    </w:p>
    <w:bookmarkEnd w:id="52"/>
    <w:bookmarkStart w:id="53" w:name="phase-17-secured-products-expansion"/>
    <w:p>
      <w:pPr>
        <w:pStyle w:val="Heading3"/>
      </w:pPr>
      <w:r>
        <w:t xml:space="preserve">Phase 17 — Secured products expansion</w:t>
      </w:r>
    </w:p>
    <w:p>
      <w:pPr>
        <w:numPr>
          <w:ilvl w:val="0"/>
          <w:numId w:val="1065"/>
        </w:numPr>
        <w:pStyle w:val="Compact"/>
      </w:pPr>
      <w:r>
        <w:rPr>
          <w:bCs/>
          <w:b/>
        </w:rPr>
        <w:t xml:space="preserve">Outcome:</w:t>
      </w:r>
      <w:r>
        <w:t xml:space="preserve"> </w:t>
      </w:r>
      <w:r>
        <w:t xml:space="preserve">LAP/Home, Vehicle, Gold, LAS/LAMF templates (Part 6.3); collateral flows; LAS/LAMF margin engine (Part 6.4); gold custody, release and compensation (enforcement in Phase 17b)</w:t>
      </w:r>
    </w:p>
    <w:p>
      <w:pPr>
        <w:numPr>
          <w:ilvl w:val="0"/>
          <w:numId w:val="1065"/>
        </w:numPr>
        <w:pStyle w:val="Compact"/>
      </w:pPr>
      <w:r>
        <w:rPr>
          <w:bCs/>
          <w:b/>
        </w:rPr>
        <w:t xml:space="preserve">Depends on:</w:t>
      </w:r>
      <w:r>
        <w:t xml:space="preserve"> </w:t>
      </w:r>
      <w:r>
        <w:t xml:space="preserve">P, 12, 16b</w:t>
      </w:r>
    </w:p>
    <w:p>
      <w:pPr>
        <w:numPr>
          <w:ilvl w:val="0"/>
          <w:numId w:val="1065"/>
        </w:numPr>
        <w:pStyle w:val="Compact"/>
      </w:pPr>
      <w:r>
        <w:rPr>
          <w:bCs/>
          <w:b/>
        </w:rPr>
        <w:t xml:space="preserve">Branch:</w:t>
      </w:r>
      <w:r>
        <w:t xml:space="preserve"> </w:t>
      </w:r>
      <w:r>
        <w:rPr>
          <w:rStyle w:val="VerbatimChar"/>
        </w:rPr>
        <w:t xml:space="preserve">feat/secured-products</w:t>
      </w:r>
    </w:p>
    <w:p>
      <w:pPr>
        <w:numPr>
          <w:ilvl w:val="0"/>
          <w:numId w:val="1065"/>
        </w:numPr>
        <w:pStyle w:val="Compact"/>
      </w:pPr>
      <w:r>
        <w:rPr>
          <w:bCs/>
          <w:b/>
        </w:rPr>
        <w:t xml:space="preserve">Suggested sub-modules (one session each):</w:t>
      </w:r>
      <w:r>
        <w:t xml:space="preserve"> </w:t>
      </w:r>
      <w:r>
        <w:t xml:space="preserve">LAP/Home; Vehicle; Gold; LAS/LAMF.</w:t>
      </w:r>
    </w:p>
    <w:p>
      <w:pPr>
        <w:pStyle w:val="FirstParagraph"/>
      </w:pPr>
      <w:r>
        <w:rPr>
          <w:bCs/>
          <w:b/>
        </w:rPr>
        <w:t xml:space="preserve">Paste into Claude Code:</w:t>
      </w:r>
    </w:p>
    <w:p>
      <w:pPr>
        <w:pStyle w:val="SourceCode"/>
      </w:pPr>
      <w:r>
        <w:rPr>
          <w:rStyle w:val="VerbatimChar"/>
        </w:rPr>
        <w:t xml:space="preserve">Phase 17 — Secured products expansion. Governing brief: docs/00-master-prompt.md (Part 12, Phase 17; Part 8A prevails on regulatory points).</w:t>
      </w:r>
      <w:r>
        <w:br/>
      </w:r>
      <w:r>
        <w:br/>
      </w:r>
      <w:r>
        <w:rPr>
          <w:rStyle w:val="VerbatimChar"/>
        </w:rPr>
        <w:t xml:space="preserve">For each secured product (LAP/Home, Vehicle, Gold, LAS/LAMF):</w:t>
      </w:r>
      <w:r>
        <w:br/>
      </w:r>
      <w:r>
        <w:br/>
      </w:r>
      <w:r>
        <w:rPr>
          <w:rStyle w:val="VerbatimChar"/>
        </w:rPr>
        <w:t xml:space="preserve">1. produce the product spec and feasibility notes;</w:t>
      </w:r>
      <w:r>
        <w:br/>
      </w:r>
      <w:r>
        <w:rPr>
          <w:rStyle w:val="VerbatimChar"/>
        </w:rPr>
        <w:t xml:space="preserve">2. implement the collateral workflows (M5), integrations and regulatory checks;</w:t>
      </w:r>
      <w:r>
        <w:br/>
      </w:r>
      <w:r>
        <w:rPr>
          <w:rStyle w:val="VerbatimChar"/>
        </w:rPr>
        <w:t xml:space="preserve">3. build the collateral-side rules these products need before enforcement: gold release, compensation and unclaimed-collateral rules (RBC paras 58, 69, 71–72), the vehicle repossession clause contents in the agreement template (RBC paras 26–27), and the LAS/LAMF margin engine (Part 6.4), publishing the collateral events through the Phase 16b hub (Integration Spec Parts 6.5 and 7.3). SARFAESI, repossession, auctions, pledge invocation and sale are built in Phase 17b.</w:t>
      </w:r>
      <w:r>
        <w:br/>
      </w:r>
      <w:r>
        <w:br/>
      </w:r>
      <w:r>
        <w:rPr>
          <w:rStyle w:val="VerbatimChar"/>
        </w:rPr>
        <w:t xml:space="preserve">v1.3 regulatory additions for this phase (Part 8A.36.4) — include them:</w:t>
      </w:r>
      <w:r>
        <w:br/>
      </w:r>
      <w:r>
        <w:rPr>
          <w:rStyle w:val="VerbatimChar"/>
        </w:rPr>
        <w:t xml:space="preserve">- Gold conduct module (RBC 43–59 and 67–75; the auction rules in paras 60–66 are built in Phase 17b); vehicle repossession clause in the agreement (RBC 26–27) [RBC / WD]</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docs/specs/phase-17-secured-products.md: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feat/secured-products in small commits; run unit, integration, tenant-isolation and security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66"/>
        </w:numPr>
        <w:pStyle w:val="Compact"/>
      </w:pPr>
      <w:r>
        <w:t xml:space="preserve">☐ Gold-loan LTV, valuation, release, compensation and unclaimed-collateral rules match RBC 43–59 and 67–75 and CF 32–50 (gold auctions, RBC 60–66, are gated in Phase 17b).</w:t>
      </w:r>
    </w:p>
    <w:p>
      <w:pPr>
        <w:numPr>
          <w:ilvl w:val="0"/>
          <w:numId w:val="1066"/>
        </w:numPr>
        <w:pStyle w:val="Compact"/>
      </w:pPr>
      <w:r>
        <w:t xml:space="preserve">☐ The LAS margin engine raises calls with a 7-working-day deadline (CF para 106(1)) and gold release follows RBC paras 58 and 69.</w:t>
      </w:r>
    </w:p>
    <w:p>
      <w:pPr>
        <w:numPr>
          <w:ilvl w:val="0"/>
          <w:numId w:val="1066"/>
        </w:numPr>
        <w:pStyle w:val="Compact"/>
      </w:pPr>
      <w:r>
        <w:t xml:space="preserve">☐ Every charge type is filed with CERSAI (CRM 27–28).</w:t>
      </w:r>
    </w:p>
    <w:p>
      <w:pPr>
        <w:numPr>
          <w:ilvl w:val="0"/>
          <w:numId w:val="1066"/>
        </w:numPr>
        <w:pStyle w:val="Compact"/>
      </w:pPr>
      <w:r>
        <w:t xml:space="preserve">☐ The collateral events (CollateralPledgeCreated, CollateralValuationUpdated, MarginCallRaised, MarginCallCured, MarginCallLapsed, CollateralReleased) pass the Udofin Pact suite through the Phase 16b hub (Integration Spec Parts 6.5, 7.3 and 15).</w:t>
      </w:r>
    </w:p>
    <w:p>
      <w:pPr>
        <w:numPr>
          <w:ilvl w:val="0"/>
          <w:numId w:val="1066"/>
        </w:numPr>
        <w:pStyle w:val="Compact"/>
      </w:pPr>
      <w:r>
        <w:t xml:space="preserve">☐ The PR shows the test output; the ledger balances (if money moved); the regulatory register and docs/status are updated.</w:t>
      </w:r>
    </w:p>
    <w:bookmarkEnd w:id="53"/>
    <w:bookmarkStart w:id="54" w:name="X06a6a059c1a7b32db1d65ad291f5f7d119d6eb8"/>
    <w:p>
      <w:pPr>
        <w:pStyle w:val="Heading3"/>
      </w:pPr>
      <w:r>
        <w:t xml:space="preserve">Phase 17b — Secured enforcement and shared-exposure recovery</w:t>
      </w:r>
    </w:p>
    <w:p>
      <w:pPr>
        <w:numPr>
          <w:ilvl w:val="0"/>
          <w:numId w:val="1067"/>
        </w:numPr>
        <w:pStyle w:val="Compact"/>
      </w:pPr>
      <w:r>
        <w:rPr>
          <w:bCs/>
          <w:b/>
        </w:rPr>
        <w:t xml:space="preserve">Outcome:</w:t>
      </w:r>
      <w:r>
        <w:t xml:space="preserve"> </w:t>
      </w:r>
      <w:r>
        <w:t xml:space="preserve">R4 SARFAESI, R5 civil and DRT where eligible, R6 IBC, R10 repossession and auction, R13 co-lending, transfer, securitisation, ARC and consortium recovery, R16 product playbooks</w:t>
      </w:r>
    </w:p>
    <w:p>
      <w:pPr>
        <w:numPr>
          <w:ilvl w:val="0"/>
          <w:numId w:val="1067"/>
        </w:numPr>
        <w:pStyle w:val="Compact"/>
      </w:pPr>
      <w:r>
        <w:rPr>
          <w:bCs/>
          <w:b/>
        </w:rPr>
        <w:t xml:space="preserve">Depends on:</w:t>
      </w:r>
      <w:r>
        <w:t xml:space="preserve"> </w:t>
      </w:r>
      <w:r>
        <w:t xml:space="preserve">16b, 17</w:t>
      </w:r>
    </w:p>
    <w:p>
      <w:pPr>
        <w:numPr>
          <w:ilvl w:val="0"/>
          <w:numId w:val="1067"/>
        </w:numPr>
        <w:pStyle w:val="Compact"/>
      </w:pPr>
      <w:r>
        <w:rPr>
          <w:bCs/>
          <w:b/>
        </w:rPr>
        <w:t xml:space="preserve">Branch:</w:t>
      </w:r>
      <w:r>
        <w:t xml:space="preserve"> </w:t>
      </w:r>
      <w:r>
        <w:rPr>
          <w:rStyle w:val="VerbatimChar"/>
        </w:rPr>
        <w:t xml:space="preserve">feat/secured-enforcement</w:t>
      </w:r>
    </w:p>
    <w:p>
      <w:pPr>
        <w:numPr>
          <w:ilvl w:val="0"/>
          <w:numId w:val="1067"/>
        </w:numPr>
        <w:pStyle w:val="Compact"/>
      </w:pPr>
      <w:r>
        <w:rPr>
          <w:bCs/>
          <w:b/>
        </w:rPr>
        <w:t xml:space="preserve">Suggested sub-modules (one session each):</w:t>
      </w:r>
      <w:r>
        <w:t xml:space="preserve"> </w:t>
      </w:r>
      <w:r>
        <w:t xml:space="preserve">R4 SARFAESI; R5 civil and tribunal remedies; R6 IBC; R10 repossession, valuation, auction and sale; R13 shared-exposure recovery; R16 product playbooks.</w:t>
      </w:r>
    </w:p>
    <w:p>
      <w:pPr>
        <w:pStyle w:val="FirstParagraph"/>
      </w:pPr>
      <w:r>
        <w:rPr>
          <w:bCs/>
          <w:b/>
        </w:rPr>
        <w:t xml:space="preserve">Paste into Claude Code:</w:t>
      </w:r>
    </w:p>
    <w:p>
      <w:pPr>
        <w:pStyle w:val="SourceCode"/>
      </w:pPr>
      <w:r>
        <w:rPr>
          <w:rStyle w:val="VerbatimChar"/>
        </w:rPr>
        <w:t xml:space="preserve">Phase 17b — Secured enforcement and shared-exposure recovery. Governing brief: docs/00-master-prompt.md (Part 12, Phase 17b; Part 8A prevails on regulatory points).</w:t>
      </w:r>
      <w:r>
        <w:br/>
      </w:r>
      <w:r>
        <w:br/>
      </w:r>
      <w:r>
        <w:rPr>
          <w:rStyle w:val="VerbatimChar"/>
        </w:rPr>
        <w:t xml:space="preserve">Before writing the specification, verify: (i) each pilot tenant's SARFAESI eligibility evidence (last audited assets and the NBFC thresholds of ₹100 crore of assets and ₹20 lakh of debt under S.O. 652(E), 12 Feb 2021) and any RDB s.2(h)(ii) notification for the tenant; (ii) IBC commencement notices after S.O. 2625(E) of 22 May 2026 (CIIRP, group insolvency and cross-border provisions not in force as of 19 Oct 2026); (iii) access to BAANKNET and to the Vahan financier services. Then build:</w:t>
      </w:r>
      <w:r>
        <w:br/>
      </w:r>
      <w:r>
        <w:br/>
      </w:r>
      <w:r>
        <w:rPr>
          <w:rStyle w:val="VerbatimChar"/>
        </w:rPr>
        <w:t xml:space="preserve">- R4 SARFAESI enforcement: eligibility gate (NBFC thresholds; HFCs as notified financial institutions; s.31 exclusions including pledges, agricultural land and claims of ₹1 lakh or less or below 20% of principal plus interest); CERSAI registration gate (s.26D); limitation gate (s.36); state machine 13(2) notice → 13(3A) reply within 15 days → 60-day cure → possession notice and publication within 7 days (Rule 8(1)–(2)) → s.14 application → valuation and reserve → sale notice (Rule 8(6)) → auction no earlier than 30 days (15 for a re-sale; Rule 9(1)) → 25% deposit the same or next working day → balance within 15 days of confirmation, or up to 3 months by written extension (Rule 9(3)–(4); *M.R. Vasumathi v Authorized Officer*, SC, 9 Jun 2026) → sale certificate → s.13(7) appropriation → surplus or shortfall; redemption closing on publication of the sale notice (s.13(8); *Celir LLP v Bafna Motors*, SC, 21 Sep 2023; *M. Rajendran v KPK Oils*, 2025 INSC 1144); borrower's s.17 window of 45 days tracked in R9; possessed-asset website feed updated monthly (CIR 21).</w:t>
      </w:r>
      <w:r>
        <w:br/>
      </w:r>
      <w:r>
        <w:rPr>
          <w:rStyle w:val="VerbatimChar"/>
        </w:rPr>
        <w:t xml:space="preserve">- R5 civil and tribunal remedies: DRT original applications only for RDB-eligible lenders (₹20 lakh threshold, S.O. 4312(E) of 6 Sep 2018); an NBFC is not eligible unless notified under s.2(h)(ii) (*Tata Motors Finance v Naushad Khan*, Bom HC, 2023; *Aditya Birla Finance v Anjali Nag*, Del HC, 2024); e-DRT filing for all pleadings from 23 Jun 2025; Order XXXVII summary suits; commercial suits with the s.12A gate from R8; execution under Order XXI; the forum for an un-notified NBFC's s.13(10) shortfall application [VERIFY].</w:t>
      </w:r>
      <w:r>
        <w:br/>
      </w:r>
      <w:r>
        <w:rPr>
          <w:rStyle w:val="VerbatimChar"/>
        </w:rPr>
        <w:t xml:space="preserve">- R6 insolvency (IBC): NeSL information-utility record of default; s.7 applications for defaults of ₹1 crore or more within Art. 137 limitation, with admission tracked against s.7(5) as amended (14 days, from 26 May 2026); Form C claims by the public-announcement date and late-claim rules; CoC vote log; personal-guarantor applications at the NCLT (s.95; no interim moratorium against personal guarantors to corporate debtors, s.96(4) as amended); moratorium watcher that freezes R4, R7 and R10 actions against the corporate debtor; liquidation auctions on BAANKNET; CIIRP kept off in the rule pack until notified.</w:t>
      </w:r>
      <w:r>
        <w:br/>
      </w:r>
      <w:r>
        <w:rPr>
          <w:rStyle w:val="VerbatimChar"/>
        </w:rPr>
        <w:t xml:space="preserve">- R10 repossession, valuation, auction and sale: vehicles (contractual notice period elapsed, daytime repossession by an authorised agent with ID and authorisation, signed possession memo and inventory, no force; RBC 26; *Hari Dutta Sharma v State of UP*, SC, 16 Sep 2026; Form 36 re-registration under MV Act s.51(5)); gold (RBC 60–66; reserve from the IBJA or exchange feed; surplus within 7 working days); LAS and LAMF invocation and sale (Part 6.4.7); SARFAESI immovable and movable sales; valuer panel and reserve worksheet; e-auction listings through the Phase 16b connectors; `AssetRepossessed`, `AuctionScheduled`, `AuctionConcluded`, `CollateralInvoked`, `SurplusRefunded` (Integration Spec Parts 6.5 and 6.8).</w:t>
      </w:r>
      <w:r>
        <w:br/>
      </w:r>
      <w:r>
        <w:rPr>
          <w:rStyle w:val="VerbatimChar"/>
        </w:rPr>
        <w:t xml:space="preserve">- R13 shared-exposure recovery: co-lending decision matrix (servicer RE decides contact; each RE settles its own share under its own Board policy; joint SARFAESI needs secured creditors holding at least 60% by value, s.13(9)); classification sync by the end of the next working day (TDCR 124, `ClassificationSynced`); recoveries after DLG invocation kept off the loan account (CF 25(2)); transferred loans (each party resolves its own economic interest, TDCR 19(2); binding invocation mechanism for security held in trust, TDCR 21; servicer trust accounts and certified data, TDCR 29–30, 41–42); securitisation servicing (remit all cash flows, no commingling, SEC 95–96; servicer replacement, SEC 70); stressed-loan sale and ARC transfer (Board review, valuations, Swiss challenge, permitted transferees, s.29A check, cash only, cooling period; TDCR 56–94; substitution of the assignee in pending cases); consortium and ICA vote engine (75% by value and 60% by number; dissenters at least liquidation value; RSA 31–33, 45–48); `LoanTransferred` and `ServicerChanged` (Integration Spec Part 6.6).</w:t>
      </w:r>
      <w:r>
        <w:br/>
      </w:r>
      <w:r>
        <w:rPr>
          <w:rStyle w:val="VerbatimChar"/>
        </w:rPr>
        <w:t xml:space="preserve">- R16 product recovery playbooks: one playbook per product code in Part 6.3 (and the co-lending overlay), each binding the mechanism profile, notice templates, clocks, conduct overlay and accounting map; tenant-editable within guard-rails.</w:t>
      </w:r>
      <w:r>
        <w:br/>
      </w:r>
      <w:r>
        <w:br/>
      </w:r>
      <w:r>
        <w:rPr>
          <w:rStyle w:val="VerbatimChar"/>
        </w:rPr>
        <w:t xml:space="preserve">Tests and acceptance evidence:</w:t>
      </w:r>
      <w:r>
        <w:br/>
      </w:r>
      <w:r>
        <w:br/>
      </w:r>
      <w:r>
        <w:rPr>
          <w:rStyle w:val="VerbatimChar"/>
        </w:rPr>
        <w:t xml:space="preserve">- SARFAESI is blocked for a tenant below the threshold, for a debt below ₹20 lakh and for a charge not on CERSAI;</w:t>
      </w:r>
      <w:r>
        <w:br/>
      </w:r>
      <w:r>
        <w:rPr>
          <w:rStyle w:val="VerbatimChar"/>
        </w:rPr>
        <w:t xml:space="preserve">- a sale balance received on day 16 with no written extension blocks the sale certificate and opens the forfeiture workflow;</w:t>
      </w:r>
      <w:r>
        <w:br/>
      </w:r>
      <w:r>
        <w:rPr>
          <w:rStyle w:val="VerbatimChar"/>
        </w:rPr>
        <w:t xml:space="preserve">- a vehicle repossession task cannot start before the notice period ends or without an authorised agent;</w:t>
      </w:r>
      <w:r>
        <w:br/>
      </w:r>
      <w:r>
        <w:rPr>
          <w:rStyle w:val="VerbatimChar"/>
        </w:rPr>
        <w:t xml:space="preserve">- a gold auction reserve below 90% (85% after two failed auctions) is rejected;</w:t>
      </w:r>
      <w:r>
        <w:br/>
      </w:r>
      <w:r>
        <w:rPr>
          <w:rStyle w:val="VerbatimChar"/>
        </w:rPr>
        <w:t xml:space="preserve">- an IBC admission for a corporate debtor freezes SARFAESI and invocation actions against it;</w:t>
      </w:r>
      <w:r>
        <w:br/>
      </w:r>
      <w:r>
        <w:rPr>
          <w:rStyle w:val="VerbatimChar"/>
        </w:rPr>
        <w:t xml:space="preserve">- a 90:10 co-lent account cannot start SARFAESI on the 10% lender's vote alone;</w:t>
      </w:r>
      <w:r>
        <w:br/>
      </w:r>
      <w:r>
        <w:rPr>
          <w:rStyle w:val="VerbatimChar"/>
        </w:rPr>
        <w:t xml:space="preserve">- an ICA decision with 76% by value but 55% by number fails;</w:t>
      </w:r>
      <w:r>
        <w:br/>
      </w:r>
      <w:r>
        <w:rPr>
          <w:rStyle w:val="VerbatimChar"/>
        </w:rPr>
        <w:t xml:space="preserve">- every product code has an approved R16 playbook.</w:t>
      </w:r>
      <w:r>
        <w:br/>
      </w:r>
      <w:r>
        <w:br/>
      </w:r>
      <w:r>
        <w:rPr>
          <w:rStyle w:val="VerbatimChar"/>
        </w:rPr>
        <w:t xml:space="preserve">Show me the SARFAESI state machine, the R13 decision matrix and the playbook list for approval before coding.</w:t>
      </w:r>
      <w:r>
        <w:br/>
      </w:r>
      <w:r>
        <w:br/>
      </w:r>
      <w:r>
        <w:rPr>
          <w:rStyle w:val="VerbatimChar"/>
        </w:rPr>
        <w:t xml:space="preserve">v1.3 regulatory additions for this phase (Part 8A.36.4) — include them:</w:t>
      </w:r>
      <w:r>
        <w:br/>
      </w:r>
      <w:r>
        <w:rPr>
          <w:rStyle w:val="VerbatimChar"/>
        </w:rPr>
        <w:t xml:space="preserve">- Gold auction rules (RBC 60–66: notice, two newspapers, reserve ≥ 90% of current value or 85% after two failures, first auction in the district, no related-party bids, surplus within 7 working days); vehicle repossession conduct (RBC 26) [RBC / WD]</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docs/specs/phase-17b-secured-enforcement.md: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feat/secured-enforcement in small commits; run unit, integration, tenant-isolation and security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68"/>
        </w:numPr>
        <w:pStyle w:val="Compact"/>
      </w:pPr>
      <w:r>
        <w:t xml:space="preserve">☐ SARFAESI actions are blocked for an ineligible tenant, a debt below ₹20 lakh, a time-barred claim (SARFAESI s.36) or a charge not registered with CERSAI (s.26D).</w:t>
      </w:r>
    </w:p>
    <w:p>
      <w:pPr>
        <w:numPr>
          <w:ilvl w:val="0"/>
          <w:numId w:val="1068"/>
        </w:numPr>
        <w:pStyle w:val="Compact"/>
      </w:pPr>
      <w:r>
        <w:t xml:space="preserve">☐ A sale balance received after 15 days without a written extension blocks the sale certificate and opens the forfeiture workflow (Security Interest (Enforcement) Rules, Rule 9(4); M.R. Vasumathi v Authorized Officer, SC, 9 Jun 2026).</w:t>
      </w:r>
    </w:p>
    <w:p>
      <w:pPr>
        <w:numPr>
          <w:ilvl w:val="0"/>
          <w:numId w:val="1068"/>
        </w:numPr>
        <w:pStyle w:val="Compact"/>
      </w:pPr>
      <w:r>
        <w:t xml:space="preserve">☐ A vehicle repossession task cannot start before the contractual notice period ends or without an authorised agent and a signed possession memo (RBC para 26; Hari Dutta Sharma v State of UP, SC, 16 Sep 2026).</w:t>
      </w:r>
    </w:p>
    <w:p>
      <w:pPr>
        <w:numPr>
          <w:ilvl w:val="0"/>
          <w:numId w:val="1068"/>
        </w:numPr>
        <w:pStyle w:val="Compact"/>
      </w:pPr>
      <w:r>
        <w:t xml:space="preserve">☐ An IBC admission freezes SARFAESI, pledge-invocation and repossession actions against the corporate debtor, and CIIRP stays switched off in the rule pack (IBC s.14; IBC (Amendment) Act 2026).</w:t>
      </w:r>
    </w:p>
    <w:p>
      <w:pPr>
        <w:numPr>
          <w:ilvl w:val="0"/>
          <w:numId w:val="1068"/>
        </w:numPr>
        <w:pStyle w:val="Compact"/>
      </w:pPr>
      <w:r>
        <w:t xml:space="preserve">☐ Joint SARFAESI on a co-lent account needs secured creditors holding at least 60% by value, and an ICA decision needs 75% by value and 60% by number (SARFAESI s.13(9); RSA para 32).</w:t>
      </w:r>
    </w:p>
    <w:p>
      <w:pPr>
        <w:numPr>
          <w:ilvl w:val="0"/>
          <w:numId w:val="1068"/>
        </w:numPr>
        <w:pStyle w:val="Compact"/>
      </w:pPr>
      <w:r>
        <w:t xml:space="preserve">☐ A gold auction without prior notice to the borrower, with a reserve below 90% of current value (85% after two failed auctions), outside the district for the first auction or with a related-party bidder is rejected, and any surplus is refunded within 7 working days (RBC paras 60, 63–66).</w:t>
      </w:r>
    </w:p>
    <w:p>
      <w:pPr>
        <w:numPr>
          <w:ilvl w:val="0"/>
          <w:numId w:val="1068"/>
        </w:numPr>
        <w:pStyle w:val="Compact"/>
      </w:pPr>
      <w:r>
        <w:t xml:space="preserve">☐ The PR shows the test output; the ledger balances (if money moved); the regulatory register and docs/status are updated.</w:t>
      </w:r>
    </w:p>
    <w:bookmarkEnd w:id="54"/>
    <w:bookmarkStart w:id="55" w:name="Xc61f67901d4a4ff5637edf89612080eb5102823"/>
    <w:p>
      <w:pPr>
        <w:pStyle w:val="Heading3"/>
      </w:pPr>
      <w:r>
        <w:t xml:space="preserve">Phase 17c — Institution profiles I: credit co-operative societies, co-operative banks and microfinance</w:t>
      </w:r>
    </w:p>
    <w:p>
      <w:pPr>
        <w:numPr>
          <w:ilvl w:val="0"/>
          <w:numId w:val="1069"/>
        </w:numPr>
        <w:pStyle w:val="Compact"/>
      </w:pPr>
      <w:r>
        <w:rPr>
          <w:bCs/>
          <w:b/>
        </w:rPr>
        <w:t xml:space="preserve">Outcome:</w:t>
      </w:r>
      <w:r>
        <w:t xml:space="preserve"> </w:t>
      </w:r>
      <w:r>
        <w:t xml:space="preserve">Part 7G IP1–IP4: institution profile engine, layered rule packs and guard-rail registry; credit co-operative membership, share ledger, Deposit Ledger Adapter, COOP loan overlay, appropriation, Registrar returns and statutory disputes; UCB, StCB and DCCB packs; microfinance household affordability, MFIN pack, JLG and SHG lifecycles and centre cash reconciliation; member and group events for Udofin</w:t>
      </w:r>
    </w:p>
    <w:p>
      <w:pPr>
        <w:numPr>
          <w:ilvl w:val="0"/>
          <w:numId w:val="1069"/>
        </w:numPr>
        <w:pStyle w:val="Compact"/>
      </w:pPr>
      <w:r>
        <w:rPr>
          <w:bCs/>
          <w:b/>
        </w:rPr>
        <w:t xml:space="preserve">Depends on:</w:t>
      </w:r>
      <w:r>
        <w:t xml:space="preserve"> </w:t>
      </w:r>
      <w:r>
        <w:t xml:space="preserve">P, 8b, 13b, 14b, 14c, 14d, 16b</w:t>
      </w:r>
    </w:p>
    <w:p>
      <w:pPr>
        <w:numPr>
          <w:ilvl w:val="0"/>
          <w:numId w:val="1069"/>
        </w:numPr>
        <w:pStyle w:val="Compact"/>
      </w:pPr>
      <w:r>
        <w:rPr>
          <w:bCs/>
          <w:b/>
        </w:rPr>
        <w:t xml:space="preserve">Branch:</w:t>
      </w:r>
      <w:r>
        <w:t xml:space="preserve"> </w:t>
      </w:r>
      <w:r>
        <w:rPr>
          <w:rStyle w:val="VerbatimChar"/>
        </w:rPr>
        <w:t xml:space="preserve">feat/institution-profiles-coop-mfi</w:t>
      </w:r>
    </w:p>
    <w:p>
      <w:pPr>
        <w:numPr>
          <w:ilvl w:val="0"/>
          <w:numId w:val="1069"/>
        </w:numPr>
        <w:pStyle w:val="Compact"/>
      </w:pPr>
      <w:r>
        <w:rPr>
          <w:bCs/>
          <w:b/>
        </w:rPr>
        <w:t xml:space="preserve">Suggested sub-modules (one session each):</w:t>
      </w:r>
      <w:r>
        <w:t xml:space="preserve"> </w:t>
      </w:r>
      <w:r>
        <w:t xml:space="preserve">IP1 institution profile engine, rule-pack layers and guard-rail registry; IP2 membership register, share ledger and Deposit Ledger Adapter; IP2 COOP loan overlay, prudential monitoring, year-end and Registrar returns; IP2 statutory disputes, conduct overlays and lawful alternatives; IP3 co-operative bank packs; IP4 microfinance affordability, MFIN pack and JLG lifecycle; IP4 centre cash reconciliation, SHG lifecycle and death claims; Menus, screens and settings for Part 7G (IP1–IP4) (Appendix G).</w:t>
      </w:r>
    </w:p>
    <w:p>
      <w:pPr>
        <w:pStyle w:val="FirstParagraph"/>
      </w:pPr>
      <w:r>
        <w:rPr>
          <w:bCs/>
          <w:b/>
        </w:rPr>
        <w:t xml:space="preserve">Paste into Claude Code:</w:t>
      </w:r>
    </w:p>
    <w:p>
      <w:pPr>
        <w:pStyle w:val="SourceCode"/>
      </w:pPr>
      <w:r>
        <w:rPr>
          <w:rStyle w:val="VerbatimChar"/>
        </w:rPr>
        <w:t xml:space="preserve">Phase 17c — Institution profiles I: credit co-operative societies, co-operative banks and microfinance. Governing brief: docs/00-master-prompt.md (Part 12, Phase 17c; Part 8A prevails on regulatory points).</w:t>
      </w:r>
      <w:r>
        <w:br/>
      </w:r>
      <w:r>
        <w:br/>
      </w:r>
      <w:r>
        <w:rPr>
          <w:rStyle w:val="VerbatimChar"/>
        </w:rPr>
        <w:t xml:space="preserve">Before writing the specification, verify with counsel and record sign-off per rule pack (stub packs cannot drive live decisions): (i) the MSCS Act 2002 as amended 2023, MSCS Rules 2023 and the CRCS orders of 22 Jan 2024 and July 2025; the Maharashtra MCS Act 1960 Ch XI-1A and Rules; the BUDS Act First Schedule; the RBI press release of 22 Nov 2021; TDCR paras 7, 12(4) and 97; (ii) the RBI UCB Directions 2025 set, the UCB Supervisory Returns Directions 2026, rural co-operative bank directions and NABARD ENSURE returns; (iii) CF paras 51–61, MFI paras 12–13, 46 and 49, RBC paras 76–94, MFIN Guardrails 2.0 (Directive #14, 25 Nov 2024), TN40 and KA15; (iv) the microfinance call window of 09:00–18:00 (RBC para 91(2)) until 31 Dec 2026 and the RBC Third Amendment pack (RBI/2026-27/230) from 1 Jan 2027; (v) the Integration Spec v1.1 member and group contract (`MemberAdmitted`, `ShareCapitalPosted`, `GroupFormed` and `GroupCollectionPosted` produced by the lender's system; `CentreMeetingHeld` by whichever system closes the meeting; the membership-verification and membership-application APIs). Then build Part 7G IP1–IP4:</w:t>
      </w:r>
      <w:r>
        <w:br/>
      </w:r>
      <w:r>
        <w:br/>
      </w:r>
      <w:r>
        <w:rPr>
          <w:rStyle w:val="VerbatimChar"/>
        </w:rPr>
        <w:t xml:space="preserve">- IP1 profile engine: the type catalogue as versioned manifests; the profile record; rule-pack layers L0–L4 where the strictest wins and loosening fails `RULE_LOOSENING_BLOCKED`; the capability matrix; vocabulary packs (labels only; statutory and CIC field names unchanged); guard-rails GR-7G-01 to GR-7G-07, GR-7G-13 and GR-7G-14 with fixed error codes that no role can disable; the profile-change workflow with glide paths; historic returns bound to their period's profile version.</w:t>
      </w:r>
      <w:r>
        <w:br/>
      </w:r>
      <w:r>
        <w:rPr>
          <w:rStyle w:val="VerbatimChar"/>
        </w:rPr>
        <w:t xml:space="preserve">- IP2 credit co-operative societies (not REs): the membership register, where only active voting members may deposit (GR-7G-01, hard block); the MSCS 4-month decision timer and DEEMED_REFUSED; the share ledger (holding ≤ 20%, no loan on own shares, top-up `ceil(loan × link_pct ÷ face_value)`); the v1.5 Deposit Ledger Adapter (a non-member or non-voting deposit raises an exception and blocks every Finbyx use of it; leverage multiple; FD loan ≤ 90%; DICGC disclaimer); the COOP loan overlay (ceiling formula, member sureties only, director and relative loans ≤ 10%, unsecured ≤ 15%, MSCS housing caps); CRCS prudential and branch-expansion packs (GNPA &lt; 7%, NNPA &lt; 3%); appropriation and dividend validation; AGM, elections and Co-operative Ombudsman; Registrar returns into Phase 14b; statutory dispute routes (s.91 Co-operative Court, s.101 certificate, MSCS s.84) with private arbitration through Equator blocked (GR-7G-05); the RBI Ombudsman never shown. No co-lending, DA, loan sale or DLG with an NBFC (GR-7G-03, -04, -13): show the lawful-alternatives panel instead (wholesale on-lending loan, sourcing agent, BC, independent parallel loans, Udofin member-only track). No 'bank' in a society's name (GR-7G-02).</w:t>
      </w:r>
      <w:r>
        <w:br/>
      </w:r>
      <w:r>
        <w:rPr>
          <w:rStyle w:val="VerbatimChar"/>
        </w:rPr>
        <w:t xml:space="preserve">- IP3 co-operative banks: tiers and CRAR with the 3-year glide; the UCB lending pack (PSL 60%, 2025 gold rules); stressed-loan sales as transferor only and no co-lending with NBFCs; UCB CIMS and NABARD ENSURE returns into Phase 14b; CRILC for UCBs with assets ≥ ₹500 crore; bank ECL floors refused; the CBS stays system of record for deposits and GL unless licensed.</w:t>
      </w:r>
      <w:r>
        <w:br/>
      </w:r>
      <w:r>
        <w:rPr>
          <w:rStyle w:val="VerbatimChar"/>
        </w:rPr>
        <w:t xml:space="preserve">- IP4 microfinance: household affordability (household income ≤ ₹3 lakh; obligations ÷ monthly income ≤ min(50%, Board cap), excluding income from the financed activity); the MFIN pack (≤ 3 lenders, ≤ ₹2 lakh indebtedness, no new loan if a loan above ₹3,000 is &gt; 60 DPD, fee ≤ 1.5%); JLG member and group state machines with CGT, GRT by a different supervisor and a designated centre place; joint liability is voluntary — never apply one member's money to another without an explicit, revocable instruction (GR-7G-06); centre cash and cash-in-transit reconciliation with shortfall kept apart from cash variance; a UPI QR per member per instalment as default (cash at centre meetings on Udofin-sourced loans only with the RE's legal opinion, and LSP staff collect cash only as the RE's appointed recovery agent on overdue loans; GR-7G-14; CF paras 10(2), 10(5)); the SHG lifecycle; MFI-only bureau routing through Phase 14c; home visits only after two non-appearances; death claims stopping demand the same business day; R47 and R48 monitors.</w:t>
      </w:r>
      <w:r>
        <w:br/>
      </w:r>
      <w:r>
        <w:rPr>
          <w:rStyle w:val="VerbatimChar"/>
        </w:rPr>
        <w:t xml:space="preserve">- Menus, screens and settings: build workspace N (institution-profile set-up) and the profile-specific menus, labels and screens the IP1 vocabulary pack adds to workspaces A, C, F, G, I, K and the field app P exactly as the `Menu and screens` and `Settings and options` subsections of Part 7G specify (navigation paths, list, detail, wizard, approval-queue and dashboard screens, actions, bulk actions, filters, exports, empty and error states, role visibility, and each setting with its scope, default and floor), and register every entry in Appendix G; the institution profile decides which menus appear and the vocabulary they use; guard-rails GR-7G-01 to GR-7G-07, GR-7G-13 and GR-7G-14 are never listed as editable settings.</w:t>
      </w:r>
      <w:r>
        <w:br/>
      </w:r>
      <w:r>
        <w:br/>
      </w:r>
      <w:r>
        <w:rPr>
          <w:rStyle w:val="VerbatimChar"/>
        </w:rPr>
        <w:t xml:space="preserve">Tests and acceptance evidence:</w:t>
      </w:r>
      <w:r>
        <w:br/>
      </w:r>
      <w:r>
        <w:br/>
      </w:r>
      <w:r>
        <w:rPr>
          <w:rStyle w:val="VerbatimChar"/>
        </w:rPr>
        <w:t xml:space="preserve">- an MSCS tenant creating a co-lending partner, DA pool or SR investment is blocked with the guard-rail code; a Board household cap of 55% fails `RULE_LOOSENING_BLOCKED`;</w:t>
      </w:r>
      <w:r>
        <w:br/>
      </w:r>
      <w:r>
        <w:rPr>
          <w:rStyle w:val="VerbatimChar"/>
        </w:rPr>
        <w:t xml:space="preserve">- an FD held by a `NOMINAL` member raises GR-7G-01 and cannot back a lien or loan until closed with evidence;</w:t>
      </w:r>
      <w:r>
        <w:br/>
      </w:r>
      <w:r>
        <w:rPr>
          <w:rStyle w:val="VerbatimChar"/>
        </w:rPr>
        <w:t xml:space="preserve">- 50 shares of ₹100 with a 10× multiple give a ₹50,000 ceiling; a non-member surety is rejected (MSCS s.66(1));</w:t>
      </w:r>
      <w:r>
        <w:br/>
      </w:r>
      <w:r>
        <w:rPr>
          <w:rStyle w:val="VerbatimChar"/>
        </w:rPr>
        <w:t xml:space="preserve">- a member dispute referred to Equator arbitration is blocked; conciliation is allowed;</w:t>
      </w:r>
      <w:r>
        <w:br/>
      </w:r>
      <w:r>
        <w:rPr>
          <w:rStyle w:val="VerbatimChar"/>
        </w:rPr>
        <w:t xml:space="preserve">- a Tier 2 UCB at 11.6% CRAR on 31 Mar 2026 is in breach; a UCB buying a standard pool from an NBFC is blocked;</w:t>
      </w:r>
      <w:r>
        <w:br/>
      </w:r>
      <w:r>
        <w:rPr>
          <w:rStyle w:val="VerbatimChar"/>
        </w:rPr>
        <w:t xml:space="preserve">- income ₹2,40,000, EMIs ₹7,000 and a new EMI of ₹3,500 (52.5%) is blocked; ₹2,900 (49.5%) is allowed;</w:t>
      </w:r>
      <w:r>
        <w:br/>
      </w:r>
      <w:r>
        <w:rPr>
          <w:rStyle w:val="VerbatimChar"/>
        </w:rPr>
        <w:t xml:space="preserve">- member A paying ₹1,000 towards B's instalment without consent is refused; GRT by the CGT trainer is rejected;</w:t>
      </w:r>
      <w:r>
        <w:br/>
      </w:r>
      <w:r>
        <w:rPr>
          <w:rStyle w:val="VerbatimChar"/>
        </w:rPr>
        <w:t xml:space="preserve">- a microfinance account in a consumer bureau file fails validation; a microfinance recovery call at 18:15 is refused;</w:t>
      </w:r>
      <w:r>
        <w:br/>
      </w:r>
      <w:r>
        <w:rPr>
          <w:rStyle w:val="VerbatimChar"/>
        </w:rPr>
        <w:t xml:space="preserve">- a cash receipt for a regular instalment on a Udofin-sourced loan at a centre meeting is blocked with GR-7G-14 unless the RE's legal opinion is recorded for that product, and the collection sheet defaults to a UPI QR per member;</w:t>
      </w:r>
      <w:r>
        <w:br/>
      </w:r>
      <w:r>
        <w:rPr>
          <w:rStyle w:val="VerbatimChar"/>
        </w:rPr>
        <w:t xml:space="preserve">- a navigation test walks each role through the Appendix G entries for this phase and finds every screen, action and setting with the stated visibility and nothing more; a credit co-operative society's menus and settings catalogue show no co-lending, DA, loan-sale or DLG option, and a looser Board value fails `RULE_LOOSENING_BLOCKED`.</w:t>
      </w:r>
      <w:r>
        <w:br/>
      </w:r>
      <w:r>
        <w:br/>
      </w:r>
      <w:r>
        <w:rPr>
          <w:rStyle w:val="VerbatimChar"/>
        </w:rPr>
        <w:t xml:space="preserve">Show me the type catalogue, the rule-pack layer model with counsel sign-off status, the guard-rail registry, the deposit-adapter exception flow and the JLG state machines, with the menu tree and settings catalogue of this phase (Appendix G), for approval before coding.</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docs/specs/phase-17c-institution-profiles-coop-mfi.md: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feat/institution-profiles-coop-mfi in small commits; run unit, integration, tenant-isolation and security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70"/>
        </w:numPr>
        <w:pStyle w:val="Compact"/>
      </w:pPr>
      <w:r>
        <w:t xml:space="preserve">☐ A credit co-operative society profile cannot create a co-lending partner, DA pool, loan sale or DLG arrangement with an NBFC, and each attempt fails with its guard-rail code and shows the lawful-alternatives panel (TDCR paras 7, 12(4), 97; CF para 19).</w:t>
      </w:r>
    </w:p>
    <w:p>
      <w:pPr>
        <w:numPr>
          <w:ilvl w:val="0"/>
          <w:numId w:val="1070"/>
        </w:numPr>
        <w:pStyle w:val="Compact"/>
      </w:pPr>
      <w:r>
        <w:t xml:space="preserve">☐ A deposit held by a nominal, associate or non-voting member raises GR-7G-01 and cannot back any lien, loan or set-off in Finbyx until closed with evidence (MSCS s.67; BUDS Act First Schedule; RBI press release 22 Nov 2021).</w:t>
      </w:r>
    </w:p>
    <w:p>
      <w:pPr>
        <w:numPr>
          <w:ilvl w:val="0"/>
          <w:numId w:val="1070"/>
        </w:numPr>
        <w:pStyle w:val="Compact"/>
      </w:pPr>
      <w:r>
        <w:t xml:space="preserve">☐ A Board or bye-law value that loosens a statutory or regulatory limit is rejected with RULE_LOOSENING_BLOCKED, and a profile on a stub rule pack cannot be activated (Part 7G IP1.3).</w:t>
      </w:r>
    </w:p>
    <w:p>
      <w:pPr>
        <w:numPr>
          <w:ilvl w:val="0"/>
          <w:numId w:val="1070"/>
        </w:numPr>
        <w:pStyle w:val="Compact"/>
      </w:pPr>
      <w:r>
        <w:t xml:space="preserve">☐ A member dispute referred to Equator arbitration is blocked while conciliation is allowed, and the RBI Ombudsman route is never shown to society members (SCS-MH s.91(3); MSCS ss.84, 85A).</w:t>
      </w:r>
    </w:p>
    <w:p>
      <w:pPr>
        <w:numPr>
          <w:ilvl w:val="0"/>
          <w:numId w:val="1070"/>
        </w:numPr>
        <w:pStyle w:val="Compact"/>
      </w:pPr>
      <w:r>
        <w:t xml:space="preserve">☐ A microfinance loan taking household obligations above 50% of monthly income is blocked, and one member’s payment is never applied to another member’s loan without an explicit, revocable instruction (CF paras 51, 55–57; RBC paras 89–91).</w:t>
      </w:r>
    </w:p>
    <w:p>
      <w:pPr>
        <w:numPr>
          <w:ilvl w:val="0"/>
          <w:numId w:val="1070"/>
        </w:numPr>
        <w:pStyle w:val="Compact"/>
      </w:pPr>
      <w:r>
        <w:t xml:space="preserve">☐ A microfinance recovery call at 18:15 in December 2026 is refused, and microfinance accounts are reported only in the MFI bureau file (RBC para 91(2); CIR Annex I Form 3).</w:t>
      </w:r>
    </w:p>
    <w:p>
      <w:pPr>
        <w:numPr>
          <w:ilvl w:val="0"/>
          <w:numId w:val="1070"/>
        </w:numPr>
        <w:pStyle w:val="Compact"/>
      </w:pPr>
      <w:r>
        <w:t xml:space="preserve">☐ A cash receipt for a regular instalment on a Udofin-sourced loan at a centre meeting is blocked with GR-7G-14 unless the RE’s legal opinion for that product is recorded, and the collection sheet defaults to a UPI QR per member (CF paras 10(2), 10(5); Part 7G GR-7G-14).</w:t>
      </w:r>
    </w:p>
    <w:p>
      <w:pPr>
        <w:numPr>
          <w:ilvl w:val="0"/>
          <w:numId w:val="1070"/>
        </w:numPr>
        <w:pStyle w:val="Compact"/>
      </w:pPr>
      <w:r>
        <w:t xml:space="preserve">☐ An automated navigation test walks each role through the Appendix G entries for Part 7G (IP1–IP4) and finds every menu path, screen, action and setting listed in its</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with the stated visibility and nothing more, and an attempt to relax a regulatory-floor setting fails server-side with RULE_LOOSENING_BLOCKED (Part 7G (IP1–IP4); Appendix G; Part 10.2 principles 24 and 42).</w:t>
      </w:r>
    </w:p>
    <w:p>
      <w:pPr>
        <w:numPr>
          <w:ilvl w:val="0"/>
          <w:numId w:val="1070"/>
        </w:numPr>
        <w:pStyle w:val="Compact"/>
      </w:pPr>
      <w:r>
        <w:t xml:space="preserve">☐ The PR shows the test output; the ledger balances (if money moved); the regulatory register and docs/status are updated.</w:t>
      </w:r>
    </w:p>
    <w:bookmarkEnd w:id="55"/>
    <w:bookmarkStart w:id="56" w:name="X3651d3b973c525f6540c84186ea89d658c8a884"/>
    <w:p>
      <w:pPr>
        <w:pStyle w:val="Heading3"/>
      </w:pPr>
      <w:r>
        <w:t xml:space="preserve">Phase 17d — Institution profiles II and investments: ARCs, IFSC entities, investment module and securitisation servicing</w:t>
      </w:r>
    </w:p>
    <w:p>
      <w:pPr>
        <w:numPr>
          <w:ilvl w:val="0"/>
          <w:numId w:val="1071"/>
        </w:numPr>
        <w:pStyle w:val="Compact"/>
      </w:pPr>
      <w:r>
        <w:rPr>
          <w:bCs/>
          <w:b/>
        </w:rPr>
        <w:t xml:space="preserve">Outcome:</w:t>
      </w:r>
      <w:r>
        <w:t xml:space="preserve"> </w:t>
      </w:r>
      <w:r>
        <w:t xml:space="preserve">Part 7G IP5–IP6 and Part 7H: ARC trusts, SR register, NAV and settlement routing; NBFC stressed-asset limits; IFSC USD tenant and activity whitelist; instrument and issuer masters, licensed market data, order capture without execution, demat and corporate actions, IPOs, AIF, REIT, InvIT and SR holdings, Ind AS and AS valuation, limits and CIC tests; securitisation servicing, trust ledger, waterfall, replenishment and partner validators</w:t>
      </w:r>
    </w:p>
    <w:p>
      <w:pPr>
        <w:numPr>
          <w:ilvl w:val="0"/>
          <w:numId w:val="1071"/>
        </w:numPr>
        <w:pStyle w:val="Compact"/>
      </w:pPr>
      <w:r>
        <w:rPr>
          <w:bCs/>
          <w:b/>
        </w:rPr>
        <w:t xml:space="preserve">Depends on:</w:t>
      </w:r>
      <w:r>
        <w:t xml:space="preserve"> </w:t>
      </w:r>
      <w:r>
        <w:t xml:space="preserve">16, 16d, 17b, 17c</w:t>
      </w:r>
    </w:p>
    <w:p>
      <w:pPr>
        <w:numPr>
          <w:ilvl w:val="0"/>
          <w:numId w:val="1071"/>
        </w:numPr>
        <w:pStyle w:val="Compact"/>
      </w:pPr>
      <w:r>
        <w:rPr>
          <w:bCs/>
          <w:b/>
        </w:rPr>
        <w:t xml:space="preserve">Branch:</w:t>
      </w:r>
      <w:r>
        <w:t xml:space="preserve"> </w:t>
      </w:r>
      <w:r>
        <w:rPr>
          <w:rStyle w:val="VerbatimChar"/>
        </w:rPr>
        <w:t xml:space="preserve">feat/arc-ifsc-investments-servicing</w:t>
      </w:r>
    </w:p>
    <w:p>
      <w:pPr>
        <w:numPr>
          <w:ilvl w:val="0"/>
          <w:numId w:val="1071"/>
        </w:numPr>
        <w:pStyle w:val="Compact"/>
      </w:pPr>
      <w:r>
        <w:rPr>
          <w:bCs/>
          <w:b/>
        </w:rPr>
        <w:t xml:space="preserve">Suggested sub-modules (one session each):</w:t>
      </w:r>
      <w:r>
        <w:t xml:space="preserve"> </w:t>
      </w:r>
      <w:r>
        <w:t xml:space="preserve">IP5 ARC trusts, SR register, NAV and settlements; IP5.7 NBFC stressed-asset limits and IP6 IFSC USD tenant; IV1–IV2 masters, market data, order capture, settlement and corporate actions; IV3–IV4 IPOs, AIF, REIT, InvIT and security receipts; IV5 valuation, accounting, limits, derivatives and CIC tests; IV6 AIFs and investment vehicles as customers; IV7 securitisation servicing and transfer and co-lending validators; Menus, screens and settings for Part 7G (IP5–IP6) and Part 7H (Appendix G).</w:t>
      </w:r>
    </w:p>
    <w:p>
      <w:pPr>
        <w:pStyle w:val="FirstParagraph"/>
      </w:pPr>
      <w:r>
        <w:rPr>
          <w:bCs/>
          <w:b/>
        </w:rPr>
        <w:t xml:space="preserve">Paste into Claude Code:</w:t>
      </w:r>
    </w:p>
    <w:p>
      <w:pPr>
        <w:pStyle w:val="SourceCode"/>
      </w:pPr>
      <w:r>
        <w:rPr>
          <w:rStyle w:val="VerbatimChar"/>
        </w:rPr>
        <w:t xml:space="preserve">Phase 17d — Institution profiles II and investments: ARCs, IFSC entities, investment module and securitisation servicing. Governing brief: docs/00-master-prompt.md (Part 12, Phase 17d; Part 8A prevails on regulatory points).</w:t>
      </w:r>
      <w:r>
        <w:br/>
      </w:r>
      <w:r>
        <w:br/>
      </w:r>
      <w:r>
        <w:rPr>
          <w:rStyle w:val="VerbatimChar"/>
        </w:rPr>
        <w:t xml:space="preserve">Before writing the specification, verify: (i) every paragraph number of the RBI (Asset Reconstruction Companies) Directions 2025 (DoR.FIN.REC.No.293/26.03.001/2025-26, updated 10 Mar 2026) and the ARC returns set; (ii) the consolidated IFSCA (Finance Company) Regulations 2026 (issued 9 Jul 2026) against the 2021 regulation numbers used in IP6, the FC/FU accounting framework with the statutory auditor, and the IFSCA return list; (iii) the RBI (Investment in AIF) Directions 2025 as consolidated, the CIC Directions 2025 (RBI/DOR/2025-26/367), INV paras 6–34, SBR paras 45–46 and the SBR Amendment Directions 2026 (Type I; PRAVAAH by 31 Dec 2026); (iv) SEBI ICDR and AIF values and the 26 Feb 2026 market-cap circular; (v) market-data licence terms per source; (vi) SEC paras 14, 21, 30–31, 70, 80, 95–96 and 109–115, CAP para 27 and TDCR paras 7, 12(4), 36–43, 74, 82–88 and 97. Then build Part 7G IP5–IP6 and Part 7H:</w:t>
      </w:r>
      <w:r>
        <w:br/>
      </w:r>
      <w:r>
        <w:br/>
      </w:r>
      <w:r>
        <w:rPr>
          <w:rStyle w:val="VerbatimChar"/>
        </w:rPr>
        <w:t xml:space="preserve">- IP5 ARCs: NOF ≥ ₹300 crore gate, CRAR 15%, surplus funds ≤ 10% of NOF; acquisition states with ≥ 2-week due diligence and auction-only purchases from sponsor-linked sellers; one trust per scheme with its own ledger, never mixed with ARC funds; the SR register (QB holders only) with self-investment ≥ max(15% of transferors' SRs, 2.5% of total); planning 6 months, realisation 5 years (8 with Board approval); NAV on 30 June and 31 December; fee caps with 180-day reversal; settlements above ₹1 crore or involving fraud or wilful default via IAC and Board; `AssetAcquired`, `SecurityReceiptIssued`, `SrNavPublished`. NBFC side: sell, buy (6-month hold) and invest in SRs as QB with a no-related-party declaration; trusts, SR issue and s.9 measures blocked (GR-7G-08 to -10).</w:t>
      </w:r>
      <w:r>
        <w:br/>
      </w:r>
      <w:r>
        <w:rPr>
          <w:rStyle w:val="VerbatimChar"/>
        </w:rPr>
        <w:t xml:space="preserve">- IP6 IFSC: always a separate USD tenant (GR-7G-12); INR account only for administrative and statutory expenses; activity whitelist with non-core firewalls; no public deposits or speculation; derivatives need a `hedge_link` where non-core activities run; a FEMA basis and legal sign-off for every resident counterparty; capital 8% and single or group exposure ≤ 25%; activation blocked until the framework is recorded with auditor confirmation.</w:t>
      </w:r>
      <w:r>
        <w:br/>
      </w:r>
      <w:r>
        <w:rPr>
          <w:rStyle w:val="VerbatimChar"/>
        </w:rPr>
        <w:t xml:space="preserve">- IV1–IV3: shared security master (with Part 6.4); issuer master with the daily debtor-company flag; licence register (unlicensed imports refused); price waterfall and staleness rule; AMFI lists as effective-dated versions; classification locked after first posting; order capture with no execution, routing or advice (GR-7H-01, -02) and segregated dealer, approver, back and mid office; pre-trade checks including the Part 7F GV4.4 restricted list (GR-7H-12: no own-account order, IPO bid or corporate-action election in a restricted issuer) and PIT pre-clearance; contract notes and `TradeBooked`; OTC bond reporting within 15 minutes; demat reconciliation keeping LAS pledges out of own positions; corporate actions; IPOs with QIB only on a current attestation (GR-7H-11), the SME two-lot minimum and the lock-in tracker.</w:t>
      </w:r>
      <w:r>
        <w:br/>
      </w:r>
      <w:r>
        <w:rPr>
          <w:rStyle w:val="VerbatimChar"/>
        </w:rPr>
        <w:t xml:space="preserve">- IV4–IV6: AIF commitments ≤ 10% of corpus (hard block), RE-aggregate attestation, an irrevocable `LEGACY_2023` or `AIF_DIR_2025` tag and quarterly look-through provisioning; REIT and InvIT units non-CME by default; SR valuation per TDCR paras 82–86; Ind AS 109 and AS 13 engines (inter-class transfers only on 1 April or 1 October); `PositionValued`; the limits engine emitting `InvestmentLimitBreached` and `LimitBreached`; equity F&amp;O and arbitrage OFF by default; CIC tests (90%, 60%, 10%, ANW/RWA 30%, leverage 2.5×, ≤ 2 layers); the Type I helper; AIF, PMS and IFSC-fund customer profiles.</w:t>
      </w:r>
      <w:r>
        <w:br/>
      </w:r>
      <w:r>
        <w:rPr>
          <w:rStyle w:val="VerbatimChar"/>
        </w:rPr>
        <w:t xml:space="preserve">- IV7 securitisation servicing (completes Phase 16): collections to a 'Held in trust' liability sub-ledger swept per the servicing agreement (GR-7H-07; SEC para 95) with a commingling monitor and the SEC para 96 capital consequence; the waterfall to a trustee payout instruction; `ServicerRemittanceMade`, `InvestorReportPublished`; only the upfront sale consideration may be re-lent — post-sale collections never fund lending; replenishment only in the documented period with early-amortisation triggers (GR-7H-08); clean-up call ≤ 10% and never as support (GR-7H-09); dual derecognition flags; servicer replacement; the transfer validator and the co-lending partner validator (GR-7H-10).</w:t>
      </w:r>
      <w:r>
        <w:br/>
      </w:r>
      <w:r>
        <w:rPr>
          <w:rStyle w:val="VerbatimChar"/>
        </w:rPr>
        <w:t xml:space="preserve">- Menus, screens and settings: build workspace U (Treasury and Investments), the ARC trust and SR screens, the IFSC USD tenant and the servicer and investor screens of workspace R exactly as the `Menu and screens` and `Settings and options` subsections of Part 7G (IP5–IP6) and Part 7H specify (navigation paths, list, detail, wizard, approval-queue and dashboard screens, actions, bulk actions, filters, exports, empty and error states, role visibility, and each setting with its scope, default and floor), and register every entry in Appendix G; equity F&amp;O and arbitrage stay hidden until the owner records the legal position (Appendix B); no screen offers order transmission to a broker or exchange.</w:t>
      </w:r>
      <w:r>
        <w:br/>
      </w:r>
      <w:r>
        <w:br/>
      </w:r>
      <w:r>
        <w:rPr>
          <w:rStyle w:val="VerbatimChar"/>
        </w:rPr>
        <w:t xml:space="preserve">Tests and acceptance evidence:</w:t>
      </w:r>
      <w:r>
        <w:br/>
      </w:r>
      <w:r>
        <w:br/>
      </w:r>
      <w:r>
        <w:rPr>
          <w:rStyle w:val="VerbatimChar"/>
        </w:rPr>
        <w:t xml:space="preserve">- an ARC with NOF of ₹280 crore on 1 Apr 2026 cannot acquire; transferors holding 70% of ₹100 crore SRs require ARC holdings of ₹10.5 crore;</w:t>
      </w:r>
      <w:r>
        <w:br/>
      </w:r>
      <w:r>
        <w:rPr>
          <w:rStyle w:val="VerbatimChar"/>
        </w:rPr>
        <w:t xml:space="preserve">- an NBFC creating a trust or reselling a purchased stressed loan to another NBFC after 4 months is blocked;</w:t>
      </w:r>
      <w:r>
        <w:br/>
      </w:r>
      <w:r>
        <w:rPr>
          <w:rStyle w:val="VerbatimChar"/>
        </w:rPr>
        <w:t xml:space="preserve">- an IFSC FC inside an onshore tenant is refused; a resident borrower without FEMA basis is blocked;</w:t>
      </w:r>
      <w:r>
        <w:br/>
      </w:r>
      <w:r>
        <w:rPr>
          <w:rStyle w:val="VerbatimChar"/>
        </w:rPr>
        <w:t xml:space="preserve">- an order for an issuer on the restricted list, or by a dealer approving his own order, is refused;</w:t>
      </w:r>
      <w:r>
        <w:br/>
      </w:r>
      <w:r>
        <w:rPr>
          <w:rStyle w:val="VerbatimChar"/>
        </w:rPr>
        <w:t xml:space="preserve">- a ₹55 crore commitment to a ₹500 crore AIF scheme is blocked; an 8% holding with a ₹40 crore debtor NCD and ₹2 crore direct exposure provides ₹2 crore;</w:t>
      </w:r>
      <w:r>
        <w:br/>
      </w:r>
      <w:r>
        <w:rPr>
          <w:rStyle w:val="VerbatimChar"/>
        </w:rPr>
        <w:t xml:space="preserve">- an EMI on a securitised loan posted to operating income is refused; post-sale collections funding a disbursal are blocked; a clean-up call at 12% is blocked;</w:t>
      </w:r>
      <w:r>
        <w:br/>
      </w:r>
      <w:r>
        <w:rPr>
          <w:rStyle w:val="VerbatimChar"/>
        </w:rPr>
        <w:t xml:space="preserve">- adding an SFB or a UCB as co-lending partner is blocked; an SCB with licence evidence is allowed;</w:t>
      </w:r>
      <w:r>
        <w:br/>
      </w:r>
      <w:r>
        <w:rPr>
          <w:rStyle w:val="VerbatimChar"/>
        </w:rPr>
        <w:t xml:space="preserve">- a navigation test walks each role through the Appendix G entries for this phase and finds every screen, action and setting with the stated visibility and nothing more; the order-ticket screen offers no send-to-broker or execute action.</w:t>
      </w:r>
      <w:r>
        <w:br/>
      </w:r>
      <w:r>
        <w:br/>
      </w:r>
      <w:r>
        <w:rPr>
          <w:rStyle w:val="VerbatimChar"/>
        </w:rPr>
        <w:t xml:space="preserve">Show me the ARC trust and SR ledgers, the IFSC tenant model, the instrument classification table, the pre-trade check matrix with the restricted-list link, the AIF look-through algorithm and the securitisation trust postings, with the menu tree and settings catalogue of this phase (Appendix G), for approval before coding.</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docs/specs/phase-17d-arc-ifsc-investments-servicing.md: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feat/arc-ifsc-investments-servicing in small commits; run unit, integration, tenant-isolation and security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72"/>
        </w:numPr>
        <w:pStyle w:val="Compact"/>
      </w:pPr>
      <w:r>
        <w:t xml:space="preserve">☐ An ARC with NOF below ₹300 crore cannot acquire, and an NBFC cannot form a trust, issue security receipts or take s.9 measures (ARC Directions 2025 paras 14–16; SARFAESI ss.3, 7, 9).</w:t>
      </w:r>
    </w:p>
    <w:p>
      <w:pPr>
        <w:numPr>
          <w:ilvl w:val="0"/>
          <w:numId w:val="1072"/>
        </w:numPr>
        <w:pStyle w:val="Compact"/>
      </w:pPr>
      <w:r>
        <w:t xml:space="preserve">☐ An IFSC Finance Company cannot be created inside an onshore tenant, its loans cannot be disbursed from the INR administrative account, and a resident borrower without a recorded FEMA basis is blocked (IFSCA-FC regs 5(4), 6; GR-7G-12).</w:t>
      </w:r>
    </w:p>
    <w:p>
      <w:pPr>
        <w:numPr>
          <w:ilvl w:val="0"/>
          <w:numId w:val="1072"/>
        </w:numPr>
        <w:pStyle w:val="Compact"/>
      </w:pPr>
      <w:r>
        <w:t xml:space="preserve">☐ Finbyx never transmits an order to a broker or exchange, a dealer cannot approve his own order, and an order on an issuer on the Part 7F GV4.4 restricted list is refused (GR-7H-01; PIT Reg 3; SEBI Investment Advisers Regulations).</w:t>
      </w:r>
    </w:p>
    <w:p>
      <w:pPr>
        <w:numPr>
          <w:ilvl w:val="0"/>
          <w:numId w:val="1072"/>
        </w:numPr>
        <w:pStyle w:val="Compact"/>
      </w:pPr>
      <w:r>
        <w:t xml:space="preserve">☐ An AIF commitment above 10% of a scheme’s corpus is blocked, and the debtor look-through provision equals min(own share of the scheme’s debtor investment, direct exposure to that debtor) (RBI Investment in AIF Directions 2025 para 6).</w:t>
      </w:r>
    </w:p>
    <w:p>
      <w:pPr>
        <w:numPr>
          <w:ilvl w:val="0"/>
          <w:numId w:val="1072"/>
        </w:numPr>
        <w:pStyle w:val="Compact"/>
      </w:pPr>
      <w:r>
        <w:t xml:space="preserve">☐ Collections on a securitised loan post only to the held-in-trust sub-ledger, post-sale collections can never fund a new disbursal, and a clean-up call above 10% of the original pool is blocked (SEC paras 14(2), 21, 95; CAP para 27(8)–(9)).</w:t>
      </w:r>
    </w:p>
    <w:p>
      <w:pPr>
        <w:numPr>
          <w:ilvl w:val="0"/>
          <w:numId w:val="1072"/>
        </w:numPr>
        <w:pStyle w:val="Compact"/>
      </w:pPr>
      <w:r>
        <w:t xml:space="preserve">☐ An SFB, LAB, RRB, co-operative bank or credit co-operative society cannot be added as a co-lending partner (TDCR para 97).</w:t>
      </w:r>
    </w:p>
    <w:p>
      <w:pPr>
        <w:numPr>
          <w:ilvl w:val="0"/>
          <w:numId w:val="1072"/>
        </w:numPr>
        <w:pStyle w:val="Compact"/>
      </w:pPr>
      <w:r>
        <w:t xml:space="preserve">☐ An automated navigation test walks each role through the Appendix G entries for Part 7G (IP5–IP6) and Part 7H and finds every menu path, screen, action and setting listed in its</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with the stated visibility and nothing more, and an attempt to relax a regulatory-floor setting fails server-side with floor_violation (Part 7G (IP5–IP6) and Part 7H; Appendix G; Part 10.2 principles 24 and 42).</w:t>
      </w:r>
    </w:p>
    <w:p>
      <w:pPr>
        <w:numPr>
          <w:ilvl w:val="0"/>
          <w:numId w:val="1072"/>
        </w:numPr>
        <w:pStyle w:val="Compact"/>
      </w:pPr>
      <w:r>
        <w:t xml:space="preserve">☐ The PR shows the test output; the ledger balances (if money moved); the regulatory register and docs/status are updated.</w:t>
      </w:r>
    </w:p>
    <w:bookmarkEnd w:id="56"/>
    <w:bookmarkStart w:id="57" w:name="phase-18-analytics-ai-layer-and-mcp"/>
    <w:p>
      <w:pPr>
        <w:pStyle w:val="Heading3"/>
      </w:pPr>
      <w:r>
        <w:t xml:space="preserve">Phase 18 — Analytics, AI layer and MCP</w:t>
      </w:r>
    </w:p>
    <w:p>
      <w:pPr>
        <w:numPr>
          <w:ilvl w:val="0"/>
          <w:numId w:val="1073"/>
        </w:numPr>
        <w:pStyle w:val="Compact"/>
      </w:pPr>
      <w:r>
        <w:rPr>
          <w:bCs/>
          <w:b/>
        </w:rPr>
        <w:t xml:space="preserve">Outcome:</w:t>
      </w:r>
      <w:r>
        <w:t xml:space="preserve"> </w:t>
      </w:r>
      <w:r>
        <w:t xml:space="preserve">MIS catalogue, BI embedding, governed AI copilots, read-only MCP server</w:t>
      </w:r>
    </w:p>
    <w:p>
      <w:pPr>
        <w:numPr>
          <w:ilvl w:val="0"/>
          <w:numId w:val="1073"/>
        </w:numPr>
        <w:pStyle w:val="Compact"/>
      </w:pPr>
      <w:r>
        <w:rPr>
          <w:bCs/>
          <w:b/>
        </w:rPr>
        <w:t xml:space="preserve">Depends on:</w:t>
      </w:r>
      <w:r>
        <w:t xml:space="preserve"> </w:t>
      </w:r>
      <w:r>
        <w:t xml:space="preserve">P</w:t>
      </w:r>
    </w:p>
    <w:p>
      <w:pPr>
        <w:numPr>
          <w:ilvl w:val="0"/>
          <w:numId w:val="1073"/>
        </w:numPr>
        <w:pStyle w:val="Compact"/>
      </w:pPr>
      <w:r>
        <w:rPr>
          <w:bCs/>
          <w:b/>
        </w:rPr>
        <w:t xml:space="preserve">Branch:</w:t>
      </w:r>
      <w:r>
        <w:t xml:space="preserve"> </w:t>
      </w:r>
      <w:r>
        <w:rPr>
          <w:rStyle w:val="VerbatimChar"/>
        </w:rPr>
        <w:t xml:space="preserve">feat/analytics-ai-mcp</w:t>
      </w:r>
    </w:p>
    <w:p>
      <w:pPr>
        <w:pStyle w:val="FirstParagraph"/>
      </w:pPr>
      <w:r>
        <w:rPr>
          <w:bCs/>
          <w:b/>
        </w:rPr>
        <w:t xml:space="preserve">Paste into Claude Code:</w:t>
      </w:r>
    </w:p>
    <w:p>
      <w:pPr>
        <w:pStyle w:val="SourceCode"/>
      </w:pPr>
      <w:r>
        <w:rPr>
          <w:rStyle w:val="VerbatimChar"/>
        </w:rPr>
        <w:t xml:space="preserve">Phase 18 — Analytics, AI layer and MCP. Governing brief: docs/00-master-prompt.md (Part 12, Phase 18; Part 8A prevails on regulatory points).</w:t>
      </w:r>
      <w:r>
        <w:br/>
      </w:r>
      <w:r>
        <w:br/>
      </w:r>
      <w:r>
        <w:rPr>
          <w:rStyle w:val="VerbatimChar"/>
        </w:rPr>
        <w:t xml:space="preserve">Build:</w:t>
      </w:r>
      <w:r>
        <w:br/>
      </w:r>
      <w:r>
        <w:br/>
      </w:r>
      <w:r>
        <w:rPr>
          <w:rStyle w:val="VerbatimChar"/>
        </w:rPr>
        <w:t xml:space="preserve">- the MIS catalogue;</w:t>
      </w:r>
      <w:r>
        <w:br/>
      </w:r>
      <w:r>
        <w:rPr>
          <w:rStyle w:val="VerbatimChar"/>
        </w:rPr>
        <w:t xml:space="preserve">- embedded BI with row-level security;</w:t>
      </w:r>
      <w:r>
        <w:br/>
      </w:r>
      <w:r>
        <w:rPr>
          <w:rStyle w:val="VerbatimChar"/>
        </w:rPr>
        <w:t xml:space="preserve">- governed AI copilots (M20), with an AI model inventory;</w:t>
      </w:r>
      <w:r>
        <w:br/>
      </w:r>
      <w:r>
        <w:rPr>
          <w:rStyle w:val="VerbatimChar"/>
        </w:rPr>
        <w:t xml:space="preserve">- the read-only, tenant-scoped MCP server.</w:t>
      </w:r>
      <w:r>
        <w:br/>
      </w:r>
      <w:r>
        <w:br/>
      </w:r>
      <w:r>
        <w:rPr>
          <w:rStyle w:val="VerbatimChar"/>
        </w:rPr>
        <w:t xml:space="preserve">The governed metric layer and certified dashboards already exist from Phase 14d (Part 7E RK6, RK8); the MIS catalogue and BI reuse them and never redefine a regulatory metric. Voice, AI contact-centre and Jio adapters (Part 7L EO6) follow in Phase 18b; copilots in this phase never place calls or send messages.</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docs/specs/phase-18-analytics-ai-mcp.md: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feat/analytics-ai-mcp in small commits; run unit, integration, tenant-isolation and security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74"/>
        </w:numPr>
        <w:pStyle w:val="Compact"/>
      </w:pPr>
      <w:r>
        <w:t xml:space="preserve">☐ AI never approves, rejects or prices a loan, moves money or rejects a complaint.</w:t>
      </w:r>
    </w:p>
    <w:p>
      <w:pPr>
        <w:numPr>
          <w:ilvl w:val="0"/>
          <w:numId w:val="1074"/>
        </w:numPr>
        <w:pStyle w:val="Compact"/>
      </w:pPr>
      <w:r>
        <w:t xml:space="preserve">☐ The MCP server is read-only and tenant-scoped.</w:t>
      </w:r>
    </w:p>
    <w:p>
      <w:pPr>
        <w:numPr>
          <w:ilvl w:val="0"/>
          <w:numId w:val="1074"/>
        </w:numPr>
        <w:pStyle w:val="Compact"/>
      </w:pPr>
      <w:r>
        <w:t xml:space="preserve">☐ Every model is in the model inventory with an owner and validation record.</w:t>
      </w:r>
    </w:p>
    <w:p>
      <w:pPr>
        <w:numPr>
          <w:ilvl w:val="0"/>
          <w:numId w:val="1074"/>
        </w:numPr>
        <w:pStyle w:val="Compact"/>
      </w:pPr>
      <w:r>
        <w:t xml:space="preserve">☐ The PR shows the test output; the ledger balances (if money moved); the regulatory register and docs/status are updated.</w:t>
      </w:r>
    </w:p>
    <w:bookmarkEnd w:id="57"/>
    <w:bookmarkStart w:id="58" w:name="X4d9e63297702566daf95b196abb37db636d46d2"/>
    <w:p>
      <w:pPr>
        <w:pStyle w:val="Heading3"/>
      </w:pPr>
      <w:r>
        <w:t xml:space="preserve">Phase 18b — Voice, AI contact-centre and Jio adapters</w:t>
      </w:r>
    </w:p>
    <w:p>
      <w:pPr>
        <w:numPr>
          <w:ilvl w:val="0"/>
          <w:numId w:val="1075"/>
        </w:numPr>
        <w:pStyle w:val="Compact"/>
      </w:pPr>
      <w:r>
        <w:rPr>
          <w:bCs/>
          <w:b/>
        </w:rPr>
        <w:t xml:space="preserve">Outcome:</w:t>
      </w:r>
      <w:r>
        <w:t xml:space="preserve"> </w:t>
      </w:r>
      <w:r>
        <w:t xml:space="preserve">Part 7L EO6: provider-neutral messaging, voice, speech and LLM interfaces; JioCX stub adapter with certification; 1600-series, 140-series, consent and time-window checks; governed AI contact-centre assistant with human handover; India residency gate; pass-through metering</w:t>
      </w:r>
    </w:p>
    <w:p>
      <w:pPr>
        <w:numPr>
          <w:ilvl w:val="0"/>
          <w:numId w:val="1075"/>
        </w:numPr>
        <w:pStyle w:val="Compact"/>
      </w:pPr>
      <w:r>
        <w:rPr>
          <w:bCs/>
          <w:b/>
        </w:rPr>
        <w:t xml:space="preserve">Depends on:</w:t>
      </w:r>
      <w:r>
        <w:t xml:space="preserve"> </w:t>
      </w:r>
      <w:r>
        <w:t xml:space="preserve">3b, 11, 12, 15, 16b, 16e, 18</w:t>
      </w:r>
    </w:p>
    <w:p>
      <w:pPr>
        <w:numPr>
          <w:ilvl w:val="0"/>
          <w:numId w:val="1075"/>
        </w:numPr>
        <w:pStyle w:val="Compact"/>
      </w:pPr>
      <w:r>
        <w:rPr>
          <w:bCs/>
          <w:b/>
        </w:rPr>
        <w:t xml:space="preserve">Branch:</w:t>
      </w:r>
      <w:r>
        <w:t xml:space="preserve"> </w:t>
      </w:r>
      <w:r>
        <w:rPr>
          <w:rStyle w:val="VerbatimChar"/>
        </w:rPr>
        <w:t xml:space="preserve">feat/voice-ai-contact-centre</w:t>
      </w:r>
    </w:p>
    <w:p>
      <w:pPr>
        <w:numPr>
          <w:ilvl w:val="0"/>
          <w:numId w:val="1075"/>
        </w:numPr>
        <w:pStyle w:val="Compact"/>
      </w:pPr>
      <w:r>
        <w:rPr>
          <w:bCs/>
          <w:b/>
        </w:rPr>
        <w:t xml:space="preserve">Suggested sub-modules (one session each):</w:t>
      </w:r>
      <w:r>
        <w:t xml:space="preserve"> </w:t>
      </w:r>
      <w:r>
        <w:t xml:space="preserve">Provider-neutral messaging, voice, speech and LLM interfaces; JioCX stub adapter and provider due-diligence register; Contact-policy checks for number series, consent and windows; AI contact-centre assistant and handover; Recording consent, residency gate and pass-through metering; Menus, screens and settings for Part 7L (EO6) (Appendix G).</w:t>
      </w:r>
    </w:p>
    <w:p>
      <w:pPr>
        <w:pStyle w:val="FirstParagraph"/>
      </w:pPr>
      <w:r>
        <w:rPr>
          <w:bCs/>
          <w:b/>
        </w:rPr>
        <w:t xml:space="preserve">Paste into Claude Code:</w:t>
      </w:r>
    </w:p>
    <w:p>
      <w:pPr>
        <w:pStyle w:val="SourceCode"/>
      </w:pPr>
      <w:r>
        <w:rPr>
          <w:rStyle w:val="VerbatimChar"/>
        </w:rPr>
        <w:t xml:space="preserve">Phase 18b — Voice, AI contact-centre and Jio adapters. Governing brief: docs/00-master-prompt.md (Part 12, Phase 18b; Part 8A prevails on regulatory points).</w:t>
      </w:r>
      <w:r>
        <w:br/>
      </w:r>
      <w:r>
        <w:br/>
      </w:r>
      <w:r>
        <w:rPr>
          <w:rStyle w:val="VerbatimChar"/>
        </w:rPr>
        <w:t xml:space="preserve">Before writing the specification, verify: (i) the TRAI Direction of 19 Nov 2025 and clarification of 10 Jul 2026 on 1600-series numbers (from 1 Jan 2026 for banks; 1 Feb 2026 for NBFCs above ₹5,000 crore, payments banks and SFBs; 1 Mar 2026 for other NBFCs, co-operative banks and RRBs; the 1601 sub-series), TCCCPR 2018 as amended 12 Feb 2025 (140-series, DND, auto-dialler notice), and whether credit co-operative societies can obtain 1600-series numbers; (ii) RBC paras 91(2), 100 and 100P, the Second Amendment para 101I (consent default 'No' from 1 Jan 2027) and the RBC Third Amendment pack (RBI/2026-27/230) already in Phases 3b, 11 and 12; (iii) RBI FREE-AI (13 Aug 2025) and the M20 controls; (iv) for each candidate provider (JioCX, Jio Business SIP and toll-free, Exotel, Ozonetel, Gupshup, Knowlarity; Sarvam AI or Bhashini for speech): DLT principal-entity support, 1600-series support, India residency for recordings, transcripts and call records, India inference, DPA and API documentation. JioCX publishes no API documentation, rates, residency statement or AI voice-agent product, and reports of a 'JioBrain' API are uncorroborated — do not rely on them. Then build Part 7L EO6 on M18 and R15:</w:t>
      </w:r>
      <w:r>
        <w:br/>
      </w:r>
      <w:r>
        <w:br/>
      </w:r>
      <w:r>
        <w:rPr>
          <w:rStyle w:val="VerbatimChar"/>
        </w:rPr>
        <w:t xml:space="preserve">- Interfaces: `MessagingProvider` (SMS with DLT ids, RCS, email; WhatsApp never for collection, recovery or legal notices), `VoiceProvider` (number pools by series and circle, IVR, dialler and OBD, click-to-call with masking, recording, CDR webhooks), `SpeechProvider` (Indic ASR and TTS) and `LLMProvider` (the M20 India-region endpoint only); each passes connector certification (Integration Spec Parts 10.1 and 14.3) before production.</w:t>
      </w:r>
      <w:r>
        <w:br/>
      </w:r>
      <w:r>
        <w:rPr>
          <w:rStyle w:val="VerbatimChar"/>
        </w:rPr>
        <w:t xml:space="preserve">- Jio plan: a stub `JioCxAdapter` with certification tests, and a request list to JioCX (API documentation, DPA, residency proof, DLT and 1600-series support, AI roadmap, rates); production enablement only after contract, residency proof and certification; other certified adapters serve tenants meanwhile. The owner's Jio requirement is met by the adapter, not by a dependency on Jio.</w:t>
      </w:r>
      <w:r>
        <w:br/>
      </w:r>
      <w:r>
        <w:rPr>
          <w:rStyle w:val="VerbatimChar"/>
        </w:rPr>
        <w:t xml:space="preserve">- Contact-policy checks (fail closed with a reason): purpose category; the tenant as DLT principal entity and number holder, never Infrabyx; RE service, transactional and recovery voice only from the tenant's 1600-series numbers — no other number even with consent; promotional voice only through a 140-series registered telemarketer with DND scrub and explicit consent; non-RE tenants through telemarketer routes until 1600 eligibility is confirmed; consent default 'No' from 1 Jan 2027 and 90 days before re-seeking after opt-out; recovery 08:00–19:00, microfinance 09:00–18:00 until 31 Dec 2026 then the Third Amendment pack; a stricter borrower preference prevails; by default ≤ 3 attempts and 1 connected recovery call a day; auto-diallers pre-notified; a DLT template id on every SMS.</w:t>
      </w:r>
      <w:r>
        <w:br/>
      </w:r>
      <w:r>
        <w:rPr>
          <w:rStyle w:val="VerbatimChar"/>
        </w:rPr>
        <w:t xml:space="preserve">- AI contact centre: the inbound assistant authenticates (registered mobile plus OTP, or IVR PIN) before disclosing anything, answers balance, due date, receipt and document-release status, raises service requests and M15 complaints and hands over to a human on request; outbound AI voice for reminders and receipt confirmations, and for recovery only under a Board-approved policy with CCO-approved scripts; AI never negotiates or approves settlements or waivers, changes terms, closes or rejects complaints, threatens, misstates dues, discloses to third parties or takes card data; it states that it is an automated assistant; each interaction logs model, model and prompt versions and the transcript reference; monthly QA and bias sampling; a recording announcement on every recorded call; recordings, transcripts and call records stay in India, and recovery recordings are kept at least 6 months and longer while sub judice (RBC para 100P).</w:t>
      </w:r>
      <w:r>
        <w:br/>
      </w:r>
      <w:r>
        <w:rPr>
          <w:rStyle w:val="VerbatimChar"/>
        </w:rPr>
        <w:t xml:space="preserve">- Residency gate and metering: no adapter is enabled for a production tenant without proof of India storage and India inference; voice, SMS, WhatsApp and AI minutes are metered as CM3 pass-through with cost per call; records use the existing R15 entities, with no new ecosystem events.</w:t>
      </w:r>
      <w:r>
        <w:br/>
      </w:r>
      <w:r>
        <w:rPr>
          <w:rStyle w:val="VerbatimChar"/>
        </w:rPr>
        <w:t xml:space="preserve">- Menus, screens and settings: build workspaces G (Collections) and F (Servicing and Customer Service) for calling and the assistant, and N for provider settings exactly as the `Menu and screens` and `Settings and options` subsections of Part 7L (EO6) specify (navigation paths, list, detail, wizard, approval-queue and dashboard screens, actions, bulk actions, filters, exports, empty and error states, role visibility, and each setting with its scope, default and floor), and register every entry in Appendix G; contact windows and attempt caps can only be tightened; the provider screen shows certification and residency-proof status before the production toggle is enabled.</w:t>
      </w:r>
      <w:r>
        <w:br/>
      </w:r>
      <w:r>
        <w:br/>
      </w:r>
      <w:r>
        <w:rPr>
          <w:rStyle w:val="VerbatimChar"/>
        </w:rPr>
        <w:t xml:space="preserve">Tests and acceptance evidence:</w:t>
      </w:r>
      <w:r>
        <w:br/>
      </w:r>
      <w:r>
        <w:br/>
      </w:r>
      <w:r>
        <w:rPr>
          <w:rStyle w:val="VerbatimChar"/>
        </w:rPr>
        <w:t xml:space="preserve">- a recovery call from a 10-digit number is refused with `series_not_permitted`; from the tenant's 1600-series number it proceeds at 18:30 and is refused at 19:05;</w:t>
      </w:r>
      <w:r>
        <w:br/>
      </w:r>
      <w:r>
        <w:rPr>
          <w:rStyle w:val="VerbatimChar"/>
        </w:rPr>
        <w:t xml:space="preserve">- a microfinance recovery call at 18:15 in December 2026 is refused;</w:t>
      </w:r>
      <w:r>
        <w:br/>
      </w:r>
      <w:r>
        <w:rPr>
          <w:rStyle w:val="VerbatimChar"/>
        </w:rPr>
        <w:t xml:space="preserve">- a promotional call to a DND number without consent is refused; with consent it routes only through the 140-series;</w:t>
      </w:r>
      <w:r>
        <w:br/>
      </w:r>
      <w:r>
        <w:rPr>
          <w:rStyle w:val="VerbatimChar"/>
        </w:rPr>
        <w:t xml:space="preserve">- the assistant discloses no balance before OTP, hands over on 'agent', and routes a settlement attempt to a human with the transcript;</w:t>
      </w:r>
      <w:r>
        <w:br/>
      </w:r>
      <w:r>
        <w:rPr>
          <w:rStyle w:val="VerbatimChar"/>
        </w:rPr>
        <w:t xml:space="preserve">- a recorded call without the announcement in the transcript fails QA and raises a conduct exception;</w:t>
      </w:r>
      <w:r>
        <w:br/>
      </w:r>
      <w:r>
        <w:rPr>
          <w:rStyle w:val="VerbatimChar"/>
        </w:rPr>
        <w:t xml:space="preserve">- a WhatsApp template for recovery or a legal notice cannot be created;</w:t>
      </w:r>
      <w:r>
        <w:br/>
      </w:r>
      <w:r>
        <w:rPr>
          <w:rStyle w:val="VerbatimChar"/>
        </w:rPr>
        <w:t xml:space="preserve">- the JioCX stub passes certification in sandbox and cannot be enabled for production while the residency-proof record is missing;</w:t>
      </w:r>
      <w:r>
        <w:br/>
      </w:r>
      <w:r>
        <w:rPr>
          <w:rStyle w:val="VerbatimChar"/>
        </w:rPr>
        <w:t xml:space="preserve">- a navigation test walks each role through the Appendix G entries for this phase and finds every screen, action and setting with the stated visibility and nothing more; a recovery window ending after 19:00 fails `floor_violation`.</w:t>
      </w:r>
      <w:r>
        <w:br/>
      </w:r>
      <w:r>
        <w:br/>
      </w:r>
      <w:r>
        <w:rPr>
          <w:rStyle w:val="VerbatimChar"/>
        </w:rPr>
        <w:t xml:space="preserve">Show me the provider-interface contracts, the provider due-diligence matrix with residency evidence, the contact-policy rule table and the AI assistant's permitted and prohibited intents, with the menu tree and settings catalogue of this phase (Appendix G), for approval before coding.</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docs/specs/phase-18b-voice-ai-contact-centre.md: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feat/voice-ai-contact-centre in small commits; run unit, integration, tenant-isolation and security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76"/>
        </w:numPr>
        <w:pStyle w:val="Compact"/>
      </w:pPr>
      <w:r>
        <w:t xml:space="preserve">☐ A service, transactional or recovery call by an RE tenant from any number other than its own 1600-series number is refused with series_not_permitted, even with borrower consent (TRAI Direction 19 Nov 2025; TRAI clarification 10 Jul 2026).</w:t>
      </w:r>
    </w:p>
    <w:p>
      <w:pPr>
        <w:numPr>
          <w:ilvl w:val="0"/>
          <w:numId w:val="1076"/>
        </w:numPr>
        <w:pStyle w:val="Compact"/>
      </w:pPr>
      <w:r>
        <w:t xml:space="preserve">☐ A promotional call to a DND number without explicit consent is refused, and with consent it routes only through a 140-series registered telemarketer (TCCCPR 2018 as amended 12 Feb 2025; RBC para 101I from 1 Jan 2027).</w:t>
      </w:r>
    </w:p>
    <w:p>
      <w:pPr>
        <w:numPr>
          <w:ilvl w:val="0"/>
          <w:numId w:val="1076"/>
        </w:numPr>
        <w:pStyle w:val="Compact"/>
      </w:pPr>
      <w:r>
        <w:t xml:space="preserve">☐ A recovery call at 19:05 and a microfinance recovery call at 18:15 before 1 Jan 2027 are refused and logged (RBC paras 91(2), 100).</w:t>
      </w:r>
    </w:p>
    <w:p>
      <w:pPr>
        <w:numPr>
          <w:ilvl w:val="0"/>
          <w:numId w:val="1076"/>
        </w:numPr>
        <w:pStyle w:val="Compact"/>
      </w:pPr>
      <w:r>
        <w:t xml:space="preserve">☐ The AI assistant discloses nothing before authentication, hands over to a human on request, never negotiates a settlement or waiver, and logs model, model version, prompt version and transcript reference (RBI FREE-AI 13 Aug 2025; M20; RBC para 100).</w:t>
      </w:r>
    </w:p>
    <w:p>
      <w:pPr>
        <w:numPr>
          <w:ilvl w:val="0"/>
          <w:numId w:val="1076"/>
        </w:numPr>
        <w:pStyle w:val="Compact"/>
      </w:pPr>
      <w:r>
        <w:t xml:space="preserve">☐ No voice, messaging or AI adapter, including the JioCX stub, can be enabled for a production tenant without connector certification and proof of India storage for recordings, transcripts and call records (CF para 14(4); Integration Spec Parts 10.1, 14.3).</w:t>
      </w:r>
    </w:p>
    <w:p>
      <w:pPr>
        <w:numPr>
          <w:ilvl w:val="0"/>
          <w:numId w:val="1076"/>
        </w:numPr>
        <w:pStyle w:val="Compact"/>
      </w:pPr>
      <w:r>
        <w:t xml:space="preserve">☐ A WhatsApp template for collection, recovery or a legal notice cannot be created (Part 7A.0.6; WhatsApp Business Messaging Policy).</w:t>
      </w:r>
    </w:p>
    <w:p>
      <w:pPr>
        <w:numPr>
          <w:ilvl w:val="0"/>
          <w:numId w:val="1076"/>
        </w:numPr>
        <w:pStyle w:val="Compact"/>
      </w:pPr>
      <w:r>
        <w:t xml:space="preserve">☐ An automated navigation test walks each role through the Appendix G entries for Part 7L (EO6) and finds every menu path, screen, action and setting listed in its</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with the stated visibility and nothing more, and an attempt to relax a regulatory-floor setting fails server-side with floor_violation (Part 7L (EO6); Appendix G; Part 10.2 principles 24 and 42).</w:t>
      </w:r>
    </w:p>
    <w:p>
      <w:pPr>
        <w:numPr>
          <w:ilvl w:val="0"/>
          <w:numId w:val="1076"/>
        </w:numPr>
        <w:pStyle w:val="Compact"/>
      </w:pPr>
      <w:r>
        <w:t xml:space="preserve">☐ The PR shows the test output; the ledger balances (if money moved); the regulatory register and docs/status are updated.</w:t>
      </w:r>
    </w:p>
    <w:bookmarkEnd w:id="58"/>
    <w:bookmarkStart w:id="59" w:name="phase-19-migration-tooling"/>
    <w:p>
      <w:pPr>
        <w:pStyle w:val="Heading3"/>
      </w:pPr>
      <w:r>
        <w:t xml:space="preserve">Phase 19 — Migration tooling</w:t>
      </w:r>
    </w:p>
    <w:p>
      <w:pPr>
        <w:numPr>
          <w:ilvl w:val="0"/>
          <w:numId w:val="1077"/>
        </w:numPr>
        <w:pStyle w:val="Compact"/>
      </w:pPr>
      <w:r>
        <w:rPr>
          <w:bCs/>
          <w:b/>
        </w:rPr>
        <w:t xml:space="preserve">Outcome:</w:t>
      </w:r>
      <w:r>
        <w:t xml:space="preserve"> </w:t>
      </w:r>
      <w:r>
        <w:t xml:space="preserve">Legacy loan boarding and reconciliation sign-off; opening balances by book, legacy bureau and return history, member, share and group registers, investment positions and archive import (Part 7J DP4 importer)</w:t>
      </w:r>
    </w:p>
    <w:p>
      <w:pPr>
        <w:numPr>
          <w:ilvl w:val="0"/>
          <w:numId w:val="1077"/>
        </w:numPr>
        <w:pStyle w:val="Compact"/>
      </w:pPr>
      <w:r>
        <w:rPr>
          <w:bCs/>
          <w:b/>
        </w:rPr>
        <w:t xml:space="preserve">Depends on:</w:t>
      </w:r>
      <w:r>
        <w:t xml:space="preserve"> </w:t>
      </w:r>
      <w:r>
        <w:t xml:space="preserve">9, 13, 13b, 14b, 14c, 15b; 17c and 17d for co-operative, microfinance, ARC and investment tenants</w:t>
      </w:r>
    </w:p>
    <w:p>
      <w:pPr>
        <w:numPr>
          <w:ilvl w:val="0"/>
          <w:numId w:val="1077"/>
        </w:numPr>
        <w:pStyle w:val="Compact"/>
      </w:pPr>
      <w:r>
        <w:rPr>
          <w:bCs/>
          <w:b/>
        </w:rPr>
        <w:t xml:space="preserve">Branch:</w:t>
      </w:r>
      <w:r>
        <w:t xml:space="preserve"> </w:t>
      </w:r>
      <w:r>
        <w:rPr>
          <w:rStyle w:val="VerbatimChar"/>
        </w:rPr>
        <w:t xml:space="preserve">feat/migration-tooling</w:t>
      </w:r>
    </w:p>
    <w:p>
      <w:pPr>
        <w:pStyle w:val="FirstParagraph"/>
      </w:pPr>
      <w:r>
        <w:rPr>
          <w:bCs/>
          <w:b/>
        </w:rPr>
        <w:t xml:space="preserve">Paste into Claude Code:</w:t>
      </w:r>
    </w:p>
    <w:p>
      <w:pPr>
        <w:pStyle w:val="SourceCode"/>
      </w:pPr>
      <w:r>
        <w:rPr>
          <w:rStyle w:val="VerbatimChar"/>
        </w:rPr>
        <w:t xml:space="preserve">Phase 19 — Migration tooling. Governing brief: docs/00-master-prompt.md (Part 12, Phase 19; Part 8A prevails on regulatory points).</w:t>
      </w:r>
      <w:r>
        <w:br/>
      </w:r>
      <w:r>
        <w:br/>
      </w:r>
      <w:r>
        <w:rPr>
          <w:rStyle w:val="VerbatimChar"/>
        </w:rPr>
        <w:t xml:space="preserve">Build the legacy loan-boarding toolkit, with history, opening balances, DPD reconstruction and reconciliation sign-off reports. For v1.5 tenants it must also: load opening balances into each book (`STAT`, `PRUD`, `TAX`) with the framework and `first_ind_as_year` resolved by Part 7C AC1; mark every migration batch in the statutory `audit_log` (AC7); carry the legacy CIC account and member identifiers so the first Finbyx bureau file updates, never duplicates, existing tradelines (Part 7B RR6); import filed returns and acknowledgements as read-only evidence (RR5); board member, share and JLG or SHG group registers for co-operative and microfinance tenants (Part 7G IP2, IP4) and investment positions with classification locked (Part 7H IV1); accept a Part 7J archive as an input through the DP4 importer; and run as a guided wizard (map → dry run → reconcile → sign-off → cut-over) with a reconciliation dashboard, coordinated with the Operations Hub migration factory (OH4). Nothing is cut over until the trial balance, loan count and principal reconcile exactly, every DPD or classification difference is explained and approved, and the tenant's CFO signs off.</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docs/specs/phase-19-migration-tooling.md: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feat/migration-tooling in small commits; run unit, integration, tenant-isolation and security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78"/>
        </w:numPr>
        <w:pStyle w:val="Compact"/>
      </w:pPr>
      <w:r>
        <w:t xml:space="preserve">☐ Migrated balances reconcile to the legacy trial balance, loan by loan.</w:t>
      </w:r>
    </w:p>
    <w:p>
      <w:pPr>
        <w:numPr>
          <w:ilvl w:val="0"/>
          <w:numId w:val="1078"/>
        </w:numPr>
        <w:pStyle w:val="Compact"/>
      </w:pPr>
      <w:r>
        <w:t xml:space="preserve">☐ Classification history and DPD are preserved, not recomputed silently.</w:t>
      </w:r>
    </w:p>
    <w:p>
      <w:pPr>
        <w:numPr>
          <w:ilvl w:val="0"/>
          <w:numId w:val="1078"/>
        </w:numPr>
        <w:pStyle w:val="Compact"/>
      </w:pPr>
      <w:r>
        <w:t xml:space="preserve">☐ The tenant signs off the reconciliation.</w:t>
      </w:r>
    </w:p>
    <w:p>
      <w:pPr>
        <w:numPr>
          <w:ilvl w:val="0"/>
          <w:numId w:val="1078"/>
        </w:numPr>
        <w:pStyle w:val="Compact"/>
      </w:pPr>
      <w:r>
        <w:t xml:space="preserve">☐ The PR shows the test output; the ledger balances (if money moved); the regulatory register and docs/status are updated.</w:t>
      </w:r>
    </w:p>
    <w:bookmarkEnd w:id="59"/>
    <w:bookmarkStart w:id="60" w:name="X5dc0d2542a1a959311b733ef08dd364d01e2c9f"/>
    <w:p>
      <w:pPr>
        <w:pStyle w:val="Heading3"/>
      </w:pPr>
      <w:r>
        <w:t xml:space="preserve">Phase 20 — Scale hardening and AWS migration</w:t>
      </w:r>
    </w:p>
    <w:p>
      <w:pPr>
        <w:numPr>
          <w:ilvl w:val="0"/>
          <w:numId w:val="1079"/>
        </w:numPr>
        <w:pStyle w:val="Compact"/>
      </w:pPr>
      <w:r>
        <w:rPr>
          <w:bCs/>
          <w:b/>
        </w:rPr>
        <w:t xml:space="preserve">Outcome:</w:t>
      </w:r>
      <w:r>
        <w:t xml:space="preserve"> </w:t>
      </w:r>
      <w:r>
        <w:t xml:space="preserve">Multi-tenant scale tests, AWS ap-south-1 / ap-south-2 migration, DR at scale, performance tuning</w:t>
      </w:r>
    </w:p>
    <w:p>
      <w:pPr>
        <w:numPr>
          <w:ilvl w:val="0"/>
          <w:numId w:val="1079"/>
        </w:numPr>
        <w:pStyle w:val="Compact"/>
      </w:pPr>
      <w:r>
        <w:rPr>
          <w:bCs/>
          <w:b/>
        </w:rPr>
        <w:t xml:space="preserve">Depends on:</w:t>
      </w:r>
      <w:r>
        <w:t xml:space="preserve"> </w:t>
      </w:r>
      <w:r>
        <w:t xml:space="preserve">P, 16–19 (including 16b–16e, 17b–17d and 18b)</w:t>
      </w:r>
    </w:p>
    <w:p>
      <w:pPr>
        <w:numPr>
          <w:ilvl w:val="0"/>
          <w:numId w:val="1079"/>
        </w:numPr>
        <w:pStyle w:val="Compact"/>
      </w:pPr>
      <w:r>
        <w:rPr>
          <w:bCs/>
          <w:b/>
        </w:rPr>
        <w:t xml:space="preserve">Branch:</w:t>
      </w:r>
      <w:r>
        <w:t xml:space="preserve"> </w:t>
      </w:r>
      <w:r>
        <w:rPr>
          <w:rStyle w:val="VerbatimChar"/>
        </w:rPr>
        <w:t xml:space="preserve">feat/scale-aws</w:t>
      </w:r>
    </w:p>
    <w:p>
      <w:pPr>
        <w:pStyle w:val="FirstParagraph"/>
      </w:pPr>
      <w:r>
        <w:rPr>
          <w:bCs/>
          <w:b/>
        </w:rPr>
        <w:t xml:space="preserve">Paste into Claude Code:</w:t>
      </w:r>
    </w:p>
    <w:p>
      <w:pPr>
        <w:pStyle w:val="SourceCode"/>
      </w:pPr>
      <w:r>
        <w:rPr>
          <w:rStyle w:val="VerbatimChar"/>
        </w:rPr>
        <w:t xml:space="preserve">Phase 20 — Scale hardening and AWS migration. Governing brief: docs/00-master-prompt.md (Part 12, Phase 20; Part 8A prevails on regulatory points).</w:t>
      </w:r>
      <w:r>
        <w:br/>
      </w:r>
      <w:r>
        <w:br/>
      </w:r>
      <w:r>
        <w:rPr>
          <w:rStyle w:val="VerbatimChar"/>
        </w:rPr>
        <w:t xml:space="preserve">Run multi-tenant scale tests. Then:</w:t>
      </w:r>
      <w:r>
        <w:br/>
      </w:r>
      <w:r>
        <w:br/>
      </w:r>
      <w:r>
        <w:rPr>
          <w:rStyle w:val="VerbatimChar"/>
        </w:rPr>
        <w:t xml:space="preserve">- write and rehearse the AWS ap-south-1 / ap-south-2 migration runbook;</w:t>
      </w:r>
      <w:r>
        <w:br/>
      </w:r>
      <w:r>
        <w:rPr>
          <w:rStyle w:val="VerbatimChar"/>
        </w:rPr>
        <w:t xml:space="preserve">- run DR at scale;</w:t>
      </w:r>
      <w:r>
        <w:br/>
      </w:r>
      <w:r>
        <w:rPr>
          <w:rStyle w:val="VerbatimChar"/>
        </w:rPr>
        <w:t xml:space="preserve">- do performance tuning;</w:t>
      </w:r>
      <w:r>
        <w:br/>
      </w:r>
      <w:r>
        <w:rPr>
          <w:rStyle w:val="VerbatimChar"/>
        </w:rPr>
        <w:t xml:space="preserve">- repeat independent VAPT.</w:t>
      </w:r>
      <w:r>
        <w:br/>
      </w:r>
      <w:r>
        <w:br/>
      </w:r>
      <w:r>
        <w:rPr>
          <w:rStyle w:val="VerbatimChar"/>
        </w:rPr>
        <w:t xml:space="preserve">The migration must keep the Part 7L controls continuous: EO1 release controls and signed artefacts, EO3 backups, the immutable vault and restore evidence, the AC7 daily India books backup and audit-trail seals, and customer-held backups (Part 7J DP4). Engineering-operations evidence and certification readiness (EO1–EO5) are completed in Phase 20b.</w:t>
      </w:r>
      <w:r>
        <w:br/>
      </w:r>
      <w:r>
        <w:br/>
      </w:r>
      <w:r>
        <w:rPr>
          <w:rStyle w:val="VerbatimChar"/>
        </w:rPr>
        <w:t xml:space="preserve">Present a controlled migration plan for my approval.</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docs/specs/phase-20-scale-aws.md: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feat/scale-aws in small commits; run unit, integration, tenant-isolation and security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80"/>
        </w:numPr>
        <w:pStyle w:val="Compact"/>
      </w:pPr>
      <w:r>
        <w:t xml:space="preserve">☐ Scale tests meet the agreed throughput and COB window.</w:t>
      </w:r>
    </w:p>
    <w:p>
      <w:pPr>
        <w:numPr>
          <w:ilvl w:val="0"/>
          <w:numId w:val="1080"/>
        </w:numPr>
        <w:pStyle w:val="Compact"/>
      </w:pPr>
      <w:r>
        <w:t xml:space="preserve">☐ The AWS migration stays in ap-south-1 / ap-south-2.</w:t>
      </w:r>
    </w:p>
    <w:p>
      <w:pPr>
        <w:numPr>
          <w:ilvl w:val="0"/>
          <w:numId w:val="1080"/>
        </w:numPr>
        <w:pStyle w:val="Compact"/>
      </w:pPr>
      <w:r>
        <w:t xml:space="preserve">☐ The DR drill passes at production scale.</w:t>
      </w:r>
    </w:p>
    <w:p>
      <w:pPr>
        <w:numPr>
          <w:ilvl w:val="0"/>
          <w:numId w:val="1080"/>
        </w:numPr>
        <w:pStyle w:val="Compact"/>
      </w:pPr>
      <w:r>
        <w:t xml:space="preserve">☐ The PR shows the test output; the ledger balances (if money moved); the regulatory register and docs/status are updated.</w:t>
      </w:r>
    </w:p>
    <w:bookmarkEnd w:id="60"/>
    <w:bookmarkStart w:id="61" w:name="X227de6a3cf988608b8f57ce9d6abc59248d8654"/>
    <w:p>
      <w:pPr>
        <w:pStyle w:val="Heading3"/>
      </w:pPr>
      <w:r>
        <w:t xml:space="preserve">Phase 20b — Engineering operations evidence and certification readiness</w:t>
      </w:r>
    </w:p>
    <w:p>
      <w:pPr>
        <w:numPr>
          <w:ilvl w:val="0"/>
          <w:numId w:val="1081"/>
        </w:numPr>
        <w:pStyle w:val="Compact"/>
      </w:pPr>
      <w:r>
        <w:rPr>
          <w:bCs/>
          <w:b/>
        </w:rPr>
        <w:t xml:space="preserve">Outcome:</w:t>
      </w:r>
      <w:r>
        <w:t xml:space="preserve"> </w:t>
      </w:r>
      <w:r>
        <w:t xml:space="preserve">Part 7L EO1–EO5: release rulesets, freeze windows and patch SLAs; change classes and CAB; CYB para 106 certificates and escrow; backup, restore, DR and ransomware drills; VAPT programme and tenant audit-evidence packs; common control framework, evidence collectors and claims gate; certification roadmap</w:t>
      </w:r>
    </w:p>
    <w:p>
      <w:pPr>
        <w:numPr>
          <w:ilvl w:val="0"/>
          <w:numId w:val="1081"/>
        </w:numPr>
        <w:pStyle w:val="Compact"/>
      </w:pPr>
      <w:r>
        <w:rPr>
          <w:bCs/>
          <w:b/>
        </w:rPr>
        <w:t xml:space="preserve">Depends on:</w:t>
      </w:r>
      <w:r>
        <w:t xml:space="preserve"> </w:t>
      </w:r>
      <w:r>
        <w:t xml:space="preserve">1, 15b, 16c, 20; Operations Hub phase O12</w:t>
      </w:r>
    </w:p>
    <w:p>
      <w:pPr>
        <w:numPr>
          <w:ilvl w:val="0"/>
          <w:numId w:val="1081"/>
        </w:numPr>
        <w:pStyle w:val="Compact"/>
      </w:pPr>
      <w:r>
        <w:rPr>
          <w:bCs/>
          <w:b/>
        </w:rPr>
        <w:t xml:space="preserve">Branch:</w:t>
      </w:r>
      <w:r>
        <w:t xml:space="preserve"> </w:t>
      </w:r>
      <w:r>
        <w:rPr>
          <w:rStyle w:val="VerbatimChar"/>
        </w:rPr>
        <w:t xml:space="preserve">chore/engineering-ops-certification</w:t>
      </w:r>
    </w:p>
    <w:p>
      <w:pPr>
        <w:numPr>
          <w:ilvl w:val="0"/>
          <w:numId w:val="1081"/>
        </w:numPr>
        <w:pStyle w:val="Compact"/>
      </w:pPr>
      <w:r>
        <w:rPr>
          <w:bCs/>
          <w:b/>
        </w:rPr>
        <w:t xml:space="preserve">Suggested sub-modules (one session each):</w:t>
      </w:r>
      <w:r>
        <w:t xml:space="preserve"> </w:t>
      </w:r>
      <w:r>
        <w:t xml:space="preserve">EO1 release rulesets, freeze windows and patch SLAs; EO2 change classes, CAB, vulnerability management and emergency change; EO3 backup design, restore and DR drill programme; EO4 VAPT programme and audit-readiness evidence packs; EO5 common control framework, collectors and claims gate; EO5.4 certification roadmap with the owner’s decisions; Menus, screens and settings for Part 7L (EO1–EO5) (Appendix G).</w:t>
      </w:r>
    </w:p>
    <w:p>
      <w:pPr>
        <w:pStyle w:val="FirstParagraph"/>
      </w:pPr>
      <w:r>
        <w:rPr>
          <w:bCs/>
          <w:b/>
        </w:rPr>
        <w:t xml:space="preserve">Paste into Claude Code:</w:t>
      </w:r>
    </w:p>
    <w:p>
      <w:pPr>
        <w:pStyle w:val="SourceCode"/>
      </w:pPr>
      <w:r>
        <w:rPr>
          <w:rStyle w:val="VerbatimChar"/>
        </w:rPr>
        <w:t xml:space="preserve">Phase 20b — Engineering operations evidence and certification readiness. Governing brief: docs/00-master-prompt.md (Part 12, Phase 20b; Part 8A prevails on regulatory points).</w:t>
      </w:r>
      <w:r>
        <w:br/>
      </w:r>
      <w:r>
        <w:br/>
      </w:r>
      <w:r>
        <w:rPr>
          <w:rStyle w:val="VerbatimChar"/>
        </w:rPr>
        <w:t xml:space="preserve">The EO1 repository controls have run since Phase 1 and platform backups and drills since Phase P; this phase completes and evidences the programme across Part 7L EO1–EO5. Before writing the specification, verify: (i) the current GitHub plan and packaging (Team or Enterprise Cloud; Secret Protection and Code Security for private repositories; artifact attestations need Enterprise Cloud) and record the decision gate; (ii) CYB paras 39, 41–42, 92–93 and 102–147 (Ch V), 15–64 (Ch IV) and 8 (Ch III), OUT paras 34, 61, 74, 76–83 and 97(xvii), the CERT-In Directions of 28 Apr 2022 (6-hour reporting, 180-day logs in India, NTP) and DPDP Rules r.8(3); (iii) the current editions of PCI DSS v4.0.1 SAQ A (revised 31 Jan 2025), the AICPA Trust Services Criteria (2017, 2022 points of focus), ISO/IEC 27001:2022 with Amendment 1:2024, ISO/IEC 27701:2025, ISO 22301:2019, ISO/IEC 42001:2023, 27017 and 27018; (iv) the owner's choice of certification order, certification body, CPA firm and the SOC 1 Type 2 offer (Appendix B); (v) Operations Hub phase O12 (OH13 console and OH14 control library). Then build:</w:t>
      </w:r>
      <w:r>
        <w:br/>
      </w:r>
      <w:r>
        <w:br/>
      </w:r>
      <w:r>
        <w:rPr>
          <w:rStyle w:val="VerbatimChar"/>
        </w:rPr>
        <w:t xml:space="preserve">- EO1 completion: `release/*` rulesets with 2 approvals and hotfix-only merges; tag rules; a weekly release train with regulatory-impact notes 5 working days ahead; freeze windows (last 2 and first 3 working days of each month, quarter and FY close, CIC days 9th, 16th, 23rd and the month-end file); patch SLAs (critical, KEV-listed or exploited 72 hours; High 7 days; Medium 30; Low 90) with CISO exceptions expiring within 90 days; tenant and internal audit findings keep the AU4.3 defaults (15/30/90/180 days) and the stricter applies where both cover a finding; `ReleasePublished` with SBOM hash and signature digest.</w:t>
      </w:r>
      <w:r>
        <w:br/>
      </w:r>
      <w:r>
        <w:rPr>
          <w:rStyle w:val="VerbatimChar"/>
        </w:rPr>
        <w:t xml:space="preserve">- EO2: change classes (standard, normal, regulated with a compliance reviewer and golden-case pass, emergency); change records and a weekly CAB (quorum 4 including security) recorded in OH13 with `ChangeApproved`; vulnerability intake including `security.txt` (RFC 9116); 24-hour critical triage with EPSS and KEV; an end-of-support register (CYB paras 92–93); a CYB para 106 certificate per material release and an escrow deposit (para 105) as deploy blockers; emergency change by two of CTO, CISO and on-call lead, a retrospective CAB within 2 working days and tenant notice within 2 hours of detection.</w:t>
      </w:r>
      <w:r>
        <w:br/>
      </w:r>
      <w:r>
        <w:rPr>
          <w:rStyle w:val="VerbatimChar"/>
        </w:rPr>
        <w:t xml:space="preserve">- EO3: backup design (PITR 35 days, monthly copies 13 months, FY-end 8 years for books; cross-region to ap-south-2; immutable vault account in compliance mode); daily backup verification; quarterly full restore into an isolated India environment (TB, loan counts and audit hash chain equal); a half-yearly DR day including COB with measured RTO and RPO; yearly ransomware recovery from the vault; joint tenant tests; NTP drift alarms; drill reports as `ControlEvidenceCollected`.</w:t>
      </w:r>
      <w:r>
        <w:br/>
      </w:r>
      <w:r>
        <w:rPr>
          <w:rStyle w:val="VerbatimChar"/>
        </w:rPr>
        <w:t xml:space="preserve">- EO4: independent CERT-In-empanelled testers rotated every 3 years; VAPT cadence per layer (internet-facing VA every 6 months and PT every 12 months for all tenants; mobile per OWASP MASVS; cloud posture; manual review of auth, ledger, payments and exports; agents and connectors); findings on the EO1.6 SLAs with retest; a one-action tenant IS-audit evidence pack through AU7; the SOC 1 Type 2 offer and the Rule 11(g) pack for statutory auditors; quarterly independent control testing; incident clocks (CERT-In 6 hours; tenant ≤ 2 hours).</w:t>
      </w:r>
      <w:r>
        <w:br/>
      </w:r>
      <w:r>
        <w:rPr>
          <w:rStyle w:val="VerbatimChar"/>
        </w:rPr>
        <w:t xml:space="preserve">- EO5: the common control framework in OH14 with many-to-many mappings (CYB, OUT, CF, DPS, CERT-In, DPDP, ISO 27001 Annex A, 27701, 22301, SOC 2 TSC, PCI SAQ A, CA13 ss.134(5)(e) and 143(3)(i), the Rule 11(g) guide); Finbyx-side collectors (ruleset drift, CODEOWNERS coverage, CI results, SBOM and signatures, vulnerability SLA metrics, MFA coverage, quarterly access reviews with `AccessReviewCompleted` (`review_scope` PLATFORM to OH13 and OH14; TENANT reviews stay with the tenant), change and CAB records, backup and DR reports, VAPT, incidents, KMS policies, isolation tests, hash-chain verification, log retention); evidence freshness; and the claims gate — certification is a programme, so no text may say 'certified' before the report or certificate is issued (Part 10.6 item 12 as reworded). Policies are drafted later as a separate workstream.</w:t>
      </w:r>
      <w:r>
        <w:br/>
      </w:r>
      <w:r>
        <w:rPr>
          <w:rStyle w:val="VerbatimChar"/>
        </w:rPr>
        <w:t xml:space="preserve">- Menus, screens and settings: build workspace O (Platform Administration) for Infrabyx and the evidence-pack screens of workspace N for tenants; the cross-product console stays in Operations Hub OH13 exactly as the `Menu and screens` and `Settings and options` subsections of Part 7L (EO1–EO5) specify (navigation paths, list, detail, wizard, approval-queue and dashboard screens, actions, bulk actions, filters, exports, empty and error states, role visibility, and each setting with its scope, default and floor), and register every entry in Appendix G; freeze windows, patch SLAs and release gates can only be tightened per tenant contract.</w:t>
      </w:r>
      <w:r>
        <w:br/>
      </w:r>
      <w:r>
        <w:br/>
      </w:r>
      <w:r>
        <w:rPr>
          <w:rStyle w:val="VerbatimChar"/>
        </w:rPr>
        <w:t xml:space="preserve">Tests and acceptance evidence:</w:t>
      </w:r>
      <w:r>
        <w:br/>
      </w:r>
      <w:r>
        <w:br/>
      </w:r>
      <w:r>
        <w:rPr>
          <w:rStyle w:val="VerbatimChar"/>
        </w:rPr>
        <w:t xml:space="preserve">- the nightly ruleset export shows direct pushes, force pushes and unsigned commits rejected; a pull request touching `/migrations/` with one owner approval fails `sensitive-path-approvals`;</w:t>
      </w:r>
      <w:r>
        <w:br/>
      </w:r>
      <w:r>
        <w:rPr>
          <w:rStyle w:val="VerbatimChar"/>
        </w:rPr>
        <w:t xml:space="preserve">- a deployment to `prod-in` from an untagged commit or with an unsigned image is refused; a material release without a CYB para 106 certificate and escrow receipt cannot be published;</w:t>
      </w:r>
      <w:r>
        <w:br/>
      </w:r>
      <w:r>
        <w:rPr>
          <w:rStyle w:val="VerbatimChar"/>
        </w:rPr>
        <w:t xml:space="preserve">- an emergency change with one approver cannot deploy, and a missing retrospective CAB after 2 working days raises an OH14 exception;</w:t>
      </w:r>
      <w:r>
        <w:br/>
      </w:r>
      <w:r>
        <w:rPr>
          <w:rStyle w:val="VerbatimChar"/>
        </w:rPr>
        <w:t xml:space="preserve">- a quarterly restore reproduces the source TB and audit hash chain; deleting a vault recovery point from the production account is denied;</w:t>
      </w:r>
      <w:r>
        <w:br/>
      </w:r>
      <w:r>
        <w:rPr>
          <w:rStyle w:val="VerbatimChar"/>
        </w:rPr>
        <w:t xml:space="preserve">- a VAPT critical finding closed without retest fails the evidence check; a Chapter V tenant's pack flags a PT older than 12 months 30 days ahead;</w:t>
      </w:r>
      <w:r>
        <w:br/>
      </w:r>
      <w:r>
        <w:rPr>
          <w:rStyle w:val="VerbatimChar"/>
        </w:rPr>
        <w:t xml:space="preserve">- 'SOC 2 certified' text without an issued-report record fails the claims gate; every CCF control has an owner, a mapping and a collector or documented manual procedure;</w:t>
      </w:r>
      <w:r>
        <w:br/>
      </w:r>
      <w:r>
        <w:rPr>
          <w:rStyle w:val="VerbatimChar"/>
        </w:rPr>
        <w:t xml:space="preserve">- a navigation test walks each role through the Appendix G entries for this phase and finds every screen, action and setting with the stated visibility and nothing more; a patch-SLA setting looser than EO1.6 fails `floor_violation`.</w:t>
      </w:r>
      <w:r>
        <w:br/>
      </w:r>
      <w:r>
        <w:br/>
      </w:r>
      <w:r>
        <w:rPr>
          <w:rStyle w:val="VerbatimChar"/>
        </w:rPr>
        <w:t xml:space="preserve">Show me the control framework with mappings, the collector list, the change-class policy, the drill calendar, the VAPT scope and the certification roadmap with the owner's decisions, with the menu tree and settings catalogue of this phase (Appendix G), for approval before coding.</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docs/specs/phase-20b-engineering-ops-certification.md: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chore/engineering-ops-certification in small commits; run unit, integration, tenant-isolation and security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82"/>
        </w:numPr>
        <w:pStyle w:val="Compact"/>
      </w:pPr>
      <w:r>
        <w:t xml:space="preserve">☐ The nightly ruleset export shows direct pushes, force pushes and unsigned commits to main rejected, and a pull request touching /migrations/ with one code-owner approval fails sensitive-path-approvals (Part 7L EO1.2–EO1.4; CYB paras 39, 112).</w:t>
      </w:r>
    </w:p>
    <w:p>
      <w:pPr>
        <w:numPr>
          <w:ilvl w:val="0"/>
          <w:numId w:val="1082"/>
        </w:numPr>
        <w:pStyle w:val="Compact"/>
      </w:pPr>
      <w:r>
        <w:t xml:space="preserve">☐ A deployment to prod-in from an untagged commit or with an unsigned image is refused, and a material release cannot be published without a CYB para 106 certificate and an escrow-deposit receipt (CYB paras 105–106).</w:t>
      </w:r>
    </w:p>
    <w:p>
      <w:pPr>
        <w:numPr>
          <w:ilvl w:val="0"/>
          <w:numId w:val="1082"/>
        </w:numPr>
        <w:pStyle w:val="Compact"/>
      </w:pPr>
      <w:r>
        <w:t xml:space="preserve">☐ An emergency change with a single approver cannot deploy, and a missing retrospective CAB record after 2 working days raises an OH14 exception (CYB paras 41–42, 112; Part 7L EO2.4).</w:t>
      </w:r>
    </w:p>
    <w:p>
      <w:pPr>
        <w:numPr>
          <w:ilvl w:val="0"/>
          <w:numId w:val="1082"/>
        </w:numPr>
        <w:pStyle w:val="Compact"/>
      </w:pPr>
      <w:r>
        <w:t xml:space="preserve">☐ A quarterly restore reproduces the source trial balance and audit hash chain, the half-yearly DR drill records measured RTO and RPO, and deleting a vault recovery point from the production account is denied (CYB paras 129–138; Companies (Accounts) Rules r.3(5)).</w:t>
      </w:r>
    </w:p>
    <w:p>
      <w:pPr>
        <w:numPr>
          <w:ilvl w:val="0"/>
          <w:numId w:val="1082"/>
        </w:numPr>
        <w:pStyle w:val="Compact"/>
      </w:pPr>
      <w:r>
        <w:t xml:space="preserve">☐ A critical VAPT finding closed without a retest record fails the evidence check, and each Chapter V tenant’s evidence pack holds a VA no older than 6 months and a PT no older than 12 months (CYB paras 121–126); a finding covered by both the EO1.6 platform SLAs and the AU4.3 tenant defaults is tracked against the stricter.</w:t>
      </w:r>
    </w:p>
    <w:p>
      <w:pPr>
        <w:numPr>
          <w:ilvl w:val="0"/>
          <w:numId w:val="1082"/>
        </w:numPr>
        <w:pStyle w:val="Compact"/>
      </w:pPr>
      <w:r>
        <w:t xml:space="preserve">☐ Product, website or sales text claiming</w:t>
      </w:r>
      <w:r>
        <w:t xml:space="preserve"> </w:t>
      </w:r>
      <w:r>
        <w:t xml:space="preserve">‘</w:t>
      </w:r>
      <w:r>
        <w:t xml:space="preserve">SOC 2 certified</w:t>
      </w:r>
      <w:r>
        <w:t xml:space="preserve">’</w:t>
      </w:r>
      <w:r>
        <w:t xml:space="preserve"> </w:t>
      </w:r>
      <w:r>
        <w:t xml:space="preserve">or</w:t>
      </w:r>
      <w:r>
        <w:t xml:space="preserve"> </w:t>
      </w:r>
      <w:r>
        <w:t xml:space="preserve">‘</w:t>
      </w:r>
      <w:r>
        <w:t xml:space="preserve">ISO 27001 certified</w:t>
      </w:r>
      <w:r>
        <w:t xml:space="preserve">’</w:t>
      </w:r>
      <w:r>
        <w:t xml:space="preserve"> </w:t>
      </w:r>
      <w:r>
        <w:t xml:space="preserve">without an issued report or certificate record fails the claims gate, and every CCF control maps to at least one requirement with an owner and a collector (Part 7L EO5.1, EO5.3; OUT para 79).</w:t>
      </w:r>
    </w:p>
    <w:p>
      <w:pPr>
        <w:numPr>
          <w:ilvl w:val="0"/>
          <w:numId w:val="1082"/>
        </w:numPr>
        <w:pStyle w:val="Compact"/>
      </w:pPr>
      <w:r>
        <w:t xml:space="preserve">☐ An automated navigation test walks each role through the Appendix G entries for Part 7L (EO1–EO5) and finds every menu path, screen, action and setting listed in its</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with the stated visibility and nothing more, and an attempt to relax a regulatory-floor setting fails server-side with floor_violation (Part 7L (EO1–EO5); Appendix G; Part 10.2 principles 24 and 42).</w:t>
      </w:r>
    </w:p>
    <w:p>
      <w:pPr>
        <w:numPr>
          <w:ilvl w:val="0"/>
          <w:numId w:val="1082"/>
        </w:numPr>
        <w:pStyle w:val="Compact"/>
      </w:pPr>
      <w:r>
        <w:t xml:space="preserve">☐ The PR shows the test output; the ledger balances (if money moved); the regulatory register and docs/status are updated.</w:t>
      </w:r>
    </w:p>
    <w:p>
      <w:r>
        <w:pict>
          <v:rect style="width:0;height:1.5pt" o:hralign="center" o:hrstd="t" o:hr="t"/>
        </w:pict>
      </w:r>
    </w:p>
    <w:bookmarkEnd w:id="61"/>
    <w:bookmarkEnd w:id="62"/>
    <w:bookmarkStart w:id="63" w:name="utility-prompts"/>
    <w:p>
      <w:pPr>
        <w:pStyle w:val="Heading2"/>
      </w:pPr>
      <w:r>
        <w:t xml:space="preserve">4. Utility prompts</w:t>
      </w:r>
    </w:p>
    <w:p>
      <w:pPr>
        <w:pStyle w:val="FirstParagraph"/>
      </w:pPr>
      <w:r>
        <w:t xml:space="preserve">Replace the text in square brackets before pasting.</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204"/>
        <w:gridCol w:w="2349"/>
        <w:gridCol w:w="6085"/>
      </w:tblGrid>
      <w:tr>
        <w:trPr>
          <w:tblHeader w:val="true"/>
          <w:tblHeader w:val="true"/>
        </w:trPr>
        <w:tc>
          <w:tcPr>
            <w:tcW w:w="1204" w:type="dxa"/>
            <w:shd w:val="clear" w:color="auto" w:fill="1F3A5F"/>
          </w:tcPr>
          <w:p>
            <w:pPr>
              <w:pStyle w:val="Compact"/>
              <w:spacing w:after="40"/>
              <w:jc w:val="left"/>
            </w:pPr>
            <w:r>
              <w:rPr>
                <w:b/>
                <w:color w:val="FFFFFF"/>
                <w:sz w:val="18"/>
              </w:rPr>
              <w:t xml:space="preserve">No.</w:t>
            </w:r>
          </w:p>
        </w:tc>
        <w:tc>
          <w:tcPr>
            <w:tcW w:w="2349" w:type="dxa"/>
            <w:shd w:val="clear" w:color="auto" w:fill="1F3A5F"/>
          </w:tcPr>
          <w:p>
            <w:pPr>
              <w:pStyle w:val="Compact"/>
              <w:spacing w:after="40"/>
              <w:jc w:val="left"/>
            </w:pPr>
            <w:r>
              <w:rPr>
                <w:b/>
                <w:color w:val="FFFFFF"/>
                <w:sz w:val="18"/>
              </w:rPr>
              <w:t xml:space="preserve">When to use</w:t>
            </w:r>
          </w:p>
        </w:tc>
        <w:tc>
          <w:tcPr>
            <w:tcW w:w="6085" w:type="dxa"/>
            <w:shd w:val="clear" w:color="auto" w:fill="1F3A5F"/>
          </w:tcPr>
          <w:p>
            <w:pPr>
              <w:pStyle w:val="Compact"/>
              <w:spacing w:after="40"/>
              <w:jc w:val="left"/>
            </w:pPr>
            <w:r>
              <w:rPr>
                <w:b/>
                <w:color w:val="FFFFFF"/>
                <w:sz w:val="18"/>
              </w:rPr>
              <w:t xml:space="preserve">Prompt</w:t>
            </w:r>
          </w:p>
        </w:tc>
      </w:tr>
      <w:tr>
        <w:tc>
          <w:tcPr>
            <w:tcW w:w="1204" w:type="dxa"/>
          </w:tcPr>
          <w:p>
            <w:pPr>
              <w:pStyle w:val="Compact"/>
              <w:spacing w:after="40"/>
              <w:jc w:val="left"/>
            </w:pPr>
            <w:r>
              <w:rPr>
                <w:sz w:val="18"/>
              </w:rPr>
              <w:t xml:space="preserve">U1</w:t>
            </w:r>
          </w:p>
        </w:tc>
        <w:tc>
          <w:tcPr>
            <w:tcW w:w="2349" w:type="dxa"/>
          </w:tcPr>
          <w:p>
            <w:pPr>
              <w:pStyle w:val="Compact"/>
              <w:spacing w:after="40"/>
              <w:jc w:val="left"/>
            </w:pPr>
            <w:r>
              <w:rPr>
                <w:sz w:val="18"/>
              </w:rPr>
              <w:t xml:space="preserve">Start a sub-module</w:t>
            </w:r>
          </w:p>
        </w:tc>
        <w:tc>
          <w:tcPr>
            <w:tcW w:w="6085" w:type="dxa"/>
          </w:tcPr>
          <w:p>
            <w:pPr>
              <w:pStyle w:val="Compact"/>
              <w:spacing w:after="40"/>
              <w:jc w:val="left"/>
            </w:pPr>
            <w:r>
              <w:rPr>
                <w:sz w:val="18"/>
              </w:rPr>
              <w:t xml:space="preserve">Continue Phase [n]. This session covers only the sub-module: [name]. Re-read the approved spec docs/specs/[file].md and the related REQ-IDs, confirm the scope in five lines, then build it. Do not touch other sub-modules.</w:t>
            </w:r>
          </w:p>
        </w:tc>
      </w:tr>
      <w:tr>
        <w:tc>
          <w:tcPr>
            <w:tcW w:w="1204" w:type="dxa"/>
          </w:tcPr>
          <w:p>
            <w:pPr>
              <w:pStyle w:val="Compact"/>
              <w:spacing w:after="40"/>
              <w:jc w:val="left"/>
            </w:pPr>
            <w:r>
              <w:rPr>
                <w:sz w:val="18"/>
              </w:rPr>
              <w:t xml:space="preserve">U2</w:t>
            </w:r>
          </w:p>
        </w:tc>
        <w:tc>
          <w:tcPr>
            <w:tcW w:w="2349" w:type="dxa"/>
          </w:tcPr>
          <w:p>
            <w:pPr>
              <w:pStyle w:val="Compact"/>
              <w:spacing w:after="40"/>
              <w:jc w:val="left"/>
            </w:pPr>
            <w:r>
              <w:rPr>
                <w:sz w:val="18"/>
              </w:rPr>
              <w:t xml:space="preserve">Resume after an interruption</w:t>
            </w:r>
          </w:p>
        </w:tc>
        <w:tc>
          <w:tcPr>
            <w:tcW w:w="6085" w:type="dxa"/>
          </w:tcPr>
          <w:p>
            <w:pPr>
              <w:pStyle w:val="Compact"/>
              <w:spacing w:after="40"/>
              <w:jc w:val="left"/>
            </w:pPr>
            <w:r>
              <w:rPr>
                <w:sz w:val="18"/>
              </w:rPr>
              <w:t xml:space="preserve">Read CLAUDE.md, docs/status and the open PR for Phase [n]. Summarise what is done, what is pending and any failing tests, then continue from the next pending item.</w:t>
            </w:r>
          </w:p>
        </w:tc>
      </w:tr>
      <w:tr>
        <w:tc>
          <w:tcPr>
            <w:tcW w:w="1204" w:type="dxa"/>
          </w:tcPr>
          <w:p>
            <w:pPr>
              <w:pStyle w:val="Compact"/>
              <w:spacing w:after="40"/>
              <w:jc w:val="left"/>
            </w:pPr>
            <w:r>
              <w:rPr>
                <w:sz w:val="18"/>
              </w:rPr>
              <w:t xml:space="preserve">U3</w:t>
            </w:r>
          </w:p>
        </w:tc>
        <w:tc>
          <w:tcPr>
            <w:tcW w:w="2349" w:type="dxa"/>
          </w:tcPr>
          <w:p>
            <w:pPr>
              <w:pStyle w:val="Compact"/>
              <w:spacing w:after="40"/>
              <w:jc w:val="left"/>
            </w:pPr>
            <w:r>
              <w:rPr>
                <w:sz w:val="18"/>
              </w:rPr>
              <w:t xml:space="preserve">Status check</w:t>
            </w:r>
          </w:p>
        </w:tc>
        <w:tc>
          <w:tcPr>
            <w:tcW w:w="6085" w:type="dxa"/>
          </w:tcPr>
          <w:p>
            <w:pPr>
              <w:pStyle w:val="Compact"/>
              <w:spacing w:after="40"/>
              <w:jc w:val="left"/>
            </w:pPr>
            <w:r>
              <w:rPr>
                <w:sz w:val="18"/>
              </w:rPr>
              <w:t xml:space="preserve">Give me a status report for Phase [n]: items done, items pending, tests run and their results, open [VERIFY] items, and any decision you need from me. Do not write code.</w:t>
            </w:r>
          </w:p>
        </w:tc>
      </w:tr>
      <w:tr>
        <w:tc>
          <w:tcPr>
            <w:tcW w:w="1204" w:type="dxa"/>
          </w:tcPr>
          <w:p>
            <w:pPr>
              <w:pStyle w:val="Compact"/>
              <w:spacing w:after="40"/>
              <w:jc w:val="left"/>
            </w:pPr>
            <w:r>
              <w:rPr>
                <w:sz w:val="18"/>
              </w:rPr>
              <w:t xml:space="preserve">U4</w:t>
            </w:r>
          </w:p>
        </w:tc>
        <w:tc>
          <w:tcPr>
            <w:tcW w:w="2349" w:type="dxa"/>
          </w:tcPr>
          <w:p>
            <w:pPr>
              <w:pStyle w:val="Compact"/>
              <w:spacing w:after="40"/>
              <w:jc w:val="left"/>
            </w:pPr>
            <w:r>
              <w:rPr>
                <w:sz w:val="18"/>
              </w:rPr>
              <w:t xml:space="preserve">Fix failing tests</w:t>
            </w:r>
          </w:p>
        </w:tc>
        <w:tc>
          <w:tcPr>
            <w:tcW w:w="6085" w:type="dxa"/>
          </w:tcPr>
          <w:p>
            <w:pPr>
              <w:pStyle w:val="Compact"/>
              <w:spacing w:after="40"/>
              <w:jc w:val="left"/>
            </w:pPr>
            <w:r>
              <w:rPr>
                <w:sz w:val="18"/>
              </w:rPr>
              <w:t xml:space="preserve">The following tests fail: [paste output]. Find the root cause, explain it in plain English, propose the fix, and apply it only after I approve. Re-run the full test suite and paste the results.</w:t>
            </w:r>
          </w:p>
        </w:tc>
      </w:tr>
      <w:tr>
        <w:tc>
          <w:tcPr>
            <w:tcW w:w="1204" w:type="dxa"/>
          </w:tcPr>
          <w:p>
            <w:pPr>
              <w:pStyle w:val="Compact"/>
              <w:spacing w:after="40"/>
              <w:jc w:val="left"/>
            </w:pPr>
            <w:r>
              <w:rPr>
                <w:sz w:val="18"/>
              </w:rPr>
              <w:t xml:space="preserve">U5</w:t>
            </w:r>
          </w:p>
        </w:tc>
        <w:tc>
          <w:tcPr>
            <w:tcW w:w="2349" w:type="dxa"/>
          </w:tcPr>
          <w:p>
            <w:pPr>
              <w:pStyle w:val="Compact"/>
              <w:spacing w:after="40"/>
              <w:jc w:val="left"/>
            </w:pPr>
            <w:r>
              <w:rPr>
                <w:sz w:val="18"/>
              </w:rPr>
              <w:t xml:space="preserve">New RBI circular or amendment</w:t>
            </w:r>
          </w:p>
        </w:tc>
        <w:tc>
          <w:tcPr>
            <w:tcW w:w="6085" w:type="dxa"/>
          </w:tcPr>
          <w:p>
            <w:pPr>
              <w:pStyle w:val="Compact"/>
              <w:spacing w:after="40"/>
              <w:jc w:val="left"/>
            </w:pPr>
            <w:r>
              <w:rPr>
                <w:sz w:val="18"/>
              </w:rPr>
              <w:t xml:space="preserve">I have added [RBI number, date] to docs/regulations/rbi/. Read it in full. List every requirement with a new REQ-ID, every existing REQ-ID it amends or withdraws, and every module, rule pack, return and test affected. Propose the changes with effective dates. Do not change code until I approve.</w:t>
            </w:r>
          </w:p>
        </w:tc>
      </w:tr>
      <w:tr>
        <w:tc>
          <w:tcPr>
            <w:tcW w:w="1204" w:type="dxa"/>
          </w:tcPr>
          <w:p>
            <w:pPr>
              <w:pStyle w:val="Compact"/>
              <w:spacing w:after="40"/>
              <w:jc w:val="left"/>
            </w:pPr>
            <w:r>
              <w:rPr>
                <w:sz w:val="18"/>
              </w:rPr>
              <w:t xml:space="preserve">U6</w:t>
            </w:r>
          </w:p>
        </w:tc>
        <w:tc>
          <w:tcPr>
            <w:tcW w:w="2349" w:type="dxa"/>
          </w:tcPr>
          <w:p>
            <w:pPr>
              <w:pStyle w:val="Compact"/>
              <w:spacing w:after="40"/>
              <w:jc w:val="left"/>
            </w:pPr>
            <w:r>
              <w:rPr>
                <w:sz w:val="18"/>
              </w:rPr>
              <w:t xml:space="preserve">Run the review gate</w:t>
            </w:r>
          </w:p>
        </w:tc>
        <w:tc>
          <w:tcPr>
            <w:tcW w:w="6085" w:type="dxa"/>
          </w:tcPr>
          <w:p>
            <w:pPr>
              <w:pStyle w:val="Compact"/>
              <w:spacing w:after="40"/>
              <w:jc w:val="left"/>
            </w:pPr>
            <w:r>
              <w:rPr>
                <w:sz w:val="18"/>
              </w:rPr>
              <w:t xml:space="preserve">Run the review gate for Phase [n] from docs/01-phase-runbook.md. For each item, show the evidence (test name and output, query result, screenshot or file path). Mark any item you cannot evidence as NOT MET.</w:t>
            </w:r>
          </w:p>
        </w:tc>
      </w:tr>
      <w:tr>
        <w:tc>
          <w:tcPr>
            <w:tcW w:w="1204" w:type="dxa"/>
          </w:tcPr>
          <w:p>
            <w:pPr>
              <w:pStyle w:val="Compact"/>
              <w:spacing w:after="40"/>
              <w:jc w:val="left"/>
            </w:pPr>
            <w:r>
              <w:rPr>
                <w:sz w:val="18"/>
              </w:rPr>
              <w:t xml:space="preserve">U7</w:t>
            </w:r>
          </w:p>
        </w:tc>
        <w:tc>
          <w:tcPr>
            <w:tcW w:w="2349" w:type="dxa"/>
          </w:tcPr>
          <w:p>
            <w:pPr>
              <w:pStyle w:val="Compact"/>
              <w:spacing w:after="40"/>
              <w:jc w:val="left"/>
            </w:pPr>
            <w:r>
              <w:rPr>
                <w:sz w:val="18"/>
              </w:rPr>
              <w:t xml:space="preserve">Change a specification</w:t>
            </w:r>
          </w:p>
        </w:tc>
        <w:tc>
          <w:tcPr>
            <w:tcW w:w="6085" w:type="dxa"/>
          </w:tcPr>
          <w:p>
            <w:pPr>
              <w:pStyle w:val="Compact"/>
              <w:spacing w:after="40"/>
              <w:jc w:val="left"/>
            </w:pPr>
            <w:r>
              <w:rPr>
                <w:sz w:val="18"/>
              </w:rPr>
              <w:t xml:space="preserve">I want to change the approved spec for Phase [n]: [change]. Update docs/specs/[file].md, list the regulatory and ledger impact, update the tests, and wait for my approval before changing code.</w:t>
            </w:r>
          </w:p>
        </w:tc>
      </w:tr>
      <w:tr>
        <w:tc>
          <w:tcPr>
            <w:tcW w:w="1204" w:type="dxa"/>
          </w:tcPr>
          <w:p>
            <w:pPr>
              <w:pStyle w:val="Compact"/>
              <w:spacing w:after="40"/>
              <w:jc w:val="left"/>
            </w:pPr>
            <w:r>
              <w:rPr>
                <w:sz w:val="18"/>
              </w:rPr>
              <w:t xml:space="preserve">U8</w:t>
            </w:r>
          </w:p>
        </w:tc>
        <w:tc>
          <w:tcPr>
            <w:tcW w:w="2349" w:type="dxa"/>
          </w:tcPr>
          <w:p>
            <w:pPr>
              <w:pStyle w:val="Compact"/>
              <w:spacing w:after="40"/>
              <w:jc w:val="left"/>
            </w:pPr>
            <w:r>
              <w:rPr>
                <w:sz w:val="18"/>
              </w:rPr>
              <w:t xml:space="preserve">Regulatory check before a regulated workflow</w:t>
            </w:r>
          </w:p>
        </w:tc>
        <w:tc>
          <w:tcPr>
            <w:tcW w:w="6085" w:type="dxa"/>
          </w:tcPr>
          <w:p>
            <w:pPr>
              <w:pStyle w:val="Compact"/>
              <w:spacing w:after="40"/>
              <w:jc w:val="left"/>
            </w:pPr>
            <w:r>
              <w:rPr>
                <w:sz w:val="18"/>
              </w:rPr>
              <w:t xml:space="preserve">Before building [workflow], list the applicable REQ-IDs, the entity-profile flags that decide applicability (layer, asset size, deposit-taking, HFC and so on), and any [VERIFY] item. Confirm what is law and what is our interpretation.</w:t>
            </w:r>
          </w:p>
        </w:tc>
      </w:tr>
    </w:tbl>
    <w:p>
      <w:r>
        <w:pict>
          <v:rect style="width:0;height:1.5pt" o:hralign="center" o:hrstd="t" o:hr="t"/>
        </w:pict>
      </w:r>
    </w:p>
    <w:bookmarkEnd w:id="63"/>
    <w:bookmarkStart w:id="64" w:name="progress-tracker"/>
    <w:p>
      <w:pPr>
        <w:pStyle w:val="Heading2"/>
      </w:pPr>
      <w:r>
        <w:t xml:space="preserve">5. Progress tracker</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877"/>
        <w:gridCol w:w="1583"/>
        <w:gridCol w:w="1203"/>
        <w:gridCol w:w="1769"/>
        <w:gridCol w:w="1206"/>
      </w:tblGrid>
      <w:tr>
        <w:trPr>
          <w:tblHeader w:val="true"/>
          <w:tblHeader w:val="true"/>
        </w:trPr>
        <w:tc>
          <w:tcPr>
            <w:tcW w:w="3877" w:type="dxa"/>
            <w:shd w:val="clear" w:color="auto" w:fill="1F3A5F"/>
          </w:tcPr>
          <w:p>
            <w:pPr>
              <w:pStyle w:val="Compact"/>
              <w:spacing w:after="40"/>
              <w:jc w:val="left"/>
            </w:pPr>
            <w:r>
              <w:rPr>
                <w:b/>
                <w:color w:val="FFFFFF"/>
                <w:sz w:val="18"/>
              </w:rPr>
              <w:t xml:space="preserve">Phase</w:t>
            </w:r>
          </w:p>
        </w:tc>
        <w:tc>
          <w:tcPr>
            <w:tcW w:w="1583" w:type="dxa"/>
            <w:shd w:val="clear" w:color="auto" w:fill="1F3A5F"/>
          </w:tcPr>
          <w:p>
            <w:pPr>
              <w:pStyle w:val="Compact"/>
              <w:spacing w:after="40"/>
              <w:jc w:val="left"/>
            </w:pPr>
            <w:r>
              <w:rPr>
                <w:b/>
                <w:color w:val="FFFFFF"/>
                <w:sz w:val="18"/>
              </w:rPr>
              <w:t xml:space="preserve">Spec approved (date)</w:t>
            </w:r>
          </w:p>
        </w:tc>
        <w:tc>
          <w:tcPr>
            <w:tcW w:w="1203" w:type="dxa"/>
            <w:shd w:val="clear" w:color="auto" w:fill="1F3A5F"/>
          </w:tcPr>
          <w:p>
            <w:pPr>
              <w:pStyle w:val="Compact"/>
              <w:spacing w:after="40"/>
              <w:jc w:val="left"/>
            </w:pPr>
            <w:r>
              <w:rPr>
                <w:b/>
                <w:color w:val="FFFFFF"/>
                <w:sz w:val="18"/>
              </w:rPr>
              <w:t xml:space="preserve">PR</w:t>
            </w:r>
          </w:p>
        </w:tc>
        <w:tc>
          <w:tcPr>
            <w:tcW w:w="1769" w:type="dxa"/>
            <w:shd w:val="clear" w:color="auto" w:fill="1F3A5F"/>
          </w:tcPr>
          <w:p>
            <w:pPr>
              <w:pStyle w:val="Compact"/>
              <w:spacing w:after="40"/>
              <w:jc w:val="left"/>
            </w:pPr>
            <w:r>
              <w:rPr>
                <w:b/>
                <w:color w:val="FFFFFF"/>
                <w:sz w:val="18"/>
              </w:rPr>
              <w:t xml:space="preserve">Review gate passed (date)</w:t>
            </w:r>
          </w:p>
        </w:tc>
        <w:tc>
          <w:tcPr>
            <w:tcW w:w="1206" w:type="dxa"/>
            <w:shd w:val="clear" w:color="auto" w:fill="1F3A5F"/>
          </w:tcPr>
          <w:p>
            <w:pPr>
              <w:pStyle w:val="Compact"/>
              <w:spacing w:after="40"/>
              <w:jc w:val="left"/>
            </w:pPr>
            <w:r>
              <w:rPr>
                <w:b/>
                <w:color w:val="FFFFFF"/>
                <w:sz w:val="18"/>
              </w:rPr>
              <w:t xml:space="preserve">Notes</w:t>
            </w:r>
          </w:p>
        </w:tc>
      </w:tr>
      <w:tr>
        <w:tc>
          <w:tcPr>
            <w:tcW w:w="3877" w:type="dxa"/>
          </w:tcPr>
          <w:p>
            <w:pPr>
              <w:pStyle w:val="Compact"/>
              <w:spacing w:after="40"/>
              <w:jc w:val="left"/>
            </w:pPr>
            <w:r>
              <w:rPr>
                <w:sz w:val="18"/>
              </w:rPr>
              <w:t xml:space="preserve">Phase 0 — Repository audit and architecture</w:t>
            </w:r>
          </w:p>
        </w:tc>
        <w:tc>
          <w:tcPr>
            <w:tcW w:w="1583" w:type="dxa"/>
          </w:tcPr>
          <w:p>
            <w:pPr>
              <w:pStyle w:val="Compact"/>
              <w:spacing w:after="40"/>
            </w:pPr>
          </w:p>
        </w:tc>
        <w:tc>
          <w:tcPr>
            <w:tcW w:w="1203" w:type="dxa"/>
          </w:tcPr>
          <w:p>
            <w:pPr>
              <w:pStyle w:val="Compact"/>
              <w:spacing w:after="40"/>
            </w:pPr>
          </w:p>
        </w:tc>
        <w:tc>
          <w:tcPr>
            <w:tcW w:w="1769" w:type="dxa"/>
          </w:tcPr>
          <w:p>
            <w:pPr>
              <w:pStyle w:val="Compact"/>
              <w:spacing w:after="40"/>
            </w:pPr>
          </w:p>
        </w:tc>
        <w:tc>
          <w:tcPr>
            <w:tcW w:w="1206" w:type="dxa"/>
          </w:tcPr>
          <w:p>
            <w:pPr>
              <w:pStyle w:val="Compact"/>
              <w:spacing w:after="40"/>
            </w:pPr>
          </w:p>
        </w:tc>
      </w:tr>
      <w:tr>
        <w:tc>
          <w:tcPr>
            <w:tcW w:w="3877" w:type="dxa"/>
          </w:tcPr>
          <w:p>
            <w:pPr>
              <w:pStyle w:val="Compact"/>
              <w:spacing w:after="40"/>
              <w:jc w:val="left"/>
            </w:pPr>
            <w:r>
              <w:rPr>
                <w:sz w:val="18"/>
              </w:rPr>
              <w:t xml:space="preserve">Phase 1 — Platform foundation</w:t>
            </w:r>
          </w:p>
        </w:tc>
        <w:tc>
          <w:tcPr>
            <w:tcW w:w="1583" w:type="dxa"/>
          </w:tcPr>
          <w:p>
            <w:pPr>
              <w:pStyle w:val="Compact"/>
              <w:spacing w:after="40"/>
            </w:pPr>
          </w:p>
        </w:tc>
        <w:tc>
          <w:tcPr>
            <w:tcW w:w="1203" w:type="dxa"/>
          </w:tcPr>
          <w:p>
            <w:pPr>
              <w:pStyle w:val="Compact"/>
              <w:spacing w:after="40"/>
            </w:pPr>
          </w:p>
        </w:tc>
        <w:tc>
          <w:tcPr>
            <w:tcW w:w="1769" w:type="dxa"/>
          </w:tcPr>
          <w:p>
            <w:pPr>
              <w:pStyle w:val="Compact"/>
              <w:spacing w:after="40"/>
            </w:pPr>
          </w:p>
        </w:tc>
        <w:tc>
          <w:tcPr>
            <w:tcW w:w="1206" w:type="dxa"/>
          </w:tcPr>
          <w:p>
            <w:pPr>
              <w:pStyle w:val="Compact"/>
              <w:spacing w:after="40"/>
            </w:pPr>
          </w:p>
        </w:tc>
      </w:tr>
      <w:tr>
        <w:tc>
          <w:tcPr>
            <w:tcW w:w="3877" w:type="dxa"/>
          </w:tcPr>
          <w:p>
            <w:pPr>
              <w:pStyle w:val="Compact"/>
              <w:spacing w:after="40"/>
              <w:jc w:val="left"/>
            </w:pPr>
            <w:r>
              <w:rPr>
                <w:sz w:val="18"/>
              </w:rPr>
              <w:t xml:space="preserve">Phase 2 — Database, tenancy and security</w:t>
            </w:r>
          </w:p>
        </w:tc>
        <w:tc>
          <w:tcPr>
            <w:tcW w:w="1583" w:type="dxa"/>
          </w:tcPr>
          <w:p>
            <w:pPr>
              <w:pStyle w:val="Compact"/>
              <w:spacing w:after="40"/>
            </w:pPr>
          </w:p>
        </w:tc>
        <w:tc>
          <w:tcPr>
            <w:tcW w:w="1203" w:type="dxa"/>
          </w:tcPr>
          <w:p>
            <w:pPr>
              <w:pStyle w:val="Compact"/>
              <w:spacing w:after="40"/>
            </w:pPr>
          </w:p>
        </w:tc>
        <w:tc>
          <w:tcPr>
            <w:tcW w:w="1769" w:type="dxa"/>
          </w:tcPr>
          <w:p>
            <w:pPr>
              <w:pStyle w:val="Compact"/>
              <w:spacing w:after="40"/>
            </w:pPr>
          </w:p>
        </w:tc>
        <w:tc>
          <w:tcPr>
            <w:tcW w:w="1206" w:type="dxa"/>
          </w:tcPr>
          <w:p>
            <w:pPr>
              <w:pStyle w:val="Compact"/>
              <w:spacing w:after="40"/>
            </w:pPr>
          </w:p>
        </w:tc>
      </w:tr>
      <w:tr>
        <w:tc>
          <w:tcPr>
            <w:tcW w:w="3877" w:type="dxa"/>
          </w:tcPr>
          <w:p>
            <w:pPr>
              <w:pStyle w:val="Compact"/>
              <w:spacing w:after="40"/>
              <w:jc w:val="left"/>
            </w:pPr>
            <w:r>
              <w:rPr>
                <w:sz w:val="18"/>
              </w:rPr>
              <w:t xml:space="preserve">Phase 3 — Masters, configuration and product factory</w:t>
            </w:r>
          </w:p>
        </w:tc>
        <w:tc>
          <w:tcPr>
            <w:tcW w:w="1583" w:type="dxa"/>
          </w:tcPr>
          <w:p>
            <w:pPr>
              <w:pStyle w:val="Compact"/>
              <w:spacing w:after="40"/>
            </w:pPr>
          </w:p>
        </w:tc>
        <w:tc>
          <w:tcPr>
            <w:tcW w:w="1203" w:type="dxa"/>
          </w:tcPr>
          <w:p>
            <w:pPr>
              <w:pStyle w:val="Compact"/>
              <w:spacing w:after="40"/>
            </w:pPr>
          </w:p>
        </w:tc>
        <w:tc>
          <w:tcPr>
            <w:tcW w:w="1769" w:type="dxa"/>
          </w:tcPr>
          <w:p>
            <w:pPr>
              <w:pStyle w:val="Compact"/>
              <w:spacing w:after="40"/>
            </w:pPr>
          </w:p>
        </w:tc>
        <w:tc>
          <w:tcPr>
            <w:tcW w:w="1206" w:type="dxa"/>
          </w:tcPr>
          <w:p>
            <w:pPr>
              <w:pStyle w:val="Compact"/>
              <w:spacing w:after="40"/>
            </w:pPr>
          </w:p>
        </w:tc>
      </w:tr>
      <w:tr>
        <w:tc>
          <w:tcPr>
            <w:tcW w:w="3877" w:type="dxa"/>
          </w:tcPr>
          <w:p>
            <w:pPr>
              <w:pStyle w:val="Compact"/>
              <w:spacing w:after="40"/>
              <w:jc w:val="left"/>
            </w:pPr>
            <w:r>
              <w:rPr>
                <w:sz w:val="18"/>
              </w:rPr>
              <w:t xml:space="preserve">Phase 3b — Communications foundation</w:t>
            </w:r>
          </w:p>
        </w:tc>
        <w:tc>
          <w:tcPr>
            <w:tcW w:w="1583" w:type="dxa"/>
          </w:tcPr>
          <w:p>
            <w:pPr>
              <w:pStyle w:val="Compact"/>
              <w:spacing w:after="40"/>
            </w:pPr>
          </w:p>
        </w:tc>
        <w:tc>
          <w:tcPr>
            <w:tcW w:w="1203" w:type="dxa"/>
          </w:tcPr>
          <w:p>
            <w:pPr>
              <w:pStyle w:val="Compact"/>
              <w:spacing w:after="40"/>
            </w:pPr>
          </w:p>
        </w:tc>
        <w:tc>
          <w:tcPr>
            <w:tcW w:w="1769" w:type="dxa"/>
          </w:tcPr>
          <w:p>
            <w:pPr>
              <w:pStyle w:val="Compact"/>
              <w:spacing w:after="40"/>
            </w:pPr>
          </w:p>
        </w:tc>
        <w:tc>
          <w:tcPr>
            <w:tcW w:w="1206" w:type="dxa"/>
          </w:tcPr>
          <w:p>
            <w:pPr>
              <w:pStyle w:val="Compact"/>
              <w:spacing w:after="40"/>
            </w:pPr>
          </w:p>
        </w:tc>
      </w:tr>
      <w:tr>
        <w:tc>
          <w:tcPr>
            <w:tcW w:w="3877" w:type="dxa"/>
          </w:tcPr>
          <w:p>
            <w:pPr>
              <w:pStyle w:val="Compact"/>
              <w:spacing w:after="40"/>
              <w:jc w:val="left"/>
            </w:pPr>
            <w:r>
              <w:rPr>
                <w:sz w:val="18"/>
              </w:rPr>
              <w:t xml:space="preserve">Phase 4 — Ledger and accounting core</w:t>
            </w:r>
          </w:p>
        </w:tc>
        <w:tc>
          <w:tcPr>
            <w:tcW w:w="1583" w:type="dxa"/>
          </w:tcPr>
          <w:p>
            <w:pPr>
              <w:pStyle w:val="Compact"/>
              <w:spacing w:after="40"/>
            </w:pPr>
          </w:p>
        </w:tc>
        <w:tc>
          <w:tcPr>
            <w:tcW w:w="1203" w:type="dxa"/>
          </w:tcPr>
          <w:p>
            <w:pPr>
              <w:pStyle w:val="Compact"/>
              <w:spacing w:after="40"/>
            </w:pPr>
          </w:p>
        </w:tc>
        <w:tc>
          <w:tcPr>
            <w:tcW w:w="1769" w:type="dxa"/>
          </w:tcPr>
          <w:p>
            <w:pPr>
              <w:pStyle w:val="Compact"/>
              <w:spacing w:after="40"/>
            </w:pPr>
          </w:p>
        </w:tc>
        <w:tc>
          <w:tcPr>
            <w:tcW w:w="1206" w:type="dxa"/>
          </w:tcPr>
          <w:p>
            <w:pPr>
              <w:pStyle w:val="Compact"/>
              <w:spacing w:after="40"/>
            </w:pPr>
          </w:p>
        </w:tc>
      </w:tr>
      <w:tr>
        <w:tc>
          <w:tcPr>
            <w:tcW w:w="3877" w:type="dxa"/>
          </w:tcPr>
          <w:p>
            <w:pPr>
              <w:pStyle w:val="Compact"/>
              <w:spacing w:after="40"/>
              <w:jc w:val="left"/>
            </w:pPr>
            <w:r>
              <w:rPr>
                <w:sz w:val="18"/>
              </w:rPr>
              <w:t xml:space="preserve">Phase 5 — Schedule and allocation engine</w:t>
            </w:r>
          </w:p>
        </w:tc>
        <w:tc>
          <w:tcPr>
            <w:tcW w:w="1583" w:type="dxa"/>
          </w:tcPr>
          <w:p>
            <w:pPr>
              <w:pStyle w:val="Compact"/>
              <w:spacing w:after="40"/>
            </w:pPr>
          </w:p>
        </w:tc>
        <w:tc>
          <w:tcPr>
            <w:tcW w:w="1203" w:type="dxa"/>
          </w:tcPr>
          <w:p>
            <w:pPr>
              <w:pStyle w:val="Compact"/>
              <w:spacing w:after="40"/>
            </w:pPr>
          </w:p>
        </w:tc>
        <w:tc>
          <w:tcPr>
            <w:tcW w:w="1769" w:type="dxa"/>
          </w:tcPr>
          <w:p>
            <w:pPr>
              <w:pStyle w:val="Compact"/>
              <w:spacing w:after="40"/>
            </w:pPr>
          </w:p>
        </w:tc>
        <w:tc>
          <w:tcPr>
            <w:tcW w:w="1206" w:type="dxa"/>
          </w:tcPr>
          <w:p>
            <w:pPr>
              <w:pStyle w:val="Compact"/>
              <w:spacing w:after="40"/>
            </w:pPr>
          </w:p>
        </w:tc>
      </w:tr>
      <w:tr>
        <w:tc>
          <w:tcPr>
            <w:tcW w:w="3877" w:type="dxa"/>
          </w:tcPr>
          <w:p>
            <w:pPr>
              <w:pStyle w:val="Compact"/>
              <w:spacing w:after="40"/>
              <w:jc w:val="left"/>
            </w:pPr>
            <w:r>
              <w:rPr>
                <w:sz w:val="18"/>
              </w:rPr>
              <w:t xml:space="preserve">Phase 6 — Customer, KYC and consent</w:t>
            </w:r>
          </w:p>
        </w:tc>
        <w:tc>
          <w:tcPr>
            <w:tcW w:w="1583" w:type="dxa"/>
          </w:tcPr>
          <w:p>
            <w:pPr>
              <w:pStyle w:val="Compact"/>
              <w:spacing w:after="40"/>
            </w:pPr>
          </w:p>
        </w:tc>
        <w:tc>
          <w:tcPr>
            <w:tcW w:w="1203" w:type="dxa"/>
          </w:tcPr>
          <w:p>
            <w:pPr>
              <w:pStyle w:val="Compact"/>
              <w:spacing w:after="40"/>
            </w:pPr>
          </w:p>
        </w:tc>
        <w:tc>
          <w:tcPr>
            <w:tcW w:w="1769" w:type="dxa"/>
          </w:tcPr>
          <w:p>
            <w:pPr>
              <w:pStyle w:val="Compact"/>
              <w:spacing w:after="40"/>
            </w:pPr>
          </w:p>
        </w:tc>
        <w:tc>
          <w:tcPr>
            <w:tcW w:w="1206" w:type="dxa"/>
          </w:tcPr>
          <w:p>
            <w:pPr>
              <w:pStyle w:val="Compact"/>
              <w:spacing w:after="40"/>
            </w:pPr>
          </w:p>
        </w:tc>
      </w:tr>
      <w:tr>
        <w:tc>
          <w:tcPr>
            <w:tcW w:w="3877" w:type="dxa"/>
          </w:tcPr>
          <w:p>
            <w:pPr>
              <w:pStyle w:val="Compact"/>
              <w:spacing w:after="40"/>
              <w:jc w:val="left"/>
            </w:pPr>
            <w:r>
              <w:rPr>
                <w:sz w:val="18"/>
              </w:rPr>
              <w:t xml:space="preserve">Phase 7 — Origination (LOS)</w:t>
            </w:r>
          </w:p>
        </w:tc>
        <w:tc>
          <w:tcPr>
            <w:tcW w:w="1583" w:type="dxa"/>
          </w:tcPr>
          <w:p>
            <w:pPr>
              <w:pStyle w:val="Compact"/>
              <w:spacing w:after="40"/>
            </w:pPr>
          </w:p>
        </w:tc>
        <w:tc>
          <w:tcPr>
            <w:tcW w:w="1203" w:type="dxa"/>
          </w:tcPr>
          <w:p>
            <w:pPr>
              <w:pStyle w:val="Compact"/>
              <w:spacing w:after="40"/>
            </w:pPr>
          </w:p>
        </w:tc>
        <w:tc>
          <w:tcPr>
            <w:tcW w:w="1769" w:type="dxa"/>
          </w:tcPr>
          <w:p>
            <w:pPr>
              <w:pStyle w:val="Compact"/>
              <w:spacing w:after="40"/>
            </w:pPr>
          </w:p>
        </w:tc>
        <w:tc>
          <w:tcPr>
            <w:tcW w:w="1206" w:type="dxa"/>
          </w:tcPr>
          <w:p>
            <w:pPr>
              <w:pStyle w:val="Compact"/>
              <w:spacing w:after="40"/>
            </w:pPr>
          </w:p>
        </w:tc>
      </w:tr>
      <w:tr>
        <w:tc>
          <w:tcPr>
            <w:tcW w:w="3877" w:type="dxa"/>
          </w:tcPr>
          <w:p>
            <w:pPr>
              <w:pStyle w:val="Compact"/>
              <w:spacing w:after="40"/>
              <w:jc w:val="left"/>
            </w:pPr>
            <w:r>
              <w:rPr>
                <w:sz w:val="18"/>
              </w:rPr>
              <w:t xml:space="preserve">Phase 8 — Documentation, execution, DMS and disbursement</w:t>
            </w:r>
          </w:p>
        </w:tc>
        <w:tc>
          <w:tcPr>
            <w:tcW w:w="1583" w:type="dxa"/>
          </w:tcPr>
          <w:p>
            <w:pPr>
              <w:pStyle w:val="Compact"/>
              <w:spacing w:after="40"/>
            </w:pPr>
          </w:p>
        </w:tc>
        <w:tc>
          <w:tcPr>
            <w:tcW w:w="1203" w:type="dxa"/>
          </w:tcPr>
          <w:p>
            <w:pPr>
              <w:pStyle w:val="Compact"/>
              <w:spacing w:after="40"/>
            </w:pPr>
          </w:p>
        </w:tc>
        <w:tc>
          <w:tcPr>
            <w:tcW w:w="1769" w:type="dxa"/>
          </w:tcPr>
          <w:p>
            <w:pPr>
              <w:pStyle w:val="Compact"/>
              <w:spacing w:after="40"/>
            </w:pPr>
          </w:p>
        </w:tc>
        <w:tc>
          <w:tcPr>
            <w:tcW w:w="1206" w:type="dxa"/>
          </w:tcPr>
          <w:p>
            <w:pPr>
              <w:pStyle w:val="Compact"/>
              <w:spacing w:after="40"/>
            </w:pPr>
          </w:p>
        </w:tc>
      </w:tr>
      <w:tr>
        <w:tc>
          <w:tcPr>
            <w:tcW w:w="3877" w:type="dxa"/>
          </w:tcPr>
          <w:p>
            <w:pPr>
              <w:pStyle w:val="Compact"/>
              <w:spacing w:after="40"/>
              <w:jc w:val="left"/>
            </w:pPr>
            <w:r>
              <w:rPr>
                <w:sz w:val="18"/>
              </w:rPr>
              <w:t xml:space="preserve">Phase 8b — Field app foundation</w:t>
            </w:r>
          </w:p>
        </w:tc>
        <w:tc>
          <w:tcPr>
            <w:tcW w:w="1583" w:type="dxa"/>
          </w:tcPr>
          <w:p>
            <w:pPr>
              <w:pStyle w:val="Compact"/>
              <w:spacing w:after="40"/>
            </w:pPr>
          </w:p>
        </w:tc>
        <w:tc>
          <w:tcPr>
            <w:tcW w:w="1203" w:type="dxa"/>
          </w:tcPr>
          <w:p>
            <w:pPr>
              <w:pStyle w:val="Compact"/>
              <w:spacing w:after="40"/>
            </w:pPr>
          </w:p>
        </w:tc>
        <w:tc>
          <w:tcPr>
            <w:tcW w:w="1769" w:type="dxa"/>
          </w:tcPr>
          <w:p>
            <w:pPr>
              <w:pStyle w:val="Compact"/>
              <w:spacing w:after="40"/>
            </w:pPr>
          </w:p>
        </w:tc>
        <w:tc>
          <w:tcPr>
            <w:tcW w:w="1206" w:type="dxa"/>
          </w:tcPr>
          <w:p>
            <w:pPr>
              <w:pStyle w:val="Compact"/>
              <w:spacing w:after="40"/>
            </w:pPr>
          </w:p>
        </w:tc>
      </w:tr>
      <w:tr>
        <w:tc>
          <w:tcPr>
            <w:tcW w:w="3877" w:type="dxa"/>
          </w:tcPr>
          <w:p>
            <w:pPr>
              <w:pStyle w:val="Compact"/>
              <w:spacing w:after="40"/>
              <w:jc w:val="left"/>
            </w:pPr>
            <w:r>
              <w:rPr>
                <w:sz w:val="18"/>
              </w:rPr>
              <w:t xml:space="preserve">Phase 8c — Udofin / LSP inbound connector (minimal)</w:t>
            </w:r>
          </w:p>
        </w:tc>
        <w:tc>
          <w:tcPr>
            <w:tcW w:w="1583" w:type="dxa"/>
          </w:tcPr>
          <w:p>
            <w:pPr>
              <w:pStyle w:val="Compact"/>
              <w:spacing w:after="40"/>
            </w:pPr>
          </w:p>
        </w:tc>
        <w:tc>
          <w:tcPr>
            <w:tcW w:w="1203" w:type="dxa"/>
          </w:tcPr>
          <w:p>
            <w:pPr>
              <w:pStyle w:val="Compact"/>
              <w:spacing w:after="40"/>
            </w:pPr>
          </w:p>
        </w:tc>
        <w:tc>
          <w:tcPr>
            <w:tcW w:w="1769" w:type="dxa"/>
          </w:tcPr>
          <w:p>
            <w:pPr>
              <w:pStyle w:val="Compact"/>
              <w:spacing w:after="40"/>
            </w:pPr>
          </w:p>
        </w:tc>
        <w:tc>
          <w:tcPr>
            <w:tcW w:w="1206" w:type="dxa"/>
          </w:tcPr>
          <w:p>
            <w:pPr>
              <w:pStyle w:val="Compact"/>
              <w:spacing w:after="40"/>
            </w:pPr>
          </w:p>
        </w:tc>
      </w:tr>
      <w:tr>
        <w:tc>
          <w:tcPr>
            <w:tcW w:w="3877" w:type="dxa"/>
          </w:tcPr>
          <w:p>
            <w:pPr>
              <w:pStyle w:val="Compact"/>
              <w:spacing w:after="40"/>
              <w:jc w:val="left"/>
            </w:pPr>
            <w:r>
              <w:rPr>
                <w:sz w:val="18"/>
              </w:rPr>
              <w:t xml:space="preserve">Phase 9 — Servicing (LMS) and COB</w:t>
            </w:r>
          </w:p>
        </w:tc>
        <w:tc>
          <w:tcPr>
            <w:tcW w:w="1583" w:type="dxa"/>
          </w:tcPr>
          <w:p>
            <w:pPr>
              <w:pStyle w:val="Compact"/>
              <w:spacing w:after="40"/>
            </w:pPr>
          </w:p>
        </w:tc>
        <w:tc>
          <w:tcPr>
            <w:tcW w:w="1203" w:type="dxa"/>
          </w:tcPr>
          <w:p>
            <w:pPr>
              <w:pStyle w:val="Compact"/>
              <w:spacing w:after="40"/>
            </w:pPr>
          </w:p>
        </w:tc>
        <w:tc>
          <w:tcPr>
            <w:tcW w:w="1769" w:type="dxa"/>
          </w:tcPr>
          <w:p>
            <w:pPr>
              <w:pStyle w:val="Compact"/>
              <w:spacing w:after="40"/>
            </w:pPr>
          </w:p>
        </w:tc>
        <w:tc>
          <w:tcPr>
            <w:tcW w:w="1206" w:type="dxa"/>
          </w:tcPr>
          <w:p>
            <w:pPr>
              <w:pStyle w:val="Compact"/>
              <w:spacing w:after="40"/>
            </w:pPr>
          </w:p>
        </w:tc>
      </w:tr>
      <w:tr>
        <w:tc>
          <w:tcPr>
            <w:tcW w:w="3877" w:type="dxa"/>
          </w:tcPr>
          <w:p>
            <w:pPr>
              <w:pStyle w:val="Compact"/>
              <w:spacing w:after="40"/>
              <w:jc w:val="left"/>
            </w:pPr>
            <w:r>
              <w:rPr>
                <w:sz w:val="18"/>
              </w:rPr>
              <w:t xml:space="preserve">Phase 10 — Payments and reconciliation</w:t>
            </w:r>
          </w:p>
        </w:tc>
        <w:tc>
          <w:tcPr>
            <w:tcW w:w="1583" w:type="dxa"/>
          </w:tcPr>
          <w:p>
            <w:pPr>
              <w:pStyle w:val="Compact"/>
              <w:spacing w:after="40"/>
            </w:pPr>
          </w:p>
        </w:tc>
        <w:tc>
          <w:tcPr>
            <w:tcW w:w="1203" w:type="dxa"/>
          </w:tcPr>
          <w:p>
            <w:pPr>
              <w:pStyle w:val="Compact"/>
              <w:spacing w:after="40"/>
            </w:pPr>
          </w:p>
        </w:tc>
        <w:tc>
          <w:tcPr>
            <w:tcW w:w="1769" w:type="dxa"/>
          </w:tcPr>
          <w:p>
            <w:pPr>
              <w:pStyle w:val="Compact"/>
              <w:spacing w:after="40"/>
            </w:pPr>
          </w:p>
        </w:tc>
        <w:tc>
          <w:tcPr>
            <w:tcW w:w="1206" w:type="dxa"/>
          </w:tcPr>
          <w:p>
            <w:pPr>
              <w:pStyle w:val="Compact"/>
              <w:spacing w:after="40"/>
            </w:pPr>
          </w:p>
        </w:tc>
      </w:tr>
      <w:tr>
        <w:tc>
          <w:tcPr>
            <w:tcW w:w="3877" w:type="dxa"/>
          </w:tcPr>
          <w:p>
            <w:pPr>
              <w:pStyle w:val="Compact"/>
              <w:spacing w:after="40"/>
              <w:jc w:val="left"/>
            </w:pPr>
            <w:r>
              <w:rPr>
                <w:sz w:val="18"/>
              </w:rPr>
              <w:t xml:space="preserve">Phase 11 — Collections</w:t>
            </w:r>
          </w:p>
        </w:tc>
        <w:tc>
          <w:tcPr>
            <w:tcW w:w="1583" w:type="dxa"/>
          </w:tcPr>
          <w:p>
            <w:pPr>
              <w:pStyle w:val="Compact"/>
              <w:spacing w:after="40"/>
            </w:pPr>
          </w:p>
        </w:tc>
        <w:tc>
          <w:tcPr>
            <w:tcW w:w="1203" w:type="dxa"/>
          </w:tcPr>
          <w:p>
            <w:pPr>
              <w:pStyle w:val="Compact"/>
              <w:spacing w:after="40"/>
            </w:pPr>
          </w:p>
        </w:tc>
        <w:tc>
          <w:tcPr>
            <w:tcW w:w="1769" w:type="dxa"/>
          </w:tcPr>
          <w:p>
            <w:pPr>
              <w:pStyle w:val="Compact"/>
              <w:spacing w:after="40"/>
            </w:pPr>
          </w:p>
        </w:tc>
        <w:tc>
          <w:tcPr>
            <w:tcW w:w="1206" w:type="dxa"/>
          </w:tcPr>
          <w:p>
            <w:pPr>
              <w:pStyle w:val="Compact"/>
              <w:spacing w:after="40"/>
            </w:pPr>
          </w:p>
        </w:tc>
      </w:tr>
      <w:tr>
        <w:tc>
          <w:tcPr>
            <w:tcW w:w="3877" w:type="dxa"/>
          </w:tcPr>
          <w:p>
            <w:pPr>
              <w:pStyle w:val="Compact"/>
              <w:spacing w:after="40"/>
              <w:jc w:val="left"/>
            </w:pPr>
            <w:r>
              <w:rPr>
                <w:sz w:val="18"/>
              </w:rPr>
              <w:t xml:space="preserve">Phase 12 — Recovery Suite core (attachable)</w:t>
            </w:r>
          </w:p>
        </w:tc>
        <w:tc>
          <w:tcPr>
            <w:tcW w:w="1583" w:type="dxa"/>
          </w:tcPr>
          <w:p>
            <w:pPr>
              <w:pStyle w:val="Compact"/>
              <w:spacing w:after="40"/>
            </w:pPr>
          </w:p>
        </w:tc>
        <w:tc>
          <w:tcPr>
            <w:tcW w:w="1203" w:type="dxa"/>
          </w:tcPr>
          <w:p>
            <w:pPr>
              <w:pStyle w:val="Compact"/>
              <w:spacing w:after="40"/>
            </w:pPr>
          </w:p>
        </w:tc>
        <w:tc>
          <w:tcPr>
            <w:tcW w:w="1769" w:type="dxa"/>
          </w:tcPr>
          <w:p>
            <w:pPr>
              <w:pStyle w:val="Compact"/>
              <w:spacing w:after="40"/>
            </w:pPr>
          </w:p>
        </w:tc>
        <w:tc>
          <w:tcPr>
            <w:tcW w:w="1206" w:type="dxa"/>
          </w:tcPr>
          <w:p>
            <w:pPr>
              <w:pStyle w:val="Compact"/>
              <w:spacing w:after="40"/>
            </w:pPr>
          </w:p>
        </w:tc>
      </w:tr>
      <w:tr>
        <w:tc>
          <w:tcPr>
            <w:tcW w:w="3877" w:type="dxa"/>
          </w:tcPr>
          <w:p>
            <w:pPr>
              <w:pStyle w:val="Compact"/>
              <w:spacing w:after="40"/>
              <w:jc w:val="left"/>
            </w:pPr>
            <w:r>
              <w:rPr>
                <w:sz w:val="18"/>
              </w:rPr>
              <w:t xml:space="preserve">Phase 12b — Settlement and ADR with Equator</w:t>
            </w:r>
          </w:p>
        </w:tc>
        <w:tc>
          <w:tcPr>
            <w:tcW w:w="1583" w:type="dxa"/>
          </w:tcPr>
          <w:p>
            <w:pPr>
              <w:pStyle w:val="Compact"/>
              <w:spacing w:after="40"/>
            </w:pPr>
          </w:p>
        </w:tc>
        <w:tc>
          <w:tcPr>
            <w:tcW w:w="1203" w:type="dxa"/>
          </w:tcPr>
          <w:p>
            <w:pPr>
              <w:pStyle w:val="Compact"/>
              <w:spacing w:after="40"/>
            </w:pPr>
          </w:p>
        </w:tc>
        <w:tc>
          <w:tcPr>
            <w:tcW w:w="1769" w:type="dxa"/>
          </w:tcPr>
          <w:p>
            <w:pPr>
              <w:pStyle w:val="Compact"/>
              <w:spacing w:after="40"/>
            </w:pPr>
          </w:p>
        </w:tc>
        <w:tc>
          <w:tcPr>
            <w:tcW w:w="1206" w:type="dxa"/>
          </w:tcPr>
          <w:p>
            <w:pPr>
              <w:pStyle w:val="Compact"/>
              <w:spacing w:after="40"/>
            </w:pPr>
          </w:p>
        </w:tc>
      </w:tr>
      <w:tr>
        <w:tc>
          <w:tcPr>
            <w:tcW w:w="3877" w:type="dxa"/>
          </w:tcPr>
          <w:p>
            <w:pPr>
              <w:pStyle w:val="Compact"/>
              <w:spacing w:after="40"/>
              <w:jc w:val="left"/>
            </w:pPr>
            <w:r>
              <w:rPr>
                <w:sz w:val="18"/>
              </w:rPr>
              <w:t xml:space="preserve">Phase 13 — Finance, Ind AS 109 and accounting integrations</w:t>
            </w:r>
          </w:p>
        </w:tc>
        <w:tc>
          <w:tcPr>
            <w:tcW w:w="1583" w:type="dxa"/>
          </w:tcPr>
          <w:p>
            <w:pPr>
              <w:pStyle w:val="Compact"/>
              <w:spacing w:after="40"/>
            </w:pPr>
          </w:p>
        </w:tc>
        <w:tc>
          <w:tcPr>
            <w:tcW w:w="1203" w:type="dxa"/>
          </w:tcPr>
          <w:p>
            <w:pPr>
              <w:pStyle w:val="Compact"/>
              <w:spacing w:after="40"/>
            </w:pPr>
          </w:p>
        </w:tc>
        <w:tc>
          <w:tcPr>
            <w:tcW w:w="1769" w:type="dxa"/>
          </w:tcPr>
          <w:p>
            <w:pPr>
              <w:pStyle w:val="Compact"/>
              <w:spacing w:after="40"/>
            </w:pPr>
          </w:p>
        </w:tc>
        <w:tc>
          <w:tcPr>
            <w:tcW w:w="1206" w:type="dxa"/>
          </w:tcPr>
          <w:p>
            <w:pPr>
              <w:pStyle w:val="Compact"/>
              <w:spacing w:after="40"/>
            </w:pPr>
          </w:p>
        </w:tc>
      </w:tr>
      <w:tr>
        <w:tc>
          <w:tcPr>
            <w:tcW w:w="3877" w:type="dxa"/>
          </w:tcPr>
          <w:p>
            <w:pPr>
              <w:pStyle w:val="Compact"/>
              <w:spacing w:after="40"/>
              <w:jc w:val="left"/>
            </w:pPr>
            <w:r>
              <w:rPr>
                <w:sz w:val="18"/>
              </w:rPr>
              <w:t xml:space="preserve">Phase 13b — Accounting frameworks, financial statements, tax and statutory audit trail</w:t>
            </w:r>
          </w:p>
        </w:tc>
        <w:tc>
          <w:tcPr>
            <w:tcW w:w="1583" w:type="dxa"/>
          </w:tcPr>
          <w:p>
            <w:pPr>
              <w:pStyle w:val="Compact"/>
              <w:spacing w:after="40"/>
            </w:pPr>
          </w:p>
        </w:tc>
        <w:tc>
          <w:tcPr>
            <w:tcW w:w="1203" w:type="dxa"/>
          </w:tcPr>
          <w:p>
            <w:pPr>
              <w:pStyle w:val="Compact"/>
              <w:spacing w:after="40"/>
            </w:pPr>
          </w:p>
        </w:tc>
        <w:tc>
          <w:tcPr>
            <w:tcW w:w="1769" w:type="dxa"/>
          </w:tcPr>
          <w:p>
            <w:pPr>
              <w:pStyle w:val="Compact"/>
              <w:spacing w:after="40"/>
            </w:pPr>
          </w:p>
        </w:tc>
        <w:tc>
          <w:tcPr>
            <w:tcW w:w="1206" w:type="dxa"/>
          </w:tcPr>
          <w:p>
            <w:pPr>
              <w:pStyle w:val="Compact"/>
              <w:spacing w:after="40"/>
            </w:pPr>
          </w:p>
        </w:tc>
      </w:tr>
      <w:tr>
        <w:tc>
          <w:tcPr>
            <w:tcW w:w="3877" w:type="dxa"/>
          </w:tcPr>
          <w:p>
            <w:pPr>
              <w:pStyle w:val="Compact"/>
              <w:spacing w:after="40"/>
              <w:jc w:val="left"/>
            </w:pPr>
            <w:r>
              <w:rPr>
                <w:sz w:val="18"/>
              </w:rPr>
              <w:t xml:space="preserve">Phase 14 — Regulatory reporting, risk and compliance</w:t>
            </w:r>
          </w:p>
        </w:tc>
        <w:tc>
          <w:tcPr>
            <w:tcW w:w="1583" w:type="dxa"/>
          </w:tcPr>
          <w:p>
            <w:pPr>
              <w:pStyle w:val="Compact"/>
              <w:spacing w:after="40"/>
            </w:pPr>
          </w:p>
        </w:tc>
        <w:tc>
          <w:tcPr>
            <w:tcW w:w="1203" w:type="dxa"/>
          </w:tcPr>
          <w:p>
            <w:pPr>
              <w:pStyle w:val="Compact"/>
              <w:spacing w:after="40"/>
            </w:pPr>
          </w:p>
        </w:tc>
        <w:tc>
          <w:tcPr>
            <w:tcW w:w="1769" w:type="dxa"/>
          </w:tcPr>
          <w:p>
            <w:pPr>
              <w:pStyle w:val="Compact"/>
              <w:spacing w:after="40"/>
            </w:pPr>
          </w:p>
        </w:tc>
        <w:tc>
          <w:tcPr>
            <w:tcW w:w="1206" w:type="dxa"/>
          </w:tcPr>
          <w:p>
            <w:pPr>
              <w:pStyle w:val="Compact"/>
              <w:spacing w:after="40"/>
            </w:pPr>
          </w:p>
        </w:tc>
      </w:tr>
      <w:tr>
        <w:tc>
          <w:tcPr>
            <w:tcW w:w="3877" w:type="dxa"/>
          </w:tcPr>
          <w:p>
            <w:pPr>
              <w:pStyle w:val="Compact"/>
              <w:spacing w:after="40"/>
              <w:jc w:val="left"/>
            </w:pPr>
            <w:r>
              <w:rPr>
                <w:sz w:val="18"/>
              </w:rPr>
              <w:t xml:space="preserve">Phase 14b — RBI returns engine and supervisory portal workflows</w:t>
            </w:r>
          </w:p>
        </w:tc>
        <w:tc>
          <w:tcPr>
            <w:tcW w:w="1583" w:type="dxa"/>
          </w:tcPr>
          <w:p>
            <w:pPr>
              <w:pStyle w:val="Compact"/>
              <w:spacing w:after="40"/>
            </w:pPr>
          </w:p>
        </w:tc>
        <w:tc>
          <w:tcPr>
            <w:tcW w:w="1203" w:type="dxa"/>
          </w:tcPr>
          <w:p>
            <w:pPr>
              <w:pStyle w:val="Compact"/>
              <w:spacing w:after="40"/>
            </w:pPr>
          </w:p>
        </w:tc>
        <w:tc>
          <w:tcPr>
            <w:tcW w:w="1769" w:type="dxa"/>
          </w:tcPr>
          <w:p>
            <w:pPr>
              <w:pStyle w:val="Compact"/>
              <w:spacing w:after="40"/>
            </w:pPr>
          </w:p>
        </w:tc>
        <w:tc>
          <w:tcPr>
            <w:tcW w:w="1206" w:type="dxa"/>
          </w:tcPr>
          <w:p>
            <w:pPr>
              <w:pStyle w:val="Compact"/>
              <w:spacing w:after="40"/>
            </w:pPr>
          </w:p>
        </w:tc>
      </w:tr>
      <w:tr>
        <w:tc>
          <w:tcPr>
            <w:tcW w:w="3877" w:type="dxa"/>
          </w:tcPr>
          <w:p>
            <w:pPr>
              <w:pStyle w:val="Compact"/>
              <w:spacing w:after="40"/>
              <w:jc w:val="left"/>
            </w:pPr>
            <w:r>
              <w:rPr>
                <w:sz w:val="18"/>
              </w:rPr>
              <w:t xml:space="preserve">Phase 14c — Credit bureau submissions</w:t>
            </w:r>
          </w:p>
        </w:tc>
        <w:tc>
          <w:tcPr>
            <w:tcW w:w="1583" w:type="dxa"/>
          </w:tcPr>
          <w:p>
            <w:pPr>
              <w:pStyle w:val="Compact"/>
              <w:spacing w:after="40"/>
            </w:pPr>
          </w:p>
        </w:tc>
        <w:tc>
          <w:tcPr>
            <w:tcW w:w="1203" w:type="dxa"/>
          </w:tcPr>
          <w:p>
            <w:pPr>
              <w:pStyle w:val="Compact"/>
              <w:spacing w:after="40"/>
            </w:pPr>
          </w:p>
        </w:tc>
        <w:tc>
          <w:tcPr>
            <w:tcW w:w="1769" w:type="dxa"/>
          </w:tcPr>
          <w:p>
            <w:pPr>
              <w:pStyle w:val="Compact"/>
              <w:spacing w:after="40"/>
            </w:pPr>
          </w:p>
        </w:tc>
        <w:tc>
          <w:tcPr>
            <w:tcW w:w="1206" w:type="dxa"/>
          </w:tcPr>
          <w:p>
            <w:pPr>
              <w:pStyle w:val="Compact"/>
              <w:spacing w:after="40"/>
            </w:pPr>
          </w:p>
        </w:tc>
      </w:tr>
      <w:tr>
        <w:tc>
          <w:tcPr>
            <w:tcW w:w="3877" w:type="dxa"/>
          </w:tcPr>
          <w:p>
            <w:pPr>
              <w:pStyle w:val="Compact"/>
              <w:spacing w:after="40"/>
              <w:jc w:val="left"/>
            </w:pPr>
            <w:r>
              <w:rPr>
                <w:sz w:val="18"/>
              </w:rPr>
              <w:t xml:space="preserve">Phase 14d — Risk management, capital adequacy, ICAAP and leadership dashboards</w:t>
            </w:r>
          </w:p>
        </w:tc>
        <w:tc>
          <w:tcPr>
            <w:tcW w:w="1583" w:type="dxa"/>
          </w:tcPr>
          <w:p>
            <w:pPr>
              <w:pStyle w:val="Compact"/>
              <w:spacing w:after="40"/>
            </w:pPr>
          </w:p>
        </w:tc>
        <w:tc>
          <w:tcPr>
            <w:tcW w:w="1203" w:type="dxa"/>
          </w:tcPr>
          <w:p>
            <w:pPr>
              <w:pStyle w:val="Compact"/>
              <w:spacing w:after="40"/>
            </w:pPr>
          </w:p>
        </w:tc>
        <w:tc>
          <w:tcPr>
            <w:tcW w:w="1769" w:type="dxa"/>
          </w:tcPr>
          <w:p>
            <w:pPr>
              <w:pStyle w:val="Compact"/>
              <w:spacing w:after="40"/>
            </w:pPr>
          </w:p>
        </w:tc>
        <w:tc>
          <w:tcPr>
            <w:tcW w:w="1206" w:type="dxa"/>
          </w:tcPr>
          <w:p>
            <w:pPr>
              <w:pStyle w:val="Compact"/>
              <w:spacing w:after="40"/>
            </w:pPr>
          </w:p>
        </w:tc>
      </w:tr>
      <w:tr>
        <w:tc>
          <w:tcPr>
            <w:tcW w:w="3877" w:type="dxa"/>
          </w:tcPr>
          <w:p>
            <w:pPr>
              <w:pStyle w:val="Compact"/>
              <w:spacing w:after="40"/>
              <w:jc w:val="left"/>
            </w:pPr>
            <w:r>
              <w:rPr>
                <w:sz w:val="18"/>
              </w:rPr>
              <w:t xml:space="preserve">Phase 15 — Grievance, borrower portal and feedback</w:t>
            </w:r>
          </w:p>
        </w:tc>
        <w:tc>
          <w:tcPr>
            <w:tcW w:w="1583" w:type="dxa"/>
          </w:tcPr>
          <w:p>
            <w:pPr>
              <w:pStyle w:val="Compact"/>
              <w:spacing w:after="40"/>
            </w:pPr>
          </w:p>
        </w:tc>
        <w:tc>
          <w:tcPr>
            <w:tcW w:w="1203" w:type="dxa"/>
          </w:tcPr>
          <w:p>
            <w:pPr>
              <w:pStyle w:val="Compact"/>
              <w:spacing w:after="40"/>
            </w:pPr>
          </w:p>
        </w:tc>
        <w:tc>
          <w:tcPr>
            <w:tcW w:w="1769" w:type="dxa"/>
          </w:tcPr>
          <w:p>
            <w:pPr>
              <w:pStyle w:val="Compact"/>
              <w:spacing w:after="40"/>
            </w:pPr>
          </w:p>
        </w:tc>
        <w:tc>
          <w:tcPr>
            <w:tcW w:w="1206" w:type="dxa"/>
          </w:tcPr>
          <w:p>
            <w:pPr>
              <w:pStyle w:val="Compact"/>
              <w:spacing w:after="40"/>
            </w:pPr>
          </w:p>
        </w:tc>
      </w:tr>
      <w:tr>
        <w:tc>
          <w:tcPr>
            <w:tcW w:w="3877" w:type="dxa"/>
          </w:tcPr>
          <w:p>
            <w:pPr>
              <w:pStyle w:val="Compact"/>
              <w:spacing w:after="40"/>
              <w:jc w:val="left"/>
            </w:pPr>
            <w:r>
              <w:rPr>
                <w:sz w:val="18"/>
              </w:rPr>
              <w:t xml:space="preserve">Phase 15b — Data portability, archives and customer-controlled storage</w:t>
            </w:r>
          </w:p>
        </w:tc>
        <w:tc>
          <w:tcPr>
            <w:tcW w:w="1583" w:type="dxa"/>
          </w:tcPr>
          <w:p>
            <w:pPr>
              <w:pStyle w:val="Compact"/>
              <w:spacing w:after="40"/>
            </w:pPr>
          </w:p>
        </w:tc>
        <w:tc>
          <w:tcPr>
            <w:tcW w:w="1203" w:type="dxa"/>
          </w:tcPr>
          <w:p>
            <w:pPr>
              <w:pStyle w:val="Compact"/>
              <w:spacing w:after="40"/>
            </w:pPr>
          </w:p>
        </w:tc>
        <w:tc>
          <w:tcPr>
            <w:tcW w:w="1769" w:type="dxa"/>
          </w:tcPr>
          <w:p>
            <w:pPr>
              <w:pStyle w:val="Compact"/>
              <w:spacing w:after="40"/>
            </w:pPr>
          </w:p>
        </w:tc>
        <w:tc>
          <w:tcPr>
            <w:tcW w:w="1206" w:type="dxa"/>
          </w:tcPr>
          <w:p>
            <w:pPr>
              <w:pStyle w:val="Compact"/>
              <w:spacing w:after="40"/>
            </w:pPr>
          </w:p>
        </w:tc>
      </w:tr>
      <w:tr>
        <w:tc>
          <w:tcPr>
            <w:tcW w:w="3877" w:type="dxa"/>
          </w:tcPr>
          <w:p>
            <w:pPr>
              <w:pStyle w:val="Compact"/>
              <w:spacing w:after="40"/>
              <w:jc w:val="left"/>
            </w:pPr>
            <w:r>
              <w:rPr>
                <w:sz w:val="18"/>
              </w:rPr>
              <w:t xml:space="preserve">Phase P — MVP hardening and pilot go-live</w:t>
            </w:r>
          </w:p>
        </w:tc>
        <w:tc>
          <w:tcPr>
            <w:tcW w:w="1583" w:type="dxa"/>
          </w:tcPr>
          <w:p>
            <w:pPr>
              <w:pStyle w:val="Compact"/>
              <w:spacing w:after="40"/>
            </w:pPr>
          </w:p>
        </w:tc>
        <w:tc>
          <w:tcPr>
            <w:tcW w:w="1203" w:type="dxa"/>
          </w:tcPr>
          <w:p>
            <w:pPr>
              <w:pStyle w:val="Compact"/>
              <w:spacing w:after="40"/>
            </w:pPr>
          </w:p>
        </w:tc>
        <w:tc>
          <w:tcPr>
            <w:tcW w:w="1769" w:type="dxa"/>
          </w:tcPr>
          <w:p>
            <w:pPr>
              <w:pStyle w:val="Compact"/>
              <w:spacing w:after="40"/>
            </w:pPr>
          </w:p>
        </w:tc>
        <w:tc>
          <w:tcPr>
            <w:tcW w:w="1206" w:type="dxa"/>
          </w:tcPr>
          <w:p>
            <w:pPr>
              <w:pStyle w:val="Compact"/>
              <w:spacing w:after="40"/>
            </w:pPr>
          </w:p>
        </w:tc>
      </w:tr>
      <w:tr>
        <w:tc>
          <w:tcPr>
            <w:tcW w:w="3877" w:type="dxa"/>
          </w:tcPr>
          <w:p>
            <w:pPr>
              <w:pStyle w:val="Compact"/>
              <w:spacing w:after="40"/>
              <w:jc w:val="left"/>
            </w:pPr>
            <w:r>
              <w:rPr>
                <w:sz w:val="18"/>
              </w:rPr>
              <w:t xml:space="preserve">Phase 16 — Partner connectors, co-lending, loan transfers and securitisation</w:t>
            </w:r>
          </w:p>
        </w:tc>
        <w:tc>
          <w:tcPr>
            <w:tcW w:w="1583" w:type="dxa"/>
          </w:tcPr>
          <w:p>
            <w:pPr>
              <w:pStyle w:val="Compact"/>
              <w:spacing w:after="40"/>
            </w:pPr>
          </w:p>
        </w:tc>
        <w:tc>
          <w:tcPr>
            <w:tcW w:w="1203" w:type="dxa"/>
          </w:tcPr>
          <w:p>
            <w:pPr>
              <w:pStyle w:val="Compact"/>
              <w:spacing w:after="40"/>
            </w:pPr>
          </w:p>
        </w:tc>
        <w:tc>
          <w:tcPr>
            <w:tcW w:w="1769" w:type="dxa"/>
          </w:tcPr>
          <w:p>
            <w:pPr>
              <w:pStyle w:val="Compact"/>
              <w:spacing w:after="40"/>
            </w:pPr>
          </w:p>
        </w:tc>
        <w:tc>
          <w:tcPr>
            <w:tcW w:w="1206" w:type="dxa"/>
          </w:tcPr>
          <w:p>
            <w:pPr>
              <w:pStyle w:val="Compact"/>
              <w:spacing w:after="40"/>
            </w:pPr>
          </w:p>
        </w:tc>
      </w:tr>
      <w:tr>
        <w:tc>
          <w:tcPr>
            <w:tcW w:w="3877" w:type="dxa"/>
          </w:tcPr>
          <w:p>
            <w:pPr>
              <w:pStyle w:val="Compact"/>
              <w:spacing w:after="40"/>
              <w:jc w:val="left"/>
            </w:pPr>
            <w:r>
              <w:rPr>
                <w:sz w:val="18"/>
              </w:rPr>
              <w:t xml:space="preserve">Phase 16b — Ecosystem integration hub v2</w:t>
            </w:r>
          </w:p>
        </w:tc>
        <w:tc>
          <w:tcPr>
            <w:tcW w:w="1583" w:type="dxa"/>
          </w:tcPr>
          <w:p>
            <w:pPr>
              <w:pStyle w:val="Compact"/>
              <w:spacing w:after="40"/>
            </w:pPr>
          </w:p>
        </w:tc>
        <w:tc>
          <w:tcPr>
            <w:tcW w:w="1203" w:type="dxa"/>
          </w:tcPr>
          <w:p>
            <w:pPr>
              <w:pStyle w:val="Compact"/>
              <w:spacing w:after="40"/>
            </w:pPr>
          </w:p>
        </w:tc>
        <w:tc>
          <w:tcPr>
            <w:tcW w:w="1769" w:type="dxa"/>
          </w:tcPr>
          <w:p>
            <w:pPr>
              <w:pStyle w:val="Compact"/>
              <w:spacing w:after="40"/>
            </w:pPr>
          </w:p>
        </w:tc>
        <w:tc>
          <w:tcPr>
            <w:tcW w:w="1206" w:type="dxa"/>
          </w:tcPr>
          <w:p>
            <w:pPr>
              <w:pStyle w:val="Compact"/>
              <w:spacing w:after="40"/>
            </w:pPr>
          </w:p>
        </w:tc>
      </w:tr>
      <w:tr>
        <w:tc>
          <w:tcPr>
            <w:tcW w:w="3877" w:type="dxa"/>
          </w:tcPr>
          <w:p>
            <w:pPr>
              <w:pStyle w:val="Compact"/>
              <w:spacing w:after="40"/>
              <w:jc w:val="left"/>
            </w:pPr>
            <w:r>
              <w:rPr>
                <w:sz w:val="18"/>
              </w:rPr>
              <w:t xml:space="preserve">Phase 16c — Audit and assurance suite with auditor and supervisor workspaces</w:t>
            </w:r>
          </w:p>
        </w:tc>
        <w:tc>
          <w:tcPr>
            <w:tcW w:w="1583" w:type="dxa"/>
          </w:tcPr>
          <w:p>
            <w:pPr>
              <w:pStyle w:val="Compact"/>
              <w:spacing w:after="40"/>
            </w:pPr>
          </w:p>
        </w:tc>
        <w:tc>
          <w:tcPr>
            <w:tcW w:w="1203" w:type="dxa"/>
          </w:tcPr>
          <w:p>
            <w:pPr>
              <w:pStyle w:val="Compact"/>
              <w:spacing w:after="40"/>
            </w:pPr>
          </w:p>
        </w:tc>
        <w:tc>
          <w:tcPr>
            <w:tcW w:w="1769" w:type="dxa"/>
          </w:tcPr>
          <w:p>
            <w:pPr>
              <w:pStyle w:val="Compact"/>
              <w:spacing w:after="40"/>
            </w:pPr>
          </w:p>
        </w:tc>
        <w:tc>
          <w:tcPr>
            <w:tcW w:w="1206" w:type="dxa"/>
          </w:tcPr>
          <w:p>
            <w:pPr>
              <w:pStyle w:val="Compact"/>
              <w:spacing w:after="40"/>
            </w:pPr>
          </w:p>
        </w:tc>
      </w:tr>
      <w:tr>
        <w:tc>
          <w:tcPr>
            <w:tcW w:w="3877" w:type="dxa"/>
          </w:tcPr>
          <w:p>
            <w:pPr>
              <w:pStyle w:val="Compact"/>
              <w:spacing w:after="40"/>
              <w:jc w:val="left"/>
            </w:pPr>
            <w:r>
              <w:rPr>
                <w:sz w:val="18"/>
              </w:rPr>
              <w:t xml:space="preserve">Phase 16d — Corporate governance, listed-company compliance, client HRMS and workplace integration</w:t>
            </w:r>
          </w:p>
        </w:tc>
        <w:tc>
          <w:tcPr>
            <w:tcW w:w="1583" w:type="dxa"/>
          </w:tcPr>
          <w:p>
            <w:pPr>
              <w:pStyle w:val="Compact"/>
              <w:spacing w:after="40"/>
            </w:pPr>
          </w:p>
        </w:tc>
        <w:tc>
          <w:tcPr>
            <w:tcW w:w="1203" w:type="dxa"/>
          </w:tcPr>
          <w:p>
            <w:pPr>
              <w:pStyle w:val="Compact"/>
              <w:spacing w:after="40"/>
            </w:pPr>
          </w:p>
        </w:tc>
        <w:tc>
          <w:tcPr>
            <w:tcW w:w="1769" w:type="dxa"/>
          </w:tcPr>
          <w:p>
            <w:pPr>
              <w:pStyle w:val="Compact"/>
              <w:spacing w:after="40"/>
            </w:pPr>
          </w:p>
        </w:tc>
        <w:tc>
          <w:tcPr>
            <w:tcW w:w="1206" w:type="dxa"/>
          </w:tcPr>
          <w:p>
            <w:pPr>
              <w:pStyle w:val="Compact"/>
              <w:spacing w:after="40"/>
            </w:pPr>
          </w:p>
        </w:tc>
      </w:tr>
      <w:tr>
        <w:tc>
          <w:tcPr>
            <w:tcW w:w="3877" w:type="dxa"/>
          </w:tcPr>
          <w:p>
            <w:pPr>
              <w:pStyle w:val="Compact"/>
              <w:spacing w:after="40"/>
              <w:jc w:val="left"/>
            </w:pPr>
            <w:r>
              <w:rPr>
                <w:sz w:val="18"/>
              </w:rPr>
              <w:t xml:space="preserve">Phase 16e — Plans, entitlements, billing and payments</w:t>
            </w:r>
          </w:p>
        </w:tc>
        <w:tc>
          <w:tcPr>
            <w:tcW w:w="1583" w:type="dxa"/>
          </w:tcPr>
          <w:p>
            <w:pPr>
              <w:pStyle w:val="Compact"/>
              <w:spacing w:after="40"/>
            </w:pPr>
          </w:p>
        </w:tc>
        <w:tc>
          <w:tcPr>
            <w:tcW w:w="1203" w:type="dxa"/>
          </w:tcPr>
          <w:p>
            <w:pPr>
              <w:pStyle w:val="Compact"/>
              <w:spacing w:after="40"/>
            </w:pPr>
          </w:p>
        </w:tc>
        <w:tc>
          <w:tcPr>
            <w:tcW w:w="1769" w:type="dxa"/>
          </w:tcPr>
          <w:p>
            <w:pPr>
              <w:pStyle w:val="Compact"/>
              <w:spacing w:after="40"/>
            </w:pPr>
          </w:p>
        </w:tc>
        <w:tc>
          <w:tcPr>
            <w:tcW w:w="1206" w:type="dxa"/>
          </w:tcPr>
          <w:p>
            <w:pPr>
              <w:pStyle w:val="Compact"/>
              <w:spacing w:after="40"/>
            </w:pPr>
          </w:p>
        </w:tc>
      </w:tr>
      <w:tr>
        <w:tc>
          <w:tcPr>
            <w:tcW w:w="3877" w:type="dxa"/>
          </w:tcPr>
          <w:p>
            <w:pPr>
              <w:pStyle w:val="Compact"/>
              <w:spacing w:after="40"/>
              <w:jc w:val="left"/>
            </w:pPr>
            <w:r>
              <w:rPr>
                <w:sz w:val="18"/>
              </w:rPr>
              <w:t xml:space="preserve">Phase 17 — Secured products expansion</w:t>
            </w:r>
          </w:p>
        </w:tc>
        <w:tc>
          <w:tcPr>
            <w:tcW w:w="1583" w:type="dxa"/>
          </w:tcPr>
          <w:p>
            <w:pPr>
              <w:pStyle w:val="Compact"/>
              <w:spacing w:after="40"/>
            </w:pPr>
          </w:p>
        </w:tc>
        <w:tc>
          <w:tcPr>
            <w:tcW w:w="1203" w:type="dxa"/>
          </w:tcPr>
          <w:p>
            <w:pPr>
              <w:pStyle w:val="Compact"/>
              <w:spacing w:after="40"/>
            </w:pPr>
          </w:p>
        </w:tc>
        <w:tc>
          <w:tcPr>
            <w:tcW w:w="1769" w:type="dxa"/>
          </w:tcPr>
          <w:p>
            <w:pPr>
              <w:pStyle w:val="Compact"/>
              <w:spacing w:after="40"/>
            </w:pPr>
          </w:p>
        </w:tc>
        <w:tc>
          <w:tcPr>
            <w:tcW w:w="1206" w:type="dxa"/>
          </w:tcPr>
          <w:p>
            <w:pPr>
              <w:pStyle w:val="Compact"/>
              <w:spacing w:after="40"/>
            </w:pPr>
          </w:p>
        </w:tc>
      </w:tr>
      <w:tr>
        <w:tc>
          <w:tcPr>
            <w:tcW w:w="3877" w:type="dxa"/>
          </w:tcPr>
          <w:p>
            <w:pPr>
              <w:pStyle w:val="Compact"/>
              <w:spacing w:after="40"/>
              <w:jc w:val="left"/>
            </w:pPr>
            <w:r>
              <w:rPr>
                <w:sz w:val="18"/>
              </w:rPr>
              <w:t xml:space="preserve">Phase 17b — Secured enforcement and shared-exposure recovery</w:t>
            </w:r>
          </w:p>
        </w:tc>
        <w:tc>
          <w:tcPr>
            <w:tcW w:w="1583" w:type="dxa"/>
          </w:tcPr>
          <w:p>
            <w:pPr>
              <w:pStyle w:val="Compact"/>
              <w:spacing w:after="40"/>
            </w:pPr>
          </w:p>
        </w:tc>
        <w:tc>
          <w:tcPr>
            <w:tcW w:w="1203" w:type="dxa"/>
          </w:tcPr>
          <w:p>
            <w:pPr>
              <w:pStyle w:val="Compact"/>
              <w:spacing w:after="40"/>
            </w:pPr>
          </w:p>
        </w:tc>
        <w:tc>
          <w:tcPr>
            <w:tcW w:w="1769" w:type="dxa"/>
          </w:tcPr>
          <w:p>
            <w:pPr>
              <w:pStyle w:val="Compact"/>
              <w:spacing w:after="40"/>
            </w:pPr>
          </w:p>
        </w:tc>
        <w:tc>
          <w:tcPr>
            <w:tcW w:w="1206" w:type="dxa"/>
          </w:tcPr>
          <w:p>
            <w:pPr>
              <w:pStyle w:val="Compact"/>
              <w:spacing w:after="40"/>
            </w:pPr>
          </w:p>
        </w:tc>
      </w:tr>
      <w:tr>
        <w:tc>
          <w:tcPr>
            <w:tcW w:w="3877" w:type="dxa"/>
          </w:tcPr>
          <w:p>
            <w:pPr>
              <w:pStyle w:val="Compact"/>
              <w:spacing w:after="40"/>
              <w:jc w:val="left"/>
            </w:pPr>
            <w:r>
              <w:rPr>
                <w:sz w:val="18"/>
              </w:rPr>
              <w:t xml:space="preserve">Phase 17c — Institution profiles I: credit co-operative societies, co-operative banks and microfinance</w:t>
            </w:r>
          </w:p>
        </w:tc>
        <w:tc>
          <w:tcPr>
            <w:tcW w:w="1583" w:type="dxa"/>
          </w:tcPr>
          <w:p>
            <w:pPr>
              <w:pStyle w:val="Compact"/>
              <w:spacing w:after="40"/>
            </w:pPr>
          </w:p>
        </w:tc>
        <w:tc>
          <w:tcPr>
            <w:tcW w:w="1203" w:type="dxa"/>
          </w:tcPr>
          <w:p>
            <w:pPr>
              <w:pStyle w:val="Compact"/>
              <w:spacing w:after="40"/>
            </w:pPr>
          </w:p>
        </w:tc>
        <w:tc>
          <w:tcPr>
            <w:tcW w:w="1769" w:type="dxa"/>
          </w:tcPr>
          <w:p>
            <w:pPr>
              <w:pStyle w:val="Compact"/>
              <w:spacing w:after="40"/>
            </w:pPr>
          </w:p>
        </w:tc>
        <w:tc>
          <w:tcPr>
            <w:tcW w:w="1206" w:type="dxa"/>
          </w:tcPr>
          <w:p>
            <w:pPr>
              <w:pStyle w:val="Compact"/>
              <w:spacing w:after="40"/>
            </w:pPr>
          </w:p>
        </w:tc>
      </w:tr>
      <w:tr>
        <w:tc>
          <w:tcPr>
            <w:tcW w:w="3877" w:type="dxa"/>
          </w:tcPr>
          <w:p>
            <w:pPr>
              <w:pStyle w:val="Compact"/>
              <w:spacing w:after="40"/>
              <w:jc w:val="left"/>
            </w:pPr>
            <w:r>
              <w:rPr>
                <w:sz w:val="18"/>
              </w:rPr>
              <w:t xml:space="preserve">Phase 17d — Institution profiles II and investments: ARCs, IFSC entities, investment module and securitisation servicing</w:t>
            </w:r>
          </w:p>
        </w:tc>
        <w:tc>
          <w:tcPr>
            <w:tcW w:w="1583" w:type="dxa"/>
          </w:tcPr>
          <w:p>
            <w:pPr>
              <w:pStyle w:val="Compact"/>
              <w:spacing w:after="40"/>
            </w:pPr>
          </w:p>
        </w:tc>
        <w:tc>
          <w:tcPr>
            <w:tcW w:w="1203" w:type="dxa"/>
          </w:tcPr>
          <w:p>
            <w:pPr>
              <w:pStyle w:val="Compact"/>
              <w:spacing w:after="40"/>
            </w:pPr>
          </w:p>
        </w:tc>
        <w:tc>
          <w:tcPr>
            <w:tcW w:w="1769" w:type="dxa"/>
          </w:tcPr>
          <w:p>
            <w:pPr>
              <w:pStyle w:val="Compact"/>
              <w:spacing w:after="40"/>
            </w:pPr>
          </w:p>
        </w:tc>
        <w:tc>
          <w:tcPr>
            <w:tcW w:w="1206" w:type="dxa"/>
          </w:tcPr>
          <w:p>
            <w:pPr>
              <w:pStyle w:val="Compact"/>
              <w:spacing w:after="40"/>
            </w:pPr>
          </w:p>
        </w:tc>
      </w:tr>
      <w:tr>
        <w:tc>
          <w:tcPr>
            <w:tcW w:w="3877" w:type="dxa"/>
          </w:tcPr>
          <w:p>
            <w:pPr>
              <w:pStyle w:val="Compact"/>
              <w:spacing w:after="40"/>
              <w:jc w:val="left"/>
            </w:pPr>
            <w:r>
              <w:rPr>
                <w:sz w:val="18"/>
              </w:rPr>
              <w:t xml:space="preserve">Phase 18 — Analytics, AI layer and MCP</w:t>
            </w:r>
          </w:p>
        </w:tc>
        <w:tc>
          <w:tcPr>
            <w:tcW w:w="1583" w:type="dxa"/>
          </w:tcPr>
          <w:p>
            <w:pPr>
              <w:pStyle w:val="Compact"/>
              <w:spacing w:after="40"/>
            </w:pPr>
          </w:p>
        </w:tc>
        <w:tc>
          <w:tcPr>
            <w:tcW w:w="1203" w:type="dxa"/>
          </w:tcPr>
          <w:p>
            <w:pPr>
              <w:pStyle w:val="Compact"/>
              <w:spacing w:after="40"/>
            </w:pPr>
          </w:p>
        </w:tc>
        <w:tc>
          <w:tcPr>
            <w:tcW w:w="1769" w:type="dxa"/>
          </w:tcPr>
          <w:p>
            <w:pPr>
              <w:pStyle w:val="Compact"/>
              <w:spacing w:after="40"/>
            </w:pPr>
          </w:p>
        </w:tc>
        <w:tc>
          <w:tcPr>
            <w:tcW w:w="1206" w:type="dxa"/>
          </w:tcPr>
          <w:p>
            <w:pPr>
              <w:pStyle w:val="Compact"/>
              <w:spacing w:after="40"/>
            </w:pPr>
          </w:p>
        </w:tc>
      </w:tr>
      <w:tr>
        <w:tc>
          <w:tcPr>
            <w:tcW w:w="3877" w:type="dxa"/>
          </w:tcPr>
          <w:p>
            <w:pPr>
              <w:pStyle w:val="Compact"/>
              <w:spacing w:after="40"/>
              <w:jc w:val="left"/>
            </w:pPr>
            <w:r>
              <w:rPr>
                <w:sz w:val="18"/>
              </w:rPr>
              <w:t xml:space="preserve">Phase 18b — Voice, AI contact-centre and Jio adapters</w:t>
            </w:r>
          </w:p>
        </w:tc>
        <w:tc>
          <w:tcPr>
            <w:tcW w:w="1583" w:type="dxa"/>
          </w:tcPr>
          <w:p>
            <w:pPr>
              <w:pStyle w:val="Compact"/>
              <w:spacing w:after="40"/>
            </w:pPr>
          </w:p>
        </w:tc>
        <w:tc>
          <w:tcPr>
            <w:tcW w:w="1203" w:type="dxa"/>
          </w:tcPr>
          <w:p>
            <w:pPr>
              <w:pStyle w:val="Compact"/>
              <w:spacing w:after="40"/>
            </w:pPr>
          </w:p>
        </w:tc>
        <w:tc>
          <w:tcPr>
            <w:tcW w:w="1769" w:type="dxa"/>
          </w:tcPr>
          <w:p>
            <w:pPr>
              <w:pStyle w:val="Compact"/>
              <w:spacing w:after="40"/>
            </w:pPr>
          </w:p>
        </w:tc>
        <w:tc>
          <w:tcPr>
            <w:tcW w:w="1206" w:type="dxa"/>
          </w:tcPr>
          <w:p>
            <w:pPr>
              <w:pStyle w:val="Compact"/>
              <w:spacing w:after="40"/>
            </w:pPr>
          </w:p>
        </w:tc>
      </w:tr>
      <w:tr>
        <w:tc>
          <w:tcPr>
            <w:tcW w:w="3877" w:type="dxa"/>
          </w:tcPr>
          <w:p>
            <w:pPr>
              <w:pStyle w:val="Compact"/>
              <w:spacing w:after="40"/>
              <w:jc w:val="left"/>
            </w:pPr>
            <w:r>
              <w:rPr>
                <w:sz w:val="18"/>
              </w:rPr>
              <w:t xml:space="preserve">Phase 19 — Migration tooling</w:t>
            </w:r>
          </w:p>
        </w:tc>
        <w:tc>
          <w:tcPr>
            <w:tcW w:w="1583" w:type="dxa"/>
          </w:tcPr>
          <w:p>
            <w:pPr>
              <w:pStyle w:val="Compact"/>
              <w:spacing w:after="40"/>
            </w:pPr>
          </w:p>
        </w:tc>
        <w:tc>
          <w:tcPr>
            <w:tcW w:w="1203" w:type="dxa"/>
          </w:tcPr>
          <w:p>
            <w:pPr>
              <w:pStyle w:val="Compact"/>
              <w:spacing w:after="40"/>
            </w:pPr>
          </w:p>
        </w:tc>
        <w:tc>
          <w:tcPr>
            <w:tcW w:w="1769" w:type="dxa"/>
          </w:tcPr>
          <w:p>
            <w:pPr>
              <w:pStyle w:val="Compact"/>
              <w:spacing w:after="40"/>
            </w:pPr>
          </w:p>
        </w:tc>
        <w:tc>
          <w:tcPr>
            <w:tcW w:w="1206" w:type="dxa"/>
          </w:tcPr>
          <w:p>
            <w:pPr>
              <w:pStyle w:val="Compact"/>
              <w:spacing w:after="40"/>
            </w:pPr>
          </w:p>
        </w:tc>
      </w:tr>
      <w:tr>
        <w:tc>
          <w:tcPr>
            <w:tcW w:w="3877" w:type="dxa"/>
          </w:tcPr>
          <w:p>
            <w:pPr>
              <w:pStyle w:val="Compact"/>
              <w:spacing w:after="40"/>
              <w:jc w:val="left"/>
            </w:pPr>
            <w:r>
              <w:rPr>
                <w:sz w:val="18"/>
              </w:rPr>
              <w:t xml:space="preserve">Phase 20 — Scale hardening and AWS migration</w:t>
            </w:r>
          </w:p>
        </w:tc>
        <w:tc>
          <w:tcPr>
            <w:tcW w:w="1583" w:type="dxa"/>
          </w:tcPr>
          <w:p>
            <w:pPr>
              <w:pStyle w:val="Compact"/>
              <w:spacing w:after="40"/>
            </w:pPr>
          </w:p>
        </w:tc>
        <w:tc>
          <w:tcPr>
            <w:tcW w:w="1203" w:type="dxa"/>
          </w:tcPr>
          <w:p>
            <w:pPr>
              <w:pStyle w:val="Compact"/>
              <w:spacing w:after="40"/>
            </w:pPr>
          </w:p>
        </w:tc>
        <w:tc>
          <w:tcPr>
            <w:tcW w:w="1769" w:type="dxa"/>
          </w:tcPr>
          <w:p>
            <w:pPr>
              <w:pStyle w:val="Compact"/>
              <w:spacing w:after="40"/>
            </w:pPr>
          </w:p>
        </w:tc>
        <w:tc>
          <w:tcPr>
            <w:tcW w:w="1206" w:type="dxa"/>
          </w:tcPr>
          <w:p>
            <w:pPr>
              <w:pStyle w:val="Compact"/>
              <w:spacing w:after="40"/>
            </w:pPr>
          </w:p>
        </w:tc>
      </w:tr>
      <w:tr>
        <w:tc>
          <w:tcPr>
            <w:tcW w:w="3877" w:type="dxa"/>
          </w:tcPr>
          <w:p>
            <w:pPr>
              <w:pStyle w:val="Compact"/>
              <w:spacing w:after="40"/>
              <w:jc w:val="left"/>
            </w:pPr>
            <w:r>
              <w:rPr>
                <w:sz w:val="18"/>
              </w:rPr>
              <w:t xml:space="preserve">Phase 20b — Engineering operations evidence and certification readiness</w:t>
            </w:r>
          </w:p>
        </w:tc>
        <w:tc>
          <w:tcPr>
            <w:tcW w:w="1583" w:type="dxa"/>
          </w:tcPr>
          <w:p>
            <w:pPr>
              <w:pStyle w:val="Compact"/>
              <w:spacing w:after="40"/>
            </w:pPr>
          </w:p>
        </w:tc>
        <w:tc>
          <w:tcPr>
            <w:tcW w:w="1203" w:type="dxa"/>
          </w:tcPr>
          <w:p>
            <w:pPr>
              <w:pStyle w:val="Compact"/>
              <w:spacing w:after="40"/>
            </w:pPr>
          </w:p>
        </w:tc>
        <w:tc>
          <w:tcPr>
            <w:tcW w:w="1769" w:type="dxa"/>
          </w:tcPr>
          <w:p>
            <w:pPr>
              <w:pStyle w:val="Compact"/>
              <w:spacing w:after="40"/>
            </w:pPr>
          </w:p>
        </w:tc>
        <w:tc>
          <w:tcPr>
            <w:tcW w:w="1206" w:type="dxa"/>
          </w:tcPr>
          <w:p>
            <w:pPr>
              <w:pStyle w:val="Compact"/>
              <w:spacing w:after="40"/>
            </w:pPr>
          </w:p>
        </w:tc>
      </w:tr>
    </w:tbl>
    <w:p>
      <w:pPr>
        <w:pStyle w:val="BodyText"/>
      </w:pPr>
      <w:r>
        <w:rPr>
          <w:iCs/>
          <w:i/>
        </w:rPr>
        <w:t xml:space="preserve">End of runbook.</w:t>
      </w:r>
    </w:p>
    <w:bookmarkEnd w:id="64"/>
    <w:bookmarkEnd w:id="65"/>
    <w:sectPr>
      <w:footerReference w:type="default" r:id="rId9"/>
      <w:pgSz w:h="16838" w:w="11906"/>
      <w:pgMar w:bottom="1134"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6"/>
      </w:rPr>
      <w:t xml:space="preserve">Finbyx — Phase-wise Claude Code Runbook · v1.5 · Page </w:t>
    </w:r>
    <w:r>
      <w:rPr>
        <w:color w:val="666666"/>
        <w:sz w:val="16"/>
      </w:rPr>
      <w:fldChar w:fldCharType="begin"/>
    </w:r>
    <w:r>
      <w:rPr>
        <w:color w:val="666666"/>
        <w:sz w:val="16"/>
      </w:rPr>
      <w:instrText xml:space="preserve">PAGE</w:instrText>
    </w:r>
    <w:r>
      <w:rPr>
        <w:color w:val="666666"/>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sz w:val="21"/>
    </w:rPr>
  </w:style>
  <w:style w:styleId="BodyText" w:type="paragraph">
    <w:name w:val="Body Text"/>
    <w:basedOn w:val="Normal"/>
    <w:link w:val="BodyTextChar"/>
    <w:pPr>
      <w:spacing w:after="120" w:before="180"/>
    </w:pPr>
    <w:qFormat/>
    <w:rPr>
      <w:rFonts w:ascii="Calibri" w:cs="Calibri" w:eastAsia="Calibri" w:hAnsi="Calibri"/>
      <w:sz w:val="21"/>
    </w:rPr>
  </w:style>
  <w:style w:customStyle="1" w:styleId="FirstParagraph" w:type="paragraph">
    <w:name w:val="First Paragraph"/>
    <w:basedOn w:val="BodyText"/>
    <w:next w:val="BodyText"/>
    <w:qFormat/>
    <w:pPr>
      <w:spacing w:after="120"/>
    </w:pPr>
    <w:rPr>
      <w:rFonts w:ascii="Calibri" w:cs="Calibri" w:eastAsia="Calibri" w:hAnsi="Calibri"/>
      <w:sz w:val="21"/>
    </w:rPr>
  </w:style>
  <w:style w:customStyle="1" w:styleId="Compact" w:type="paragraph">
    <w:name w:val="Compact"/>
    <w:basedOn w:val="BodyText"/>
    <w:qFormat/>
    <w:pPr>
      <w:spacing w:after="36" w:before="36"/>
    </w:pPr>
    <w:rPr>
      <w:rFonts w:ascii="Calibri" w:cs="Calibri" w:eastAsia="Calibri" w:hAnsi="Calibri"/>
      <w:sz w:val="21"/>
    </w:rPr>
  </w:style>
  <w:style w:styleId="Title" w:type="paragraph">
    <w:name w:val="Title"/>
    <w:basedOn w:val="Normal"/>
    <w:next w:val="BodyText"/>
    <w:qFormat/>
    <w:pPr>
      <w:keepNext/>
      <w:keepLines/>
      <w:spacing w:after="240" w:before="480"/>
      <w:jc w:val="center"/>
    </w:pPr>
    <w:rPr>
      <w:rFonts w:ascii="Calibri" w:cs="Calibri" w:eastAsia="Calibri" w:hAnsi="Calibri"/>
      <w:b/>
      <w:bCs/>
      <w:color w:val="1F3A5F"/>
      <w:sz w:val="44"/>
      <w:szCs w:val="36"/>
    </w:rPr>
  </w:style>
  <w:style w:styleId="Subtitle" w:type="paragraph">
    <w:name w:val="Subtitle"/>
    <w:basedOn w:val="Title"/>
    <w:next w:val="BodyText"/>
    <w:qFormat/>
    <w:pPr>
      <w:keepNext/>
      <w:keepLines/>
      <w:spacing w:after="240" w:before="240"/>
      <w:jc w:val="center"/>
    </w:pPr>
    <w:rPr>
      <w:rFonts w:ascii="Calibri" w:cs="Calibri" w:eastAsia="Calibri" w:hAnsi="Calibri"/>
      <w:b/>
      <w:color w:val="1F3A5F"/>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pBdr>
        <w:left w:color="1F3A5F" w:space="6" w:sz="18" w:val="single"/>
      </w:pBdr>
      <w:spacing w:after="100" w:before="100"/>
      <w:ind w:firstLine="0" w:left="480" w:right="480"/>
      <w:shd w:color="auto" w:fill="EAF1F8" w:val="clear"/>
    </w:pPr>
    <w:rPr>
      <w:rFonts w:ascii="Calibri" w:cs="Calibri" w:eastAsia="Calibri" w:hAnsi="Calibri"/>
      <w:i w:val="0"/>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s="Consolas"/>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2026-10-24T06:42:30Z</dcterms:created>
  <dcterms:modified xsi:type="dcterms:W3CDTF">2026-10-24T06:42:30Z</dcterms:modified>
</cp:coreProperties>
</file>

<file path=docProps/custom.xml><?xml version="1.0" encoding="utf-8"?>
<Properties xmlns="http://schemas.openxmlformats.org/officeDocument/2006/custom-properties" xmlns:vt="http://schemas.openxmlformats.org/officeDocument/2006/docPropsVTypes"/>
</file>