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f1c5db43ef160716e47e9e5bb20315e15055418"/>
    <w:p>
      <w:pPr>
        <w:pStyle w:val="Heading1"/>
      </w:pPr>
      <w:r>
        <w:t xml:space="preserve">INFRABYX OPERATIONS HUB — Phase-wise Claude Code Runbook</w:t>
      </w:r>
    </w:p>
    <w:p>
      <w:pPr>
        <w:pStyle w:val="FirstParagraph"/>
      </w:pPr>
      <w:r>
        <w:rPr>
          <w:bCs/>
          <w:b/>
        </w:rPr>
        <w:t xml:space="preserve">Companion to the Infrabyx Operations Hub Master Build Prompt v1.0</w:t>
      </w:r>
      <w:r>
        <w:t xml:space="preserve"> </w:t>
      </w:r>
      <w:r>
        <w:t xml:space="preserve">· 24 October 2026 · ready-to-paste instructions for every build phase</w:t>
      </w:r>
    </w:p>
    <w:p>
      <w:r>
        <w:pict>
          <v:rect style="width:0;height:1.5pt" o:hralign="center" o:hrstd="t" o:hr="t"/>
        </w:pict>
      </w:r>
    </w:p>
    <w:bookmarkStart w:id="20" w:name="how-to-use-this-runbook"/>
    <w:p>
      <w:pPr>
        <w:pStyle w:val="Heading2"/>
      </w:pPr>
      <w:r>
        <w:t xml:space="preserve">1. How to use this runbook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Before Session 1:</w:t>
      </w:r>
      <w:r>
        <w:t xml:space="preserve"> </w:t>
      </w:r>
      <w:r>
        <w:t xml:space="preserve">create the separate</w:t>
      </w:r>
      <w:r>
        <w:t xml:space="preserve"> </w:t>
      </w:r>
      <w:r>
        <w:rPr>
          <w:rStyle w:val="VerbatimChar"/>
        </w:rPr>
        <w:t xml:space="preserve">infrabyx-ops-hub</w:t>
      </w:r>
      <w:r>
        <w:t xml:space="preserve"> </w:t>
      </w:r>
      <w:r>
        <w:t xml:space="preserve">repository; commit the master prompt as</w:t>
      </w:r>
      <w:r>
        <w:t xml:space="preserve"> </w:t>
      </w:r>
      <w:r>
        <w:rPr>
          <w:rStyle w:val="VerbatimChar"/>
        </w:rPr>
        <w:t xml:space="preserve">docs/00-master-prompt.md</w:t>
      </w:r>
      <w:r>
        <w:t xml:space="preserve"> </w:t>
      </w:r>
      <w:r>
        <w:t xml:space="preserve">and the Infrabyx Ecosystem Integration Specification v1.1 as</w:t>
      </w:r>
      <w:r>
        <w:t xml:space="preserve"> </w:t>
      </w:r>
      <w:r>
        <w:rPr>
          <w:rStyle w:val="VerbatimChar"/>
        </w:rPr>
        <w:t xml:space="preserve">docs/ecosystem/infrabyx-integration-spec.md</w:t>
      </w:r>
      <w:r>
        <w:t xml:space="preserve">. You can also commit this runbook as</w:t>
      </w:r>
      <w:r>
        <w:t xml:space="preserve"> </w:t>
      </w:r>
      <w:r>
        <w:rPr>
          <w:rStyle w:val="VerbatimChar"/>
        </w:rPr>
        <w:t xml:space="preserve">docs/01-phase-runbook.md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phase per session.</w:t>
      </w:r>
      <w:r>
        <w:t xml:space="preserve"> </w:t>
      </w:r>
      <w:r>
        <w:t xml:space="preserve">Start a fresh Claude Code session for each phase or sub-module and paste only that phase’s block.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Approve, then build.</w:t>
      </w:r>
      <w:r>
        <w:t xml:space="preserve"> </w:t>
      </w:r>
      <w:r>
        <w:t xml:space="preserve">Read the specification, reply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(or give changes), and let Claude Code build, test and open the pull request.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the review gate</w:t>
      </w:r>
      <w:r>
        <w:t xml:space="preserve"> </w:t>
      </w:r>
      <w:r>
        <w:t xml:space="preserve">under each phase before merging (utility prompt H6).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 phases:</w:t>
      </w:r>
      <w:r>
        <w:t xml:space="preserve"> </w:t>
      </w:r>
      <w:r>
        <w:t xml:space="preserve">use the sub-module split. The first session writes and gets approval for the whole-phase specification; later sessions use prompt H1.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Order:</w:t>
      </w:r>
      <w:r>
        <w:t xml:space="preserve"> </w:t>
      </w:r>
      <w:r>
        <w:t xml:space="preserve">O0 → O1 → O2 → O3 → O4 → O5 → O6 → O7 → O8 → O9 → O10 → O11 → O12 → OP → O13. Finbyx Phase 16e needs O6 at least in staging; Udofin Phase 20b needs O6 for RE invoicing only; Finbyx 20b and Udofin 16c send evidence to O12; Finbyx 16d pins the Labour Code rule pack that O9 releases.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Menus, screens and settings:</w:t>
      </w:r>
      <w:r>
        <w:t xml:space="preserve"> </w:t>
      </w:r>
      <w:r>
        <w:t xml:space="preserve">every phase builds the menu items, screens and settings in Appendix E; regulatory and legal floors cannot be relaxed.</w:t>
      </w:r>
    </w:p>
    <w:p>
      <w:r>
        <w:pict>
          <v:rect style="width:0;height:1.5pt" o:hralign="center" o:hrstd="t" o:hr="t"/>
        </w:pict>
      </w:r>
    </w:p>
    <w:bookmarkEnd w:id="20"/>
    <w:bookmarkStart w:id="21" w:name="X4b722bfc7ee39314e881b4ce025baae87bb129b"/>
    <w:p>
      <w:pPr>
        <w:pStyle w:val="Heading2"/>
      </w:pPr>
      <w:r>
        <w:t xml:space="preserve">2. Standard closing (already included in every block)</w:t>
      </w:r>
    </w:p>
    <w:p>
      <w:pPr>
        <w:pStyle w:val="SourceCode"/>
      </w:pP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docs/specs/phase-&lt;n&gt;-&lt;name&gt;.md: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&lt;branch&gt; in small commits; run unit, integration, legal-entity isolation and security tests; update docs/status and the ADRs; open a PR with the test output pasted. Never claim a test passed unless you ran it.</w:t>
      </w:r>
    </w:p>
    <w:p>
      <w:r>
        <w:pict>
          <v:rect style="width:0;height:1.5pt" o:hralign="center" o:hrstd="t" o:hr="t"/>
        </w:pict>
      </w:r>
    </w:p>
    <w:bookmarkEnd w:id="21"/>
    <w:bookmarkStart w:id="37" w:name="phase-instructions"/>
    <w:p>
      <w:pPr>
        <w:pStyle w:val="Heading2"/>
      </w:pPr>
      <w:r>
        <w:t xml:space="preserve">3. Phase instructions</w:t>
      </w:r>
    </w:p>
    <w:bookmarkStart w:id="22" w:name="X9454d9a6cd73ab519df0ac7a11376b29854d4f8"/>
    <w:p>
      <w:pPr>
        <w:pStyle w:val="Heading3"/>
      </w:pPr>
      <w:r>
        <w:t xml:space="preserve">Phase O0 — Repository audit and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Inventory of current tools and data; architecture and ADRs; build-versus-buy per module; legal register v1; entity model; event and API boundaries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nothing (first phase)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docs/oh-repo-baseline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O0a Current-state inventory and data audit; O0b Architecture, ADRs and residency check; O0c Legal register v1 and [VERIFY] map; O0d Build-versus-buy benchmark and Appendix B recommendations.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Read docs/00-master-prompt.md and docs/ecosystem/infrabyx-integration-spec.md in full, then execute Part 10 (Phase O0 only).</w:t>
      </w:r>
      <w:r>
        <w:br/>
      </w:r>
      <w:r>
        <w:br/>
      </w:r>
      <w:r>
        <w:rPr>
          <w:rStyle w:val="VerbatimChar"/>
        </w:rPr>
        <w:t xml:space="preserve">Read docs/00-master-prompt.md in full (Parts 1–10, Appendices A–E, Sources), docs/ecosystem/infrabyx-integration-spec.md (v1.1, canonical) and the tenant-side Parts the Hub serves: Finbyx Parts 7F (GV6, GV7), 7J, 7K and 7L; Udofin Parts 7G and 7H. Inspect the repository, branch, files, Git status and tooling and report them. Do not write application code or modify the repository yet.</w:t>
      </w:r>
      <w:r>
        <w:br/>
      </w:r>
      <w:r>
        <w:br/>
      </w:r>
      <w:r>
        <w:rPr>
          <w:rStyle w:val="VerbatimChar"/>
        </w:rPr>
        <w:t xml:space="preserve">First verify, with dated sources: (i) current stable versions and licences of Next.js, NestJS, Node.js 26 LTS, PostgreSQL, Supabase regions, Temporal, GoRules ZEN and CEL; (ii) the India residency position of every candidate sub-processor (Supabase, AWS, Railway, Temporal Cloud, Sentry, Brevo, Razorpay, Microsoft 365 Default Geography and Advanced Data Residency, Google Workspace data regions, GitHub, any LLM endpoint); (iii) Labour Code State rules for Delhi, Uttar Pradesh and Rajasthan and current EPF, ESI, PT and LWF parameters; (iv) the Income-tax Act 2025 salary forms (Form 138, Form 130); (v) which office suite and plan Infrabyx actually holds.</w:t>
      </w:r>
      <w:r>
        <w:br/>
      </w:r>
      <w:r>
        <w:br/>
      </w:r>
      <w:r>
        <w:rPr>
          <w:rStyle w:val="VerbatimChar"/>
        </w:rPr>
        <w:t xml:space="preserve">Produce:</w:t>
      </w:r>
      <w:r>
        <w:br/>
      </w:r>
      <w:r>
        <w:br/>
      </w:r>
      <w:r>
        <w:rPr>
          <w:rStyle w:val="VerbatimChar"/>
        </w:rPr>
        <w:t xml:space="preserve">0. An inventory of current operational tools and data per legal entity (spreadsheets, CRM and Brevo lists, payroll, Tally Prime or Zoho Books, office-suite tenants, GitHub, support mailboxes, social accounts): owners, volumes, quality, migration needs.</w:t>
      </w:r>
      <w:r>
        <w:br/>
      </w:r>
      <w:r>
        <w:rPr>
          <w:rStyle w:val="VerbatimChar"/>
        </w:rPr>
        <w:t xml:space="preserve">1. The architecture: context, module map OH1–OH14 with data ownership, legal-entity and client scoping (API, service, forced RLS), the grant model and the Equator wall.</w:t>
      </w:r>
      <w:r>
        <w:br/>
      </w:r>
      <w:r>
        <w:rPr>
          <w:rStyle w:val="VerbatimChar"/>
        </w:rPr>
        <w:t xml:space="preserve">2. Technology ADRs, including the rules engine, IdP federation and the residency check per sub-processor.</w:t>
      </w:r>
      <w:r>
        <w:br/>
      </w:r>
      <w:r>
        <w:rPr>
          <w:rStyle w:val="VerbatimChar"/>
        </w:rPr>
        <w:t xml:space="preserve">3. Build-versus-buy per module (for example HubSpot or Zoho CRM, Freshdesk, Keka, greytHR or Razorpay Payroll, Vanta, Drata or Sprinto): cost, residency, integration effort, exit path.</w:t>
      </w:r>
      <w:r>
        <w:br/>
      </w:r>
      <w:r>
        <w:rPr>
          <w:rStyle w:val="VerbatimChar"/>
        </w:rPr>
        <w:t xml:space="preserve">4. The repository structure (Appendix C) and entity model (Appendix D).</w:t>
      </w:r>
      <w:r>
        <w:br/>
      </w:r>
      <w:r>
        <w:rPr>
          <w:rStyle w:val="VerbatimChar"/>
        </w:rPr>
        <w:t xml:space="preserve">5. Event and API boundaries from Part 6, with gaps written as Integration Spec proposals.</w:t>
      </w:r>
      <w:r>
        <w:br/>
      </w:r>
      <w:r>
        <w:rPr>
          <w:rStyle w:val="VerbatimChar"/>
        </w:rPr>
        <w:t xml:space="preserve">6. Legal register v1: every source in Part 4 and in the Sources list with title, number, date and status; every [VERIFY] with the phase that closes it.</w:t>
      </w:r>
      <w:r>
        <w:br/>
      </w:r>
      <w:r>
        <w:rPr>
          <w:rStyle w:val="VerbatimChar"/>
        </w:rPr>
        <w:t xml:space="preserve">7. The roadmap with acceptance criteria and the minimum security, testing and review gates.</w:t>
      </w:r>
      <w:r>
        <w:br/>
      </w:r>
      <w:r>
        <w:rPr>
          <w:rStyle w:val="VerbatimChar"/>
        </w:rPr>
        <w:t xml:space="preserve">8. The Appendix B decisions with your recommendation for each.</w:t>
      </w:r>
      <w:r>
        <w:br/>
      </w:r>
      <w:r>
        <w:rPr>
          <w:rStyle w:val="VerbatimChar"/>
        </w:rPr>
        <w:t xml:space="preserve">9. The navigation map: confirm the sidebar order, the workspace visibility matrix and the settings catalogue defaults and floors of Appendix E, and list any screen or setting you propose to add or drop.</w:t>
      </w:r>
      <w:r>
        <w:br/>
      </w:r>
      <w:r>
        <w:br/>
      </w:r>
      <w:r>
        <w:rPr>
          <w:rStyle w:val="VerbatimChar"/>
        </w:rPr>
        <w:t xml:space="preserve">Present all of this for my approval before modifying the repository.</w:t>
      </w:r>
      <w:r>
        <w:br/>
      </w:r>
      <w:r>
        <w:br/>
      </w:r>
      <w:r>
        <w:rPr>
          <w:rStyle w:val="VerbatimChar"/>
        </w:rPr>
        <w:t xml:space="preserve">Present everything for my approval before modifying the repository.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3"/>
        </w:numPr>
        <w:pStyle w:val="Compact"/>
      </w:pPr>
      <w:r>
        <w:t xml:space="preserve">☐ The inventory lists every current operational tool and dataset per legal entity (CRM and Brevo lists, payroll, Tally Prime or Zoho Books, office-suite tenants, GitHub, support mailboxes, social accounts) with owner, volume and migration need.</w:t>
      </w:r>
    </w:p>
    <w:p>
      <w:pPr>
        <w:numPr>
          <w:ilvl w:val="0"/>
          <w:numId w:val="1003"/>
        </w:numPr>
        <w:pStyle w:val="Compact"/>
      </w:pPr>
      <w:r>
        <w:t xml:space="preserve">☐ Every sub-processor has a dated India-residency finding in an ADR; Google Workspace is recorded as having no India data region and Railway as synthetic-data only.</w:t>
      </w:r>
    </w:p>
    <w:p>
      <w:pPr>
        <w:numPr>
          <w:ilvl w:val="0"/>
          <w:numId w:val="1003"/>
        </w:numPr>
        <w:pStyle w:val="Compact"/>
      </w:pPr>
      <w:r>
        <w:t xml:space="preserve">☐ Legal register v1 lists every source in Part 4 and the Sources list with title, number, date and status, and maps every [VERIFY] item to the phase that closes it.</w:t>
      </w:r>
    </w:p>
    <w:p>
      <w:pPr>
        <w:numPr>
          <w:ilvl w:val="0"/>
          <w:numId w:val="1003"/>
        </w:numPr>
        <w:pStyle w:val="Compact"/>
      </w:pPr>
      <w:r>
        <w:t xml:space="preserve">☐ The architecture shows modules OH1–OH14 with data owners, forced-RLS legal-entity scoping, the grant model and the Equator wall; build-versus-buy is recommended per module.</w:t>
      </w:r>
    </w:p>
    <w:p>
      <w:pPr>
        <w:numPr>
          <w:ilvl w:val="0"/>
          <w:numId w:val="1003"/>
        </w:numPr>
        <w:pStyle w:val="Compact"/>
      </w:pPr>
      <w:r>
        <w:t xml:space="preserve">☐ The event and API boundary list uses only canonical Integration Spec v1.1 names; every gap (for example the</w:t>
      </w:r>
      <w:r>
        <w:t xml:space="preserve"> </w:t>
      </w:r>
      <w:r>
        <w:rPr>
          <w:rStyle w:val="VerbatimChar"/>
        </w:rPr>
        <w:t xml:space="preserve">oh</w:t>
      </w:r>
      <w:r>
        <w:t xml:space="preserve"> </w:t>
      </w:r>
      <w:r>
        <w:t xml:space="preserve">source and</w:t>
      </w:r>
      <w:r>
        <w:t xml:space="preserve"> </w:t>
      </w:r>
      <w:r>
        <w:rPr>
          <w:rStyle w:val="VerbatimChar"/>
        </w:rPr>
        <w:t xml:space="preserve">CONTRACT_PERFORMANCE_VENDOR</w:t>
      </w:r>
      <w:r>
        <w:t xml:space="preserve"> </w:t>
      </w:r>
      <w:r>
        <w:t xml:space="preserve">basis) is a written proposal.</w:t>
      </w:r>
    </w:p>
    <w:p>
      <w:pPr>
        <w:numPr>
          <w:ilvl w:val="0"/>
          <w:numId w:val="1003"/>
        </w:numPr>
        <w:pStyle w:val="Compact"/>
      </w:pPr>
      <w:r>
        <w:t xml:space="preserve">☐ Every Appendix B decision has a recommendation, and no application code or repository change has been made before approval.</w:t>
      </w:r>
    </w:p>
    <w:p>
      <w:pPr>
        <w:numPr>
          <w:ilvl w:val="0"/>
          <w:numId w:val="1003"/>
        </w:numPr>
        <w:pStyle w:val="Compact"/>
      </w:pPr>
      <w:r>
        <w:t xml:space="preserve">☐ The menu map (workspace › module › screen) and the settings catalogue for OH1–OH14 list every setting with level, default and nature (regulatory floor or commercial choice) and are approved before Phase O1.</w:t>
      </w:r>
    </w:p>
    <w:p>
      <w:pPr>
        <w:numPr>
          <w:ilvl w:val="0"/>
          <w:numId w:val="1003"/>
        </w:numPr>
        <w:pStyle w:val="Compact"/>
      </w:pPr>
      <w:r>
        <w:t xml:space="preserve">☐ The baseline PR contains only CLAUDE.md, the ADRs and docs/; no application scaffolding.</w:t>
      </w:r>
    </w:p>
    <w:bookmarkEnd w:id="22"/>
    <w:bookmarkStart w:id="23" w:name="X0876ee0465223f7a7450ff39c0549e8abbfcbd9"/>
    <w:p>
      <w:pPr>
        <w:pStyle w:val="Heading3"/>
      </w:pPr>
      <w:r>
        <w:t xml:space="preserve">Phase O1 — Platform foundation and group identity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Monorepo; CI with EO1 rulesets from day one; environments; OIDC federation with MFA; legal-entity register skeleton; application shell (sidebar, Home, global search, notification centre, saved views, entity switcher); design system; observability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feat/oh-platform-foundation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O1a Monorepo, CI and GitHub rulesets; O1b OIDC federation and MFA; O1c Legal-entity register skeleton and State calendars; O1d Design system, observability and NTP.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O1 — Platform foundation and group identity. Governing brief: docs/00-master-prompt.md (Part 9, Phase O1; Part 4 legal boundaries prevail).</w:t>
      </w:r>
      <w:r>
        <w:br/>
      </w:r>
      <w:r>
        <w:br/>
      </w:r>
      <w:r>
        <w:rPr>
          <w:rStyle w:val="VerbatimChar"/>
        </w:rPr>
        <w:t xml:space="preserve">Verify first: (i) the approved O0 ADRs are merged; (ii) which ruleset, secret-scanning and code-scanning features our GitHub plan includes for private repositories; (iii) the group directory (Entra ID or Google) and the consent it needs.</w:t>
      </w:r>
      <w:r>
        <w:br/>
      </w:r>
      <w:r>
        <w:br/>
      </w:r>
      <w:r>
        <w:rPr>
          <w:rStyle w:val="VerbatimChar"/>
        </w:rPr>
        <w:t xml:space="preserve">On branch `feat/oh-platform-foundation` build:</w:t>
      </w:r>
      <w:r>
        <w:br/>
      </w:r>
      <w:r>
        <w:br/>
      </w:r>
      <w:r>
        <w:rPr>
          <w:rStyle w:val="VerbatimChar"/>
        </w:rPr>
        <w:t xml:space="preserve">- pnpm + Turborepo, TypeScript strict; `apps/web`, `apps/api`, `apps/worker`; `packages/` contracts (generated from `infrabyx-contracts`), domain-kernel (Money, Rate, BusinessDate, State working-day calendars, IDs), ui (shared tokens), config, observability, testing; Docker Compose for Postgres, Temporal and Gotenberg; `.env.example` only;</w:t>
      </w:r>
      <w:r>
        <w:br/>
      </w:r>
      <w:r>
        <w:rPr>
          <w:rStyle w:val="VerbatimChar"/>
        </w:rPr>
        <w:t xml:space="preserve">- GitHub controls from day one (Part 8.3): rulesets, CODEOWNERS with coverage check, signed commits, required checks, `sensitive-path-approvals`, SHA-pinned Actions, environments with reviewers, nightly ruleset export as evidence;</w:t>
      </w:r>
      <w:r>
        <w:br/>
      </w:r>
      <w:r>
        <w:rPr>
          <w:rStyle w:val="VerbatimChar"/>
        </w:rPr>
        <w:t xml:space="preserve">- OIDC abstraction with federation to the group directory, mandatory MFA and the Integration Spec Part 4.6 claims (`org_id` of the employing entity, `entity_scope[]`, `grant_ids[]`, `acr`, `auth_time`), plus `employee_ref` inside the Hub;</w:t>
      </w:r>
      <w:r>
        <w:br/>
      </w:r>
      <w:r>
        <w:rPr>
          <w:rStyle w:val="VerbatimChar"/>
        </w:rPr>
        <w:t xml:space="preserve">- the OH1 legal-entity register skeleton (legal entities, GSTINs by State, offices, State calendars);</w:t>
      </w:r>
      <w:r>
        <w:br/>
      </w:r>
      <w:r>
        <w:rPr>
          <w:rStyle w:val="VerbatimChar"/>
        </w:rPr>
        <w:t xml:space="preserve">- OpenTelemetry with PII scrubbing; NTP drift alarm; Storybook;</w:t>
      </w:r>
      <w:r>
        <w:br/>
      </w:r>
      <w:r>
        <w:rPr>
          <w:rStyle w:val="VerbatimChar"/>
        </w:rPr>
        <w:t xml:space="preserve">- the application shell of Part 3.5: sidebar in the fixed order with workspace-based visibility (Appendix E.2), Home with My Queue and role tiles (placeholders until each module lands), legal-entity switcher, command palette (`Ctrl+K` or `Cmd+K`), keyboard shortcuts, notification-centre UI, saved-view UI, and the list, detail, wizard, approval-queue, empty-state and error-state components; WCAG 2.2 AA checks (axe) in CI.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direct push, force push or unsigned commit to `main` is rejected and the ruleset export is stored;</w:t>
      </w:r>
      <w:r>
        <w:br/>
      </w:r>
      <w:r>
        <w:rPr>
          <w:rStyle w:val="VerbatimChar"/>
        </w:rPr>
        <w:t xml:space="preserve">- a pull request changing `/.github/` with one code-owner approval fails `sensitive-path-approvals`;</w:t>
      </w:r>
      <w:r>
        <w:br/>
      </w:r>
      <w:r>
        <w:rPr>
          <w:rStyle w:val="VerbatimChar"/>
        </w:rPr>
        <w:t xml:space="preserve">- sign-in without MFA is refused; a single-entity user's token carries only that scope;</w:t>
      </w:r>
      <w:r>
        <w:br/>
      </w:r>
      <w:r>
        <w:rPr>
          <w:rStyle w:val="VerbatimChar"/>
        </w:rPr>
        <w:t xml:space="preserve">- a seeded log line with an email or PAN-like value is scrubbed and the scanner fails the build;</w:t>
      </w:r>
      <w:r>
        <w:br/>
      </w:r>
      <w:r>
        <w:rPr>
          <w:rStyle w:val="VerbatimChar"/>
        </w:rPr>
        <w:t xml:space="preserve">- property tests pass for Money, and the working-day calculator returns the correct second working day after a Friday before a State holiday;</w:t>
      </w:r>
      <w:r>
        <w:br/>
      </w:r>
      <w:r>
        <w:rPr>
          <w:rStyle w:val="VerbatimChar"/>
        </w:rPr>
        <w:t xml:space="preserve">- a user whose workspace lacks a menu does not see it in the sidebar and receives 403 on its route; the axe check passes on every shell screen.</w:t>
      </w:r>
      <w:r>
        <w:br/>
      </w:r>
      <w:r>
        <w:br/>
      </w:r>
      <w:r>
        <w:rPr>
          <w:rStyle w:val="VerbatimChar"/>
        </w:rPr>
        <w:t xml:space="preserve">Build no business features. Show me the repository skeleton, ruleset configuration and claim mapping for approval before coding, then open a pull request with the test output.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docs/specs/phase-o1-oh-platform-foundation.md: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feat/oh-platform-foundation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5"/>
        </w:numPr>
        <w:pStyle w:val="Compact"/>
      </w:pPr>
      <w:r>
        <w:t xml:space="preserve">☐ A direct push, force push or unsigned 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rejected, and the nightly ruleset JSON export is stored as evidence.</w:t>
      </w:r>
    </w:p>
    <w:p>
      <w:pPr>
        <w:numPr>
          <w:ilvl w:val="0"/>
          <w:numId w:val="1005"/>
        </w:numPr>
        <w:pStyle w:val="Compact"/>
      </w:pPr>
      <w:r>
        <w:t xml:space="preserve">☐ A pull request changing</w:t>
      </w:r>
      <w:r>
        <w:t xml:space="preserve"> </w:t>
      </w:r>
      <w:r>
        <w:rPr>
          <w:rStyle w:val="VerbatimChar"/>
        </w:rPr>
        <w:t xml:space="preserve">/.github/</w:t>
      </w:r>
      <w:r>
        <w:t xml:space="preserve"> </w:t>
      </w:r>
      <w:r>
        <w:t xml:space="preserve">with one code-owner approval fails</w:t>
      </w:r>
      <w:r>
        <w:t xml:space="preserve"> </w:t>
      </w:r>
      <w:r>
        <w:rPr>
          <w:rStyle w:val="VerbatimChar"/>
        </w:rPr>
        <w:t xml:space="preserve">sensitive-path-approvals</w:t>
      </w:r>
      <w:r>
        <w:t xml:space="preserve">; CODEOWNERS coverage check fails on any unowned module or package file.</w:t>
      </w:r>
    </w:p>
    <w:p>
      <w:pPr>
        <w:numPr>
          <w:ilvl w:val="0"/>
          <w:numId w:val="1005"/>
        </w:numPr>
        <w:pStyle w:val="Compact"/>
      </w:pPr>
      <w:r>
        <w:t xml:space="preserve">☐ Sign-in without MFA is refused; a token for a single-entity user carries only that</w:t>
      </w:r>
      <w:r>
        <w:t xml:space="preserve"> </w:t>
      </w:r>
      <w:r>
        <w:rPr>
          <w:rStyle w:val="VerbatimChar"/>
        </w:rPr>
        <w:t xml:space="preserve">le_scopes</w:t>
      </w:r>
      <w:r>
        <w:t xml:space="preserve"> </w:t>
      </w:r>
      <w:r>
        <w:t xml:space="preserve">value.</w:t>
      </w:r>
    </w:p>
    <w:p>
      <w:pPr>
        <w:numPr>
          <w:ilvl w:val="0"/>
          <w:numId w:val="1005"/>
        </w:numPr>
        <w:pStyle w:val="Compact"/>
      </w:pPr>
      <w:r>
        <w:t xml:space="preserve">☐ A seeded log line with an email address or PAN-like value is scrubbed, and the PII scanner fails the build on the fixture.</w:t>
      </w:r>
    </w:p>
    <w:p>
      <w:pPr>
        <w:numPr>
          <w:ilvl w:val="0"/>
          <w:numId w:val="1005"/>
        </w:numPr>
        <w:pStyle w:val="Compact"/>
      </w:pPr>
      <w:r>
        <w:t xml:space="preserve">☐ Money property tests pass and the working-day calculator returns the correct second working day after a Friday before a State holiday.</w:t>
      </w:r>
    </w:p>
    <w:p>
      <w:pPr>
        <w:numPr>
          <w:ilvl w:val="0"/>
          <w:numId w:val="1005"/>
        </w:numPr>
        <w:pStyle w:val="Compact"/>
      </w:pPr>
      <w:r>
        <w:t xml:space="preserve">☐ The navigation shell renders the approved workspace menus by role, passes WCAG 2.2 AA automated checks, and every list screen has an empty and an error state.</w:t>
      </w:r>
    </w:p>
    <w:p>
      <w:pPr>
        <w:numPr>
          <w:ilvl w:val="0"/>
          <w:numId w:val="1005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3"/>
    <w:bookmarkStart w:id="24" w:name="X746160b79f6c58c531852e910d20c06d6fcea6b"/>
    <w:p>
      <w:pPr>
        <w:pStyle w:val="Heading3"/>
      </w:pPr>
      <w:r>
        <w:t xml:space="preserve">Phase O2 — Data model, legal-entity scoping and audit trail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Forced RLS; group grants and SoD; Equator wall and case-party block list; hash-chained audit; maker-checker; settings registry; rule-pack framework; claims-gate service v0 (lexicon and empty certification register); outbox and inbox; retention and legal hold (OH1)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feat/oh-entity-scoping-audit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O2a Identity, grants and SoD model; O2b Forced RLS and isolation tests; O2c Hash-chained audit and maker-checker; O2d Rule-pack framework and shared Labour Code pack loader; O2e Outbox, inbox, schema registry and retention or legal hold.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O2 — Data model, legal-entity scoping and audit trail. Governing brief: docs/00-master-prompt.md (Part 9, Phase O2; Part 4 legal boundaries prevail).</w:t>
      </w:r>
      <w:r>
        <w:br/>
      </w:r>
      <w:r>
        <w:br/>
      </w:r>
      <w:r>
        <w:rPr>
          <w:rStyle w:val="VerbatimChar"/>
        </w:rPr>
        <w:t xml:space="preserve">Verify first: (i) RLS with Supabase transaction pooling and `set_config(…, true)`; (ii) the Integration Spec SDK version and the `oh` source, `group_grant` and data-class ceiling rules (Integration Spec Parts 3.2, 4.6, 13.2); (iii) the rules-engine ADR.</w:t>
      </w:r>
      <w:r>
        <w:br/>
      </w:r>
      <w:r>
        <w:br/>
      </w:r>
      <w:r>
        <w:rPr>
          <w:rStyle w:val="VerbatimChar"/>
        </w:rPr>
        <w:t xml:space="preserve">On branch `feat/oh-entity-scoping-audit` create migrations and services for person, employment, user, role, permission, group_grant, purpose_code, sod_conflict_rule, break_glass_record, case_party_block, relationship; legal_entity, office, department, cost_centre, client_org (Integration Spec `org_id`); maker_checker_request, doa_rule, audit_event (hash-chained), outbox, inbox, idempotency, DLQ; setting_definition and setting_value (the settings registry of Part 3.4); notification_type, notification and notification_preference (Appendix E.4); saved_view; search_index_entry; rule_pack_version with the loader and signature check for the shared Labour Code pack; claims_lexicon_entry and an empty certification register (claims-gate service v0: every certification claim blocked until O12); retention_class, legal_hold, disposal_certificate; data-principal requests.</w:t>
      </w:r>
      <w:r>
        <w:br/>
      </w:r>
      <w:r>
        <w:br/>
      </w:r>
      <w:r>
        <w:rPr>
          <w:rStyle w:val="VerbatimChar"/>
        </w:rPr>
        <w:t xml:space="preserve">Implement forced RLS on `legal_entity_id`, `client_org_id` and `sensitivity` with the API on a non-owner role; RBAC + ABAC with grants and DoA limits; maker-checker with fresh MFA; the nightly audit-chain verifier and anchor; Integration Spec outbox, inbox, schema, data-class ceiling and forbidden-field validation, Standard Webhooks and RFC 9421; the cross-entity grant workflow of OH1.4 (principal's and target entities' heads and the DPO; ≤ 90 days; SCIM `valid_to`); the Equator wall and wall-breach log; the settings registry with floor enforcement and maker-checker; the notification engine (in-app and email; Teams or Google Chat through OH12 later; mandatory categories cannot be muted); permission-trimmed global search.</w:t>
      </w:r>
      <w:r>
        <w:br/>
      </w:r>
      <w:r>
        <w:br/>
      </w:r>
      <w:r>
        <w:rPr>
          <w:rStyle w:val="VerbatimChar"/>
        </w:rPr>
        <w:t xml:space="preserve">- Menus, screens and settings: the `Admin` menu and OH1 settings exactly as the OH1 `Menu and screens` and `Settings and options` tables specify; `Home › Notifications` and `Home › Saved views`.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cross-entity and cross-client reads and writes fail; no context returns zero rows;</w:t>
      </w:r>
      <w:r>
        <w:br/>
      </w:r>
      <w:r>
        <w:rPr>
          <w:rStyle w:val="VerbatimChar"/>
        </w:rPr>
        <w:t xml:space="preserve">- a RESTRICTED row is invisible under a CONFIDENTIAL ceiling;</w:t>
      </w:r>
      <w:r>
        <w:br/>
      </w:r>
      <w:r>
        <w:rPr>
          <w:rStyle w:val="VerbatimChar"/>
        </w:rPr>
        <w:t xml:space="preserve">- a maker cannot check their own request; an expired grant stops at `valid_to`;</w:t>
      </w:r>
      <w:r>
        <w:br/>
      </w:r>
      <w:r>
        <w:rPr>
          <w:rStyle w:val="VerbatimChar"/>
        </w:rPr>
        <w:t xml:space="preserve">- a lender-side user cannot be granted an Equator role;</w:t>
      </w:r>
      <w:r>
        <w:br/>
      </w:r>
      <w:r>
        <w:rPr>
          <w:rStyle w:val="VerbatimChar"/>
        </w:rPr>
        <w:t xml:space="preserve">- a direct edit of one audit row is detected by the verifier;</w:t>
      </w:r>
      <w:r>
        <w:br/>
      </w:r>
      <w:r>
        <w:rPr>
          <w:rStyle w:val="VerbatimChar"/>
        </w:rPr>
        <w:t xml:space="preserve">- an inbound event with a forbidden field goes to the DLQ;</w:t>
      </w:r>
      <w:r>
        <w:br/>
      </w:r>
      <w:r>
        <w:rPr>
          <w:rStyle w:val="VerbatimChar"/>
        </w:rPr>
        <w:t xml:space="preserve">- a cross-entity grant lacking the DPO's approval cannot be activated;</w:t>
      </w:r>
      <w:r>
        <w:br/>
      </w:r>
      <w:r>
        <w:rPr>
          <w:rStyle w:val="VerbatimChar"/>
        </w:rPr>
        <w:t xml:space="preserve">- a record under legal hold cannot be disposed of, and a disposal outside hold produces a certificate;</w:t>
      </w:r>
      <w:r>
        <w:br/>
      </w:r>
      <w:r>
        <w:rPr>
          <w:rStyle w:val="VerbatimChar"/>
        </w:rPr>
        <w:t xml:space="preserve">- global search returns no record outside the user's scope and no Equator record to a lender-side user; a query with a PAN-like pattern is refused;</w:t>
      </w:r>
      <w:r>
        <w:br/>
      </w:r>
      <w:r>
        <w:rPr>
          <w:rStyle w:val="VerbatimChar"/>
        </w:rPr>
        <w:t xml:space="preserve">- a setting saved below its floor is refused with the rule shown; a mandatory notification cannot be muted;</w:t>
      </w:r>
      <w:r>
        <w:br/>
      </w:r>
      <w:r>
        <w:rPr>
          <w:rStyle w:val="VerbatimChar"/>
        </w:rPr>
        <w:t xml:space="preserve">- the claims-gate service blocks "ISO 27001 certified" while the certification register is empty.</w:t>
      </w:r>
      <w:r>
        <w:br/>
      </w:r>
      <w:r>
        <w:br/>
      </w:r>
      <w:r>
        <w:rPr>
          <w:rStyle w:val="VerbatimChar"/>
        </w:rPr>
        <w:t xml:space="preserve">Show me the entity model, RLS policies, grant workflow and SoD matrix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docs/specs/phase-o2-oh-entity-scoping-audit.md: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feat/oh-entity-scoping-audit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7"/>
        </w:numPr>
        <w:pStyle w:val="Compact"/>
      </w:pPr>
      <w:r>
        <w:t xml:space="preserve">☐ Cross-entity and cross-client reads and writes fail, and a query without session context returns zero rows on every business table.</w:t>
      </w:r>
    </w:p>
    <w:p>
      <w:pPr>
        <w:numPr>
          <w:ilvl w:val="0"/>
          <w:numId w:val="1007"/>
        </w:numPr>
        <w:pStyle w:val="Compact"/>
      </w:pPr>
      <w:r>
        <w:t xml:space="preserve">☐ A RESTRICTED row is invisible under a CONFIDENTIAL grant ceiling; an expired grant stops working at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; a cross-entity grant without DPO approval cannot activate.</w:t>
      </w:r>
    </w:p>
    <w:p>
      <w:pPr>
        <w:numPr>
          <w:ilvl w:val="0"/>
          <w:numId w:val="1007"/>
        </w:numPr>
        <w:pStyle w:val="Compact"/>
      </w:pPr>
      <w:r>
        <w:t xml:space="preserve">☐ A maker cannot check their own request, and approval without fresh MFA is refused.</w:t>
      </w:r>
    </w:p>
    <w:p>
      <w:pPr>
        <w:numPr>
          <w:ilvl w:val="0"/>
          <w:numId w:val="1007"/>
        </w:numPr>
        <w:pStyle w:val="Compact"/>
      </w:pPr>
      <w:r>
        <w:t xml:space="preserve">☐ A user holding a Finbyx or Udofin operator role cannot be granted any Equator role.</w:t>
      </w:r>
    </w:p>
    <w:p>
      <w:pPr>
        <w:numPr>
          <w:ilvl w:val="0"/>
          <w:numId w:val="1007"/>
        </w:numPr>
        <w:pStyle w:val="Compact"/>
      </w:pPr>
      <w:r>
        <w:t xml:space="preserve">☐ A direct database edit of one audit row is detected by the nightly hash-chain verifier.</w:t>
      </w:r>
    </w:p>
    <w:p>
      <w:pPr>
        <w:numPr>
          <w:ilvl w:val="0"/>
          <w:numId w:val="1007"/>
        </w:numPr>
        <w:pStyle w:val="Compact"/>
      </w:pPr>
      <w:r>
        <w:t xml:space="preserve">☐ An inbound event carrying a forbidden field (loan id, PAN-like value) is rejected to the DLQ with</w:t>
      </w:r>
      <w:r>
        <w:t xml:space="preserve"> </w:t>
      </w:r>
      <w:r>
        <w:rPr>
          <w:rStyle w:val="VerbatimChar"/>
        </w:rPr>
        <w:t xml:space="preserve">regulatory-guard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The settings service stores every setting with level, default, nature and version; a change that relaxes a regulatory floor is refused, and a regulated-configuration change needs maker-checker.</w:t>
      </w:r>
    </w:p>
    <w:p>
      <w:pPr>
        <w:numPr>
          <w:ilvl w:val="0"/>
          <w:numId w:val="1007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4"/>
    <w:bookmarkStart w:id="25" w:name="phase-o3-crm-and-marketing-consent"/>
    <w:p>
      <w:pPr>
        <w:pStyle w:val="Heading3"/>
      </w:pPr>
      <w:r>
        <w:t xml:space="preserve">Phase O3 — CRM and marketing consent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Open-schema CRM (OH3); consent ledger and send gate; Brevo adapter with exit export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O2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feat/oh-crm-consent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O3a Open-schema CRM core and custom objects; O3b Consent ledger and send gate; O3c Brevo adapter and exit export; O3d Contact data-principal requests.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O3 — CRM and marketing consent. Governing brief: docs/00-master-prompt.md (Part 9, Phase O3; Part 4 legal boundaries prevail).</w:t>
      </w:r>
      <w:r>
        <w:br/>
      </w:r>
      <w:r>
        <w:br/>
      </w:r>
      <w:r>
        <w:rPr>
          <w:rStyle w:val="VerbatimChar"/>
        </w:rPr>
        <w:t xml:space="preserve">Verify first: (i) my build-versus-buy decision for the CRM (Hub as system of record with Brevo for sending, or Brevo-first); (ii) Brevo's current CRM paths, limits, webhooks, export job and hosting; (iii) TCCCPR 2018 as amended on 12 Feb 2025 (opt-out, 90-day re-consent wait, 140-series, DLT headers and templates) and whether Infrabyx needs its own DLT principal-entity registration; (iv) DPDP notice and consent rules and their commencement.</w:t>
      </w:r>
      <w:r>
        <w:br/>
      </w:r>
      <w:r>
        <w:br/>
      </w:r>
      <w:r>
        <w:rPr>
          <w:rStyle w:val="VerbatimChar"/>
        </w:rPr>
        <w:t xml:space="preserve">On branch `feat/oh-crm-consent` build OH3:</w:t>
      </w:r>
      <w:r>
        <w:br/>
      </w:r>
      <w:r>
        <w:br/>
      </w:r>
      <w:r>
        <w:rPr>
          <w:rStyle w:val="VerbatimChar"/>
        </w:rPr>
        <w:t xml:space="preserve">- Open schema: organisations linked to the Integration Spec `org_id` (CIN, GSTIN, RBI certificate of registration or other licence, entity type as declared), contacts, leads, opportunities and pipelines per legal entity and product, activities, tasks, partners; custom objects and fields as versioned JSON Schemas with maker-checker; import with dry run, de-duplication and reject file; full signed export (Integration Spec Part 12).</w:t>
      </w:r>
      <w:r>
        <w:br/>
      </w:r>
      <w:r>
        <w:rPr>
          <w:rStyle w:val="VerbatimChar"/>
        </w:rPr>
        <w:t xml:space="preserve">- Consent ledger and send gate (OH3.3–OH3.4): consent by channel and purpose with basis, source, notice version and withdrawal; DND; DLT template ids. A send is refused with a reason unless purpose matches, no opt-out in the last 90 days, DLT header, template and category are valid, promotions carry an opt-out, promotional voice uses the 140-series route, and service messages go only to existing clients.</w:t>
      </w:r>
      <w:r>
        <w:br/>
      </w:r>
      <w:r>
        <w:rPr>
          <w:rStyle w:val="VerbatimChar"/>
        </w:rPr>
        <w:t xml:space="preserve">- Brevo adapter (`CrmMarketingProvider`): two-way sync of B2B contacts and lists, 429 back-off, webhooks to the event store, nightly full export; contacts flagged as a client's borrower, member or employee are refused.</w:t>
      </w:r>
      <w:r>
        <w:br/>
      </w:r>
      <w:r>
        <w:rPr>
          <w:rStyle w:val="VerbatimChar"/>
        </w:rPr>
        <w:t xml:space="preserve">- Equator segregation: Equator's pipeline visible only within Equator; lender-side users cannot see which REs refer cases to Equator.</w:t>
      </w:r>
      <w:r>
        <w:br/>
      </w:r>
      <w:r>
        <w:rPr>
          <w:rStyle w:val="VerbatimChar"/>
        </w:rPr>
        <w:t xml:space="preserve">- Data-principal requests for contacts with retention exceptions.</w:t>
      </w:r>
      <w:r>
        <w:br/>
      </w:r>
      <w:r>
        <w:rPr>
          <w:rStyle w:val="VerbatimChar"/>
        </w:rPr>
        <w:t xml:space="preserve">- Client lifecycle timeline on the client 360 page with the stages, owners, timers and failure paths of OH3.2.</w:t>
      </w:r>
      <w:r>
        <w:br/>
      </w:r>
      <w:r>
        <w:rPr>
          <w:rStyle w:val="VerbatimChar"/>
        </w:rPr>
        <w:t xml:space="preserve">- Menus, screens and settings: the `Clients` and `CRM` menus and OH3 settings exactly as the OH3 `Menu and screens` and `Settings and options` tables specify, including the segment builder with live consent counts, the import wizard and the merge queue.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promotion to a contact who opted out 60 days ago is refused;</w:t>
      </w:r>
      <w:r>
        <w:br/>
      </w:r>
      <w:r>
        <w:rPr>
          <w:rStyle w:val="VerbatimChar"/>
        </w:rPr>
        <w:t xml:space="preserve">- an SMS without a DLT template id is refused;</w:t>
      </w:r>
      <w:r>
        <w:br/>
      </w:r>
      <w:r>
        <w:rPr>
          <w:rStyle w:val="VerbatimChar"/>
        </w:rPr>
        <w:t xml:space="preserve">- a Finbyx sales user cannot open an Equator opportunity by id;</w:t>
      </w:r>
      <w:r>
        <w:br/>
      </w:r>
      <w:r>
        <w:rPr>
          <w:rStyle w:val="VerbatimChar"/>
        </w:rPr>
        <w:t xml:space="preserve">- an import containing a PAN-like column is rejected;</w:t>
      </w:r>
      <w:r>
        <w:br/>
      </w:r>
      <w:r>
        <w:rPr>
          <w:rStyle w:val="VerbatimChar"/>
        </w:rPr>
        <w:t xml:space="preserve">- during a Brevo outage sync queues without loss, and the nightly export reproduces every Hub contact with checksums.</w:t>
      </w:r>
      <w:r>
        <w:br/>
      </w:r>
      <w:r>
        <w:br/>
      </w:r>
      <w:r>
        <w:rPr>
          <w:rStyle w:val="VerbatimChar"/>
        </w:rPr>
        <w:t xml:space="preserve">Show me the CRM model, custom-field governance, send-gate rules and Brevo field map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docs/specs/phase-o3-oh-crm-consent.md: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feat/oh-crm-consent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09"/>
        </w:numPr>
        <w:pStyle w:val="Compact"/>
      </w:pPr>
      <w:r>
        <w:t xml:space="preserve">☐ A promotion to a contact who opted out 60 days earlier is refused with the send-gate reason recorded.</w:t>
      </w:r>
    </w:p>
    <w:p>
      <w:pPr>
        <w:numPr>
          <w:ilvl w:val="0"/>
          <w:numId w:val="1009"/>
        </w:numPr>
        <w:pStyle w:val="Compact"/>
      </w:pPr>
      <w:r>
        <w:t xml:space="preserve">☐ An SMS without a DLT template id, or a promotional call not on the 140-series route, is refused.</w:t>
      </w:r>
    </w:p>
    <w:p>
      <w:pPr>
        <w:numPr>
          <w:ilvl w:val="0"/>
          <w:numId w:val="1009"/>
        </w:numPr>
        <w:pStyle w:val="Compact"/>
      </w:pPr>
      <w:r>
        <w:t xml:space="preserve">☐ A Finbyx-entity sales user cannot open an Equator opportunity by id.</w:t>
      </w:r>
    </w:p>
    <w:p>
      <w:pPr>
        <w:numPr>
          <w:ilvl w:val="0"/>
          <w:numId w:val="1009"/>
        </w:numPr>
        <w:pStyle w:val="Compact"/>
      </w:pPr>
      <w:r>
        <w:t xml:space="preserve">☐ An import file containing a PAN-like column or contacts flagged as a client’s borrowers is rejected with a reject file.</w:t>
      </w:r>
    </w:p>
    <w:p>
      <w:pPr>
        <w:numPr>
          <w:ilvl w:val="0"/>
          <w:numId w:val="1009"/>
        </w:numPr>
        <w:pStyle w:val="Compact"/>
      </w:pPr>
      <w:r>
        <w:t xml:space="preserve">☐ During a simulated Brevo outage sync queues without loss, and the nightly export reproduces every Hub contact with checksums.</w:t>
      </w:r>
    </w:p>
    <w:p>
      <w:pPr>
        <w:numPr>
          <w:ilvl w:val="0"/>
          <w:numId w:val="1009"/>
        </w:numPr>
        <w:pStyle w:val="Compact"/>
      </w:pPr>
      <w:r>
        <w:t xml:space="preserve">☐ The OH3 menus and settings match the approved menu map; a role without CRM rights sees no CRM menu, and a send-gate setting cannot be relaxed below its floor.</w:t>
      </w:r>
    </w:p>
    <w:p>
      <w:pPr>
        <w:numPr>
          <w:ilvl w:val="0"/>
          <w:numId w:val="1009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5"/>
    <w:bookmarkStart w:id="26" w:name="X51c486a00047f279dedf0a6e5aad23dacf1b86b"/>
    <w:p>
      <w:pPr>
        <w:pStyle w:val="Heading3"/>
      </w:pPr>
      <w:r>
        <w:t xml:space="preserve">Phase O4 — Client onboarding, delivery and migration factory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Provisioning orders, gates and</w:t>
      </w:r>
      <w:r>
        <w:t xml:space="preserve"> </w:t>
      </w:r>
      <w:r>
        <w:rPr>
          <w:rStyle w:val="VerbatimChar"/>
        </w:rPr>
        <w:t xml:space="preserve">TenantProvisioned</w:t>
      </w:r>
      <w:r>
        <w:t xml:space="preserve"> </w:t>
      </w:r>
      <w:r>
        <w:t xml:space="preserve">with acknowledgement; implementation projects and milestones; migration factory; exit cases (OH4)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O3 (plan refs from the static catalogue until O6)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feat/oh-onboarding-delivery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O4a Provisioning orders and contract gates; O4b Implementation projects and milestones; O4c Migration-factory tracking; O4d Exit projects and suite-migration engagements.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O4 — Client onboarding, delivery and migration factory. Governing brief: docs/00-master-prompt.md (Part 9, Phase O4; Part 4 legal boundaries prevail).</w:t>
      </w:r>
      <w:r>
        <w:br/>
      </w:r>
      <w:r>
        <w:br/>
      </w:r>
      <w:r>
        <w:rPr>
          <w:rStyle w:val="VerbatimChar"/>
        </w:rPr>
        <w:t xml:space="preserve">Verify first: (i) the provisioning contract of Integration Spec Part 6.29 (`TenantProvisioned`, `PUT /v1/provisioning-requests/{id}`, `GET /v1/tenants/{tenantid}/provisioning-status`) and each product's implementation of it; (ii) the contract set each product needs before a production RE tenant (Finbyx Part 10.6 items 1 and 13–17, CM5.4; Udofin UP1); (iii) how an RBI certificate of registration, CIN, GSTIN and co-operative registration are verified; (iv) Finbyx DP5 exit turnaround times.</w:t>
      </w:r>
      <w:r>
        <w:br/>
      </w:r>
      <w:r>
        <w:br/>
      </w:r>
      <w:r>
        <w:rPr>
          <w:rStyle w:val="VerbatimChar"/>
        </w:rPr>
        <w:t xml:space="preserve">On branch `feat/oh-onboarding-delivery` build OH4:</w:t>
      </w:r>
      <w:r>
        <w:br/>
      </w:r>
      <w:r>
        <w:br/>
      </w:r>
      <w:r>
        <w:rPr>
          <w:rStyle w:val="VerbatimChar"/>
        </w:rPr>
        <w:t xml:space="preserve">- Provisioning orders `DRAFT → GATES_PENDING → APPROVED → ACCEPTED → READY → LIVE` (or `REJECTED`, `FAILED`) as OH4.2: sandbox tenants self-served with synthetic data; UAT and production need the signed MSA and DPA with the OUT clause matrix, due-diligence evidence, the client's outsourcing assessment where it applies, a named admin work email, data region and plan; signed `TenantProvisioned`, acknowledgement capture and the fallback poll.</w:t>
      </w:r>
      <w:r>
        <w:br/>
      </w:r>
      <w:r>
        <w:rPr>
          <w:rStyle w:val="VerbatimChar"/>
        </w:rPr>
        <w:t xml:space="preserve">- Implementation projects: templates by product and institution profile (NBFC-BL, NBFC-MFI, HFC, credit co-operative society, co-operative bank, ARC, IFSCA finance company, listed entity), milestones, RACI, RAID log, client sign-off evidence; `ImplementationMilestoneReached` to OH8.</w:t>
      </w:r>
      <w:r>
        <w:br/>
      </w:r>
      <w:r>
        <w:rPr>
          <w:rStyle w:val="VerbatimChar"/>
        </w:rPr>
        <w:t xml:space="preserve">- Migration factory (tracking only): plans, mapping-pack versions, dry-run counts, reconciliation sign-off and cut-over checklists; legacy data is loaded and reconciled inside the product tenant (Finbyx Phase 19), never in the Hub.</w:t>
      </w:r>
      <w:r>
        <w:br/>
      </w:r>
      <w:r>
        <w:rPr>
          <w:rStyle w:val="VerbatimChar"/>
        </w:rPr>
        <w:t xml:space="preserve">- Office-suite migrations for clients as service engagements with the vendors' tools [VERIFY edition limits].</w:t>
      </w:r>
      <w:r>
        <w:br/>
      </w:r>
      <w:r>
        <w:rPr>
          <w:rStyle w:val="VerbatimChar"/>
        </w:rPr>
        <w:t xml:space="preserve">- Exit cases (OH4.6): `ExportRequested` and `ExportCompleted` tracking, turnaround, successor cooperation log, no-erasure-during-transition flag, purge certificate and independent assurance (OUT paras 87, 88, 97(xvi)).</w:t>
      </w:r>
      <w:r>
        <w:br/>
      </w:r>
      <w:r>
        <w:rPr>
          <w:rStyle w:val="VerbatimChar"/>
        </w:rPr>
        <w:t xml:space="preserve">- Menus, screens and settings: the `Onboarding` menu, the client implementation portal and OH4 settings exactly as the OH4 `Menu and screens` and `Settings and options` tables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production order without a DPA reference cannot be approved;</w:t>
      </w:r>
      <w:r>
        <w:br/>
      </w:r>
      <w:r>
        <w:rPr>
          <w:rStyle w:val="VerbatimChar"/>
        </w:rPr>
        <w:t xml:space="preserve">- a milestone accepted twice emits one `ImplementationMilestoneReached`;</w:t>
      </w:r>
      <w:r>
        <w:br/>
      </w:r>
      <w:r>
        <w:rPr>
          <w:rStyle w:val="VerbatimChar"/>
        </w:rPr>
        <w:t xml:space="preserve">- no Hub migration record holds a loan or customer field (schema test);</w:t>
      </w:r>
      <w:r>
        <w:br/>
      </w:r>
      <w:r>
        <w:rPr>
          <w:rStyle w:val="VerbatimChar"/>
        </w:rPr>
        <w:t xml:space="preserve">- an exit case cannot close without a purge certificate and client sign-off;</w:t>
      </w:r>
      <w:r>
        <w:br/>
      </w:r>
      <w:r>
        <w:rPr>
          <w:rStyle w:val="VerbatimChar"/>
        </w:rPr>
        <w:t xml:space="preserve">- a `FAILED` acknowledgement shows its reason code and a resubmission carries a new request id.</w:t>
      </w:r>
      <w:r>
        <w:br/>
      </w:r>
      <w:r>
        <w:br/>
      </w:r>
      <w:r>
        <w:rPr>
          <w:rStyle w:val="VerbatimChar"/>
        </w:rPr>
        <w:t xml:space="preserve">Show me the provisioning gates, project templates, exit checklist and screen list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docs/specs/phase-o4-oh-onboarding-delivery.md: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feat/oh-onboarding-delivery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1"/>
        </w:numPr>
        <w:pStyle w:val="Compact"/>
      </w:pPr>
      <w:r>
        <w:t xml:space="preserve">☐ A production provisioning order without an MSA, DPA or OUT clause-matrix reference cannot be approved; a sandbox order provisions with synthetic data only.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TenantProvisioned</w:t>
      </w:r>
      <w:r>
        <w:t xml:space="preserve"> </w:t>
      </w:r>
      <w:r>
        <w:t xml:space="preserve">is emitted once per approved order and the product acknowledgement is recorded.</w:t>
      </w:r>
    </w:p>
    <w:p>
      <w:pPr>
        <w:numPr>
          <w:ilvl w:val="0"/>
          <w:numId w:val="1011"/>
        </w:numPr>
        <w:pStyle w:val="Compact"/>
      </w:pPr>
      <w:r>
        <w:t xml:space="preserve">☐ A milestone accepted twice emits one</w:t>
      </w:r>
      <w:r>
        <w:t xml:space="preserve"> </w:t>
      </w:r>
      <w:r>
        <w:rPr>
          <w:rStyle w:val="VerbatimChar"/>
        </w:rPr>
        <w:t xml:space="preserve">ImplementationMilestoneReached</w:t>
      </w:r>
      <w:r>
        <w:t xml:space="preserve">, which OH8 can bill.</w:t>
      </w:r>
    </w:p>
    <w:p>
      <w:pPr>
        <w:numPr>
          <w:ilvl w:val="0"/>
          <w:numId w:val="1011"/>
        </w:numPr>
        <w:pStyle w:val="Compact"/>
      </w:pPr>
      <w:r>
        <w:t xml:space="preserve">☐ No migration record in the Hub contains a loan, customer or member field (schema test).</w:t>
      </w:r>
    </w:p>
    <w:p>
      <w:pPr>
        <w:numPr>
          <w:ilvl w:val="0"/>
          <w:numId w:val="1011"/>
        </w:numPr>
        <w:pStyle w:val="Compact"/>
      </w:pPr>
      <w:r>
        <w:t xml:space="preserve">☐ An exit project cannot be closed without</w:t>
      </w:r>
      <w:r>
        <w:t xml:space="preserve"> </w:t>
      </w:r>
      <w:r>
        <w:rPr>
          <w:rStyle w:val="VerbatimChar"/>
        </w:rPr>
        <w:t xml:space="preserve">ExportCompleted</w:t>
      </w:r>
      <w:r>
        <w:t xml:space="preserve">, a purge certificate and the client’s sign-off.</w:t>
      </w:r>
    </w:p>
    <w:p>
      <w:pPr>
        <w:numPr>
          <w:ilvl w:val="0"/>
          <w:numId w:val="1011"/>
        </w:numPr>
        <w:pStyle w:val="Compact"/>
      </w:pPr>
      <w:r>
        <w:t xml:space="preserve">☐ The OH4 provisioning, project and exit screens show the gate checklist with blockers, and the approval queue refuses self-approval.</w:t>
      </w:r>
    </w:p>
    <w:p>
      <w:pPr>
        <w:numPr>
          <w:ilvl w:val="0"/>
          <w:numId w:val="1011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6"/>
    <w:bookmarkStart w:id="27" w:name="X53a7358147e1a6102632416cbcc804b44d8ca84"/>
    <w:p>
      <w:pPr>
        <w:pStyle w:val="Heading3"/>
      </w:pPr>
      <w:r>
        <w:t xml:space="preserve">Phase O5 — Support desk and customer success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Tickets with SLAs and DLP; borrower-complaint forwarding; client grievance ladder; knowledge base; health and renewals (OH6, OH5)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O3, O4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feat/oh-support-success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O5a Ticketing, SLAs and DLP; O5b Borrower-complaint forwarding and client grievance ladder; O5c Knowledge base and service catalogue; O5d Customer success, health scores and renewals.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O5 — Support desk and customer success. Governing brief: docs/00-master-prompt.md (Part 9, Phase O5; Part 4 legal boundaries prevail).</w:t>
      </w:r>
      <w:r>
        <w:br/>
      </w:r>
      <w:r>
        <w:br/>
      </w:r>
      <w:r>
        <w:rPr>
          <w:rStyle w:val="VerbatimChar"/>
        </w:rPr>
        <w:t xml:space="preserve">Verify first: (i) support tiers and SLAs in current client contracts; (ii) the RE grievance-routing rules (CF para 12; OUT paras 54–57; NBFC Internal Ombudsman Directions 2026; RBI Ombudsman Scheme 2026); (iii) incident clocks (OUT para 61; CERT-In Directions) and the `SecurityIncidentNotified` contract.</w:t>
      </w:r>
      <w:r>
        <w:br/>
      </w:r>
      <w:r>
        <w:br/>
      </w:r>
      <w:r>
        <w:rPr>
          <w:rStyle w:val="VerbatimChar"/>
        </w:rPr>
        <w:t xml:space="preserve">On branch `feat/oh-support-success` build OH6 and OH5:</w:t>
      </w:r>
      <w:r>
        <w:br/>
      </w:r>
      <w:r>
        <w:br/>
      </w:r>
      <w:r>
        <w:rPr>
          <w:rStyle w:val="VerbatimChar"/>
        </w:rPr>
        <w:t xml:space="preserve">- Tickets from in-product help (`POST /v1/support/tickets`), email, portal, phone and Teams; triage queue with AI suggestions and duplicate detection; severity matrix with the four clocks (response, update, workaround, resolution) by tier and business calendar, pause only in `WAITING_ON_CLIENT`, reopen window; escalation to L2, engineering (linked GitHub issue and change id) and management; `SupportTicketOpened`, `SupportTicketResolved`.</w:t>
      </w:r>
      <w:r>
        <w:br/>
      </w:r>
      <w:r>
        <w:rPr>
          <w:rStyle w:val="VerbatimChar"/>
        </w:rPr>
        <w:t xml:space="preserve">- DLP at intake (PAN, Aadhaar, account, card, mobile; attachment OCR); client data stays behind the product deep link.</w:t>
      </w:r>
      <w:r>
        <w:br/>
      </w:r>
      <w:r>
        <w:rPr>
          <w:rStyle w:val="VerbatimChar"/>
        </w:rPr>
        <w:t xml:space="preserve">- Borrower complaints reaching Infrabyx are forwarded to the RE's grievance redressal officer within 1 working day, the complainant is told which RE handles it, and Infrabyx can never mark them resolved.</w:t>
      </w:r>
      <w:r>
        <w:br/>
      </w:r>
      <w:r>
        <w:rPr>
          <w:rStyle w:val="VerbatimChar"/>
        </w:rPr>
        <w:t xml:space="preserve">- Client grievances against Infrabyx: support head → product head → director, with time limits [REC: acknowledge in 1 working day, resolve in 15], root cause, corrective action and OH8 credit notes where agreed.</w:t>
      </w:r>
      <w:r>
        <w:br/>
      </w:r>
      <w:r>
        <w:rPr>
          <w:rStyle w:val="VerbatimChar"/>
        </w:rPr>
        <w:t xml:space="preserve">- Vendor incidents: severity-1 tickets show detection, client-notice (≤ 2 hours) and CERT-In (6 hours) clocks.</w:t>
      </w:r>
      <w:r>
        <w:br/>
      </w:r>
      <w:r>
        <w:rPr>
          <w:rStyle w:val="VerbatimChar"/>
        </w:rPr>
        <w:t xml:space="preserve">- Knowledge base and service catalogue with review dates and the claims gate.</w:t>
      </w:r>
      <w:r>
        <w:br/>
      </w:r>
      <w:r>
        <w:rPr>
          <w:rStyle w:val="VerbatimChar"/>
        </w:rPr>
        <w:t xml:space="preserve">- Customer success: health score from aggregates (usage trend, tickets, SLA breaches, invoice status, module adoption, CSAT or NPS); renewals at 120, 90, 60, 30 and 7 days; success plans, business reviews and churn playbooks.</w:t>
      </w:r>
      <w:r>
        <w:br/>
      </w:r>
      <w:r>
        <w:rPr>
          <w:rStyle w:val="VerbatimChar"/>
        </w:rPr>
        <w:t xml:space="preserve">- Menus, screens and settings: the `Support` and `Success` menus, the client support portal and OH5 and OH6 settings exactly as their `Menu and screens` and `Settings and options` tables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severity-1 response-SLA breach escalates automatically and shows on the client's ticket page;</w:t>
      </w:r>
      <w:r>
        <w:br/>
      </w:r>
      <w:r>
        <w:rPr>
          <w:rStyle w:val="VerbatimChar"/>
        </w:rPr>
        <w:t xml:space="preserve">- an emailed borrower complaint is forwarded to the configured RE officer within 1 working day, its body is purged after acknowledgement, and it cannot be resolved by Infrabyx;</w:t>
      </w:r>
      <w:r>
        <w:br/>
      </w:r>
      <w:r>
        <w:rPr>
          <w:rStyle w:val="VerbatimChar"/>
        </w:rPr>
        <w:t xml:space="preserve">- a Sev 2 ticket in `WAITING_ON_THIRD_PARTY` keeps its clock running and escalates at 50% and 75%;</w:t>
      </w:r>
      <w:r>
        <w:br/>
      </w:r>
      <w:r>
        <w:rPr>
          <w:rStyle w:val="VerbatimChar"/>
        </w:rPr>
        <w:t xml:space="preserve">- a health score recomputes from stored inputs and contains no tenant record ids;</w:t>
      </w:r>
      <w:r>
        <w:br/>
      </w:r>
      <w:r>
        <w:rPr>
          <w:rStyle w:val="VerbatimChar"/>
        </w:rPr>
        <w:t xml:space="preserve">- an article calling a product "SOC 2 certified" without an issued report fails the claims gate.</w:t>
      </w:r>
      <w:r>
        <w:br/>
      </w:r>
      <w:r>
        <w:br/>
      </w:r>
      <w:r>
        <w:rPr>
          <w:rStyle w:val="VerbatimChar"/>
        </w:rPr>
        <w:t xml:space="preserve">Show me the SLA matrix, grievance ladder and health-score formula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docs/specs/phase-o5-oh-support-success.md: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feat/oh-support-success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3"/>
        </w:numPr>
        <w:pStyle w:val="Compact"/>
      </w:pPr>
      <w:r>
        <w:t xml:space="preserve">☐ A severity-1 ticket breaching its response SLA escalates automatically and the breach is visible on the client’s ticket page.</w:t>
      </w:r>
    </w:p>
    <w:p>
      <w:pPr>
        <w:numPr>
          <w:ilvl w:val="0"/>
          <w:numId w:val="1013"/>
        </w:numPr>
        <w:pStyle w:val="Compact"/>
      </w:pPr>
      <w:r>
        <w:t xml:space="preserve">☐ A ticket containing an Aadhaar-like or PAN-like value is stored redacted and the submitter is told why.</w:t>
      </w:r>
    </w:p>
    <w:p>
      <w:pPr>
        <w:numPr>
          <w:ilvl w:val="0"/>
          <w:numId w:val="1013"/>
        </w:numPr>
        <w:pStyle w:val="Compact"/>
      </w:pPr>
      <w:r>
        <w:t xml:space="preserve">☐ An emailed borrower complaint is forwarded to the configured RE grievance officer within 1 working day and cannot be marked resolved by Infrabyx.</w:t>
      </w:r>
    </w:p>
    <w:p>
      <w:pPr>
        <w:numPr>
          <w:ilvl w:val="0"/>
          <w:numId w:val="1013"/>
        </w:numPr>
        <w:pStyle w:val="Compact"/>
      </w:pPr>
      <w:r>
        <w:t xml:space="preserve">☐ A client grievance follows the support head, product head, director ladder with time limits and root-cause capture.</w:t>
      </w:r>
    </w:p>
    <w:p>
      <w:pPr>
        <w:numPr>
          <w:ilvl w:val="0"/>
          <w:numId w:val="1013"/>
        </w:numPr>
        <w:pStyle w:val="Compact"/>
      </w:pPr>
      <w:r>
        <w:t xml:space="preserve">☐ A health score recomputes exactly from stored inputs and formula version and contains no tenant record ids.</w:t>
      </w:r>
    </w:p>
    <w:p>
      <w:pPr>
        <w:numPr>
          <w:ilvl w:val="0"/>
          <w:numId w:val="1013"/>
        </w:numPr>
        <w:pStyle w:val="Compact"/>
      </w:pPr>
      <w:r>
        <w:t xml:space="preserve">☐ The OH6 and OH5 menus match the approved map; the SLA and severity settings are versioned, and a borrower-complaint ticket has no</w:t>
      </w:r>
      <w:r>
        <w:t xml:space="preserve"> </w:t>
      </w:r>
      <w:r>
        <w:t xml:space="preserve">“</w:t>
      </w:r>
      <w:r>
        <w:t xml:space="preserve">resolve</w:t>
      </w:r>
      <w:r>
        <w:t xml:space="preserve">”</w:t>
      </w:r>
      <w:r>
        <w:t xml:space="preserve"> </w:t>
      </w:r>
      <w:r>
        <w:t xml:space="preserve">action for Infrabyx users.</w:t>
      </w:r>
    </w:p>
    <w:p>
      <w:pPr>
        <w:numPr>
          <w:ilvl w:val="0"/>
          <w:numId w:val="1013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7"/>
    <w:bookmarkStart w:id="28" w:name="Xf345d339159ed64b6c7748fff56e5de2586c490"/>
    <w:p>
      <w:pPr>
        <w:pStyle w:val="Heading3"/>
      </w:pPr>
      <w:r>
        <w:t xml:space="preserve">Phase O6 — Revenue catalogue, billing and Razorpay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Signed catalogue; entitlements; usage intake; GST invoices; Razorpay; dunning with regulatory continuity; revenue recognition and review (OH8)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O3, O4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feat/oh-billing-catalogue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O6a Catalogue, SKUs and legality gate; O6b Subscriptions, entitlements and usage intake; O6c GST invoicing and e-invoice; O6d Razorpay payments, webhooks and reconciliation; O6e Dunning with regulatory continuity; O6f Revenue recognition, books export and revenue-model review.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O6 — Revenue catalogue, billing and Razorpay. Governing brief: docs/00-master-prompt.md (Part 9, Phase O6; Part 4 legal boundaries prevail).</w:t>
      </w:r>
      <w:r>
        <w:br/>
      </w:r>
      <w:r>
        <w:br/>
      </w:r>
      <w:r>
        <w:rPr>
          <w:rStyle w:val="VerbatimChar"/>
        </w:rPr>
        <w:t xml:space="preserve">Verify first: (i) my decisions on merchant of record, plan tiers and SKUs, and AS 9 or Ind AS 115 (Appendix B); (ii) Razorpay's current Orders, Payment Links, Subscriptions, eNACH and Smart Collect APIs, webhook rules, PA authorisation and PCI AoC; (iii) the E-mandate Directions 2026 (RBI/DPSS/2026-27/396); (iv) GST for SaaS and IT services (SAC [VERIFY], IGST Act s.12(2), e-invoicing threshold, LUT for SEZ and IFSC units) and the TDS clients apply to our fees [VERIFY]; (v) the Finbyx CM1–CM5 and Udofin RV1–RV4 contracts.</w:t>
      </w:r>
      <w:r>
        <w:br/>
      </w:r>
      <w:r>
        <w:br/>
      </w:r>
      <w:r>
        <w:rPr>
          <w:rStyle w:val="VerbatimChar"/>
        </w:rPr>
        <w:t xml:space="preserve">On branch `feat/oh-billing-catalogue` build OH8:</w:t>
      </w:r>
      <w:r>
        <w:br/>
      </w:r>
      <w:r>
        <w:br/>
      </w:r>
      <w:r>
        <w:rPr>
          <w:rStyle w:val="VerbatimChar"/>
        </w:rPr>
        <w:t xml:space="preserve">- Catalogue: products, plans, SKUs mapped to each product's module registry, meters, price books, add-ons, revenue-stream flags with the legality gate (Finbyx CM5.3), explainers checked by the claims gate; JWS-signed versions served by `GET /v1/catalogue/versions/{v}`.</w:t>
      </w:r>
      <w:r>
        <w:br/>
      </w:r>
      <w:r>
        <w:rPr>
          <w:rStyle w:val="VerbatimChar"/>
        </w:rPr>
        <w:t xml:space="preserve">- Subscriptions and entitlements: upgrade immediately, downgrade at term end, renewal, cancellation; signed `PlanChanged` and `EntitlementChanged`; contract tests against the Finbyx CM1.4 regulatory-continuity rule.</w:t>
      </w:r>
      <w:r>
        <w:br/>
      </w:r>
      <w:r>
        <w:rPr>
          <w:rStyle w:val="VerbatimChar"/>
        </w:rPr>
        <w:t xml:space="preserve">- Usage intake: `UsageRecorded` aggregates; 7-day disputes; Udofin B2C aggregates only.</w:t>
      </w:r>
      <w:r>
        <w:br/>
      </w:r>
      <w:r>
        <w:rPr>
          <w:rStyle w:val="VerbatimChar"/>
        </w:rPr>
        <w:t xml:space="preserve">- Invoicing: tax invoices, credit and debit notes (CGST Act s.34), IGST or CGST + SGST, IRN and QR through the IRP above ₹5 crore AATO, LUT zero-rating, Form 131 reconciliation; `InvoiceIssued`.</w:t>
      </w:r>
      <w:r>
        <w:br/>
      </w:r>
      <w:r>
        <w:rPr>
          <w:rStyle w:val="VerbatimChar"/>
        </w:rPr>
        <w:t xml:space="preserve">- Quotes and orders: `POST /v1/billing/quotes` (priced quote and proration preview, valid 7 days) and `POST /v1/billing/orders` (Razorpay-hosted URL for top-level redirect), both with Idempotency-Key; `GET /v1/billing/invoices?tenantid=`; `GET /v1/entitlements?tenant=` daily reconciliation.</w:t>
      </w:r>
      <w:r>
        <w:br/>
      </w:r>
      <w:r>
        <w:rPr>
          <w:rStyle w:val="VerbatimChar"/>
        </w:rPr>
        <w:t xml:space="preserve">- Payments: redirect checkout or Payment Links; Subscriptions with card or UPI AutoPay (no AFA only up to ₹15,000; issuer notice ≥ 24 hours; our notice at T-48 hours); eNACH above that; Smart Collect; raw-body HMAC, event-id de-duplication, order-insensitive upserts, daily settlement reconciliation; `SubscriptionPaymentReceived`, `SubscriptionPaymentFailed`.</w:t>
      </w:r>
      <w:r>
        <w:br/>
      </w:r>
      <w:r>
        <w:rPr>
          <w:rStyle w:val="VerbatimChar"/>
        </w:rPr>
        <w:t xml:space="preserve">- Dunning: `ACTIVE → PAST_DUE → RETRY (D+1, D+3, D+7) → GRACE (D+14) → RESTRICTED (D+30, after 7 days' notice) → TERMINATION_NOTICE (D+45) → EXIT`; `SubscriptionCancelled` only when the notice expires; never a hard cancel.</w:t>
      </w:r>
      <w:r>
        <w:br/>
      </w:r>
      <w:r>
        <w:rPr>
          <w:rStyle w:val="VerbatimChar"/>
        </w:rPr>
        <w:t xml:space="preserve">- Revenue recognition schedules, monthly journals to Tally or Zoho Books, intra-group recharges.</w:t>
      </w:r>
      <w:r>
        <w:br/>
      </w:r>
      <w:r>
        <w:rPr>
          <w:rStyle w:val="VerbatimChar"/>
        </w:rPr>
        <w:t xml:space="preserve">- Revenue-model review: MRR, ARR, NRR, churn, ARPA, CAC payback, implementation margin and unit economics by product, stream, market and channel, with switch-on and switch-off scenarios.</w:t>
      </w:r>
      <w:r>
        <w:br/>
      </w:r>
      <w:r>
        <w:rPr>
          <w:rStyle w:val="VerbatimChar"/>
        </w:rPr>
        <w:t xml:space="preserve">- Menus, screens and settings: the `Revenue` menu and OH8 settings exactly as the OH8 `Menu and screens` and `Settings and options` subsections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every billing golden case in Part 8.2 passes to the paisa;</w:t>
      </w:r>
      <w:r>
        <w:br/>
      </w:r>
      <w:r>
        <w:rPr>
          <w:rStyle w:val="VerbatimChar"/>
        </w:rPr>
        <w:t xml:space="preserve">- a tampered catalogue fails the Finbyx contract test; a SKU naming an unknown module fails import;</w:t>
      </w:r>
      <w:r>
        <w:br/>
      </w:r>
      <w:r>
        <w:rPr>
          <w:rStyle w:val="VerbatimChar"/>
        </w:rPr>
        <w:t xml:space="preserve">- a forged webhook is rejected and a replay changes nothing; a browser-only success leaves the invoice unpaid;</w:t>
      </w:r>
      <w:r>
        <w:br/>
      </w:r>
      <w:r>
        <w:rPr>
          <w:rStyle w:val="VerbatimChar"/>
        </w:rPr>
        <w:t xml:space="preserve">- RESTRICTED sends no entitlement change that would stop a regulated function;</w:t>
      </w:r>
      <w:r>
        <w:br/>
      </w:r>
      <w:r>
        <w:rPr>
          <w:rStyle w:val="VerbatimChar"/>
        </w:rPr>
        <w:t xml:space="preserve">- a stream without an approved legality gate is not published.</w:t>
      </w:r>
      <w:r>
        <w:br/>
      </w:r>
      <w:r>
        <w:br/>
      </w:r>
      <w:r>
        <w:rPr>
          <w:rStyle w:val="VerbatimChar"/>
        </w:rPr>
        <w:t xml:space="preserve">Show me the catalogue schema, dunning state machine, GST matrix and revenue rules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docs/specs/phase-o6-oh-billing-catalogue.md: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feat/oh-billing-catalogue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5"/>
        </w:numPr>
        <w:pStyle w:val="Compact"/>
      </w:pPr>
      <w:r>
        <w:t xml:space="preserve">☐ Every billing and revenue-recognition golden case in Part 8.2 passes to the paisa, including IGST versus CGST + SGST and a credit note.</w:t>
      </w:r>
    </w:p>
    <w:p>
      <w:pPr>
        <w:numPr>
          <w:ilvl w:val="0"/>
          <w:numId w:val="1015"/>
        </w:numPr>
        <w:pStyle w:val="Compact"/>
      </w:pPr>
      <w:r>
        <w:t xml:space="preserve">☐ A tampered or unsigned catalogue fails the Finbyx CM1.1 contract test; a SKU naming an unknown module fails import.</w:t>
      </w:r>
    </w:p>
    <w:p>
      <w:pPr>
        <w:numPr>
          <w:ilvl w:val="0"/>
          <w:numId w:val="1015"/>
        </w:numPr>
        <w:pStyle w:val="Compact"/>
      </w:pPr>
      <w:r>
        <w:t xml:space="preserve">☐ A forged Razorpay webhook is rejected, a replayed one changes nothing, and a browser-only success leaves the invoice unpaid.</w:t>
      </w:r>
    </w:p>
    <w:p>
      <w:pPr>
        <w:numPr>
          <w:ilvl w:val="0"/>
          <w:numId w:val="1015"/>
        </w:numPr>
        <w:pStyle w:val="Compact"/>
      </w:pPr>
      <w:r>
        <w:t xml:space="preserve">☐ A ₹18,000 recurring card debit is not set up as a no-AFA mandate, and the T-48-hour courtesy notice is scheduled for every recurring debit.</w:t>
      </w:r>
    </w:p>
    <w:p>
      <w:pPr>
        <w:numPr>
          <w:ilvl w:val="0"/>
          <w:numId w:val="1015"/>
        </w:numPr>
        <w:pStyle w:val="Compact"/>
      </w:pPr>
      <w:r>
        <w:t xml:space="preserve">☐ A client at RESTRICTED receives no entitlement change that stops a regulated function (contract test against Finbyx CM1.4), and cancellation occurs only through TERMINATION_NOTICE.</w:t>
      </w:r>
    </w:p>
    <w:p>
      <w:pPr>
        <w:numPr>
          <w:ilvl w:val="0"/>
          <w:numId w:val="1015"/>
        </w:numPr>
        <w:pStyle w:val="Compact"/>
      </w:pPr>
      <w:r>
        <w:t xml:space="preserve">☐ A revenue stream without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legality gate is not published in the catalogue, and an</w:t>
      </w:r>
      <w:r>
        <w:t xml:space="preserve"> </w:t>
      </w:r>
      <w:r>
        <w:rPr>
          <w:rStyle w:val="VerbatimChar"/>
        </w:rPr>
        <w:t xml:space="preserve">ObligationPublished</w:t>
      </w:r>
      <w:r>
        <w:t xml:space="preserve"> </w:t>
      </w:r>
      <w:r>
        <w:t xml:space="preserve">tagged CF suspends affected streams for new sales only.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/v1/billing/quotes</w:t>
      </w:r>
      <w:r>
        <w:t xml:space="preserve"> </w:t>
      </w:r>
      <w:r>
        <w:t xml:space="preserve">returns price, proration, GST and entitlement diff; ordering an expired quote through</w:t>
      </w:r>
      <w:r>
        <w:t xml:space="preserve"> </w:t>
      </w:r>
      <w:r>
        <w:rPr>
          <w:rStyle w:val="VerbatimChar"/>
        </w:rPr>
        <w:t xml:space="preserve">POST /v1/billing/orders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quote-expired</w:t>
      </w:r>
      <w:r>
        <w:t xml:space="preserve">; a quote above the requester’s discount limit routes for approval.</w:t>
      </w:r>
    </w:p>
    <w:p>
      <w:pPr>
        <w:numPr>
          <w:ilvl w:val="0"/>
          <w:numId w:val="1015"/>
        </w:numPr>
        <w:pStyle w:val="Compact"/>
      </w:pPr>
      <w:r>
        <w:t xml:space="preserve">☐ A</w:t>
      </w:r>
      <w:r>
        <w:t xml:space="preserve"> </w:t>
      </w:r>
      <w:r>
        <w:rPr>
          <w:rStyle w:val="VerbatimChar"/>
        </w:rPr>
        <w:t xml:space="preserve">UsageRecorded</w:t>
      </w:r>
      <w:r>
        <w:t xml:space="preserve"> </w:t>
      </w:r>
      <w:r>
        <w:t xml:space="preserve">replay with the same</w:t>
      </w:r>
      <w:r>
        <w:t xml:space="preserve"> </w:t>
      </w:r>
      <w:r>
        <w:rPr>
          <w:rStyle w:val="VerbatimChar"/>
        </w:rPr>
        <w:t xml:space="preserve">statement_version</w:t>
      </w:r>
      <w:r>
        <w:t xml:space="preserve"> </w:t>
      </w:r>
      <w:r>
        <w:t xml:space="preserve">counts once; a payload carrying a subscriber key or loan id is rejected; a</w:t>
      </w:r>
      <w:r>
        <w:t xml:space="preserve"> </w:t>
      </w:r>
      <w:r>
        <w:rPr>
          <w:rStyle w:val="VerbatimChar"/>
        </w:rPr>
        <w:t xml:space="preserve">REVENUE_AGGREGATE</w:t>
      </w:r>
      <w:r>
        <w:t xml:space="preserve"> </w:t>
      </w:r>
      <w:r>
        <w:t xml:space="preserve">statement never produces an invoice.</w:t>
      </w:r>
    </w:p>
    <w:p>
      <w:pPr>
        <w:numPr>
          <w:ilvl w:val="0"/>
          <w:numId w:val="1015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Revenue › Catalogue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Revenue review</w:t>
      </w:r>
      <w:r>
        <w:t xml:space="preserve"> </w:t>
      </w:r>
      <w:r>
        <w:t xml:space="preserve">screens and the OH8 settings exist with role visibility tests; the deny list and the regulatory-continuity rule have no setting.</w:t>
      </w:r>
    </w:p>
    <w:p>
      <w:pPr>
        <w:numPr>
          <w:ilvl w:val="0"/>
          <w:numId w:val="1015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8"/>
    <w:bookmarkStart w:id="29" w:name="Xe1ad2a8312a4773f9b54c5d26546055385a342f"/>
    <w:p>
      <w:pPr>
        <w:pStyle w:val="Heading3"/>
      </w:pPr>
      <w:r>
        <w:t xml:space="preserve">Phase O7 — Marketing, brand, social media and PR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Brand library; content queue with claims gate; campaigns; social publishing; PR and collaborations (OH7)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O3, O5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feat/oh-marketing-brand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O7a Brand library and content queue with claims gate; O7b Campaigns, landing pages and self-serve funnel; O7c Social publishing and listening; O7d PR and collaborations register.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O7 — Marketing, brand, social media and PR. Governing brief: docs/00-master-prompt.md (Part 9, Phase O7; Part 4 legal boundaries prevail).</w:t>
      </w:r>
      <w:r>
        <w:br/>
      </w:r>
      <w:r>
        <w:br/>
      </w:r>
      <w:r>
        <w:rPr>
          <w:rStyle w:val="VerbatimChar"/>
        </w:rPr>
        <w:t xml:space="preserve">Verify first: (i) the platforms I chose and each one's publishing API terms; (ii) the ASCI Code, the CCPA Dark Patterns Guidelines 2023 and any rule on advertising software for regulated entities [VERIFY]; (iii) BCI Rule 36 for anything mentioning advocates; (iv) the rule that Equator is never presented as the default ODR for Finbyx or Udofin clients.</w:t>
      </w:r>
      <w:r>
        <w:br/>
      </w:r>
      <w:r>
        <w:br/>
      </w:r>
      <w:r>
        <w:rPr>
          <w:rStyle w:val="VerbatimChar"/>
        </w:rPr>
        <w:t xml:space="preserve">On branch `feat/oh-marketing-brand` build OH7:</w:t>
      </w:r>
      <w:r>
        <w:br/>
      </w:r>
      <w:r>
        <w:br/>
      </w:r>
      <w:r>
        <w:rPr>
          <w:rStyle w:val="VerbatimChar"/>
        </w:rPr>
        <w:t xml:space="preserve">- Brand library per entity and product with licences and expiry.</w:t>
      </w:r>
      <w:r>
        <w:br/>
      </w:r>
      <w:r>
        <w:rPr>
          <w:rStyle w:val="VerbatimChar"/>
        </w:rPr>
        <w:t xml:space="preserve">- Content queue: drafts, marketing, legal and product review, maker-checker, scheduled publishing via `SocialPublisher`; the claims gate blocks "certified", "guaranteed compliance", "RBI approved" and similar claims without an OH14 record; no fake scarcity, countdown timers, inflated value figures or unverifiable testimonials.</w:t>
      </w:r>
      <w:r>
        <w:br/>
      </w:r>
      <w:r>
        <w:rPr>
          <w:rStyle w:val="VerbatimChar"/>
        </w:rPr>
        <w:t xml:space="preserve">- Campaigns: consent-based segments, Brevo sending, UTM tracking, landing pages with consent capture and DPDP notices, webinars with disclosures; leads routed to OH3 with SLA.</w:t>
      </w:r>
      <w:r>
        <w:br/>
      </w:r>
      <w:r>
        <w:rPr>
          <w:rStyle w:val="VerbatimChar"/>
        </w:rPr>
        <w:t xml:space="preserve">- Legitimate self-serve funnel: sandbox trial with synthetic data, activation checklist and nurture, with the O4 production gate (Finbyx CM5.4).</w:t>
      </w:r>
      <w:r>
        <w:br/>
      </w:r>
      <w:r>
        <w:rPr>
          <w:rStyle w:val="VerbatimChar"/>
        </w:rPr>
        <w:t xml:space="preserve">- PR and collaborations register: coverage, releases, events, sponsorships, MoUs with obligations and conflict checks (Equator neutrality; auditor independence where a group company audits a client).</w:t>
      </w:r>
      <w:r>
        <w:br/>
      </w:r>
      <w:r>
        <w:rPr>
          <w:rStyle w:val="VerbatimChar"/>
        </w:rPr>
        <w:t xml:space="preserve">- Social listening and responses: aggregate mentions and post metrics only; complaints raised on social channels are routed to OH6 within 1 working day.</w:t>
      </w:r>
      <w:r>
        <w:br/>
      </w:r>
      <w:r>
        <w:rPr>
          <w:rStyle w:val="VerbatimChar"/>
        </w:rPr>
        <w:t xml:space="preserve">- Workflows: campaign approval with the audience freeze and send-time consent re-check (OH7.2), the press-release and collaboration pipelines (OH7.7), using the claims-gate service from O2.</w:t>
      </w:r>
      <w:r>
        <w:br/>
      </w:r>
      <w:r>
        <w:rPr>
          <w:rStyle w:val="VerbatimChar"/>
        </w:rPr>
        <w:t xml:space="preserve">- Menus, screens and settings: the `Marketing` menu and OH7 settings exactly as the OH7 `Menu and screens` and `Settings and options` tables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post claiming "ISO 27001 certified" without a certificate record cannot be approved;</w:t>
      </w:r>
      <w:r>
        <w:br/>
      </w:r>
      <w:r>
        <w:rPr>
          <w:rStyle w:val="VerbatimChar"/>
        </w:rPr>
        <w:t xml:space="preserve">- a segment cannot include a contact without matching consent;</w:t>
      </w:r>
      <w:r>
        <w:br/>
      </w:r>
      <w:r>
        <w:rPr>
          <w:rStyle w:val="VerbatimChar"/>
        </w:rPr>
        <w:t xml:space="preserve">- a lender-side campaign naming Equator as ODR partner is blocked for legal review;</w:t>
      </w:r>
      <w:r>
        <w:br/>
      </w:r>
      <w:r>
        <w:rPr>
          <w:rStyle w:val="VerbatimChar"/>
        </w:rPr>
        <w:t xml:space="preserve">- a retried platform callback does not publish twice;</w:t>
      </w:r>
      <w:r>
        <w:br/>
      </w:r>
      <w:r>
        <w:rPr>
          <w:rStyle w:val="VerbatimChar"/>
        </w:rPr>
        <w:t xml:space="preserve">- a contact who withdraws consent after the audience freeze is excluded at send time.</w:t>
      </w:r>
      <w:r>
        <w:br/>
      </w:r>
      <w:r>
        <w:br/>
      </w:r>
      <w:r>
        <w:rPr>
          <w:rStyle w:val="VerbatimChar"/>
        </w:rPr>
        <w:t xml:space="preserve">Show me the approval chain, claims lexicon and campaign model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docs/specs/phase-o7-oh-marketing-brand.md: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feat/oh-marketing-brand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7"/>
        </w:numPr>
        <w:pStyle w:val="Compact"/>
      </w:pPr>
      <w:r>
        <w:t xml:space="preserve">☐ A post or page claiming</w:t>
      </w:r>
      <w:r>
        <w:t xml:space="preserve"> </w:t>
      </w:r>
      <w:r>
        <w:t xml:space="preserve">“</w:t>
      </w:r>
      <w:r>
        <w:t xml:space="preserve">ISO 27001 certified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SOC 2 certified</w:t>
      </w:r>
      <w:r>
        <w:t xml:space="preserve">”</w:t>
      </w:r>
      <w:r>
        <w:t xml:space="preserve"> </w:t>
      </w:r>
      <w:r>
        <w:t xml:space="preserve">without an OH14 certificate record cannot be approved.</w:t>
      </w:r>
    </w:p>
    <w:p>
      <w:pPr>
        <w:numPr>
          <w:ilvl w:val="0"/>
          <w:numId w:val="1017"/>
        </w:numPr>
        <w:pStyle w:val="Compact"/>
      </w:pPr>
      <w:r>
        <w:t xml:space="preserve">☐ A campaign segment cannot include a contact without a matching marketing consent.</w:t>
      </w:r>
    </w:p>
    <w:p>
      <w:pPr>
        <w:numPr>
          <w:ilvl w:val="0"/>
          <w:numId w:val="1017"/>
        </w:numPr>
        <w:pStyle w:val="Compact"/>
      </w:pPr>
      <w:r>
        <w:t xml:space="preserve">☐ Countdown timers, scarcity banners or unverifiable testimonials are rejected by the content checks.</w:t>
      </w:r>
    </w:p>
    <w:p>
      <w:pPr>
        <w:numPr>
          <w:ilvl w:val="0"/>
          <w:numId w:val="1017"/>
        </w:numPr>
        <w:pStyle w:val="Compact"/>
      </w:pPr>
      <w:r>
        <w:t xml:space="preserve">☐ A lender-side campaign naming Equator as the ODR partner is blocked for legal review.</w:t>
      </w:r>
    </w:p>
    <w:p>
      <w:pPr>
        <w:numPr>
          <w:ilvl w:val="0"/>
          <w:numId w:val="1017"/>
        </w:numPr>
        <w:pStyle w:val="Compact"/>
      </w:pPr>
      <w:r>
        <w:t xml:space="preserve">☐ A retried platform callback does not publish a scheduled post twice.</w:t>
      </w:r>
    </w:p>
    <w:p>
      <w:pPr>
        <w:numPr>
          <w:ilvl w:val="0"/>
          <w:numId w:val="1017"/>
        </w:numPr>
        <w:pStyle w:val="Compact"/>
      </w:pPr>
      <w:r>
        <w:t xml:space="preserve">☐ The OH7 menus and settings match the approved map, and every publish action calls the claims gate before scheduling.</w:t>
      </w:r>
    </w:p>
    <w:p>
      <w:pPr>
        <w:numPr>
          <w:ilvl w:val="0"/>
          <w:numId w:val="1017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29"/>
    <w:bookmarkStart w:id="30" w:name="Xc8aef1feb6420d75749a62c023a66527d06a3eb"/>
    <w:p>
      <w:pPr>
        <w:pStyle w:val="Heading3"/>
      </w:pPr>
      <w:r>
        <w:t xml:space="preserve">Phase O8 — Professional and advocate directory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Rule 36 public listing; empanelment and verification; allocation feed; conflict register and the Equator conflict-check API (OH9, OH1.6)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O2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feat/oh-directory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O8a Professional records and verification; O8b Public Rule 36 listing and feeds; O8c Conflict register and allocation-count reporting.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O8 — Professional and advocate directory. Governing brief: docs/00-master-prompt.md (Part 9, Phase O8; Part 4 legal boundaries prevail).</w:t>
      </w:r>
      <w:r>
        <w:br/>
      </w:r>
      <w:r>
        <w:br/>
      </w:r>
      <w:r>
        <w:rPr>
          <w:rStyle w:val="VerbatimChar"/>
        </w:rPr>
        <w:t xml:space="preserve">Verify first: (i) BCI Rule 36, the 2008 proviso (Resolution 50/2008) and its Schedule of permitted website information, *P.N. Vignesh* (Madras HC, 2024) and the BCI notices of 6 Jul 2024; (ii) verification sources per professional type (State Bar Council enrolment, ICAI and ICSI certificates of practice, IBBI registration, valuer registration) [VERIFY access]; (iii) the Finbyx R11 rules that consume the directory; (iv) the public-listing scope I chose (Appendix B decision 8).</w:t>
      </w:r>
      <w:r>
        <w:br/>
      </w:r>
      <w:r>
        <w:br/>
      </w:r>
      <w:r>
        <w:rPr>
          <w:rStyle w:val="VerbatimChar"/>
        </w:rPr>
        <w:t xml:space="preserve">On branch `feat/oh-directory` build OH9:</w:t>
      </w:r>
      <w:r>
        <w:br/>
      </w:r>
      <w:r>
        <w:br/>
      </w:r>
      <w:r>
        <w:rPr>
          <w:rStyle w:val="VerbatimChar"/>
        </w:rPr>
        <w:t xml:space="preserve">- Professional record: type (advocate, chartered accountant, company secretary, cost accountant, insolvency professional, registered valuer, mediator), verification evidence, jurisdictions, forums, practice areas, languages, listing consent, notice version.</w:t>
      </w:r>
      <w:r>
        <w:br/>
      </w:r>
      <w:r>
        <w:rPr>
          <w:rStyle w:val="VerbatimChar"/>
        </w:rPr>
        <w:t xml:space="preserve">- States as OH9.2 (`INVITED` or `APPLIED` → … → `EMPANELLED → ACTIVE`, `ANNUAL_REVIEW`, `SUSPENDED`, `LAPSED`, `REMOVED`, `WITHDRAWN`); public listing only for `ACTIVE` professionals with listing consent; `ProfessionalEmpanelled` on `EMPANELLED` and on each new version; `ProfessionalSuspended` (`suspension_seq`) on suspension, lapse or removal.</w:t>
      </w:r>
      <w:r>
        <w:br/>
      </w:r>
      <w:r>
        <w:rPr>
          <w:rStyle w:val="VerbatimChar"/>
        </w:rPr>
        <w:t xml:space="preserve">- Public listing, Rule 36 Schedule fields only: name, address, contacts, enrolment number and State Bar Council, enrolment date, qualifications, practice areas. No ratings, reviews, "top" or "premium" badges, success rates, fees, testimonials or paid placement; neutral ordering (alphabetical or logged seeded random); the same on every group website.</w:t>
      </w:r>
      <w:r>
        <w:br/>
      </w:r>
      <w:r>
        <w:rPr>
          <w:rStyle w:val="VerbatimChar"/>
        </w:rPr>
        <w:t xml:space="preserve">- RE panels stay in Finbyx R11: the RE decides empanelment, fees and allocation; the Hub receives `MatterAllocated` (status and `update_seq`, no party, matter or loan identifiers) only for rotation-fairness, concentration and conflict-count reports.</w:t>
      </w:r>
      <w:r>
        <w:br/>
      </w:r>
      <w:r>
        <w:rPr>
          <w:rStyle w:val="VerbatimChar"/>
        </w:rPr>
        <w:t xml:space="preserve">- Equator conflict-check API `POST /v1/conflicts/check` (OH1.6): counts and flags only, default window `P3Y`, every call logged.</w:t>
      </w:r>
      <w:r>
        <w:br/>
      </w:r>
      <w:r>
        <w:rPr>
          <w:rStyle w:val="VerbatimChar"/>
        </w:rPr>
        <w:t xml:space="preserve">- Conflict register: relationships with group companies, REs and Equator; Equator neutrals flagged (`equator_neutral`) so R11 can block them as counsel in related matters. Performance scorecards live only in each RE's tenant.</w:t>
      </w:r>
      <w:r>
        <w:br/>
      </w:r>
      <w:r>
        <w:rPr>
          <w:rStyle w:val="VerbatimChar"/>
        </w:rPr>
        <w:t xml:space="preserve">- Menus, screens and settings: the `Directory` menu, the professional portal and OH9 settings exactly as the OH9 `Menu and screens` and `Settings and options` subsections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the public API exposes only Schedule fields and offers no sort other than neutral ordering;</w:t>
      </w:r>
      <w:r>
        <w:br/>
      </w:r>
      <w:r>
        <w:rPr>
          <w:rStyle w:val="VerbatimChar"/>
        </w:rPr>
        <w:t xml:space="preserve">- adding a "featured" flag or paid-listing SKU fails the catalogue and claims checks;</w:t>
      </w:r>
      <w:r>
        <w:br/>
      </w:r>
      <w:r>
        <w:rPr>
          <w:rStyle w:val="VerbatimChar"/>
        </w:rPr>
        <w:t xml:space="preserve">- a suspended advocate leaves the public feed within 1 hour and R11 receives `ProfessionalSuspended`;</w:t>
      </w:r>
      <w:r>
        <w:br/>
      </w:r>
      <w:r>
        <w:rPr>
          <w:rStyle w:val="VerbatimChar"/>
        </w:rPr>
        <w:t xml:space="preserve">- a `MatterAllocated` payload with a borrower name is rejected; a status change with a lower `update_seq` is ignored;</w:t>
      </w:r>
      <w:r>
        <w:br/>
      </w:r>
      <w:r>
        <w:rPr>
          <w:rStyle w:val="VerbatimChar"/>
        </w:rPr>
        <w:t xml:space="preserve">- the conflict API returns only the allocation count, flag, category and `as_of`.</w:t>
      </w:r>
      <w:r>
        <w:br/>
      </w:r>
      <w:r>
        <w:br/>
      </w:r>
      <w:r>
        <w:rPr>
          <w:rStyle w:val="VerbatimChar"/>
        </w:rPr>
        <w:t xml:space="preserve">Show me the listing fields, verification sources and state machine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docs/specs/phase-o8-oh-directory.md: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feat/oh-directory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19"/>
        </w:numPr>
        <w:pStyle w:val="Compact"/>
      </w:pPr>
      <w:r>
        <w:t xml:space="preserve">☐ The public directory API exposes only BCI Rule 36 Schedule fields and offers no ordering other than alphabetical or logged seeded random.</w:t>
      </w:r>
    </w:p>
    <w:p>
      <w:pPr>
        <w:numPr>
          <w:ilvl w:val="0"/>
          <w:numId w:val="1019"/>
        </w:numPr>
        <w:pStyle w:val="Compact"/>
      </w:pPr>
      <w:r>
        <w:t xml:space="preserve">☐ Adding a</w:t>
      </w:r>
      <w:r>
        <w:t xml:space="preserve"> </w:t>
      </w:r>
      <w:r>
        <w:t xml:space="preserve">“</w:t>
      </w:r>
      <w:r>
        <w:t xml:space="preserve">featured</w:t>
      </w:r>
      <w:r>
        <w:t xml:space="preserve">”</w:t>
      </w:r>
      <w:r>
        <w:t xml:space="preserve"> </w:t>
      </w:r>
      <w:r>
        <w:t xml:space="preserve">flag, rating, fee or paid-listing SKU fails the catalogue and claims checks.</w:t>
      </w:r>
    </w:p>
    <w:p>
      <w:pPr>
        <w:numPr>
          <w:ilvl w:val="0"/>
          <w:numId w:val="1019"/>
        </w:numPr>
        <w:pStyle w:val="Compact"/>
      </w:pPr>
      <w:r>
        <w:t xml:space="preserve">☐ A suspended professional leaves the public feed within 1 hour and Finbyx R11 receives</w:t>
      </w:r>
      <w:r>
        <w:t xml:space="preserve"> </w:t>
      </w:r>
      <w:r>
        <w:rPr>
          <w:rStyle w:val="VerbatimChar"/>
        </w:rPr>
        <w:t xml:space="preserve">ProfessionalSuspended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☐ A</w:t>
      </w:r>
      <w:r>
        <w:t xml:space="preserve"> </w:t>
      </w:r>
      <w:r>
        <w:rPr>
          <w:rStyle w:val="VerbatimChar"/>
        </w:rPr>
        <w:t xml:space="preserve">MatterAllocated</w:t>
      </w:r>
      <w:r>
        <w:t xml:space="preserve"> </w:t>
      </w:r>
      <w:r>
        <w:t xml:space="preserve">payload containing a borrower or party name, a matter number or a loan identifier is rejected; a status update with a lower</w:t>
      </w:r>
      <w:r>
        <w:t xml:space="preserve"> </w:t>
      </w:r>
      <w:r>
        <w:rPr>
          <w:rStyle w:val="VerbatimChar"/>
        </w:rPr>
        <w:t xml:space="preserve">update_seq</w:t>
      </w:r>
      <w:r>
        <w:t xml:space="preserve"> </w:t>
      </w:r>
      <w:r>
        <w:t xml:space="preserve">is ignored.</w:t>
      </w:r>
    </w:p>
    <w:p>
      <w:pPr>
        <w:numPr>
          <w:ilvl w:val="0"/>
          <w:numId w:val="1019"/>
        </w:numPr>
        <w:pStyle w:val="Compact"/>
      </w:pPr>
      <w:r>
        <w:t xml:space="preserve">☐ Annual review is scheduled for every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professional, a lapsed credential moves the professional to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 and a credential mismatch returns the application to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with reasons.</w:t>
      </w:r>
    </w:p>
    <w:p>
      <w:pPr>
        <w:numPr>
          <w:ilvl w:val="0"/>
          <w:numId w:val="1019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Directory › Professionals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Empanelment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Allocations</w:t>
      </w:r>
      <w:r>
        <w:t xml:space="preserve"> </w:t>
      </w:r>
      <w:r>
        <w:t xml:space="preserve">screens and the OH9 settings exist; no setting can add a public field, a ranking sort or a fee.</w:t>
      </w:r>
    </w:p>
    <w:p>
      <w:pPr>
        <w:numPr>
          <w:ilvl w:val="0"/>
          <w:numId w:val="1019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30"/>
    <w:bookmarkStart w:id="31" w:name="phase-o9-staff-hrms-and-payroll"/>
    <w:p>
      <w:pPr>
        <w:pStyle w:val="Heading3"/>
      </w:pPr>
      <w:r>
        <w:t xml:space="preserve">Phase O9 — Staff HRMS and payroll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Hire-to-retire; attendance and WFH; leave; Labour Code payroll with the shared rule pack (first signed release 1.0); statutory filing packs; appraisals (OH10)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O2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feat/oh-hrms-payroll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O9a Hire-to-retire, appointment letters and email identities; O9b Attendance, WFH and leave; O9c Payroll engine on the shared Labour Code rule pack; O9d F&amp;F, gratuity and statutory filing packs; O9e Performance, learning and POSH registers.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O9 — Staff HRMS and payroll. Governing brief: docs/00-master-prompt.md (Part 9, Phase O9; Part 4 legal boundaries prevail).</w:t>
      </w:r>
      <w:r>
        <w:br/>
      </w:r>
      <w:r>
        <w:br/>
      </w:r>
      <w:r>
        <w:rPr>
          <w:rStyle w:val="VerbatimChar"/>
        </w:rPr>
        <w:t xml:space="preserve">Verify first and record in the legal register: (i) the four Labour Codes (in force 21 Nov 2025) and Central Rules of 8 May 2026 (G.S.R. 342(E)–345(E); corrigendum G.S.R. 629(E) of 15 Jul 2026); (ii) State rules, Shops and Establishments changes, minimum wages, PT and LWF for Delhi, Uttar Pradesh, Rajasthan and any other State where we employ staff [VERIFY each]; (iii) EPF, ESI, gratuity, maternity and POSH thresholds by headcount per office; (iv) Income-tax Act 2025 salary TDS (s.392, Form 138, Form 130) and the Form 12BB equivalent; (v) my decisions on payroll in-house or provider and on WFH (Appendix B).</w:t>
      </w:r>
      <w:r>
        <w:br/>
      </w:r>
      <w:r>
        <w:br/>
      </w:r>
      <w:r>
        <w:rPr>
          <w:rStyle w:val="VerbatimChar"/>
        </w:rPr>
        <w:t xml:space="preserve">On branch `feat/oh-hrms-payroll` build OH10 on the shared, signed Labour Code rule pack `infrabyx-labour-rulepack` (Integration Spec Part 12.3), publishing its first signed release 1.0 with golden fixtures that Finbyx GV6 also runs:</w:t>
      </w:r>
      <w:r>
        <w:br/>
      </w:r>
      <w:r>
        <w:br/>
      </w:r>
      <w:r>
        <w:rPr>
          <w:rStyle w:val="VerbatimChar"/>
        </w:rPr>
        <w:t xml:space="preserve">- Hire-to-retire from requisition to archive, with appointment letters tagging wage components by CoW class and a WFH clause, backfill letters for existing staff, email addresses `first.last@[entity domain]` with collision rules, reserved names, 90-day quarantine and no reissue; `EmployeeOnboarded`, `EmployeeOffboarded` (oh scope).</w:t>
      </w:r>
      <w:r>
        <w:br/>
      </w:r>
      <w:r>
        <w:rPr>
          <w:rStyle w:val="VerbatimChar"/>
        </w:rPr>
        <w:t xml:space="preserve">- Attendance and WFH: SSO sign-in and sign-out, timesheets by project or ticket, regularisation; no activity, screen, webcam or off-duty location monitoring; employee notice and self-view.</w:t>
      </w:r>
      <w:r>
        <w:br/>
      </w:r>
      <w:r>
        <w:rPr>
          <w:rStyle w:val="VerbatimChar"/>
        </w:rPr>
        <w:t xml:space="preserve">- Leave (OSHWC s.32 and policy) with office holiday calendars.</w:t>
      </w:r>
      <w:r>
        <w:br/>
      </w:r>
      <w:r>
        <w:rPr>
          <w:rStyle w:val="VerbatimChar"/>
        </w:rPr>
        <w:t xml:space="preserve">- Payroll: CoW wages with the 50% add-back; EPF, ESI, PT, LWF, TDS projection; overtime with consent and the 144-hour quarterly cap; minimum-wage block; deduction cap with carry-forward; Form V payslips by pay day; Forms I, IV and IX kept 5 years; variance report (± 10% per head, new bank accounts); HR prepares, finance releases, no one approves their own line; bank file by `PayoutFileProvider`.</w:t>
      </w:r>
      <w:r>
        <w:br/>
      </w:r>
      <w:r>
        <w:rPr>
          <w:rStyle w:val="VerbatimChar"/>
        </w:rPr>
        <w:t xml:space="preserve">- F&amp;F timers: wages and encashment by LWD + 2 working days, gratuity within 30 days, service certificate within 10 days, never waiting for clearance.</w:t>
      </w:r>
      <w:r>
        <w:br/>
      </w:r>
      <w:r>
        <w:rPr>
          <w:rStyle w:val="VerbatimChar"/>
        </w:rPr>
        <w:t xml:space="preserve">- Guided statutory packs: ECR, ESIC, PT, LWF, Form 138 data and Form 130, with acknowledgement capture and no stored credentials.</w:t>
      </w:r>
      <w:r>
        <w:br/>
      </w:r>
      <w:r>
        <w:rPr>
          <w:rStyle w:val="VerbatimChar"/>
        </w:rPr>
        <w:t xml:space="preserve">- Performance and learning (goals, appraisal and calibration, training records feeding OH14) and POSH (Internal Committee per office of 10 or more, restricted case register, annual report data).</w:t>
      </w:r>
      <w:r>
        <w:br/>
      </w:r>
      <w:r>
        <w:rPr>
          <w:rStyle w:val="VerbatimChar"/>
        </w:rPr>
        <w:t xml:space="preserve">- Menus, screens and settings: the `People` menu (employee self-service, manager, HR and payroll screens; POSH visible only to the Committee) and OH10 settings exactly as the OH10 `Menu and screens` and `Settings and options` subsections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every payroll golden case in Part 8.2 passes to the paisa;</w:t>
      </w:r>
      <w:r>
        <w:br/>
      </w:r>
      <w:r>
        <w:rPr>
          <w:rStyle w:val="VerbatimChar"/>
        </w:rPr>
        <w:t xml:space="preserve">- a run with anyone below the State minimum wage is blocked; overtime beyond 144 hours a quarter is refused;</w:t>
      </w:r>
      <w:r>
        <w:br/>
      </w:r>
      <w:r>
        <w:rPr>
          <w:rStyle w:val="VerbatimChar"/>
        </w:rPr>
        <w:t xml:space="preserve">- a resignation with clearance pending still schedules F&amp;F wages for LWD + 2 working days;</w:t>
      </w:r>
      <w:r>
        <w:br/>
      </w:r>
      <w:r>
        <w:rPr>
          <w:rStyle w:val="VerbatimChar"/>
        </w:rPr>
        <w:t xml:space="preserve">- two synthetic parallel cycles reconcile line by line with the finance reviewer's independent model;</w:t>
      </w:r>
      <w:r>
        <w:br/>
      </w:r>
      <w:r>
        <w:rPr>
          <w:rStyle w:val="VerbatimChar"/>
        </w:rPr>
        <w:t xml:space="preserve">- no non-HR, non-manager user can see another employee's salary.</w:t>
      </w:r>
      <w:r>
        <w:br/>
      </w:r>
      <w:r>
        <w:br/>
      </w:r>
      <w:r>
        <w:rPr>
          <w:rStyle w:val="VerbatimChar"/>
        </w:rPr>
        <w:t xml:space="preserve">Show me the rule-pack parameters, state machines, payslip and register layouts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docs/specs/phase-o9-oh-hrms-payroll.md: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feat/oh-hrms-payroll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1"/>
        </w:numPr>
        <w:pStyle w:val="Compact"/>
      </w:pPr>
      <w:r>
        <w:t xml:space="preserve">☐ Every payroll golden case passes to the paisa, including the ₹76,000 → ₹22,000 wages example, gratuity and leave accrual.</w:t>
      </w:r>
    </w:p>
    <w:p>
      <w:pPr>
        <w:numPr>
          <w:ilvl w:val="0"/>
          <w:numId w:val="1021"/>
        </w:numPr>
        <w:pStyle w:val="Compact"/>
      </w:pPr>
      <w:r>
        <w:t xml:space="preserve">☐ A payroll run with any employee below the State minimum wage is blocked, and overtime beyond 144 hours a quarter or without consent is refused.</w:t>
      </w:r>
    </w:p>
    <w:p>
      <w:pPr>
        <w:numPr>
          <w:ilvl w:val="0"/>
          <w:numId w:val="1021"/>
        </w:numPr>
        <w:pStyle w:val="Compact"/>
      </w:pPr>
      <w:r>
        <w:t xml:space="preserve">☐ A resignation with clearance pending still schedules F&amp;F wages for LWD + 2 working days, and no notice-pay recovery is deducted.</w:t>
      </w:r>
    </w:p>
    <w:p>
      <w:pPr>
        <w:numPr>
          <w:ilvl w:val="0"/>
          <w:numId w:val="1021"/>
        </w:numPr>
        <w:pStyle w:val="Compact"/>
      </w:pPr>
      <w:r>
        <w:t xml:space="preserve">☐ The payroll preparer cannot release the bank file, and no one can approve their own pay line.</w:t>
      </w:r>
    </w:p>
    <w:p>
      <w:pPr>
        <w:numPr>
          <w:ilvl w:val="0"/>
          <w:numId w:val="1021"/>
        </w:numPr>
        <w:pStyle w:val="Compact"/>
      </w:pPr>
      <w:r>
        <w:t xml:space="preserve">☐ Statutory packs (ECR, ESIC, Form 138 data, Form 130) validate and capture acknowledgements without storing any portal credential.</w:t>
      </w:r>
    </w:p>
    <w:p>
      <w:pPr>
        <w:numPr>
          <w:ilvl w:val="0"/>
          <w:numId w:val="1021"/>
        </w:numPr>
        <w:pStyle w:val="Compact"/>
      </w:pPr>
      <w:r>
        <w:t xml:space="preserve">☐ No attendance feature records keystrokes, screenshots, webcam or off-duty location (privacy test), and no non-HR, non-manager user can see another employee’s salary.</w:t>
      </w:r>
    </w:p>
    <w:p>
      <w:pPr>
        <w:numPr>
          <w:ilvl w:val="0"/>
          <w:numId w:val="1021"/>
        </w:numPr>
        <w:pStyle w:val="Compact"/>
      </w:pPr>
      <w:r>
        <w:t xml:space="preserve">☐ A run cannot leave</w:t>
      </w:r>
      <w:r>
        <w:t xml:space="preserve"> </w:t>
      </w:r>
      <w:r>
        <w:rPr>
          <w:rStyle w:val="VerbatimChar"/>
        </w:rPr>
        <w:t xml:space="preserve">CALCULATED</w:t>
      </w:r>
      <w:r>
        <w:t xml:space="preserve"> </w:t>
      </w:r>
      <w:r>
        <w:t xml:space="preserve">while any variance (±10% per head, bank change, override, negative pay) lacks a cleared reason, and a calibration change without a reason cannot be saved.</w:t>
      </w:r>
    </w:p>
    <w:p>
      <w:pPr>
        <w:numPr>
          <w:ilvl w:val="0"/>
          <w:numId w:val="1021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People › 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Hiring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 and WFH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Appraisal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screens and the OH10 settings exist; no setting enables prohibited monitoring.</w:t>
      </w:r>
    </w:p>
    <w:p>
      <w:pPr>
        <w:numPr>
          <w:ilvl w:val="0"/>
          <w:numId w:val="1021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31"/>
    <w:bookmarkStart w:id="32" w:name="Xb20f54291f125f5eefdf39a1dc18fa3a727183c"/>
    <w:p>
      <w:pPr>
        <w:pStyle w:val="Heading3"/>
      </w:pPr>
      <w:r>
        <w:t xml:space="preserve">Phase O10 — Internal controls and anti-fraud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DoA; SoD; vendor master; expenses; ghost-employee tests; access reviews; whistle-blower channel; staff ROI (OH11)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O6, O9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feat/oh-controls-antifraud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O10a DoA and SoD enforcement; O10b Vendor master and payments controls; O10c Expenses, purchase requests and petty cash; O10d Integrity tests and access reviews; O10e Whistle-blower channel, ROI metrics and cost allocation.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O10 — Internal controls and anti-fraud. Governing brief: docs/00-master-prompt.md (Part 9, Phase O10; Part 4 legal boundaries prevail).</w:t>
      </w:r>
      <w:r>
        <w:br/>
      </w:r>
      <w:r>
        <w:br/>
      </w:r>
      <w:r>
        <w:rPr>
          <w:rStyle w:val="VerbatimChar"/>
        </w:rPr>
        <w:t xml:space="preserve">Verify first: (i) Companies Act 2013 s.177(9) with rule 7 of the Meetings of Board Rules 2014 and whether any group company meets the mandatory vigil-mechanism thresholds (otherwise adopt it voluntarily); (ii) internal financial controls reporting (s.134(5)(e), s.143(3)(i)); (iii) Model Standing Orders 2026 misconduct heads on false claims and unauthorised IT access; (iv) my DoA limits (OH11.1 defaults).</w:t>
      </w:r>
      <w:r>
        <w:br/>
      </w:r>
      <w:r>
        <w:br/>
      </w:r>
      <w:r>
        <w:rPr>
          <w:rStyle w:val="VerbatimChar"/>
        </w:rPr>
        <w:t xml:space="preserve">On branch `feat/oh-controls-antifraud` build OH11:</w:t>
      </w:r>
      <w:r>
        <w:br/>
      </w:r>
      <w:r>
        <w:br/>
      </w:r>
      <w:r>
        <w:rPr>
          <w:rStyle w:val="VerbatimChar"/>
        </w:rPr>
        <w:t xml:space="preserve">- DoA per entity and transaction type, routing upward above a limit, every decision with a reason code.</w:t>
      </w:r>
      <w:r>
        <w:br/>
      </w:r>
      <w:r>
        <w:rPr>
          <w:rStyle w:val="VerbatimChar"/>
        </w:rPr>
        <w:t xml:space="preserve">- SoD at grant: vendor creation versus payment release; employee creation versus payroll approval; bank-detail change versus payment release; user administration versus finance roles; exceptions need a director and expire.</w:t>
      </w:r>
      <w:r>
        <w:br/>
      </w:r>
      <w:r>
        <w:rPr>
          <w:rStyle w:val="VerbatimChar"/>
        </w:rPr>
        <w:t xml:space="preserve">- Vendor master: PAN and GSTIN checks; penny-drop name match ≥ 85%; duplicate PAN, account, phone or address; bank-detail change needs a call-back and a 48-hour hold; dormant 12 months blocked.</w:t>
      </w:r>
      <w:r>
        <w:br/>
      </w:r>
      <w:r>
        <w:rPr>
          <w:rStyle w:val="VerbatimChar"/>
        </w:rPr>
        <w:t xml:space="preserve">- Expenses, purchase requests and petty cash: receipt OCR and hash; duplicates; split claims within 7 days; mileage against route distance; weekend flags; cost-centre budgets.</w:t>
      </w:r>
      <w:r>
        <w:br/>
      </w:r>
      <w:r>
        <w:rPr>
          <w:rStyle w:val="VerbatimChar"/>
        </w:rPr>
        <w:t xml:space="preserve">- Monthly ghost-employee tests: shared bank accounts, pay with no sign-in for 30 days, duplicate PAN, no appointment letter or manager, pay after exit, missing UAN.</w:t>
      </w:r>
      <w:r>
        <w:br/>
      </w:r>
      <w:r>
        <w:rPr>
          <w:rStyle w:val="VerbatimChar"/>
        </w:rPr>
        <w:t xml:space="preserve">- Access reviews: privileged quarterly, others half-yearly across the Hub, office suite, GitHub, product staff consoles, cloud and finance tools; revoke after 14 days unattested; `AccessReviewCompleted`.</w:t>
      </w:r>
      <w:r>
        <w:br/>
      </w:r>
      <w:r>
        <w:rPr>
          <w:rStyle w:val="VerbatimChar"/>
        </w:rPr>
        <w:t xml:space="preserve">- Whistle-blower channel to the Audit Committee chair or nominated director: `RECEIVED → TRIAGED → INVESTIGATING → FINDINGS → ACTION → CLOSED`; anti-retaliation second review for 12 months; restricted files.</w:t>
      </w:r>
      <w:r>
        <w:br/>
      </w:r>
      <w:r>
        <w:rPr>
          <w:rStyle w:val="VerbatimChar"/>
        </w:rPr>
        <w:t xml:space="preserve">- Staff ROI (team level): revenue per employee, utilisation, cost per ticket, implementation margin, CAC payback; never the sole basis for discipline. Intra-group cost sharing by acting entity, invoiced through OH8.</w:t>
      </w:r>
      <w:r>
        <w:br/>
      </w:r>
      <w:r>
        <w:rPr>
          <w:rStyle w:val="VerbatimChar"/>
        </w:rPr>
        <w:t xml:space="preserve">- Menus, screens and settings: the `Controls` menu (whistle-blower visible only to the designated recipient) and OH11 settings exactly as the OH11 `Menu and screens` and `Settings and options` subsections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vendor-create plus payment-release on one user is refused without a time-limited director exception;</w:t>
      </w:r>
      <w:r>
        <w:br/>
      </w:r>
      <w:r>
        <w:rPr>
          <w:rStyle w:val="VerbatimChar"/>
        </w:rPr>
        <w:t xml:space="preserve">- a payment to a vendor account changed less than 48 hours earlier is blocked;</w:t>
      </w:r>
      <w:r>
        <w:br/>
      </w:r>
      <w:r>
        <w:rPr>
          <w:rStyle w:val="VerbatimChar"/>
        </w:rPr>
        <w:t xml:space="preserve">- two ₹4,900 claims from one person and merchant within 7 days against a ₹5,000 limit are flagged;</w:t>
      </w:r>
      <w:r>
        <w:br/>
      </w:r>
      <w:r>
        <w:rPr>
          <w:rStyle w:val="VerbatimChar"/>
        </w:rPr>
        <w:t xml:space="preserve">- a seeded ghost employee appears on the monthly exception report;</w:t>
      </w:r>
      <w:r>
        <w:br/>
      </w:r>
      <w:r>
        <w:rPr>
          <w:rStyle w:val="VerbatimChar"/>
        </w:rPr>
        <w:t xml:space="preserve">- a whistle-blower's identity is hidden from everyone but the designated recipient, administrators included.</w:t>
      </w:r>
      <w:r>
        <w:br/>
      </w:r>
      <w:r>
        <w:br/>
      </w:r>
      <w:r>
        <w:rPr>
          <w:rStyle w:val="VerbatimChar"/>
        </w:rPr>
        <w:t xml:space="preserve">Show me the DoA defaults, SoD matrix, exception rules and whistle-blower policy draft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docs/specs/phase-o10-oh-controls-antifraud.md: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feat/oh-controls-antifraud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3"/>
        </w:numPr>
        <w:pStyle w:val="Compact"/>
      </w:pPr>
      <w:r>
        <w:t xml:space="preserve">☐ Granting one user both vendor creation and payment release is refused without a time-limited director exception.</w:t>
      </w:r>
    </w:p>
    <w:p>
      <w:pPr>
        <w:numPr>
          <w:ilvl w:val="0"/>
          <w:numId w:val="1023"/>
        </w:numPr>
        <w:pStyle w:val="Compact"/>
      </w:pPr>
      <w:r>
        <w:t xml:space="preserve">☐ A payment to a vendor bank account changed less than 48 hours earlier, or without call-back evidence, is blocked.</w:t>
      </w:r>
    </w:p>
    <w:p>
      <w:pPr>
        <w:numPr>
          <w:ilvl w:val="0"/>
          <w:numId w:val="1023"/>
        </w:numPr>
        <w:pStyle w:val="Compact"/>
      </w:pPr>
      <w:r>
        <w:t xml:space="preserve">☐ Two ₹4,900 claims by one person at one merchant within 7 days against a ₹5,000 limit are flagged as a split claim.</w:t>
      </w:r>
    </w:p>
    <w:p>
      <w:pPr>
        <w:numPr>
          <w:ilvl w:val="0"/>
          <w:numId w:val="1023"/>
        </w:numPr>
        <w:pStyle w:val="Compact"/>
      </w:pPr>
      <w:r>
        <w:t xml:space="preserve">☐ A seeded ghost employee (shared bank account, no sign-in for 30 days) appears on the monthly exception report.</w:t>
      </w:r>
    </w:p>
    <w:p>
      <w:pPr>
        <w:numPr>
          <w:ilvl w:val="0"/>
          <w:numId w:val="1023"/>
        </w:numPr>
        <w:pStyle w:val="Compact"/>
      </w:pPr>
      <w:r>
        <w:t xml:space="preserve">☐ Access unattested 14 days after a review campaign closes is revoked and</w:t>
      </w:r>
      <w:r>
        <w:t xml:space="preserve"> </w:t>
      </w:r>
      <w:r>
        <w:rPr>
          <w:rStyle w:val="VerbatimChar"/>
        </w:rPr>
        <w:t xml:space="preserve">AccessReviewCompleted</w:t>
      </w:r>
      <w:r>
        <w:t xml:space="preserve"> </w:t>
      </w:r>
      <w:r>
        <w:t xml:space="preserve">is emitted.</w:t>
      </w:r>
    </w:p>
    <w:p>
      <w:pPr>
        <w:numPr>
          <w:ilvl w:val="0"/>
          <w:numId w:val="1023"/>
        </w:numPr>
        <w:pStyle w:val="Compact"/>
      </w:pPr>
      <w:r>
        <w:t xml:space="preserve">☐ A whistle-blower’s identity is hidden from everyone except the designated recipient, including system administrators.</w:t>
      </w:r>
    </w:p>
    <w:p>
      <w:pPr>
        <w:numPr>
          <w:ilvl w:val="0"/>
          <w:numId w:val="1023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Controls › DoA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Maker-checker 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 reviews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Whistle-blower</w:t>
      </w:r>
      <w:r>
        <w:t xml:space="preserve"> </w:t>
      </w:r>
      <w:r>
        <w:t xml:space="preserve">screens and the OH11 settings exist; a setting that removes an SoD conflict needs the CFO and CISO.</w:t>
      </w:r>
    </w:p>
    <w:p>
      <w:pPr>
        <w:numPr>
          <w:ilvl w:val="0"/>
          <w:numId w:val="1023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32"/>
    <w:bookmarkStart w:id="33" w:name="X593aaa70055f9cdfd6ee0a65a02eca64d43f283"/>
    <w:p>
      <w:pPr>
        <w:pStyle w:val="Heading3"/>
      </w:pPr>
      <w:r>
        <w:t xml:space="preserve">Phase O11 — Workplace integration (Microsoft 365 / Google Workspace)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WorkplaceProvider</w:t>
      </w:r>
      <w:r>
        <w:t xml:space="preserve">; joiner, mover, leaver;</w:t>
      </w:r>
      <w:r>
        <w:t xml:space="preserve"> </w:t>
      </w:r>
      <w:r>
        <w:rPr>
          <w:rStyle w:val="VerbatimChar"/>
        </w:rPr>
        <w:t xml:space="preserve">MailboxProvisioned</w:t>
      </w:r>
      <w:r>
        <w:t xml:space="preserve">; document management; migration runbooks (OH12)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O1, O9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feat/oh-workplace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O11a WorkplaceProvider and Microsoft 365 adapter; O11b Google Workspace adapter; O11c Joiner, mover and leaver automation; O11d Document links, retention and licence pool.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O11 — Workplace integration (Microsoft 365 / Google Workspace). Governing brief: docs/00-master-prompt.md (Part 9, Phase O11; Part 4 legal boundaries prevail).</w:t>
      </w:r>
      <w:r>
        <w:br/>
      </w:r>
      <w:r>
        <w:br/>
      </w:r>
      <w:r>
        <w:rPr>
          <w:rStyle w:val="VerbatimChar"/>
        </w:rPr>
        <w:t xml:space="preserve">Verify first: (i) the suite and plan each legal entity holds and the Microsoft 365 Default Geography; (ii) the Graph permissions (`User.ReadWrite.All`, `LicenseAssignment.ReadWrite.All`, `Group.ReadWrite.All`, `Sites.Selected`, Teams and any protected APIs) and Google delegation scopes; (iii) change-notification lifetimes; (iv) whether Advanced Data Residency is needed.</w:t>
      </w:r>
      <w:r>
        <w:br/>
      </w:r>
      <w:r>
        <w:br/>
      </w:r>
      <w:r>
        <w:rPr>
          <w:rStyle w:val="VerbatimChar"/>
        </w:rPr>
        <w:t xml:space="preserve">On branch `feat/oh-workplace` build OH12:</w:t>
      </w:r>
      <w:r>
        <w:br/>
      </w:r>
      <w:r>
        <w:br/>
      </w:r>
      <w:r>
        <w:rPr>
          <w:rStyle w:val="VerbatimChar"/>
        </w:rPr>
        <w:t xml:space="preserve">- one `WorkplaceProvider` with Microsoft 365 and Google adapters, mock first, then a developer tenant with synthetic users;</w:t>
      </w:r>
      <w:r>
        <w:br/>
      </w:r>
      <w:r>
        <w:rPr>
          <w:rStyle w:val="VerbatimChar"/>
        </w:rPr>
        <w:t xml:space="preserve">- joiner: user disabled until D-1 with `usageLocation` IN, licence from the pool, groups, Teams and drives by role template, `MailboxProvisioned`, idempotent on (employee, provider, action); mover: group and licence changes, cross-entity moves through the grant workflow;</w:t>
      </w:r>
      <w:r>
        <w:br/>
      </w:r>
      <w:r>
        <w:rPr>
          <w:rStyle w:val="VerbatimChar"/>
        </w:rPr>
        <w:t xml:space="preserve">- leaver at 18:00 on the LWD: revoke sessions or suspend, block sign-in, shared or forwarded mailbox for 90 days, drive ownership to the manager, retention hold, then licence removal; address quarantined 90 days;</w:t>
      </w:r>
      <w:r>
        <w:br/>
      </w:r>
      <w:r>
        <w:rPr>
          <w:rStyle w:val="VerbatimChar"/>
        </w:rPr>
        <w:t xml:space="preserve">- delta sync and change notifications renewed at 80% of lifetime, resync on `reauthorizationRequired` or `missed`; Google watch channels renewed before expiry;</w:t>
      </w:r>
      <w:r>
        <w:br/>
      </w:r>
      <w:r>
        <w:rPr>
          <w:rStyle w:val="VerbatimChar"/>
        </w:rPr>
        <w:t xml:space="preserve">- document links to SharePoint or OneDrive via `Sites.Selected` with retention labels and holds; RESTRICTED HR documents stay in the Hub store; no client regulated data in either suite and no RE or borrower data in Google Workspace;</w:t>
      </w:r>
      <w:r>
        <w:br/>
      </w:r>
      <w:r>
        <w:rPr>
          <w:rStyle w:val="VerbatimChar"/>
        </w:rPr>
        <w:t xml:space="preserve">- licence pool by entity, idle seats reclaimed after 30 days with manager confirmation; staff and client migration runbooks;</w:t>
      </w:r>
      <w:r>
        <w:br/>
      </w:r>
      <w:r>
        <w:rPr>
          <w:rStyle w:val="VerbatimChar"/>
        </w:rPr>
        <w:t xml:space="preserve">- DLP that keeps Google Workspace to non-regulated data only (no files with personal data, books of account, returns, loan or HR data);</w:t>
      </w:r>
      <w:r>
        <w:br/>
      </w:r>
      <w:r>
        <w:rPr>
          <w:rStyle w:val="VerbatimChar"/>
        </w:rPr>
        <w:t xml:space="preserve">- Menus, screens and settings: the `Workplace` menu and OH12 settings exactly as the OH12 `Menu and screens` and `Settings and options` subsections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in the sandbox tenant a leaver's sessions are revoked and sign-in blocked by 18:00 on the LWD, with evidence;</w:t>
      </w:r>
      <w:r>
        <w:br/>
      </w:r>
      <w:r>
        <w:rPr>
          <w:rStyle w:val="VerbatimChar"/>
        </w:rPr>
        <w:t xml:space="preserve">- re-running a joiner creates no second user or licence;</w:t>
      </w:r>
      <w:r>
        <w:br/>
      </w:r>
      <w:r>
        <w:rPr>
          <w:rStyle w:val="VerbatimChar"/>
        </w:rPr>
        <w:t xml:space="preserve">- an expired subscription is detected and a delta resync restores state;</w:t>
      </w:r>
      <w:r>
        <w:br/>
      </w:r>
      <w:r>
        <w:rPr>
          <w:rStyle w:val="VerbatimChar"/>
        </w:rPr>
        <w:t xml:space="preserve">- storing a RESTRICTED HR document, or any file flagged as containing personal data, in Google Drive is refused.</w:t>
      </w:r>
      <w:r>
        <w:br/>
      </w:r>
      <w:r>
        <w:br/>
      </w:r>
      <w:r>
        <w:rPr>
          <w:rStyle w:val="VerbatimChar"/>
        </w:rPr>
        <w:t xml:space="preserve">Show me the permission set, role templates and leaver runbook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docs/specs/phase-o11-oh-workplace.md: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feat/oh-workplace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5"/>
        </w:numPr>
        <w:pStyle w:val="Compact"/>
      </w:pPr>
      <w:r>
        <w:t xml:space="preserve">☐ In the sandbox tenant a leaver’s sessions are revoked and sign-in blocked by 18:00 on the LWD, with evidence captured.</w:t>
      </w:r>
    </w:p>
    <w:p>
      <w:pPr>
        <w:numPr>
          <w:ilvl w:val="0"/>
          <w:numId w:val="1025"/>
        </w:numPr>
        <w:pStyle w:val="Compact"/>
      </w:pPr>
      <w:r>
        <w:t xml:space="preserve">☐ Re-running a joiner workflow creates no second user, mailbox or licence, and</w:t>
      </w:r>
      <w:r>
        <w:t xml:space="preserve"> </w:t>
      </w:r>
      <w:r>
        <w:rPr>
          <w:rStyle w:val="VerbatimChar"/>
        </w:rPr>
        <w:t xml:space="preserve">MailboxProvisioned</w:t>
      </w:r>
      <w:r>
        <w:t xml:space="preserve"> </w:t>
      </w:r>
      <w:r>
        <w:t xml:space="preserve">is emitted once.</w:t>
      </w:r>
    </w:p>
    <w:p>
      <w:pPr>
        <w:numPr>
          <w:ilvl w:val="0"/>
          <w:numId w:val="1025"/>
        </w:numPr>
        <w:pStyle w:val="Compact"/>
      </w:pPr>
      <w:r>
        <w:t xml:space="preserve">☐ An expired change-notification subscription is detected and a delta resync restores state.</w:t>
      </w:r>
    </w:p>
    <w:p>
      <w:pPr>
        <w:numPr>
          <w:ilvl w:val="0"/>
          <w:numId w:val="1025"/>
        </w:numPr>
        <w:pStyle w:val="Compact"/>
      </w:pPr>
      <w:r>
        <w:t xml:space="preserve">☐ Any write of personal, HR, books, returns or loan data to Google Workspace, or of RESTRICTED data to Microsoft 365 outside India, is refused with</w:t>
      </w:r>
      <w:r>
        <w:t xml:space="preserve"> </w:t>
      </w:r>
      <w:r>
        <w:rPr>
          <w:rStyle w:val="VerbatimChar"/>
        </w:rPr>
        <w:t xml:space="preserve">residency-blocked</w:t>
      </w:r>
      <w:r>
        <w:t xml:space="preserve">, with no override even with a DPO risk acceptance.</w:t>
      </w:r>
    </w:p>
    <w:p>
      <w:pPr>
        <w:numPr>
          <w:ilvl w:val="0"/>
          <w:numId w:val="1025"/>
        </w:numPr>
        <w:pStyle w:val="Compact"/>
      </w:pPr>
      <w:r>
        <w:t xml:space="preserve">☐ A released email address stays quarantined for 90 days and is never reissued to another person.</w:t>
      </w:r>
    </w:p>
    <w:p>
      <w:pPr>
        <w:numPr>
          <w:ilvl w:val="0"/>
          <w:numId w:val="1025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Workplace › Mailboxes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 </w:t>
      </w:r>
      <w:r>
        <w:t xml:space="preserve">screens and the OH12 settings exist; a data-class setting can narrow but never widen the OH12.1 matrix.</w:t>
      </w:r>
    </w:p>
    <w:p>
      <w:pPr>
        <w:numPr>
          <w:ilvl w:val="0"/>
          <w:numId w:val="1025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33"/>
    <w:bookmarkStart w:id="34" w:name="Xc81a5c17b99937bb2b4e052df622681bd09773a"/>
    <w:p>
      <w:pPr>
        <w:pStyle w:val="Heading3"/>
      </w:pPr>
      <w:r>
        <w:t xml:space="preserve">Phase O12 — Engineering-operations console and certification readiness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Cross-product release, change (CAB and</w:t>
      </w:r>
      <w:r>
        <w:t xml:space="preserve"> </w:t>
      </w:r>
      <w:r>
        <w:rPr>
          <w:rStyle w:val="VerbatimChar"/>
        </w:rPr>
        <w:t xml:space="preserve">ChangeApproved</w:t>
      </w:r>
      <w:r>
        <w:t xml:space="preserve">), patch, VAPT, backup and incident console; control framework; evidence collectors; full claims gate and certification register; auditor portal (OH13, OH14)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O2, O10, O11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feat/oh-engops-controls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O12a Engineering-operations console; O12b Incident console and clocks; O12c Control library, mappings and evidence collectors; O12d Claims gate, readiness dashboard and auditor workspace.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O12 — Engineering-operations console and certification readiness. Governing brief: docs/00-master-prompt.md (Part 9, Phase O12; Part 4 legal boundaries prevail).</w:t>
      </w:r>
      <w:r>
        <w:br/>
      </w:r>
      <w:r>
        <w:br/>
      </w:r>
      <w:r>
        <w:rPr>
          <w:rStyle w:val="VerbatimChar"/>
        </w:rPr>
        <w:t xml:space="preserve">Verify first: (i) the Finbyx EO1–EO5 and Udofin RA4 evidence contracts; (ii) the GitHub APIs for rulesets, alerts, environments and members on our plan; (iii) current editions of ISO/IEC 27001:2022 (Amendment 1:2024), 27701:2025, ISO 22301:2019, ISO/IEC 42001:2023, the AICPA Trust Services Criteria (2017, 2022 points of focus) and PCI DSS v4.0.1 SAQ A; (iv) CERT-In reporting and log rules; (v) my certification order, certification body and CPA firm.</w:t>
      </w:r>
      <w:r>
        <w:br/>
      </w:r>
      <w:r>
        <w:br/>
      </w:r>
      <w:r>
        <w:rPr>
          <w:rStyle w:val="VerbatimChar"/>
        </w:rPr>
        <w:t xml:space="preserve">On branch `feat/oh-engops-controls` build OH13 and OH14:</w:t>
      </w:r>
      <w:r>
        <w:br/>
      </w:r>
      <w:r>
        <w:br/>
      </w:r>
      <w:r>
        <w:rPr>
          <w:rStyle w:val="VerbatimChar"/>
        </w:rPr>
        <w:t xml:space="preserve">- Console (OH13) per product and environment: releases, CAB records and freeze windows, vulnerability board with patch clocks (critical or KEV 72 hours, high 7 days, medium 30, low 90), VAPT register (VA 6-monthly, PT yearly, independent testers, retests), backup and DR drills, escrow deposits and CYB para 106 certificates for products serving REs, connector certification, and the incident console with detection, client-notice (≤ 2 hours), CERT-In (6 hours) and DPDP clocks.</w:t>
      </w:r>
      <w:r>
        <w:br/>
      </w:r>
      <w:r>
        <w:rPr>
          <w:rStyle w:val="VerbatimChar"/>
        </w:rPr>
        <w:t xml:space="preserve">- Control library (OH14): controls with owner, frequency, test, automation hook and many-to-many mappings (ISO/IEC 27001 Annex A, 27701, 22301, SOC 2 TSC, PCI SAQ A, CERT-In, DPDP, internal financial controls; CYB, OUT and CF for product controls); evidence with hash, period, reviewer and freshness; collectors for GitHub rulesets, MFA and sign-in reports, access reviews, restore tests, VAPT, patch SLAs, joiner and leaver records, training and vendor due diligence.</w:t>
      </w:r>
      <w:r>
        <w:br/>
      </w:r>
      <w:r>
        <w:rPr>
          <w:rStyle w:val="VerbatimChar"/>
        </w:rPr>
        <w:t xml:space="preserve">- Claims gate service for OH7, product explainers and websites: "aligned to" or "in progress" until a report or certificate exists; then scheme, scope, period or number, issuer and date.</w:t>
      </w:r>
      <w:r>
        <w:br/>
      </w:r>
      <w:r>
        <w:rPr>
          <w:rStyle w:val="VerbatimChar"/>
        </w:rPr>
        <w:t xml:space="preserve">- Readiness dashboard, auditor workspace (time-boxed `PROVIDER_ASSURANCE` grants with `ExternalAccess*` events; Hub evidence only) and policy library with attestations (`PolicyAttested` to LawDocsComply in group mode).</w:t>
      </w:r>
      <w:r>
        <w:br/>
      </w:r>
      <w:r>
        <w:rPr>
          <w:rStyle w:val="VerbatimChar"/>
        </w:rPr>
        <w:t xml:space="preserve">- CAB and deployment gate: `ChangeApproved` (OH13 → product deployment gates) for every production change; patch clocks per Part 8.3 on every group repository.</w:t>
      </w:r>
      <w:r>
        <w:br/>
      </w:r>
      <w:r>
        <w:rPr>
          <w:rStyle w:val="VerbatimChar"/>
        </w:rPr>
        <w:t xml:space="preserve">- Menus, screens and settings: the `Engineering` and `Trust` menus and OH13 and OH14 settings exactly as their `Menu and screens` and `Settings and options` subsections specify.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release without an approved change record raises an OH14 exception within 1 hour;</w:t>
      </w:r>
      <w:r>
        <w:br/>
      </w:r>
      <w:r>
        <w:rPr>
          <w:rStyle w:val="VerbatimChar"/>
        </w:rPr>
        <w:t xml:space="preserve">- a critical vulnerability open beyond 72 hours turns red and notifies the CISO;</w:t>
      </w:r>
      <w:r>
        <w:br/>
      </w:r>
      <w:r>
        <w:rPr>
          <w:rStyle w:val="VerbatimChar"/>
        </w:rPr>
        <w:t xml:space="preserve">- a VA older than 6 months or PT older than 12 months is flagged 30 days ahead;</w:t>
      </w:r>
      <w:r>
        <w:br/>
      </w:r>
      <w:r>
        <w:rPr>
          <w:rStyle w:val="VerbatimChar"/>
        </w:rPr>
        <w:t xml:space="preserve">- every control has an owner, a mapping and a collector or manual procedure;</w:t>
      </w:r>
      <w:r>
        <w:br/>
      </w:r>
      <w:r>
        <w:rPr>
          <w:rStyle w:val="VerbatimChar"/>
        </w:rPr>
        <w:t xml:space="preserve">- website text claiming a certification without a record fails the claims gate.</w:t>
      </w:r>
      <w:r>
        <w:br/>
      </w:r>
      <w:r>
        <w:br/>
      </w:r>
      <w:r>
        <w:rPr>
          <w:rStyle w:val="VerbatimChar"/>
        </w:rPr>
        <w:t xml:space="preserve">Show me the control framework, mappings, collectors and console layout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docs/specs/phase-o12-oh-engops-controls.md: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feat/oh-engops-controls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7"/>
        </w:numPr>
        <w:pStyle w:val="Compact"/>
      </w:pPr>
      <w:r>
        <w:t xml:space="preserve">☐ A production release in any product without an approved change record raises an OH14 exception within 1 hour.</w:t>
      </w:r>
    </w:p>
    <w:p>
      <w:pPr>
        <w:numPr>
          <w:ilvl w:val="0"/>
          <w:numId w:val="1027"/>
        </w:numPr>
        <w:pStyle w:val="Compact"/>
      </w:pPr>
      <w:r>
        <w:t xml:space="preserve">☐ A critical or KEV-listed vulnerability on any group repository, the Hub included, turns red after 72 hours and notifies the CISO; high, medium and low findings carry 7, 30 and 90 days, and internal or tenant audit findings 15, 30, 90 and 180 days.</w:t>
      </w:r>
    </w:p>
    <w:p>
      <w:pPr>
        <w:numPr>
          <w:ilvl w:val="0"/>
          <w:numId w:val="1027"/>
        </w:numPr>
        <w:pStyle w:val="Compact"/>
      </w:pPr>
      <w:r>
        <w:t xml:space="preserve">☐ A VA report older than 6 months or a PT report older than 12 months is flagged 30 days before expiry.</w:t>
      </w:r>
    </w:p>
    <w:p>
      <w:pPr>
        <w:numPr>
          <w:ilvl w:val="0"/>
          <w:numId w:val="1027"/>
        </w:numPr>
        <w:pStyle w:val="Compact"/>
      </w:pPr>
      <w:r>
        <w:t xml:space="preserve">☐ Every control in the framework has an owner, at least one mapping and a collector or documented manual procedure.</w:t>
      </w:r>
    </w:p>
    <w:p>
      <w:pPr>
        <w:numPr>
          <w:ilvl w:val="0"/>
          <w:numId w:val="1027"/>
        </w:numPr>
        <w:pStyle w:val="Compact"/>
      </w:pPr>
      <w:r>
        <w:t xml:space="preserve">☐ Website or product text claiming a certification without a certificate record fails the claims-gate API.</w:t>
      </w:r>
    </w:p>
    <w:p>
      <w:pPr>
        <w:numPr>
          <w:ilvl w:val="0"/>
          <w:numId w:val="1027"/>
        </w:numPr>
        <w:pStyle w:val="Compact"/>
      </w:pPr>
      <w:r>
        <w:t xml:space="preserve">☐ An incident drill records detection, client-notice (≤ 2 hours) and CERT-In (6 hours) clocks and flags any missed clock.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ChangeApproved</w:t>
      </w:r>
      <w:r>
        <w:t xml:space="preserve"> </w:t>
      </w:r>
      <w:r>
        <w:t xml:space="preserve">carries class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REGULATED</w:t>
      </w:r>
      <w:r>
        <w:t xml:space="preserve"> </w:t>
      </w:r>
      <w:r>
        <w:t xml:space="preserve">change without a compliance reviewer and golden-case pass cannot be approved.</w:t>
      </w:r>
    </w:p>
    <w:p>
      <w:pPr>
        <w:numPr>
          <w:ilvl w:val="0"/>
          <w:numId w:val="1027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Engineering › 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Vulnerabilities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VAPT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 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 › Controls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screens and the OH13 and OH14 settings exist; no setting relaxes a platform patch SLA.</w:t>
      </w:r>
    </w:p>
    <w:p>
      <w:pPr>
        <w:numPr>
          <w:ilvl w:val="0"/>
          <w:numId w:val="1027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34"/>
    <w:bookmarkStart w:id="35" w:name="phase-op-hub-go-live"/>
    <w:p>
      <w:pPr>
        <w:pStyle w:val="Heading3"/>
      </w:pPr>
      <w:r>
        <w:t xml:space="preserve">Phase OP — Hub go-live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VAPT, restore drill, residency check, parallel payroll and billing, migration and cut-over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O1–O12 (O7, O8 may follow by owner decision)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release/oh-go-live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OP-a VAPT and remediation; OP-b Restore and DR drill; OP-c Parallel payroll and billing runs; OP-d Data migration and cut-over plan.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OP — Hub go-live. Governing brief: docs/00-master-prompt.md (Part 9, Phase OP; Part 4 legal boundaries prevail).</w:t>
      </w:r>
      <w:r>
        <w:br/>
      </w:r>
      <w:r>
        <w:br/>
      </w:r>
      <w:r>
        <w:rPr>
          <w:rStyle w:val="VerbatimChar"/>
        </w:rPr>
        <w:t xml:space="preserve">Verify first: (i) every Appendix B decision the live modules depend on is recorded; (ii) production and every sub-processor pass the India residency check; (iii) notices for staff, candidates, contacts and professionals are approved; (iv) the HR, WFH, DoA, anti-fraud, expenses, whistle-blower and POSH policies the modules enforce are approved.</w:t>
      </w:r>
      <w:r>
        <w:br/>
      </w:r>
      <w:r>
        <w:br/>
      </w:r>
      <w:r>
        <w:rPr>
          <w:rStyle w:val="VerbatimChar"/>
        </w:rPr>
        <w:t xml:space="preserve">Deliver: E2E regression across O1–O12, including every screen, empty and error state and setting in Appendix E and an independent WCAG 2.2 AA audit of client-facing and self-service screens; independent VA and PT by a CERT-In-empanelled firm with Critical and High findings closed and retested; a restore drill of database, documents and Temporal state with RTO and RPO measured; two parallel payroll cycles on real data reconciled line by line with the current payroll and signed off by the finance reviewer; one parallel billing cycle reconciled with current invoices and the books, plus a live Razorpay test invoice paid and refunded; CRM migration with consent provenance (unprovable consent imported as service-only); employee master migration with a reject file; SCIM and leaver automation proven on a real test account; runbooks, on-call rota and a cut-over plan with rollback.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VAPT closure and retest report;</w:t>
      </w:r>
      <w:r>
        <w:br/>
      </w:r>
      <w:r>
        <w:rPr>
          <w:rStyle w:val="VerbatimChar"/>
        </w:rPr>
        <w:t xml:space="preserve">- restore-drill report with measured RTO and RPO;</w:t>
      </w:r>
      <w:r>
        <w:br/>
      </w:r>
      <w:r>
        <w:rPr>
          <w:rStyle w:val="VerbatimChar"/>
        </w:rPr>
        <w:t xml:space="preserve">- a leaver drill on a real test account showing sessions revoked and product accounts removed within the 4-hour SCIM limit;</w:t>
      </w:r>
      <w:r>
        <w:br/>
      </w:r>
      <w:r>
        <w:rPr>
          <w:rStyle w:val="VerbatimChar"/>
        </w:rPr>
        <w:t xml:space="preserve">- signed payroll and billing reconciliations;</w:t>
      </w:r>
      <w:r>
        <w:br/>
      </w:r>
      <w:r>
        <w:rPr>
          <w:rStyle w:val="VerbatimChar"/>
        </w:rPr>
        <w:t xml:space="preserve">- residency and migration reconciliation reports;</w:t>
      </w:r>
      <w:r>
        <w:br/>
      </w:r>
      <w:r>
        <w:rPr>
          <w:rStyle w:val="VerbatimChar"/>
        </w:rPr>
        <w:t xml:space="preserve">- the go-live checklist with every item evidenced.</w:t>
      </w:r>
      <w:r>
        <w:br/>
      </w:r>
      <w:r>
        <w:br/>
      </w:r>
      <w:r>
        <w:rPr>
          <w:rStyle w:val="VerbatimChar"/>
        </w:rPr>
        <w:t xml:space="preserve">Show me the go-live checklist for approval. Do not deploy, send any real payslip, invoice or campaign, or switch off an existing system without my explicit authorisation.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docs/specs/phase-op-oh-go-live.md: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release/oh-go-live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29"/>
        </w:numPr>
        <w:pStyle w:val="Compact"/>
      </w:pPr>
      <w:r>
        <w:t xml:space="preserve">☐ Independent VA and PT by a CERT-In-empanelled firm have all Critical and High findings closed and retested.</w:t>
      </w:r>
    </w:p>
    <w:p>
      <w:pPr>
        <w:numPr>
          <w:ilvl w:val="0"/>
          <w:numId w:val="1029"/>
        </w:numPr>
        <w:pStyle w:val="Compact"/>
      </w:pPr>
      <w:r>
        <w:t xml:space="preserve">☐ A restore drill of database, documents and Temporal state into an isolated India-region environment meets the RTO and RPO targets.</w:t>
      </w:r>
    </w:p>
    <w:p>
      <w:pPr>
        <w:numPr>
          <w:ilvl w:val="0"/>
          <w:numId w:val="1029"/>
        </w:numPr>
        <w:pStyle w:val="Compact"/>
      </w:pPr>
      <w:r>
        <w:t xml:space="preserve">☐ Two parallel payroll cycles reconcile line by line with the existing payroll, signed off by the finance reviewer.</w:t>
      </w:r>
    </w:p>
    <w:p>
      <w:pPr>
        <w:numPr>
          <w:ilvl w:val="0"/>
          <w:numId w:val="1029"/>
        </w:numPr>
        <w:pStyle w:val="Compact"/>
      </w:pPr>
      <w:r>
        <w:t xml:space="preserve">☐ One parallel billing cycle reconciles with existing invoices and the books, and a live Razorpay test invoice is paid and refunded.</w:t>
      </w:r>
    </w:p>
    <w:p>
      <w:pPr>
        <w:numPr>
          <w:ilvl w:val="0"/>
          <w:numId w:val="1029"/>
        </w:numPr>
        <w:pStyle w:val="Compact"/>
      </w:pPr>
      <w:r>
        <w:t xml:space="preserve">☐ The residency report confirms production and every sub-processor holding personal data are in India.</w:t>
      </w:r>
    </w:p>
    <w:p>
      <w:pPr>
        <w:numPr>
          <w:ilvl w:val="0"/>
          <w:numId w:val="1029"/>
        </w:numPr>
        <w:pStyle w:val="Compact"/>
      </w:pPr>
      <w:r>
        <w:t xml:space="preserve">☐ The go-live checklist is fully evidenced and approved before any real payslip, invoice or campaign is sent.</w:t>
      </w:r>
    </w:p>
    <w:p>
      <w:pPr>
        <w:numPr>
          <w:ilvl w:val="0"/>
          <w:numId w:val="1029"/>
        </w:numPr>
        <w:pStyle w:val="Compact"/>
      </w:pPr>
      <w:r>
        <w:t xml:space="preserve">☐ User acceptance on every module’s menus and settings is signed off by its business owner, with the settings export reviewed against the approved catalogue.</w:t>
      </w:r>
    </w:p>
    <w:p>
      <w:pPr>
        <w:numPr>
          <w:ilvl w:val="0"/>
          <w:numId w:val="1029"/>
        </w:numPr>
        <w:pStyle w:val="Compact"/>
      </w:pPr>
      <w:r>
        <w:t xml:space="preserve">☐ The PR shows the test output; legal-entity isolation tests pass; docs/status and the ADRs are updated.</w:t>
      </w:r>
    </w:p>
    <w:bookmarkEnd w:id="35"/>
    <w:bookmarkStart w:id="36" w:name="Xeafcd913a5d7a61b2849c164d323c684d925a72"/>
    <w:p>
      <w:pPr>
        <w:pStyle w:val="Heading3"/>
      </w:pPr>
      <w:r>
        <w:t xml:space="preserve">Phase O13 — Dashboards, analytics and AI assistance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Governed metric layer behind the Home tiles and dashboards, leadership packs (OH2); governed AI assistance; read-only MCP server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OP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feat/oh-analytics-ai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Suggested sub-modules (one session each):</w:t>
      </w:r>
      <w:r>
        <w:t xml:space="preserve"> </w:t>
      </w:r>
      <w:r>
        <w:t xml:space="preserve">O13a Metric layer and role dashboards; O13b Group and Board packs; O13c Governed AI assistance; O13d Read-only MCP server.</w:t>
      </w:r>
    </w:p>
    <w:p>
      <w:pPr>
        <w:pStyle w:val="FirstParagraph"/>
      </w:pPr>
      <w:r>
        <w:rPr>
          <w:bCs/>
          <w:b/>
        </w:rPr>
        <w:t xml:space="preserve">Paste into Claude Code:</w:t>
      </w:r>
    </w:p>
    <w:p>
      <w:pPr>
        <w:pStyle w:val="SourceCode"/>
      </w:pPr>
      <w:r>
        <w:rPr>
          <w:rStyle w:val="VerbatimChar"/>
        </w:rPr>
        <w:t xml:space="preserve">Phase O13 — Dashboards, analytics and AI assistance. Governing brief: docs/00-master-prompt.md (Part 9, Phase O13; Part 4 legal boundaries prevail).</w:t>
      </w:r>
      <w:r>
        <w:br/>
      </w:r>
      <w:r>
        <w:br/>
      </w:r>
      <w:r>
        <w:rPr>
          <w:rStyle w:val="VerbatimChar"/>
        </w:rPr>
        <w:t xml:space="preserve">Verify first: (i) the metric definitions I approve; (ii) the India-region LLM endpoint chosen by ADR and its processing terms; (iii) the AI-use policy approved in OP; (iv) the Part 6.4 rules that cross-entity views are aggregates and Equator data is never joined with lender-side data.</w:t>
      </w:r>
      <w:r>
        <w:br/>
      </w:r>
      <w:r>
        <w:br/>
      </w:r>
      <w:r>
        <w:rPr>
          <w:rStyle w:val="VerbatimChar"/>
        </w:rPr>
        <w:t xml:space="preserve">On branch `feat/oh-analytics-ai` build:</w:t>
      </w:r>
      <w:r>
        <w:br/>
      </w:r>
      <w:r>
        <w:br/>
      </w:r>
      <w:r>
        <w:rPr>
          <w:rStyle w:val="VerbatimChar"/>
        </w:rPr>
        <w:t xml:space="preserve">- Metric layer (OH2): versioned definitions (formula, grain, entity scope, owner, sensitivity) in SQL views under RLS; every tile links to its definition.</w:t>
      </w:r>
      <w:r>
        <w:br/>
      </w:r>
      <w:r>
        <w:rPr>
          <w:rStyle w:val="VerbatimChar"/>
        </w:rPr>
        <w:t xml:space="preserve">- Role dashboards: the Home tiles of Part 3.5 and the OH2.2 catalogue rebuilt on governed metrics (Superset with row-level security), plus leadership and Board packs. Individual metrics only to the employee and manager; group views aggregate-only.</w:t>
      </w:r>
      <w:r>
        <w:br/>
      </w:r>
      <w:r>
        <w:rPr>
          <w:rStyle w:val="VerbatimChar"/>
        </w:rPr>
        <w:t xml:space="preserve">- Menus, screens and settings: `Home`, `Home › Dashboards`, `Home › Leadership packs` and `Admin › Metrics` and OH2 settings exactly as the OH2 `Menu and screens` and `Settings and options` tables specify.</w:t>
      </w:r>
      <w:r>
        <w:br/>
      </w:r>
      <w:r>
        <w:rPr>
          <w:rStyle w:val="VerbatimChar"/>
        </w:rPr>
        <w:t xml:space="preserve">- AI assistance with human approval: ticket triage and replies citing the knowledge base; CRM and proposal drafts; consented meeting summaries; contract and RFP clause extraction; dashboard narratives. Prohibited: approving pay, payments, expenses or discounts; hiring, appraisal, discipline or termination decisions; employee monitoring; closing client grievances; publishing without maker-checker; any client regulated data.</w:t>
      </w:r>
      <w:r>
        <w:br/>
      </w:r>
      <w:r>
        <w:rPr>
          <w:rStyle w:val="VerbatimChar"/>
        </w:rPr>
        <w:t xml:space="preserve">- Governance: AI inventory, model and prompt versions, logs without personal data where possible, opt-in per workflow with pause and rollback, monthly quality review; read-only MCP server over aggregate metrics and knowledge-base content.</w:t>
      </w:r>
      <w:r>
        <w:br/>
      </w:r>
      <w:r>
        <w:br/>
      </w:r>
      <w:r>
        <w:rPr>
          <w:rStyle w:val="VerbatimChar"/>
        </w:rPr>
        <w:t xml:space="preserve">Tests and acceptance evidence:</w:t>
      </w:r>
      <w:r>
        <w:br/>
      </w:r>
      <w:r>
        <w:br/>
      </w:r>
      <w:r>
        <w:rPr>
          <w:rStyle w:val="VerbatimChar"/>
        </w:rPr>
        <w:t xml:space="preserve">- a group dashboard cannot drill into another entity's records;</w:t>
      </w:r>
      <w:r>
        <w:br/>
      </w:r>
      <w:r>
        <w:rPr>
          <w:rStyle w:val="VerbatimChar"/>
        </w:rPr>
        <w:t xml:space="preserve">- no dashboard places Equator case data beside a lender's revenue;</w:t>
      </w:r>
      <w:r>
        <w:br/>
      </w:r>
      <w:r>
        <w:rPr>
          <w:rStyle w:val="VerbatimChar"/>
        </w:rPr>
        <w:t xml:space="preserve">- an AI draft cannot be sent without a human action, and the log records model and prompt versions;</w:t>
      </w:r>
      <w:r>
        <w:br/>
      </w:r>
      <w:r>
        <w:rPr>
          <w:rStyle w:val="VerbatimChar"/>
        </w:rPr>
        <w:t xml:space="preserve">- a PAN-like value is redacted before reaching the model;</w:t>
      </w:r>
      <w:r>
        <w:br/>
      </w:r>
      <w:r>
        <w:rPr>
          <w:rStyle w:val="VerbatimChar"/>
        </w:rPr>
        <w:t xml:space="preserve">- each metric value recomputes from its stored definition version, and a Board pack shows only approved, versioned metrics.</w:t>
      </w:r>
      <w:r>
        <w:br/>
      </w:r>
      <w:r>
        <w:br/>
      </w:r>
      <w:r>
        <w:rPr>
          <w:rStyle w:val="VerbatimChar"/>
        </w:rPr>
        <w:t xml:space="preserve">Show me the metric catalogue, wireframes and AI use-case register for approval before coding.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List the module items (Parts 5 and 6), legal boundaries (Part 4) and integration contracts (Integration Spec) this phase implements, and any [VERIFY] items it must resolve.</w:t>
      </w:r>
      <w:r>
        <w:br/>
      </w:r>
      <w:r>
        <w:rPr>
          <w:rStyle w:val="VerbatimChar"/>
        </w:rPr>
        <w:t xml:space="preserve">2. Write the specification to docs/specs/phase-o13-oh-analytics-ai.md: scope, data model changes, APIs and events, state machines, menus, screens and settings (Appendix E), acceptance criteria and test plan (including golden cases).</w:t>
      </w:r>
      <w:r>
        <w:br/>
      </w:r>
      <w:r>
        <w:rPr>
          <w:rStyle w:val="VerbatimChar"/>
        </w:rPr>
        <w:t xml:space="preserve">3. Stop and wait for my approval.</w:t>
      </w:r>
      <w:r>
        <w:br/>
      </w:r>
      <w:r>
        <w:rPr>
          <w:rStyle w:val="VerbatimChar"/>
        </w:rPr>
        <w:t xml:space="preserve">After approval: build on branch feat/oh-analytics-ai in small commits; run unit, integration, legal-entity isolation and security tests; update docs/status and the ADRs; open a PR with the test output pasted. Never claim a test passed unless you ran it.</w:t>
      </w:r>
    </w:p>
    <w:p>
      <w:pPr>
        <w:pStyle w:val="FirstParagraph"/>
      </w:pPr>
      <w:r>
        <w:rPr>
          <w:bCs/>
          <w:b/>
        </w:rPr>
        <w:t xml:space="preserve">Review gate (check before merging):</w:t>
      </w:r>
    </w:p>
    <w:p>
      <w:pPr>
        <w:numPr>
          <w:ilvl w:val="0"/>
          <w:numId w:val="1031"/>
        </w:numPr>
        <w:pStyle w:val="Compact"/>
      </w:pPr>
      <w:r>
        <w:t xml:space="preserve">☐ A group dashboard cannot drill into another legal entity’s records, and no view places Equator case data beside a lender’s revenue.</w:t>
      </w:r>
    </w:p>
    <w:p>
      <w:pPr>
        <w:numPr>
          <w:ilvl w:val="0"/>
          <w:numId w:val="1031"/>
        </w:numPr>
        <w:pStyle w:val="Compact"/>
      </w:pPr>
      <w:r>
        <w:t xml:space="preserve">☐ Every dashboard tile links to a versioned metric definition, and each value recomputes from it.</w:t>
      </w:r>
    </w:p>
    <w:p>
      <w:pPr>
        <w:numPr>
          <w:ilvl w:val="0"/>
          <w:numId w:val="1031"/>
        </w:numPr>
        <w:pStyle w:val="Compact"/>
      </w:pPr>
      <w:r>
        <w:t xml:space="preserve">☐ An AI-drafted reply cannot be sent without a human action, and the log records model and prompt versions.</w:t>
      </w:r>
    </w:p>
    <w:p>
      <w:pPr>
        <w:numPr>
          <w:ilvl w:val="0"/>
          <w:numId w:val="1031"/>
        </w:numPr>
        <w:pStyle w:val="Compact"/>
      </w:pPr>
      <w:r>
        <w:t xml:space="preserve">☐ A PAN-like value in an AI request is redacted before reaching the model, and the endpoint is India-hosted per the ADR.</w:t>
      </w:r>
    </w:p>
    <w:p>
      <w:pPr>
        <w:numPr>
          <w:ilvl w:val="0"/>
          <w:numId w:val="1031"/>
        </w:numPr>
        <w:pStyle w:val="Compact"/>
      </w:pPr>
      <w:r>
        <w:t xml:space="preserve">☐ No AI workflow can approve pay, payments, expenses or discounts, or decide hiring, appraisal or discipline (negative tests).</w:t>
      </w:r>
    </w:p>
    <w:p>
      <w:pPr>
        <w:numPr>
          <w:ilvl w:val="0"/>
          <w:numId w:val="1031"/>
        </w:numPr>
        <w:pStyle w:val="Compact"/>
      </w:pPr>
      <w:r>
        <w:t xml:space="preserve">☐ Each role dashboard appears only in its workspace menu, and each AI-assisted workflow has an on or off setting per workflow, default off.</w:t>
      </w:r>
    </w:p>
    <w:p>
      <w:pPr>
        <w:numPr>
          <w:ilvl w:val="0"/>
          <w:numId w:val="1031"/>
        </w:numPr>
        <w:pStyle w:val="Compact"/>
      </w:pPr>
      <w:r>
        <w:t xml:space="preserve">☐ The PR shows the test output; legal-entity isolation tests pass; docs/status and the ADRs are updated.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utility-prompts"/>
    <w:p>
      <w:pPr>
        <w:pStyle w:val="Heading2"/>
      </w:pPr>
      <w:r>
        <w:t xml:space="preserve">4. Utility prompts</w:t>
      </w:r>
    </w:p>
    <w:p>
      <w:pPr>
        <w:pStyle w:val="FirstParagraph"/>
      </w:pPr>
      <w:r>
        <w:t xml:space="preserve">Replace the text in square brackets before pasting.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space="0" w:color="9AAAC0"/>
          <w:left w:val="single" w:sz="4" w:space="0" w:color="9AAAC0"/>
          <w:bottom w:val="single" w:sz="4" w:space="0" w:color="9AAAC0"/>
          <w:right w:val="single" w:sz="4" w:space="0" w:color="9AAAC0"/>
          <w:insideH w:val="single" w:sz="4" w:space="0" w:color="9AAAC0"/>
          <w:insideV w:val="single" w:sz="4" w:space="0" w:color="9AAAC0"/>
        </w:tblBorders>
        <w:tblLayout w:type="fixed"/>
      </w:tblPr>
      <w:tblGrid>
        <w:gridCol w:w="1389"/>
        <w:gridCol w:w="2161"/>
        <w:gridCol w:w="6088"/>
      </w:tblGrid>
      <w:tr>
        <w:trPr>
          <w:tblHeader w:val="true"/>
          <w:tblHeader w:val="true"/>
        </w:trPr>
        <w:tc>
          <w:tcPr>
            <w:tcW w:w="1389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No.</w:t>
            </w:r>
          </w:p>
        </w:tc>
        <w:tc>
          <w:tcPr>
            <w:tcW w:w="2161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When to use</w:t>
            </w:r>
          </w:p>
        </w:tc>
        <w:tc>
          <w:tcPr>
            <w:tcW w:w="6088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Prompt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H1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Start a sub-module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Continue Phase [n]. This session covers only the sub-module: [name]. Re-read the approved spec docs/specs/[file].md, confirm the scope in five lines, then build it. Do not touch other sub-modules.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H2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Resume after an interruption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Read CLAUDE.md, docs/status and the open PR for Phase [n]. Summarise what is done, what is pending and any failing tests, then continue from the next pending item.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H3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Status check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Give me a status report for Phase [n]: items done, items pending, tests run and results, open [VERIFY] items and decisions you need from me. Do not write code.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H4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Fix failing tests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following tests fail: [paste output]. Find the root cause, explain it in plain English, propose the fix and apply it only after I approve. Re-run the full suite and paste the results.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H5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Law or vendor change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 have added [instrument or vendor notice, date] to docs/regulations/. Read it in full, list every affected module, rule pack, setting and test, and propose changes with effective dates. Do not change code until I approve.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H6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Run the review gate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Run the review gate for Phase [n] from docs/01-phase-runbook.md. For each item show the evidence (test name and output, query result, screenshot or file path). Mark any item you cannot evidence as NOT MET.</w:t>
            </w:r>
          </w:p>
        </w:tc>
      </w:tr>
      <w:tr>
        <w:tc>
          <w:tcPr>
            <w:tcW w:w="1389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H7</w:t>
            </w:r>
          </w:p>
        </w:tc>
        <w:tc>
          <w:tcPr>
            <w:tcW w:w="2161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Change a specification</w:t>
            </w:r>
          </w:p>
        </w:tc>
        <w:tc>
          <w:tcPr>
            <w:tcW w:w="6088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 want to change the approved spec for Phase [n]: [change]. Update docs/specs/[file].md, list the legal, data and billing impact, update the tests, and wait for my approval before changing code.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rogress-tracker"/>
    <w:p>
      <w:pPr>
        <w:pStyle w:val="Heading2"/>
      </w:pPr>
      <w:r>
        <w:t xml:space="preserve">5. Progress tracker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space="0" w:color="9AAAC0"/>
          <w:left w:val="single" w:sz="4" w:space="0" w:color="9AAAC0"/>
          <w:bottom w:val="single" w:sz="4" w:space="0" w:color="9AAAC0"/>
          <w:right w:val="single" w:sz="4" w:space="0" w:color="9AAAC0"/>
          <w:insideH w:val="single" w:sz="4" w:space="0" w:color="9AAAC0"/>
          <w:insideV w:val="single" w:sz="4" w:space="0" w:color="9AAAC0"/>
        </w:tblBorders>
        <w:tblLayout w:type="fixed"/>
      </w:tblPr>
      <w:tblGrid>
        <w:gridCol w:w="3272"/>
        <w:gridCol w:w="1749"/>
        <w:gridCol w:w="1329"/>
        <w:gridCol w:w="1955"/>
        <w:gridCol w:w="1333"/>
      </w:tblGrid>
      <w:tr>
        <w:trPr>
          <w:tblHeader w:val="true"/>
          <w:tblHeader w:val="true"/>
        </w:trPr>
        <w:tc>
          <w:tcPr>
            <w:tcW w:w="3272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Phase</w:t>
            </w:r>
          </w:p>
        </w:tc>
        <w:tc>
          <w:tcPr>
            <w:tcW w:w="1749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Spec approved (date)</w:t>
            </w:r>
          </w:p>
        </w:tc>
        <w:tc>
          <w:tcPr>
            <w:tcW w:w="1329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PR</w:t>
            </w:r>
          </w:p>
        </w:tc>
        <w:tc>
          <w:tcPr>
            <w:tcW w:w="1955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Review gate passed (date)</w:t>
            </w:r>
          </w:p>
        </w:tc>
        <w:tc>
          <w:tcPr>
            <w:tcW w:w="1333" w:type="dxa"/>
            <w:shd w:val="clear" w:color="auto" w:fill="1F3A5F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O0 — Repository audit and architecture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O1 — Platform foundation and group identity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O2 — Data model, legal-entity scoping and audit trail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O3 — CRM and marketing consent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O4 — Client onboarding, delivery and migration factory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O5 — Support desk and customer success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O6 — Revenue catalogue, billing and Razorpay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O7 — Marketing, brand, social media and PR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O8 — Professional and advocate directory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O9 — Staff HRMS and payroll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O10 — Internal controls and anti-fraud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O11 — Workplace integration (Microsoft 365 / Google Workspace)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O12 — Engineering-operations console and certification readiness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OP — Hub go-live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3272" w:type="dxa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Phase O13 — Dashboards, analytics and AI assistance</w:t>
            </w:r>
          </w:p>
        </w:tc>
        <w:tc>
          <w:tcPr>
            <w:tcW w:w="1749" w:type="dxa"/>
          </w:tcPr>
          <w:p>
            <w:pPr>
              <w:pStyle w:val="Compact"/>
              <w:spacing w:after="40"/>
            </w:pPr>
          </w:p>
        </w:tc>
        <w:tc>
          <w:tcPr>
            <w:tcW w:w="1329" w:type="dxa"/>
          </w:tcPr>
          <w:p>
            <w:pPr>
              <w:pStyle w:val="Compact"/>
              <w:spacing w:after="40"/>
            </w:pPr>
          </w:p>
        </w:tc>
        <w:tc>
          <w:tcPr>
            <w:tcW w:w="1955" w:type="dxa"/>
          </w:tcPr>
          <w:p>
            <w:pPr>
              <w:pStyle w:val="Compact"/>
              <w:spacing w:after="40"/>
            </w:pPr>
          </w:p>
        </w:tc>
        <w:tc>
          <w:tcPr>
            <w:tcW w:w="1333" w:type="dxa"/>
          </w:tcPr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iCs/>
          <w:i/>
        </w:rPr>
        <w:t xml:space="preserve">End of runbook.</w:t>
      </w:r>
    </w:p>
    <w:bookmarkEnd w:id="39"/>
    <w:bookmarkEnd w:id="40"/>
    <w:sectPr>
      <w:footerReference w:type="default" r:id="rId9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 xml:space="preserve">Infrabyx Operations Hub — Phase-wise Claude Code Runbook · v1.0 ·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PAGE</w:instrTex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3A5F" w:space="6" w:sz="18" w:val="single"/>
      </w:pBdr>
      <w:spacing w:after="100" w:before="100"/>
      <w:ind w:firstLine="0" w:left="480" w:right="480"/>
      <w:shd w:color="auto" w:fill="EAF1F8" w:val="clear"/>
    </w:pPr>
    <w:rPr>
      <w:rFonts w:ascii="Calibri" w:cs="Calibri" w:eastAsia="Calibri" w:hAnsi="Calibri"/>
      <w:i w:val="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2026-10-24T06:42:46Z</dcterms:created>
  <dcterms:modified xsi:type="dcterms:W3CDTF">2026-10-24T06:42:46Z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